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12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600"/>
        <w:spacing w:after="0"/>
        <w:rPr>
          <w:sz w:val="20"/>
          <w:szCs w:val="20"/>
          <w:color w:val="auto"/>
        </w:rPr>
      </w:pPr>
      <w:r>
        <w:rPr>
          <w:rFonts w:ascii="Arial" w:cs="Arial" w:eastAsia="Arial" w:hAnsi="Arial"/>
          <w:sz w:val="22"/>
          <w:szCs w:val="22"/>
          <w:color w:val="auto"/>
        </w:rPr>
        <w:t>_________________</w:t>
      </w:r>
    </w:p>
    <w:p>
      <w:pPr>
        <w:spacing w:after="0" w:line="74"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12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ind w:left="4600"/>
        <w:spacing w:after="0"/>
        <w:rPr>
          <w:sz w:val="20"/>
          <w:szCs w:val="20"/>
          <w:color w:val="auto"/>
        </w:rPr>
      </w:pPr>
      <w:r>
        <w:rPr>
          <w:rFonts w:ascii="Arial" w:cs="Arial" w:eastAsia="Arial" w:hAnsi="Arial"/>
          <w:sz w:val="22"/>
          <w:szCs w:val="22"/>
          <w:color w:val="auto"/>
        </w:rPr>
        <w:t>_________________</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1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8"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Definitive Proxy Statement</w:t>
      </w:r>
    </w:p>
    <w:p>
      <w:pPr>
        <w:spacing w:after="0" w:line="158" w:lineRule="exact"/>
        <w:rPr>
          <w:sz w:val="24"/>
          <w:szCs w:val="24"/>
          <w:color w:val="auto"/>
        </w:rPr>
      </w:pPr>
    </w:p>
    <w:p>
      <w:pPr>
        <w:ind w:left="360" w:hanging="334"/>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360" w:hanging="334"/>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§240.14a-11(c) or §240.14a-2</w:t>
      </w:r>
    </w:p>
    <w:p>
      <w:pPr>
        <w:spacing w:after="0" w:line="389"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4"/>
          <w:szCs w:val="24"/>
          <w:color w:val="auto"/>
        </w:rPr>
      </w:pPr>
    </w:p>
    <w:p>
      <w:pPr>
        <w:ind w:left="360" w:hanging="334"/>
        <w:spacing w:after="0"/>
        <w:tabs>
          <w:tab w:leader="none" w:pos="360" w:val="left"/>
        </w:tabs>
        <w:numPr>
          <w:ilvl w:val="0"/>
          <w:numId w:val="4"/>
        </w:numPr>
        <w:rPr>
          <w:rFonts w:ascii="Wingdings" w:cs="Wingdings" w:eastAsia="Wingdings" w:hAnsi="Wingdings"/>
          <w:sz w:val="18"/>
          <w:szCs w:val="18"/>
          <w:b w:val="1"/>
          <w:bCs w:val="1"/>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360" w:hanging="334"/>
        <w:spacing w:after="0"/>
        <w:tabs>
          <w:tab w:leader="none" w:pos="360" w:val="left"/>
        </w:tabs>
        <w:numPr>
          <w:ilvl w:val="0"/>
          <w:numId w:val="5"/>
        </w:numPr>
        <w:rPr>
          <w:rFonts w:ascii="Wingdings" w:cs="Wingdings" w:eastAsia="Wingdings" w:hAnsi="Wingdings"/>
          <w:sz w:val="18"/>
          <w:szCs w:val="18"/>
          <w:b w:val="1"/>
          <w:bCs w:val="1"/>
          <w:color w:val="auto"/>
        </w:rPr>
      </w:pPr>
      <w:r>
        <w:rPr>
          <w:rFonts w:ascii="Arial" w:cs="Arial" w:eastAsia="Arial" w:hAnsi="Arial"/>
          <w:sz w:val="18"/>
          <w:szCs w:val="18"/>
          <w:color w:val="auto"/>
        </w:rPr>
        <w:t>Fee paid previously with preliminary materials.</w:t>
      </w:r>
    </w:p>
    <w:p>
      <w:pPr>
        <w:spacing w:after="0" w:line="130"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5"/>
        </w:numPr>
        <w:rPr>
          <w:rFonts w:ascii="Wingdings" w:cs="Wingdings" w:eastAsia="Wingdings" w:hAnsi="Wingdings"/>
          <w:sz w:val="17"/>
          <w:szCs w:val="17"/>
          <w:b w:val="1"/>
          <w:bCs w:val="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852170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123825</wp:posOffset>
            </wp:positionV>
            <wp:extent cx="4011930" cy="788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11930" cy="788670"/>
                    </a:xfrm>
                    <a:prstGeom prst="rect">
                      <a:avLst/>
                    </a:prstGeom>
                    <a:noFill/>
                  </pic:spPr>
                </pic:pic>
              </a:graphicData>
            </a:graphic>
          </wp:anchor>
        </w:drawing>
      </w:r>
    </w:p>
    <w:p>
      <w:pPr>
        <w:spacing w:after="0" w:line="385"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DROPBOX, INC.</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1800 OWENS STREET</w:t>
      </w:r>
    </w:p>
    <w:p>
      <w:pPr>
        <w:ind w:left="8500"/>
        <w:spacing w:after="0"/>
        <w:rPr>
          <w:sz w:val="20"/>
          <w:szCs w:val="20"/>
          <w:color w:val="auto"/>
        </w:rPr>
      </w:pPr>
      <w:r>
        <w:rPr>
          <w:rFonts w:ascii="Arial" w:cs="Arial" w:eastAsia="Arial" w:hAnsi="Arial"/>
          <w:sz w:val="18"/>
          <w:szCs w:val="18"/>
          <w:color w:val="auto"/>
        </w:rPr>
        <w:t>SAN FRANCISCO,</w:t>
      </w:r>
    </w:p>
    <w:p>
      <w:pPr>
        <w:spacing w:after="0" w:line="9"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CALIFORNIA 94158</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9"/>
          <w:szCs w:val="29"/>
          <w:b w:val="1"/>
          <w:bCs w:val="1"/>
          <w:color w:val="0063A6"/>
        </w:rPr>
        <w:t>NOTICE OF ANNUAL MEETING OF STOCKHOLDERS</w:t>
      </w:r>
    </w:p>
    <w:p>
      <w:pPr>
        <w:spacing w:after="0" w:line="34" w:lineRule="exact"/>
        <w:rPr>
          <w:sz w:val="20"/>
          <w:szCs w:val="20"/>
          <w:color w:val="auto"/>
        </w:rPr>
      </w:pPr>
    </w:p>
    <w:p>
      <w:pPr>
        <w:spacing w:after="0"/>
        <w:rPr>
          <w:sz w:val="20"/>
          <w:szCs w:val="20"/>
          <w:color w:val="auto"/>
        </w:rPr>
      </w:pPr>
      <w:r>
        <w:rPr>
          <w:rFonts w:ascii="Arial" w:cs="Arial" w:eastAsia="Arial" w:hAnsi="Arial"/>
          <w:sz w:val="29"/>
          <w:szCs w:val="29"/>
          <w:b w:val="1"/>
          <w:bCs w:val="1"/>
          <w:color w:val="0063A6"/>
        </w:rPr>
        <w:t>to be held at 9:00 am Pacific Time on Thursday, May 16, 2024</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Stockholders of Dropbox, Inc.:</w:t>
      </w:r>
    </w:p>
    <w:p>
      <w:pPr>
        <w:spacing w:after="0" w:line="167"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cordially invite you to attend the 2024 annual meeting of stockholders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of Dropbox, Inc., a Delaware corporation, to be held on May 16, 2024 at 9:00 am Pacific Time. The Annual Meeting will be conducted virtually via live audio webcast. You will be able to attend the Annual Meeting virtually by visiting www.virtualshareholdermeeting.com/DBX2024, where you will be able to listen to the meeting live, submit questions and vote online.</w:t>
      </w:r>
    </w:p>
    <w:p>
      <w:pPr>
        <w:spacing w:after="0" w:line="10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meeting. Therefore, we urge you to promptly vote and submit your proxy via the Internet, by telephone, or by mail.</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We are holding the Annual Meeting for the following purposes, as more fully described in the accompanying proxy statement:</w:t>
      </w:r>
    </w:p>
    <w:p>
      <w:pPr>
        <w:spacing w:after="0" w:line="16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nine directors to serve until the next annual meeting of stockholders and until their successors are duly elected and qualified;</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our fiscal year ending December 31, 2024;</w:t>
      </w:r>
    </w:p>
    <w:p>
      <w:pPr>
        <w:spacing w:after="0" w:line="153"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our named executive officers; and</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Annual Meeting or any adjournments or postponements thereof.</w:t>
      </w:r>
    </w:p>
    <w:p>
      <w:pPr>
        <w:spacing w:after="0" w:line="16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Our board of directors has fixed the close of business on March 21, 2024 as the record date for the Annual Meeting. Stockholders of record on March 21, 2024 are entitled to notice of and to vote at the Annual Meeting. Further information regarding voting rights and the matters to be voted upon is presented in the accompanying proxy statement.</w:t>
      </w:r>
    </w:p>
    <w:p>
      <w:pPr>
        <w:spacing w:after="0" w:line="10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accompanying proxy statement and our annual report can be accessed by visiting: www.proxyvote.com. You will be asked to enter the 16-digit control number located on your proxy card.</w:t>
      </w:r>
    </w:p>
    <w:p>
      <w:pPr>
        <w:spacing w:after="0" w:line="10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b w:val="1"/>
          <w:bCs w:val="1"/>
          <w:color w:val="auto"/>
        </w:rPr>
        <w:t>YOUR VOTE IS IMPORTANT. Whether or not you plan to attend the Annual Meeting, we urge you to submit your vote via the Internet, telephone, or mail as soon as possible to ensure your shares are represented. For additional instructions on voting by telephone or the Internet, please refer to your proxy card. Returning the proxy does not deprive you of your right to attend the Annual Meeting and to vote your shares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1765935" cy="694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6593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Andrew W. Houston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Co-Founder, and Chair of the Board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April 2, 2024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63A6"/>
        </w:rPr>
        <w:t>Dropbox, Inc.</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TABLE OF CONTENTS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0540" w:type="dxa"/>
            <w:vAlign w:val="bottom"/>
            <w:gridSpan w:val="30"/>
          </w:tcPr>
          <w:p>
            <w:pPr>
              <w:spacing w:after="0"/>
              <w:rPr>
                <w:sz w:val="20"/>
                <w:szCs w:val="20"/>
                <w:color w:val="auto"/>
              </w:rPr>
            </w:pPr>
            <w:r>
              <w:rPr>
                <w:rFonts w:ascii="Arial" w:cs="Arial" w:eastAsia="Arial" w:hAnsi="Arial"/>
                <w:sz w:val="22"/>
                <w:szCs w:val="22"/>
                <w:b w:val="1"/>
                <w:bCs w:val="1"/>
                <w:color w:val="0000FF"/>
              </w:rPr>
              <w:t>GENERAL INFORMATION</w:t>
            </w:r>
          </w:p>
        </w:tc>
        <w:tc>
          <w:tcPr>
            <w:tcW w:w="680" w:type="dxa"/>
            <w:vAlign w:val="bottom"/>
            <w:gridSpan w:val="5"/>
          </w:tcPr>
          <w:p>
            <w:pPr>
              <w:jc w:val="right"/>
              <w:ind w:right="20"/>
              <w:spacing w:after="0"/>
              <w:rPr>
                <w:sz w:val="20"/>
                <w:szCs w:val="20"/>
                <w:color w:val="auto"/>
              </w:rPr>
            </w:pPr>
            <w:r>
              <w:rPr>
                <w:rFonts w:ascii="Arial" w:cs="Arial" w:eastAsia="Arial" w:hAnsi="Arial"/>
                <w:sz w:val="22"/>
                <w:szCs w:val="22"/>
                <w:b w:val="1"/>
                <w:bCs w:val="1"/>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540" w:type="dxa"/>
            <w:vAlign w:val="bottom"/>
            <w:gridSpan w:val="30"/>
          </w:tcPr>
          <w:p>
            <w:pPr>
              <w:spacing w:after="0"/>
              <w:rPr>
                <w:sz w:val="20"/>
                <w:szCs w:val="20"/>
                <w:color w:val="auto"/>
              </w:rPr>
            </w:pPr>
            <w:r>
              <w:rPr>
                <w:rFonts w:ascii="Arial" w:cs="Arial" w:eastAsia="Arial" w:hAnsi="Arial"/>
                <w:sz w:val="22"/>
                <w:szCs w:val="22"/>
                <w:b w:val="1"/>
                <w:bCs w:val="1"/>
                <w:color w:val="0000FF"/>
              </w:rPr>
              <w:t>BOARD OF DIRECTORS AND CORPORATE GOVERNANCE</w:t>
            </w:r>
          </w:p>
        </w:tc>
        <w:tc>
          <w:tcPr>
            <w:tcW w:w="680" w:type="dxa"/>
            <w:vAlign w:val="bottom"/>
            <w:gridSpan w:val="5"/>
          </w:tcPr>
          <w:p>
            <w:pPr>
              <w:jc w:val="right"/>
              <w:ind w:right="20"/>
              <w:spacing w:after="0"/>
              <w:rPr>
                <w:sz w:val="20"/>
                <w:szCs w:val="20"/>
                <w:color w:val="auto"/>
              </w:rPr>
            </w:pPr>
            <w:r>
              <w:rPr>
                <w:rFonts w:ascii="Arial" w:cs="Arial" w:eastAsia="Arial" w:hAnsi="Arial"/>
                <w:sz w:val="22"/>
                <w:szCs w:val="22"/>
                <w:b w:val="1"/>
                <w:bCs w:val="1"/>
                <w:color w:val="0000FF"/>
              </w:rPr>
              <w:t>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rPr>
              <w:t>Nominees for Director</w:t>
            </w:r>
          </w:p>
        </w:tc>
        <w:tc>
          <w:tcPr>
            <w:tcW w:w="4200" w:type="dxa"/>
            <w:vAlign w:val="bottom"/>
            <w:tcBorders>
              <w:top w:val="single" w:sz="8" w:color="0000FF"/>
            </w:tcBorders>
            <w:gridSpan w:val="19"/>
          </w:tcPr>
          <w:p>
            <w:pPr>
              <w:spacing w:after="0"/>
              <w:rPr>
                <w:sz w:val="24"/>
                <w:szCs w:val="24"/>
                <w:color w:val="auto"/>
              </w:rPr>
            </w:pPr>
          </w:p>
        </w:tc>
        <w:tc>
          <w:tcPr>
            <w:tcW w:w="4500" w:type="dxa"/>
            <w:vAlign w:val="bottom"/>
            <w:gridSpan w:val="4"/>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Director Independence</w:t>
            </w:r>
          </w:p>
        </w:tc>
        <w:tc>
          <w:tcPr>
            <w:tcW w:w="8640" w:type="dxa"/>
            <w:vAlign w:val="bottom"/>
            <w:gridSpan w:val="22"/>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Board Leadership Structure and Role of the Lead Independent Director</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99"/>
              </w:rPr>
              <w:t>Board Committees</w:t>
            </w:r>
          </w:p>
        </w:tc>
        <w:tc>
          <w:tcPr>
            <w:tcW w:w="3740" w:type="dxa"/>
            <w:vAlign w:val="bottom"/>
            <w:tcBorders>
              <w:top w:val="single" w:sz="8" w:color="0000FF"/>
            </w:tcBorders>
            <w:gridSpan w:val="17"/>
          </w:tcPr>
          <w:p>
            <w:pPr>
              <w:spacing w:after="0"/>
              <w:rPr>
                <w:sz w:val="24"/>
                <w:szCs w:val="24"/>
                <w:color w:val="auto"/>
              </w:rPr>
            </w:pPr>
          </w:p>
        </w:tc>
        <w:tc>
          <w:tcPr>
            <w:tcW w:w="5200" w:type="dxa"/>
            <w:vAlign w:val="bottom"/>
            <w:gridSpan w:val="7"/>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rPr>
              <w:t>Attendance at Board and Stockholder Meetings</w:t>
            </w:r>
          </w:p>
        </w:tc>
        <w:tc>
          <w:tcPr>
            <w:tcW w:w="6860" w:type="dxa"/>
            <w:vAlign w:val="bottom"/>
            <w:gridSpan w:val="12"/>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Compensation Committee Interlocks and Insider Participation</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4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6"/>
                <w:szCs w:val="16"/>
                <w:color w:val="0000FF"/>
              </w:rPr>
              <w:t>Considerations in Evaluating Director Nominees</w:t>
            </w:r>
          </w:p>
        </w:tc>
        <w:tc>
          <w:tcPr>
            <w:tcW w:w="940" w:type="dxa"/>
            <w:vAlign w:val="bottom"/>
            <w:tcBorders>
              <w:top w:val="single" w:sz="8" w:color="0000FF"/>
            </w:tcBorders>
          </w:tcPr>
          <w:p>
            <w:pPr>
              <w:spacing w:after="0"/>
              <w:rPr>
                <w:sz w:val="24"/>
                <w:szCs w:val="24"/>
                <w:color w:val="auto"/>
              </w:rPr>
            </w:pPr>
          </w:p>
        </w:tc>
        <w:tc>
          <w:tcPr>
            <w:tcW w:w="5900" w:type="dxa"/>
            <w:vAlign w:val="bottom"/>
            <w:gridSpan w:val="10"/>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Board Evaluations</w:t>
            </w:r>
          </w:p>
        </w:tc>
        <w:tc>
          <w:tcPr>
            <w:tcW w:w="8960" w:type="dxa"/>
            <w:vAlign w:val="bottom"/>
            <w:gridSpan w:val="25"/>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Stockholder Recommendations and Nominations to the Board of Directors</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6"/>
                <w:szCs w:val="16"/>
                <w:color w:val="0000FF"/>
              </w:rPr>
              <w:t>Communications with the Board of Directors</w:t>
            </w:r>
          </w:p>
        </w:tc>
        <w:tc>
          <w:tcPr>
            <w:tcW w:w="2140" w:type="dxa"/>
            <w:vAlign w:val="bottom"/>
            <w:tcBorders>
              <w:top w:val="single" w:sz="8" w:color="0000FF"/>
            </w:tcBorders>
            <w:gridSpan w:val="9"/>
          </w:tcPr>
          <w:p>
            <w:pPr>
              <w:spacing w:after="0"/>
              <w:rPr>
                <w:sz w:val="24"/>
                <w:szCs w:val="24"/>
                <w:color w:val="auto"/>
              </w:rPr>
            </w:pPr>
          </w:p>
        </w:tc>
        <w:tc>
          <w:tcPr>
            <w:tcW w:w="4980" w:type="dxa"/>
            <w:vAlign w:val="bottom"/>
            <w:gridSpan w:val="6"/>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40" w:type="dxa"/>
            <w:vAlign w:val="bottom"/>
            <w:tcBorders>
              <w:bottom w:val="single" w:sz="8" w:color="0000FF"/>
            </w:tcBorders>
            <w:gridSpan w:val="24"/>
          </w:tcPr>
          <w:p>
            <w:pPr>
              <w:spacing w:after="0"/>
              <w:rPr>
                <w:sz w:val="20"/>
                <w:szCs w:val="20"/>
                <w:color w:val="auto"/>
              </w:rPr>
            </w:pPr>
            <w:r>
              <w:rPr>
                <w:rFonts w:ascii="Arial" w:cs="Arial" w:eastAsia="Arial" w:hAnsi="Arial"/>
                <w:sz w:val="16"/>
                <w:szCs w:val="16"/>
                <w:color w:val="0000FF"/>
              </w:rPr>
              <w:t>Corporate Governance Guidelines and Code of Business Conduct and Ethics</w:t>
            </w:r>
          </w:p>
        </w:tc>
        <w:tc>
          <w:tcPr>
            <w:tcW w:w="4740" w:type="dxa"/>
            <w:vAlign w:val="bottom"/>
            <w:gridSpan w:val="5"/>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Role of Board in Risk Oversight Process</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Cybersecurity and Data Privacy Governance</w:t>
            </w:r>
          </w:p>
        </w:tc>
        <w:tc>
          <w:tcPr>
            <w:tcW w:w="7080" w:type="dxa"/>
            <w:vAlign w:val="bottom"/>
            <w:gridSpan w:val="14"/>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rPr>
              <w:t>Environmental, Social and Governance Matters</w:t>
            </w:r>
          </w:p>
        </w:tc>
        <w:tc>
          <w:tcPr>
            <w:tcW w:w="6880" w:type="dxa"/>
            <w:vAlign w:val="bottom"/>
            <w:gridSpan w:val="13"/>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Director Compensation</w:t>
            </w:r>
          </w:p>
        </w:tc>
        <w:tc>
          <w:tcPr>
            <w:tcW w:w="8620" w:type="dxa"/>
            <w:vAlign w:val="bottom"/>
            <w:gridSpan w:val="21"/>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840" w:type="dxa"/>
            <w:vAlign w:val="bottom"/>
            <w:tcBorders>
              <w:bottom w:val="single" w:sz="8" w:color="0000FF"/>
            </w:tcBorders>
            <w:gridSpan w:val="21"/>
          </w:tcPr>
          <w:p>
            <w:pPr>
              <w:spacing w:after="0"/>
              <w:rPr>
                <w:sz w:val="20"/>
                <w:szCs w:val="20"/>
                <w:color w:val="auto"/>
              </w:rPr>
            </w:pPr>
            <w:r>
              <w:rPr>
                <w:rFonts w:ascii="Arial" w:cs="Arial" w:eastAsia="Arial" w:hAnsi="Arial"/>
                <w:sz w:val="22"/>
                <w:szCs w:val="22"/>
                <w:b w:val="1"/>
                <w:bCs w:val="1"/>
                <w:color w:val="0000FF"/>
                <w:w w:val="97"/>
              </w:rPr>
              <w:t>PROPOSAL NO. 1—ELECTION OF DIRECTORS</w:t>
            </w:r>
          </w:p>
        </w:tc>
        <w:tc>
          <w:tcPr>
            <w:tcW w:w="5700" w:type="dxa"/>
            <w:vAlign w:val="bottom"/>
            <w:gridSpan w:val="9"/>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bottom w:val="single" w:sz="8" w:color="0000FF"/>
            </w:tcBorders>
            <w:gridSpan w:val="3"/>
          </w:tcPr>
          <w:p>
            <w:pPr>
              <w:jc w:val="right"/>
              <w:spacing w:after="0"/>
              <w:rPr>
                <w:sz w:val="20"/>
                <w:szCs w:val="20"/>
                <w:color w:val="auto"/>
              </w:rPr>
            </w:pPr>
            <w:r>
              <w:rPr>
                <w:rFonts w:ascii="Arial" w:cs="Arial" w:eastAsia="Arial" w:hAnsi="Arial"/>
                <w:sz w:val="22"/>
                <w:szCs w:val="22"/>
                <w:b w:val="1"/>
                <w:bCs w:val="1"/>
                <w:color w:val="0000FF"/>
                <w:w w:val="89"/>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Nominees</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10"/>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Vote Required</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gridSpan w:val="10"/>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9840" w:type="dxa"/>
            <w:vAlign w:val="bottom"/>
            <w:tcBorders>
              <w:bottom w:val="single" w:sz="8" w:color="0000FF"/>
            </w:tcBorders>
            <w:gridSpan w:val="28"/>
          </w:tcPr>
          <w:p>
            <w:pPr>
              <w:spacing w:after="0"/>
              <w:rPr>
                <w:sz w:val="20"/>
                <w:szCs w:val="20"/>
                <w:color w:val="auto"/>
              </w:rPr>
            </w:pPr>
            <w:r>
              <w:rPr>
                <w:rFonts w:ascii="Arial" w:cs="Arial" w:eastAsia="Arial" w:hAnsi="Arial"/>
                <w:sz w:val="22"/>
                <w:szCs w:val="22"/>
                <w:b w:val="1"/>
                <w:bCs w:val="1"/>
                <w:color w:val="0000FF"/>
                <w:w w:val="97"/>
              </w:rPr>
              <w:t>PROPOSAL NO. 2—RATIFICATION OF APPOINTMENT OF INDEPENDENT REGISTERED PUBLIC</w:t>
            </w:r>
          </w:p>
        </w:tc>
        <w:tc>
          <w:tcPr>
            <w:tcW w:w="700" w:type="dxa"/>
            <w:vAlign w:val="bottom"/>
            <w:gridSpan w:val="2"/>
          </w:tcPr>
          <w:p>
            <w:pPr>
              <w:spacing w:after="0"/>
              <w:rPr>
                <w:sz w:val="24"/>
                <w:szCs w:val="24"/>
                <w:color w:val="auto"/>
              </w:rPr>
            </w:pPr>
          </w:p>
        </w:tc>
        <w:tc>
          <w:tcPr>
            <w:tcW w:w="66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0000FF"/>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tcBorders>
              <w:bottom w:val="single" w:sz="8" w:color="0000FF"/>
            </w:tcBorders>
            <w:gridSpan w:val="10"/>
          </w:tcPr>
          <w:p>
            <w:pPr>
              <w:spacing w:after="0" w:line="209" w:lineRule="exact"/>
              <w:rPr>
                <w:sz w:val="20"/>
                <w:szCs w:val="20"/>
                <w:color w:val="auto"/>
              </w:rPr>
            </w:pPr>
            <w:r>
              <w:rPr>
                <w:rFonts w:ascii="Arial" w:cs="Arial" w:eastAsia="Arial" w:hAnsi="Arial"/>
                <w:sz w:val="22"/>
                <w:szCs w:val="22"/>
                <w:b w:val="1"/>
                <w:bCs w:val="1"/>
                <w:color w:val="0000FF"/>
                <w:w w:val="97"/>
              </w:rPr>
              <w:t>ACCOUNTING FIRM</w:t>
            </w:r>
          </w:p>
        </w:tc>
        <w:tc>
          <w:tcPr>
            <w:tcW w:w="8480" w:type="dxa"/>
            <w:vAlign w:val="bottom"/>
            <w:gridSpan w:val="20"/>
          </w:tcPr>
          <w:p>
            <w:pPr>
              <w:spacing w:after="0"/>
              <w:rPr>
                <w:sz w:val="20"/>
                <w:szCs w:val="20"/>
                <w:color w:val="auto"/>
              </w:rPr>
            </w:pPr>
          </w:p>
        </w:tc>
        <w:tc>
          <w:tcPr>
            <w:tcW w:w="66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6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Fees Paid to the Independent Registered Public Accounting Firm</w:t>
            </w:r>
          </w:p>
        </w:tc>
        <w:tc>
          <w:tcPr>
            <w:tcW w:w="5620" w:type="dxa"/>
            <w:vAlign w:val="bottom"/>
            <w:gridSpan w:val="8"/>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Auditor Independence</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00" w:type="dxa"/>
            <w:vAlign w:val="bottom"/>
            <w:gridSpan w:val="1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Audit Committee Policy on Pre-Approval of Audit and Permissible Non-Audit Services of Independent Registered Public Accounting Firm</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60" w:type="dxa"/>
            <w:vAlign w:val="bottom"/>
            <w:tcBorders>
              <w:top w:val="single" w:sz="8" w:color="0000FF"/>
            </w:tcBorders>
            <w:gridSpan w:val="28"/>
          </w:tcPr>
          <w:p>
            <w:pPr>
              <w:spacing w:after="0"/>
              <w:rPr>
                <w:sz w:val="20"/>
                <w:szCs w:val="20"/>
                <w:color w:val="auto"/>
              </w:rPr>
            </w:pPr>
            <w:r>
              <w:rPr>
                <w:rFonts w:ascii="Arial" w:cs="Arial" w:eastAsia="Arial" w:hAnsi="Arial"/>
                <w:sz w:val="16"/>
                <w:szCs w:val="16"/>
                <w:color w:val="0000FF"/>
              </w:rPr>
              <w:t>Vote Required</w:t>
            </w:r>
          </w:p>
        </w:tc>
        <w:tc>
          <w:tcPr>
            <w:tcW w:w="52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top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100" w:type="dxa"/>
            <w:vAlign w:val="bottom"/>
            <w:gridSpan w:val="15"/>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rPr>
              <w:t>Report of the Audit Committee</w:t>
            </w:r>
          </w:p>
        </w:tc>
        <w:tc>
          <w:tcPr>
            <w:tcW w:w="8100" w:type="dxa"/>
            <w:vAlign w:val="bottom"/>
            <w:gridSpan w:val="18"/>
          </w:tcPr>
          <w:p>
            <w:pPr>
              <w:spacing w:after="0"/>
              <w:rPr>
                <w:sz w:val="24"/>
                <w:szCs w:val="24"/>
                <w:color w:val="auto"/>
              </w:rPr>
            </w:pPr>
          </w:p>
        </w:tc>
        <w:tc>
          <w:tcPr>
            <w:tcW w:w="540" w:type="dxa"/>
            <w:vAlign w:val="bottom"/>
            <w:gridSpan w:val="2"/>
          </w:tcPr>
          <w:p>
            <w:pPr>
              <w:spacing w:after="0"/>
              <w:rPr>
                <w:sz w:val="24"/>
                <w:szCs w:val="24"/>
                <w:color w:val="auto"/>
              </w:rPr>
            </w:pPr>
          </w:p>
        </w:tc>
        <w:tc>
          <w:tcPr>
            <w:tcW w:w="120" w:type="dxa"/>
            <w:vAlign w:val="bottom"/>
            <w:tcBorders>
              <w:bottom w:val="single" w:sz="8" w:color="0000FF"/>
            </w:tcBorders>
            <w:gridSpan w:val="2"/>
          </w:tcPr>
          <w:p>
            <w:pPr>
              <w:jc w:val="right"/>
              <w:spacing w:after="0"/>
              <w:rPr>
                <w:sz w:val="20"/>
                <w:szCs w:val="20"/>
                <w:color w:val="auto"/>
              </w:rPr>
            </w:pPr>
            <w:r>
              <w:rPr>
                <w:rFonts w:ascii="Arial" w:cs="Arial" w:eastAsia="Arial" w:hAnsi="Arial"/>
                <w:sz w:val="12"/>
                <w:szCs w:val="12"/>
                <w:b w:val="1"/>
                <w:bCs w:val="1"/>
                <w:color w:val="0000FF"/>
                <w:w w:val="74"/>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0540" w:type="dxa"/>
            <w:vAlign w:val="bottom"/>
            <w:gridSpan w:val="30"/>
          </w:tcPr>
          <w:p>
            <w:pPr>
              <w:spacing w:after="0"/>
              <w:rPr>
                <w:sz w:val="20"/>
                <w:szCs w:val="20"/>
                <w:color w:val="auto"/>
              </w:rPr>
            </w:pPr>
            <w:r>
              <w:rPr>
                <w:rFonts w:ascii="Arial" w:cs="Arial" w:eastAsia="Arial" w:hAnsi="Arial"/>
                <w:sz w:val="22"/>
                <w:szCs w:val="22"/>
                <w:b w:val="1"/>
                <w:bCs w:val="1"/>
                <w:color w:val="0000FF"/>
              </w:rPr>
              <w:t>PROPOSAL NO. 3—ADVISORY VOTE ON THE COMPENSATION OF OUR NAMED EXECUTIVE</w:t>
            </w:r>
          </w:p>
        </w:tc>
        <w:tc>
          <w:tcPr>
            <w:tcW w:w="66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tcBorders>
              <w:top w:val="single" w:sz="8" w:color="0000FF"/>
              <w:bottom w:val="single" w:sz="8" w:color="0000FF"/>
            </w:tcBorders>
            <w:gridSpan w:val="3"/>
          </w:tcPr>
          <w:p>
            <w:pPr>
              <w:spacing w:after="0" w:line="209" w:lineRule="exact"/>
              <w:rPr>
                <w:sz w:val="20"/>
                <w:szCs w:val="20"/>
                <w:color w:val="auto"/>
              </w:rPr>
            </w:pPr>
            <w:r>
              <w:rPr>
                <w:rFonts w:ascii="Arial" w:cs="Arial" w:eastAsia="Arial" w:hAnsi="Arial"/>
                <w:sz w:val="22"/>
                <w:szCs w:val="22"/>
                <w:b w:val="1"/>
                <w:bCs w:val="1"/>
                <w:color w:val="0000FF"/>
                <w:w w:val="97"/>
              </w:rPr>
              <w:t>OFFICERS</w:t>
            </w:r>
          </w:p>
        </w:tc>
        <w:tc>
          <w:tcPr>
            <w:tcW w:w="8440" w:type="dxa"/>
            <w:vAlign w:val="bottom"/>
            <w:tcBorders>
              <w:top w:val="single" w:sz="8" w:color="0000FF"/>
            </w:tcBorders>
            <w:gridSpan w:val="24"/>
          </w:tcPr>
          <w:p>
            <w:pPr>
              <w:spacing w:after="0"/>
              <w:rPr>
                <w:sz w:val="20"/>
                <w:szCs w:val="20"/>
                <w:color w:val="auto"/>
              </w:rPr>
            </w:pPr>
          </w:p>
        </w:tc>
        <w:tc>
          <w:tcPr>
            <w:tcW w:w="1000" w:type="dxa"/>
            <w:vAlign w:val="bottom"/>
            <w:gridSpan w:val="3"/>
          </w:tcPr>
          <w:p>
            <w:pPr>
              <w:spacing w:after="0"/>
              <w:rPr>
                <w:sz w:val="20"/>
                <w:szCs w:val="20"/>
                <w:color w:val="auto"/>
              </w:rPr>
            </w:pPr>
          </w:p>
        </w:tc>
        <w:tc>
          <w:tcPr>
            <w:tcW w:w="66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9"/>
          </w:tcPr>
          <w:p>
            <w:pPr>
              <w:spacing w:after="0"/>
              <w:rPr>
                <w:sz w:val="20"/>
                <w:szCs w:val="20"/>
                <w:color w:val="auto"/>
              </w:rPr>
            </w:pPr>
            <w:r>
              <w:rPr>
                <w:rFonts w:ascii="Arial" w:cs="Arial" w:eastAsia="Arial" w:hAnsi="Arial"/>
                <w:sz w:val="16"/>
                <w:szCs w:val="16"/>
                <w:color w:val="0000FF"/>
              </w:rPr>
              <w:t>Vote Required</w:t>
            </w:r>
          </w:p>
        </w:tc>
        <w:tc>
          <w:tcPr>
            <w:tcW w:w="660" w:type="dxa"/>
            <w:vAlign w:val="bottom"/>
            <w:gridSpan w:val="4"/>
          </w:tcPr>
          <w:p>
            <w:pPr>
              <w:jc w:val="right"/>
              <w:spacing w:after="0"/>
              <w:rPr>
                <w:sz w:val="20"/>
                <w:szCs w:val="20"/>
                <w:color w:val="auto"/>
              </w:rPr>
            </w:pPr>
            <w:r>
              <w:rPr>
                <w:rFonts w:ascii="Arial" w:cs="Arial" w:eastAsia="Arial" w:hAnsi="Arial"/>
                <w:sz w:val="16"/>
                <w:szCs w:val="16"/>
                <w:b w:val="1"/>
                <w:bCs w:val="1"/>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100" w:type="dxa"/>
            <w:vAlign w:val="bottom"/>
            <w:gridSpan w:val="7"/>
          </w:tcPr>
          <w:p>
            <w:pPr>
              <w:spacing w:after="0" w:line="20" w:lineRule="exact"/>
              <w:rPr>
                <w:sz w:val="1"/>
                <w:szCs w:val="1"/>
                <w:color w:val="auto"/>
              </w:rPr>
            </w:pPr>
          </w:p>
        </w:tc>
        <w:tc>
          <w:tcPr>
            <w:tcW w:w="8160" w:type="dxa"/>
            <w:vAlign w:val="bottom"/>
            <w:gridSpan w:val="19"/>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10540" w:type="dxa"/>
            <w:vAlign w:val="bottom"/>
            <w:gridSpan w:val="30"/>
          </w:tcPr>
          <w:p>
            <w:pPr>
              <w:spacing w:after="0"/>
              <w:rPr>
                <w:sz w:val="20"/>
                <w:szCs w:val="20"/>
                <w:color w:val="auto"/>
              </w:rPr>
            </w:pPr>
            <w:r>
              <w:rPr>
                <w:rFonts w:ascii="Arial" w:cs="Arial" w:eastAsia="Arial" w:hAnsi="Arial"/>
                <w:sz w:val="22"/>
                <w:szCs w:val="22"/>
                <w:b w:val="1"/>
                <w:bCs w:val="1"/>
                <w:color w:val="0000FF"/>
              </w:rPr>
              <w:t>EXECUTIVE OFFICERS</w:t>
            </w:r>
          </w:p>
        </w:tc>
        <w:tc>
          <w:tcPr>
            <w:tcW w:w="660" w:type="dxa"/>
            <w:vAlign w:val="bottom"/>
            <w:gridSpan w:val="4"/>
          </w:tcPr>
          <w:p>
            <w:pPr>
              <w:jc w:val="right"/>
              <w:spacing w:after="0"/>
              <w:rPr>
                <w:sz w:val="20"/>
                <w:szCs w:val="20"/>
                <w:color w:val="auto"/>
              </w:rPr>
            </w:pPr>
            <w:r>
              <w:rPr>
                <w:rFonts w:ascii="Arial" w:cs="Arial" w:eastAsia="Arial" w:hAnsi="Arial"/>
                <w:sz w:val="22"/>
                <w:szCs w:val="22"/>
                <w:b w:val="1"/>
                <w:bCs w:val="1"/>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5"/>
        </w:trPr>
        <w:tc>
          <w:tcPr>
            <w:tcW w:w="20" w:type="dxa"/>
            <w:vAlign w:val="bottom"/>
            <w:tcBorders>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TABLE OF CONTENTS (continued)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Page</w:t>
            </w:r>
          </w:p>
        </w:tc>
      </w:tr>
      <w:tr>
        <w:trPr>
          <w:trHeight w:val="359"/>
        </w:trPr>
        <w:tc>
          <w:tcPr>
            <w:tcW w:w="20" w:type="dxa"/>
            <w:vAlign w:val="bottom"/>
          </w:tcPr>
          <w:p>
            <w:pPr>
              <w:spacing w:after="0"/>
              <w:rPr>
                <w:sz w:val="24"/>
                <w:szCs w:val="24"/>
                <w:color w:val="auto"/>
              </w:rPr>
            </w:pPr>
          </w:p>
        </w:tc>
        <w:tc>
          <w:tcPr>
            <w:tcW w:w="3040" w:type="dxa"/>
            <w:vAlign w:val="bottom"/>
            <w:tcBorders>
              <w:bottom w:val="single" w:sz="8" w:color="0000FF"/>
            </w:tcBorders>
            <w:gridSpan w:val="14"/>
          </w:tcPr>
          <w:p>
            <w:pPr>
              <w:spacing w:after="0"/>
              <w:rPr>
                <w:sz w:val="20"/>
                <w:szCs w:val="20"/>
                <w:color w:val="auto"/>
              </w:rPr>
            </w:pPr>
            <w:r>
              <w:rPr>
                <w:rFonts w:ascii="Arial" w:cs="Arial" w:eastAsia="Arial" w:hAnsi="Arial"/>
                <w:sz w:val="22"/>
                <w:szCs w:val="22"/>
                <w:b w:val="1"/>
                <w:bCs w:val="1"/>
                <w:color w:val="0000FF"/>
                <w:w w:val="97"/>
              </w:rPr>
              <w:t>EXECUTIVE COMPENSATION</w:t>
            </w:r>
          </w:p>
        </w:tc>
        <w:tc>
          <w:tcPr>
            <w:tcW w:w="7500" w:type="dxa"/>
            <w:vAlign w:val="bottom"/>
            <w:gridSpan w:val="14"/>
          </w:tcPr>
          <w:p>
            <w:pPr>
              <w:spacing w:after="0"/>
              <w:rPr>
                <w:sz w:val="24"/>
                <w:szCs w:val="24"/>
                <w:color w:val="auto"/>
              </w:rPr>
            </w:pPr>
          </w:p>
        </w:tc>
        <w:tc>
          <w:tcPr>
            <w:tcW w:w="420" w:type="dxa"/>
            <w:vAlign w:val="bottom"/>
            <w:gridSpan w:val="3"/>
          </w:tcPr>
          <w:p>
            <w:pPr>
              <w:spacing w:after="0"/>
              <w:rPr>
                <w:sz w:val="24"/>
                <w:szCs w:val="24"/>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9"/>
              </w:rPr>
              <w:t>32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Compensation Discussion and Analysis</w:t>
            </w:r>
          </w:p>
        </w:tc>
        <w:tc>
          <w:tcPr>
            <w:tcW w:w="7440" w:type="dxa"/>
            <w:vAlign w:val="bottom"/>
            <w:gridSpan w:val="13"/>
          </w:tcPr>
          <w:p>
            <w:pPr>
              <w:spacing w:after="0"/>
              <w:rPr>
                <w:sz w:val="24"/>
                <w:szCs w:val="24"/>
                <w:color w:val="auto"/>
              </w:rPr>
            </w:pPr>
          </w:p>
        </w:tc>
        <w:tc>
          <w:tcPr>
            <w:tcW w:w="480" w:type="dxa"/>
            <w:vAlign w:val="bottom"/>
            <w:gridSpan w:val="4"/>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32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9"/>
              </w:rPr>
              <w:t>Executive Summary</w:t>
            </w:r>
          </w:p>
        </w:tc>
        <w:tc>
          <w:tcPr>
            <w:tcW w:w="8840" w:type="dxa"/>
            <w:vAlign w:val="bottom"/>
            <w:gridSpan w:val="23"/>
          </w:tcPr>
          <w:p>
            <w:pPr>
              <w:spacing w:after="0"/>
              <w:rPr>
                <w:sz w:val="24"/>
                <w:szCs w:val="24"/>
                <w:color w:val="auto"/>
              </w:rPr>
            </w:pPr>
          </w:p>
        </w:tc>
        <w:tc>
          <w:tcPr>
            <w:tcW w:w="480" w:type="dxa"/>
            <w:vAlign w:val="bottom"/>
            <w:gridSpan w:val="4"/>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32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7"/>
          </w:tcPr>
          <w:p>
            <w:pPr>
              <w:spacing w:after="0"/>
              <w:rPr>
                <w:sz w:val="20"/>
                <w:szCs w:val="20"/>
                <w:color w:val="auto"/>
              </w:rPr>
            </w:pPr>
            <w:r>
              <w:rPr>
                <w:rFonts w:ascii="Arial" w:cs="Arial" w:eastAsia="Arial" w:hAnsi="Arial"/>
                <w:sz w:val="16"/>
                <w:szCs w:val="16"/>
                <w:color w:val="0000FF"/>
              </w:rPr>
              <w:t>Executive Compensation Philosophy and Objectives</w:t>
            </w:r>
          </w:p>
        </w:tc>
        <w:tc>
          <w:tcPr>
            <w:tcW w:w="660" w:type="dxa"/>
            <w:vAlign w:val="bottom"/>
            <w:gridSpan w:val="5"/>
          </w:tcPr>
          <w:p>
            <w:pPr>
              <w:jc w:val="right"/>
              <w:spacing w:after="0"/>
              <w:rPr>
                <w:sz w:val="20"/>
                <w:szCs w:val="20"/>
                <w:color w:val="auto"/>
              </w:rPr>
            </w:pPr>
            <w:r>
              <w:rPr>
                <w:rFonts w:ascii="Arial" w:cs="Arial" w:eastAsia="Arial" w:hAnsi="Arial"/>
                <w:sz w:val="16"/>
                <w:szCs w:val="16"/>
                <w:b w:val="1"/>
                <w:bCs w:val="1"/>
                <w:color w:val="0000FF"/>
              </w:rPr>
              <w:t>32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4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0000FF"/>
              </w:rPr>
              <w:t>Compensation-Setting Process</w:t>
            </w:r>
          </w:p>
        </w:tc>
        <w:tc>
          <w:tcPr>
            <w:tcW w:w="6540" w:type="dxa"/>
            <w:vAlign w:val="bottom"/>
            <w:gridSpan w:val="8"/>
          </w:tcPr>
          <w:p>
            <w:pPr>
              <w:spacing w:after="0"/>
              <w:rPr>
                <w:sz w:val="24"/>
                <w:szCs w:val="24"/>
                <w:color w:val="auto"/>
              </w:rPr>
            </w:pPr>
          </w:p>
        </w:tc>
        <w:tc>
          <w:tcPr>
            <w:tcW w:w="480" w:type="dxa"/>
            <w:vAlign w:val="bottom"/>
            <w:gridSpan w:val="4"/>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35</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0000FF"/>
              </w:rPr>
              <w:t>Compensation Elements</w:t>
            </w:r>
          </w:p>
        </w:tc>
        <w:tc>
          <w:tcPr>
            <w:tcW w:w="8060" w:type="dxa"/>
            <w:vAlign w:val="bottom"/>
            <w:gridSpan w:val="18"/>
          </w:tcPr>
          <w:p>
            <w:pPr>
              <w:spacing w:after="0"/>
              <w:rPr>
                <w:sz w:val="24"/>
                <w:szCs w:val="24"/>
                <w:color w:val="auto"/>
              </w:rPr>
            </w:pPr>
          </w:p>
        </w:tc>
        <w:tc>
          <w:tcPr>
            <w:tcW w:w="480" w:type="dxa"/>
            <w:vAlign w:val="bottom"/>
            <w:gridSpan w:val="4"/>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39</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Employment Arrangements</w:t>
            </w:r>
          </w:p>
        </w:tc>
        <w:tc>
          <w:tcPr>
            <w:tcW w:w="8320" w:type="dxa"/>
            <w:vAlign w:val="bottom"/>
            <w:gridSpan w:val="19"/>
          </w:tcPr>
          <w:p>
            <w:pPr>
              <w:spacing w:after="0"/>
              <w:rPr>
                <w:sz w:val="24"/>
                <w:szCs w:val="24"/>
                <w:color w:val="auto"/>
              </w:rPr>
            </w:pPr>
          </w:p>
        </w:tc>
        <w:tc>
          <w:tcPr>
            <w:tcW w:w="480" w:type="dxa"/>
            <w:vAlign w:val="bottom"/>
            <w:gridSpan w:val="4"/>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45</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7"/>
          </w:tcPr>
          <w:p>
            <w:pPr>
              <w:spacing w:after="0"/>
              <w:rPr>
                <w:sz w:val="20"/>
                <w:szCs w:val="20"/>
                <w:color w:val="auto"/>
              </w:rPr>
            </w:pPr>
            <w:r>
              <w:rPr>
                <w:rFonts w:ascii="Arial" w:cs="Arial" w:eastAsia="Arial" w:hAnsi="Arial"/>
                <w:sz w:val="16"/>
                <w:szCs w:val="16"/>
                <w:color w:val="0000FF"/>
              </w:rPr>
              <w:t>Post-Employment Compensation</w:t>
            </w:r>
          </w:p>
        </w:tc>
        <w:tc>
          <w:tcPr>
            <w:tcW w:w="660" w:type="dxa"/>
            <w:vAlign w:val="bottom"/>
            <w:gridSpan w:val="5"/>
          </w:tcPr>
          <w:p>
            <w:pPr>
              <w:jc w:val="right"/>
              <w:spacing w:after="0"/>
              <w:rPr>
                <w:sz w:val="20"/>
                <w:szCs w:val="20"/>
                <w:color w:val="auto"/>
              </w:rPr>
            </w:pPr>
            <w:r>
              <w:rPr>
                <w:rFonts w:ascii="Arial" w:cs="Arial" w:eastAsia="Arial" w:hAnsi="Arial"/>
                <w:sz w:val="16"/>
                <w:szCs w:val="16"/>
                <w:b w:val="1"/>
                <w:bCs w:val="1"/>
                <w:color w:val="0000FF"/>
              </w:rPr>
              <w:t>46</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9"/>
              </w:rPr>
              <w:t>Tax and Accounting Considerations</w:t>
            </w:r>
          </w:p>
        </w:tc>
        <w:tc>
          <w:tcPr>
            <w:tcW w:w="7740" w:type="dxa"/>
            <w:vAlign w:val="bottom"/>
            <w:gridSpan w:val="16"/>
          </w:tcPr>
          <w:p>
            <w:pPr>
              <w:spacing w:after="0"/>
              <w:rPr>
                <w:sz w:val="24"/>
                <w:szCs w:val="24"/>
                <w:color w:val="auto"/>
              </w:rPr>
            </w:pPr>
          </w:p>
        </w:tc>
        <w:tc>
          <w:tcPr>
            <w:tcW w:w="480" w:type="dxa"/>
            <w:vAlign w:val="bottom"/>
            <w:gridSpan w:val="4"/>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46</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7"/>
          </w:tcPr>
          <w:p>
            <w:pPr>
              <w:spacing w:after="0"/>
              <w:rPr>
                <w:sz w:val="20"/>
                <w:szCs w:val="20"/>
                <w:color w:val="auto"/>
              </w:rPr>
            </w:pPr>
            <w:r>
              <w:rPr>
                <w:rFonts w:ascii="Arial" w:cs="Arial" w:eastAsia="Arial" w:hAnsi="Arial"/>
                <w:sz w:val="16"/>
                <w:szCs w:val="16"/>
                <w:color w:val="0000FF"/>
              </w:rPr>
              <w:t>Report of the Compensation Committee</w:t>
            </w:r>
          </w:p>
        </w:tc>
        <w:tc>
          <w:tcPr>
            <w:tcW w:w="660" w:type="dxa"/>
            <w:vAlign w:val="bottom"/>
            <w:gridSpan w:val="5"/>
          </w:tcPr>
          <w:p>
            <w:pPr>
              <w:jc w:val="right"/>
              <w:spacing w:after="0"/>
              <w:rPr>
                <w:sz w:val="20"/>
                <w:szCs w:val="20"/>
                <w:color w:val="auto"/>
              </w:rPr>
            </w:pPr>
            <w:r>
              <w:rPr>
                <w:rFonts w:ascii="Arial" w:cs="Arial" w:eastAsia="Arial" w:hAnsi="Arial"/>
                <w:sz w:val="16"/>
                <w:szCs w:val="16"/>
                <w:b w:val="1"/>
                <w:bCs w:val="1"/>
                <w:color w:val="0000FF"/>
              </w:rPr>
              <w:t>49</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tcBorders>
              <w:top w:val="single" w:sz="8" w:color="0000FF"/>
            </w:tcBorders>
            <w:gridSpan w:val="14"/>
          </w:tcPr>
          <w:p>
            <w:pPr>
              <w:spacing w:after="0"/>
              <w:rPr>
                <w:sz w:val="20"/>
                <w:szCs w:val="20"/>
                <w:color w:val="auto"/>
              </w:rPr>
            </w:pPr>
            <w:r>
              <w:rPr>
                <w:rFonts w:ascii="Arial" w:cs="Arial" w:eastAsia="Arial" w:hAnsi="Arial"/>
                <w:sz w:val="16"/>
                <w:szCs w:val="16"/>
                <w:color w:val="0000FF"/>
              </w:rPr>
              <w:t>Compensation Risk Assessment</w:t>
            </w:r>
          </w:p>
        </w:tc>
        <w:tc>
          <w:tcPr>
            <w:tcW w:w="7440" w:type="dxa"/>
            <w:vAlign w:val="bottom"/>
            <w:gridSpan w:val="13"/>
          </w:tcPr>
          <w:p>
            <w:pPr>
              <w:spacing w:after="0"/>
              <w:rPr>
                <w:sz w:val="24"/>
                <w:szCs w:val="24"/>
                <w:color w:val="auto"/>
              </w:rPr>
            </w:pPr>
          </w:p>
        </w:tc>
        <w:tc>
          <w:tcPr>
            <w:tcW w:w="480" w:type="dxa"/>
            <w:vAlign w:val="bottom"/>
            <w:gridSpan w:val="4"/>
          </w:tcPr>
          <w:p>
            <w:pPr>
              <w:spacing w:after="0"/>
              <w:rPr>
                <w:sz w:val="24"/>
                <w:szCs w:val="24"/>
                <w:color w:val="auto"/>
              </w:rPr>
            </w:pPr>
          </w:p>
        </w:tc>
        <w:tc>
          <w:tcPr>
            <w:tcW w:w="180" w:type="dxa"/>
            <w:vAlign w:val="bottom"/>
            <w:tcBorders>
              <w:top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50</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w w:val="99"/>
              </w:rPr>
              <w:t>Summary Compensation Table for Fiscal Year 2023</w:t>
            </w:r>
          </w:p>
        </w:tc>
        <w:tc>
          <w:tcPr>
            <w:tcW w:w="6580" w:type="dxa"/>
            <w:vAlign w:val="bottom"/>
            <w:gridSpan w:val="9"/>
          </w:tcPr>
          <w:p>
            <w:pPr>
              <w:spacing w:after="0"/>
              <w:rPr>
                <w:sz w:val="24"/>
                <w:szCs w:val="24"/>
                <w:color w:val="auto"/>
              </w:rPr>
            </w:pPr>
          </w:p>
        </w:tc>
        <w:tc>
          <w:tcPr>
            <w:tcW w:w="480" w:type="dxa"/>
            <w:vAlign w:val="bottom"/>
            <w:gridSpan w:val="4"/>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51</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7"/>
          </w:tcPr>
          <w:p>
            <w:pPr>
              <w:spacing w:after="0"/>
              <w:rPr>
                <w:sz w:val="20"/>
                <w:szCs w:val="20"/>
                <w:color w:val="auto"/>
              </w:rPr>
            </w:pPr>
            <w:r>
              <w:rPr>
                <w:rFonts w:ascii="Arial" w:cs="Arial" w:eastAsia="Arial" w:hAnsi="Arial"/>
                <w:sz w:val="16"/>
                <w:szCs w:val="16"/>
                <w:color w:val="0000FF"/>
              </w:rPr>
              <w:t>Grants of Plan-Based Awards in 2023</w:t>
            </w:r>
          </w:p>
        </w:tc>
        <w:tc>
          <w:tcPr>
            <w:tcW w:w="660" w:type="dxa"/>
            <w:vAlign w:val="bottom"/>
            <w:gridSpan w:val="5"/>
          </w:tcPr>
          <w:p>
            <w:pPr>
              <w:jc w:val="right"/>
              <w:spacing w:after="0"/>
              <w:rPr>
                <w:sz w:val="20"/>
                <w:szCs w:val="20"/>
                <w:color w:val="auto"/>
              </w:rPr>
            </w:pPr>
            <w:r>
              <w:rPr>
                <w:rFonts w:ascii="Arial" w:cs="Arial" w:eastAsia="Arial" w:hAnsi="Arial"/>
                <w:sz w:val="16"/>
                <w:szCs w:val="16"/>
                <w:b w:val="1"/>
                <w:bCs w:val="1"/>
                <w:color w:val="0000FF"/>
              </w:rPr>
              <w:t>52</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7"/>
          </w:tcPr>
          <w:p>
            <w:pPr>
              <w:spacing w:after="0"/>
              <w:rPr>
                <w:sz w:val="20"/>
                <w:szCs w:val="20"/>
                <w:color w:val="auto"/>
              </w:rPr>
            </w:pPr>
            <w:r>
              <w:rPr>
                <w:rFonts w:ascii="Arial" w:cs="Arial" w:eastAsia="Arial" w:hAnsi="Arial"/>
                <w:sz w:val="16"/>
                <w:szCs w:val="16"/>
                <w:color w:val="0000FF"/>
              </w:rPr>
              <w:t>Outstanding Equity Awards at 2023 Year-End</w:t>
            </w:r>
          </w:p>
        </w:tc>
        <w:tc>
          <w:tcPr>
            <w:tcW w:w="660" w:type="dxa"/>
            <w:vAlign w:val="bottom"/>
            <w:gridSpan w:val="5"/>
          </w:tcPr>
          <w:p>
            <w:pPr>
              <w:jc w:val="right"/>
              <w:spacing w:after="0"/>
              <w:rPr>
                <w:sz w:val="20"/>
                <w:szCs w:val="20"/>
                <w:color w:val="auto"/>
              </w:rPr>
            </w:pPr>
            <w:r>
              <w:rPr>
                <w:rFonts w:ascii="Arial" w:cs="Arial" w:eastAsia="Arial" w:hAnsi="Arial"/>
                <w:sz w:val="16"/>
                <w:szCs w:val="16"/>
                <w:b w:val="1"/>
                <w:bCs w:val="1"/>
                <w:color w:val="0000FF"/>
              </w:rPr>
              <w:t>53</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rPr>
              <w:t>Co-Founder Grant</w:t>
            </w:r>
          </w:p>
        </w:tc>
        <w:tc>
          <w:tcPr>
            <w:tcW w:w="1920" w:type="dxa"/>
            <w:vAlign w:val="bottom"/>
            <w:tcBorders>
              <w:top w:val="single" w:sz="8" w:color="0000FF"/>
            </w:tcBorders>
            <w:gridSpan w:val="13"/>
          </w:tcPr>
          <w:p>
            <w:pPr>
              <w:spacing w:after="0"/>
              <w:rPr>
                <w:sz w:val="24"/>
                <w:szCs w:val="24"/>
                <w:color w:val="auto"/>
              </w:rPr>
            </w:pPr>
          </w:p>
        </w:tc>
        <w:tc>
          <w:tcPr>
            <w:tcW w:w="7040" w:type="dxa"/>
            <w:vAlign w:val="bottom"/>
            <w:gridSpan w:val="11"/>
          </w:tcPr>
          <w:p>
            <w:pPr>
              <w:spacing w:after="0"/>
              <w:rPr>
                <w:sz w:val="24"/>
                <w:szCs w:val="24"/>
                <w:color w:val="auto"/>
              </w:rPr>
            </w:pPr>
          </w:p>
        </w:tc>
        <w:tc>
          <w:tcPr>
            <w:tcW w:w="480" w:type="dxa"/>
            <w:vAlign w:val="bottom"/>
            <w:gridSpan w:val="4"/>
          </w:tcPr>
          <w:p>
            <w:pPr>
              <w:spacing w:after="0"/>
              <w:rPr>
                <w:sz w:val="24"/>
                <w:szCs w:val="24"/>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53</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7"/>
          </w:tcPr>
          <w:p>
            <w:pPr>
              <w:spacing w:after="0"/>
              <w:rPr>
                <w:sz w:val="20"/>
                <w:szCs w:val="20"/>
                <w:color w:val="auto"/>
              </w:rPr>
            </w:pPr>
            <w:r>
              <w:rPr>
                <w:rFonts w:ascii="Arial" w:cs="Arial" w:eastAsia="Arial" w:hAnsi="Arial"/>
                <w:sz w:val="16"/>
                <w:szCs w:val="16"/>
                <w:color w:val="0000FF"/>
              </w:rPr>
              <w:t>Option Exercises and Stock Vested in 2023</w:t>
            </w:r>
          </w:p>
        </w:tc>
        <w:tc>
          <w:tcPr>
            <w:tcW w:w="660" w:type="dxa"/>
            <w:vAlign w:val="bottom"/>
            <w:gridSpan w:val="5"/>
          </w:tcPr>
          <w:p>
            <w:pPr>
              <w:jc w:val="right"/>
              <w:spacing w:after="0"/>
              <w:rPr>
                <w:sz w:val="20"/>
                <w:szCs w:val="20"/>
                <w:color w:val="auto"/>
              </w:rPr>
            </w:pPr>
            <w:r>
              <w:rPr>
                <w:rFonts w:ascii="Arial" w:cs="Arial" w:eastAsia="Arial" w:hAnsi="Arial"/>
                <w:sz w:val="16"/>
                <w:szCs w:val="16"/>
                <w:b w:val="1"/>
                <w:bCs w:val="1"/>
                <w:color w:val="0000FF"/>
              </w:rPr>
              <w:t>54</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4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rPr>
              <w:t>Potential Payments on Termination or Change in Control</w:t>
            </w:r>
          </w:p>
        </w:tc>
        <w:tc>
          <w:tcPr>
            <w:tcW w:w="6240" w:type="dxa"/>
            <w:vAlign w:val="bottom"/>
            <w:gridSpan w:val="7"/>
          </w:tcPr>
          <w:p>
            <w:pPr>
              <w:spacing w:after="0"/>
              <w:rPr>
                <w:sz w:val="24"/>
                <w:szCs w:val="24"/>
                <w:color w:val="auto"/>
              </w:rPr>
            </w:pPr>
          </w:p>
        </w:tc>
        <w:tc>
          <w:tcPr>
            <w:tcW w:w="480" w:type="dxa"/>
            <w:vAlign w:val="bottom"/>
            <w:gridSpan w:val="4"/>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54</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9"/>
              </w:rPr>
              <w:t>CEO Pay Ratio</w:t>
            </w:r>
          </w:p>
        </w:tc>
        <w:tc>
          <w:tcPr>
            <w:tcW w:w="9180" w:type="dxa"/>
            <w:vAlign w:val="bottom"/>
            <w:gridSpan w:val="25"/>
          </w:tcPr>
          <w:p>
            <w:pPr>
              <w:spacing w:after="0"/>
              <w:rPr>
                <w:sz w:val="24"/>
                <w:szCs w:val="24"/>
                <w:color w:val="auto"/>
              </w:rPr>
            </w:pPr>
          </w:p>
        </w:tc>
        <w:tc>
          <w:tcPr>
            <w:tcW w:w="480" w:type="dxa"/>
            <w:vAlign w:val="bottom"/>
            <w:gridSpan w:val="4"/>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57</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7"/>
          </w:tcPr>
          <w:p>
            <w:pPr>
              <w:spacing w:after="0"/>
              <w:rPr>
                <w:sz w:val="20"/>
                <w:szCs w:val="20"/>
                <w:color w:val="auto"/>
              </w:rPr>
            </w:pPr>
            <w:r>
              <w:rPr>
                <w:rFonts w:ascii="Arial" w:cs="Arial" w:eastAsia="Arial" w:hAnsi="Arial"/>
                <w:sz w:val="16"/>
                <w:szCs w:val="16"/>
                <w:color w:val="0000FF"/>
              </w:rPr>
              <w:t>Pay Versus Performance</w:t>
            </w:r>
          </w:p>
        </w:tc>
        <w:tc>
          <w:tcPr>
            <w:tcW w:w="660" w:type="dxa"/>
            <w:vAlign w:val="bottom"/>
            <w:gridSpan w:val="5"/>
          </w:tcPr>
          <w:p>
            <w:pPr>
              <w:jc w:val="right"/>
              <w:spacing w:after="0"/>
              <w:rPr>
                <w:sz w:val="20"/>
                <w:szCs w:val="20"/>
                <w:color w:val="auto"/>
              </w:rPr>
            </w:pPr>
            <w:r>
              <w:rPr>
                <w:rFonts w:ascii="Arial" w:cs="Arial" w:eastAsia="Arial" w:hAnsi="Arial"/>
                <w:sz w:val="16"/>
                <w:szCs w:val="16"/>
                <w:b w:val="1"/>
                <w:bCs w:val="1"/>
                <w:color w:val="0000FF"/>
              </w:rPr>
              <w:t>58</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700" w:type="dxa"/>
            <w:vAlign w:val="bottom"/>
            <w:gridSpan w:val="10"/>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840" w:type="dxa"/>
            <w:vAlign w:val="bottom"/>
            <w:tcBorders>
              <w:bottom w:val="single" w:sz="8" w:color="0000FF"/>
            </w:tcBorders>
            <w:gridSpan w:val="24"/>
          </w:tcPr>
          <w:p>
            <w:pPr>
              <w:spacing w:after="0"/>
              <w:rPr>
                <w:sz w:val="20"/>
                <w:szCs w:val="20"/>
                <w:color w:val="auto"/>
              </w:rPr>
            </w:pPr>
            <w:r>
              <w:rPr>
                <w:rFonts w:ascii="Arial" w:cs="Arial" w:eastAsia="Arial" w:hAnsi="Arial"/>
                <w:sz w:val="22"/>
                <w:szCs w:val="22"/>
                <w:b w:val="1"/>
                <w:bCs w:val="1"/>
                <w:color w:val="0000FF"/>
                <w:w w:val="97"/>
              </w:rPr>
              <w:t>EQUITY COMPENSATION PLAN INFORMATION</w:t>
            </w:r>
          </w:p>
        </w:tc>
        <w:tc>
          <w:tcPr>
            <w:tcW w:w="5700" w:type="dxa"/>
            <w:vAlign w:val="bottom"/>
            <w:gridSpan w:val="4"/>
          </w:tcPr>
          <w:p>
            <w:pPr>
              <w:spacing w:after="0"/>
              <w:rPr>
                <w:sz w:val="24"/>
                <w:szCs w:val="24"/>
                <w:color w:val="auto"/>
              </w:rPr>
            </w:pPr>
          </w:p>
        </w:tc>
        <w:tc>
          <w:tcPr>
            <w:tcW w:w="420" w:type="dxa"/>
            <w:vAlign w:val="bottom"/>
            <w:gridSpan w:val="3"/>
          </w:tcPr>
          <w:p>
            <w:pPr>
              <w:spacing w:after="0"/>
              <w:rPr>
                <w:sz w:val="24"/>
                <w:szCs w:val="24"/>
                <w:color w:val="auto"/>
              </w:rPr>
            </w:pPr>
          </w:p>
        </w:tc>
        <w:tc>
          <w:tcPr>
            <w:tcW w:w="240" w:type="dxa"/>
            <w:vAlign w:val="bottom"/>
            <w:tcBorders>
              <w:bottom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9"/>
              </w:rPr>
              <w:t>63</w:t>
            </w:r>
          </w:p>
        </w:tc>
        <w:tc>
          <w:tcPr>
            <w:tcW w:w="2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10540" w:type="dxa"/>
            <w:vAlign w:val="bottom"/>
            <w:gridSpan w:val="28"/>
          </w:tcPr>
          <w:p>
            <w:pPr>
              <w:spacing w:after="0"/>
              <w:rPr>
                <w:sz w:val="20"/>
                <w:szCs w:val="20"/>
                <w:color w:val="auto"/>
              </w:rPr>
            </w:pPr>
            <w:r>
              <w:rPr>
                <w:rFonts w:ascii="Arial" w:cs="Arial" w:eastAsia="Arial" w:hAnsi="Arial"/>
                <w:sz w:val="22"/>
                <w:szCs w:val="22"/>
                <w:b w:val="1"/>
                <w:bCs w:val="1"/>
                <w:color w:val="0000FF"/>
              </w:rPr>
              <w:t>SECURITY OWNERSHIP OF CERTAIN BENEFICIAL OWNERS AND MANAGEMENT</w:t>
            </w:r>
          </w:p>
        </w:tc>
        <w:tc>
          <w:tcPr>
            <w:tcW w:w="660" w:type="dxa"/>
            <w:vAlign w:val="bottom"/>
            <w:gridSpan w:val="5"/>
          </w:tcPr>
          <w:p>
            <w:pPr>
              <w:jc w:val="right"/>
              <w:spacing w:after="0"/>
              <w:rPr>
                <w:sz w:val="20"/>
                <w:szCs w:val="20"/>
                <w:color w:val="auto"/>
              </w:rPr>
            </w:pPr>
            <w:r>
              <w:rPr>
                <w:rFonts w:ascii="Arial" w:cs="Arial" w:eastAsia="Arial" w:hAnsi="Arial"/>
                <w:sz w:val="22"/>
                <w:szCs w:val="22"/>
                <w:b w:val="1"/>
                <w:bCs w:val="1"/>
                <w:color w:val="0000FF"/>
              </w:rPr>
              <w:t>64</w:t>
            </w:r>
          </w:p>
        </w:tc>
        <w:tc>
          <w:tcPr>
            <w:tcW w:w="2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8400" w:type="dxa"/>
            <w:vAlign w:val="bottom"/>
            <w:tcBorders>
              <w:top w:val="single" w:sz="8" w:color="0000FF"/>
            </w:tcBorders>
            <w:gridSpan w:val="27"/>
          </w:tcPr>
          <w:p>
            <w:pPr>
              <w:spacing w:after="0"/>
              <w:rPr>
                <w:sz w:val="20"/>
                <w:szCs w:val="20"/>
                <w:color w:val="auto"/>
              </w:rPr>
            </w:pPr>
            <w:r>
              <w:rPr>
                <w:rFonts w:ascii="Arial" w:cs="Arial" w:eastAsia="Arial" w:hAnsi="Arial"/>
                <w:sz w:val="22"/>
                <w:szCs w:val="22"/>
                <w:b w:val="1"/>
                <w:bCs w:val="1"/>
                <w:color w:val="0000FF"/>
              </w:rPr>
              <w:t>CERTAIN RELATIONSHIPS, RELATED PARTY AND OTHER TRANSACTIONS</w:t>
            </w:r>
          </w:p>
        </w:tc>
        <w:tc>
          <w:tcPr>
            <w:tcW w:w="2140" w:type="dxa"/>
            <w:vAlign w:val="bottom"/>
          </w:tcPr>
          <w:p>
            <w:pPr>
              <w:spacing w:after="0"/>
              <w:rPr>
                <w:sz w:val="24"/>
                <w:szCs w:val="24"/>
                <w:color w:val="auto"/>
              </w:rPr>
            </w:pPr>
          </w:p>
        </w:tc>
        <w:tc>
          <w:tcPr>
            <w:tcW w:w="420" w:type="dxa"/>
            <w:vAlign w:val="bottom"/>
            <w:gridSpan w:val="3"/>
          </w:tcPr>
          <w:p>
            <w:pPr>
              <w:spacing w:after="0"/>
              <w:rPr>
                <w:sz w:val="24"/>
                <w:szCs w:val="24"/>
                <w:color w:val="auto"/>
              </w:rPr>
            </w:pPr>
          </w:p>
        </w:tc>
        <w:tc>
          <w:tcPr>
            <w:tcW w:w="240" w:type="dxa"/>
            <w:vAlign w:val="bottom"/>
            <w:tcBorders>
              <w:top w:val="single" w:sz="8" w:color="0000FF"/>
            </w:tcBorders>
            <w:gridSpan w:val="2"/>
          </w:tcPr>
          <w:p>
            <w:pPr>
              <w:jc w:val="right"/>
              <w:spacing w:after="0"/>
              <w:rPr>
                <w:sz w:val="20"/>
                <w:szCs w:val="20"/>
                <w:color w:val="auto"/>
              </w:rPr>
            </w:pPr>
            <w:r>
              <w:rPr>
                <w:rFonts w:ascii="Arial" w:cs="Arial" w:eastAsia="Arial" w:hAnsi="Arial"/>
                <w:sz w:val="22"/>
                <w:szCs w:val="22"/>
                <w:b w:val="1"/>
                <w:bCs w:val="1"/>
                <w:color w:val="0000FF"/>
                <w:w w:val="89"/>
              </w:rPr>
              <w:t>66</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500" w:type="dxa"/>
            <w:vAlign w:val="bottom"/>
            <w:tcBorders>
              <w:top w:val="single" w:sz="8" w:color="0000FF"/>
            </w:tcBorders>
            <w:gridSpan w:val="25"/>
          </w:tcPr>
          <w:p>
            <w:pPr>
              <w:spacing w:after="0"/>
              <w:rPr>
                <w:sz w:val="20"/>
                <w:szCs w:val="20"/>
                <w:color w:val="auto"/>
              </w:rPr>
            </w:pPr>
            <w:r>
              <w:rPr>
                <w:rFonts w:ascii="Arial" w:cs="Arial" w:eastAsia="Arial" w:hAnsi="Arial"/>
                <w:sz w:val="16"/>
                <w:szCs w:val="16"/>
                <w:color w:val="0000FF"/>
              </w:rPr>
              <w:t>Policies and Procedures for Related Person Transactions</w:t>
            </w:r>
          </w:p>
        </w:tc>
        <w:tc>
          <w:tcPr>
            <w:tcW w:w="2780" w:type="dxa"/>
            <w:vAlign w:val="bottom"/>
            <w:gridSpan w:val="2"/>
          </w:tcPr>
          <w:p>
            <w:pPr>
              <w:spacing w:after="0"/>
              <w:rPr>
                <w:sz w:val="24"/>
                <w:szCs w:val="24"/>
                <w:color w:val="auto"/>
              </w:rPr>
            </w:pPr>
          </w:p>
        </w:tc>
        <w:tc>
          <w:tcPr>
            <w:tcW w:w="420" w:type="dxa"/>
            <w:vAlign w:val="bottom"/>
            <w:gridSpan w:val="3"/>
          </w:tcPr>
          <w:p>
            <w:pPr>
              <w:spacing w:after="0"/>
              <w:rPr>
                <w:sz w:val="24"/>
                <w:szCs w:val="24"/>
                <w:color w:val="auto"/>
              </w:rPr>
            </w:pPr>
          </w:p>
        </w:tc>
        <w:tc>
          <w:tcPr>
            <w:tcW w:w="240" w:type="dxa"/>
            <w:vAlign w:val="bottom"/>
            <w:tcBorders>
              <w:top w:val="single" w:sz="8" w:color="0000FF"/>
            </w:tcBorders>
            <w:gridSpan w:val="2"/>
          </w:tcPr>
          <w:p>
            <w:pPr>
              <w:jc w:val="right"/>
              <w:spacing w:after="0"/>
              <w:rPr>
                <w:sz w:val="20"/>
                <w:szCs w:val="20"/>
                <w:color w:val="auto"/>
              </w:rPr>
            </w:pPr>
            <w:r>
              <w:rPr>
                <w:rFonts w:ascii="Arial" w:cs="Arial" w:eastAsia="Arial" w:hAnsi="Arial"/>
                <w:sz w:val="16"/>
                <w:szCs w:val="16"/>
                <w:b w:val="1"/>
                <w:bCs w:val="1"/>
                <w:color w:val="0000FF"/>
              </w:rPr>
              <w:t>66</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900" w:type="dxa"/>
            <w:vAlign w:val="bottom"/>
            <w:gridSpan w:val="1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10540" w:type="dxa"/>
            <w:vAlign w:val="bottom"/>
            <w:gridSpan w:val="28"/>
          </w:tcPr>
          <w:p>
            <w:pPr>
              <w:spacing w:after="0"/>
              <w:rPr>
                <w:sz w:val="20"/>
                <w:szCs w:val="20"/>
                <w:color w:val="auto"/>
              </w:rPr>
            </w:pPr>
            <w:r>
              <w:rPr>
                <w:rFonts w:ascii="Arial" w:cs="Arial" w:eastAsia="Arial" w:hAnsi="Arial"/>
                <w:sz w:val="22"/>
                <w:szCs w:val="22"/>
                <w:b w:val="1"/>
                <w:bCs w:val="1"/>
                <w:color w:val="0000FF"/>
              </w:rPr>
              <w:t>OTHER MATTERS</w:t>
            </w:r>
          </w:p>
        </w:tc>
        <w:tc>
          <w:tcPr>
            <w:tcW w:w="660" w:type="dxa"/>
            <w:vAlign w:val="bottom"/>
            <w:gridSpan w:val="5"/>
          </w:tcPr>
          <w:p>
            <w:pPr>
              <w:jc w:val="right"/>
              <w:spacing w:after="0"/>
              <w:rPr>
                <w:sz w:val="20"/>
                <w:szCs w:val="20"/>
                <w:color w:val="auto"/>
              </w:rPr>
            </w:pPr>
            <w:r>
              <w:rPr>
                <w:rFonts w:ascii="Arial" w:cs="Arial" w:eastAsia="Arial" w:hAnsi="Arial"/>
                <w:sz w:val="22"/>
                <w:szCs w:val="22"/>
                <w:b w:val="1"/>
                <w:bCs w:val="1"/>
                <w:color w:val="0000FF"/>
              </w:rPr>
              <w:t>67</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900" w:type="dxa"/>
            <w:vAlign w:val="bottom"/>
            <w:gridSpan w:val="1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80" w:type="dxa"/>
            <w:vAlign w:val="bottom"/>
            <w:tcBorders>
              <w:bottom w:val="single" w:sz="8" w:color="0000FF"/>
            </w:tcBorders>
            <w:gridSpan w:val="22"/>
          </w:tcPr>
          <w:p>
            <w:pPr>
              <w:spacing w:after="0"/>
              <w:rPr>
                <w:sz w:val="20"/>
                <w:szCs w:val="20"/>
                <w:color w:val="auto"/>
              </w:rPr>
            </w:pPr>
            <w:r>
              <w:rPr>
                <w:rFonts w:ascii="Arial" w:cs="Arial" w:eastAsia="Arial" w:hAnsi="Arial"/>
                <w:sz w:val="16"/>
                <w:szCs w:val="16"/>
                <w:color w:val="0000FF"/>
              </w:rPr>
              <w:t>Section 16(a) Beneficial Ownership Reporting Compliance</w:t>
            </w:r>
          </w:p>
        </w:tc>
        <w:tc>
          <w:tcPr>
            <w:tcW w:w="6100" w:type="dxa"/>
            <w:vAlign w:val="bottom"/>
            <w:gridSpan w:val="5"/>
          </w:tcPr>
          <w:p>
            <w:pPr>
              <w:spacing w:after="0"/>
              <w:rPr>
                <w:sz w:val="24"/>
                <w:szCs w:val="24"/>
                <w:color w:val="auto"/>
              </w:rPr>
            </w:pPr>
          </w:p>
        </w:tc>
        <w:tc>
          <w:tcPr>
            <w:tcW w:w="480" w:type="dxa"/>
            <w:vAlign w:val="bottom"/>
            <w:gridSpan w:val="4"/>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6"/>
                <w:szCs w:val="16"/>
                <w:b w:val="1"/>
                <w:bCs w:val="1"/>
                <w:color w:val="0000FF"/>
                <w:w w:val="89"/>
              </w:rPr>
              <w:t>67</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7"/>
          </w:tcPr>
          <w:p>
            <w:pPr>
              <w:spacing w:after="0"/>
              <w:rPr>
                <w:sz w:val="20"/>
                <w:szCs w:val="20"/>
                <w:color w:val="auto"/>
              </w:rPr>
            </w:pPr>
            <w:r>
              <w:rPr>
                <w:rFonts w:ascii="Arial" w:cs="Arial" w:eastAsia="Arial" w:hAnsi="Arial"/>
                <w:sz w:val="16"/>
                <w:szCs w:val="16"/>
                <w:color w:val="0000FF"/>
              </w:rPr>
              <w:t>Fiscal Year 2023 Annual Report and SEC Filings</w:t>
            </w:r>
          </w:p>
        </w:tc>
        <w:tc>
          <w:tcPr>
            <w:tcW w:w="660" w:type="dxa"/>
            <w:vAlign w:val="bottom"/>
            <w:gridSpan w:val="5"/>
          </w:tcPr>
          <w:p>
            <w:pPr>
              <w:jc w:val="right"/>
              <w:spacing w:after="0"/>
              <w:rPr>
                <w:sz w:val="20"/>
                <w:szCs w:val="20"/>
                <w:color w:val="auto"/>
              </w:rPr>
            </w:pPr>
            <w:r>
              <w:rPr>
                <w:rFonts w:ascii="Arial" w:cs="Arial" w:eastAsia="Arial" w:hAnsi="Arial"/>
                <w:sz w:val="16"/>
                <w:szCs w:val="16"/>
                <w:b w:val="1"/>
                <w:bCs w:val="1"/>
                <w:color w:val="0000FF"/>
              </w:rPr>
              <w:t>67</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20" w:type="dxa"/>
            <w:vAlign w:val="bottom"/>
            <w:gridSpan w:val="16"/>
            <w:shd w:val="clear" w:color="auto" w:fill="0000FF"/>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10540" w:type="dxa"/>
            <w:vAlign w:val="bottom"/>
            <w:gridSpan w:val="28"/>
          </w:tcPr>
          <w:p>
            <w:pPr>
              <w:spacing w:after="0"/>
              <w:rPr>
                <w:sz w:val="20"/>
                <w:szCs w:val="20"/>
                <w:color w:val="auto"/>
              </w:rPr>
            </w:pPr>
            <w:r>
              <w:rPr>
                <w:rFonts w:ascii="Arial" w:cs="Arial" w:eastAsia="Arial" w:hAnsi="Arial"/>
                <w:sz w:val="22"/>
                <w:szCs w:val="22"/>
                <w:b w:val="1"/>
                <w:bCs w:val="1"/>
                <w:color w:val="0000FF"/>
              </w:rPr>
              <w:t>APPENDIX A</w:t>
            </w:r>
          </w:p>
        </w:tc>
        <w:tc>
          <w:tcPr>
            <w:tcW w:w="680" w:type="dxa"/>
            <w:vAlign w:val="bottom"/>
            <w:gridSpan w:val="6"/>
          </w:tcPr>
          <w:p>
            <w:pPr>
              <w:jc w:val="right"/>
              <w:ind w:right="20"/>
              <w:spacing w:after="0"/>
              <w:rPr>
                <w:sz w:val="20"/>
                <w:szCs w:val="20"/>
                <w:color w:val="auto"/>
              </w:rPr>
            </w:pPr>
            <w:r>
              <w:rPr>
                <w:rFonts w:ascii="Arial" w:cs="Arial" w:eastAsia="Arial" w:hAnsi="Arial"/>
                <w:sz w:val="22"/>
                <w:szCs w:val="22"/>
                <w:b w:val="1"/>
                <w:bCs w:val="1"/>
                <w:color w:val="0000FF"/>
              </w:rPr>
              <w:t>A-1</w:t>
            </w: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20" w:type="dxa"/>
            <w:vAlign w:val="bottom"/>
            <w:gridSpan w:val="23"/>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80" w:type="dxa"/>
            <w:vAlign w:val="bottom"/>
            <w:gridSpan w:val="27"/>
          </w:tcPr>
          <w:p>
            <w:pPr>
              <w:spacing w:after="0"/>
              <w:rPr>
                <w:sz w:val="20"/>
                <w:szCs w:val="20"/>
                <w:color w:val="auto"/>
              </w:rPr>
            </w:pPr>
            <w:r>
              <w:rPr>
                <w:rFonts w:ascii="Arial" w:cs="Arial" w:eastAsia="Arial" w:hAnsi="Arial"/>
                <w:sz w:val="16"/>
                <w:szCs w:val="16"/>
                <w:color w:val="0000FF"/>
              </w:rPr>
              <w:t>Reconciliation of GAAP financial measures to non-GAAP financial measures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Arial" w:cs="Arial" w:eastAsia="Arial" w:hAnsi="Arial"/>
                <w:sz w:val="16"/>
                <w:szCs w:val="16"/>
                <w:b w:val="1"/>
                <w:bCs w:val="1"/>
                <w:color w:val="0000FF"/>
                <w:w w:val="92"/>
              </w:rPr>
              <w:t>A-1</w:t>
            </w:r>
          </w:p>
        </w:tc>
      </w:tr>
      <w:tr>
        <w:trPr>
          <w:trHeight w:val="1067"/>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0063A6"/>
        </w:rPr>
        <w:t>GENERAL INFORMATION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6"/>
          <w:szCs w:val="26"/>
          <w:color w:val="0063A6"/>
        </w:rPr>
        <w:t>DROPBOX, INC.</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6"/>
          <w:szCs w:val="26"/>
          <w:color w:val="0063A6"/>
        </w:rPr>
        <w:t>PROXY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6"/>
          <w:szCs w:val="26"/>
          <w:color w:val="0063A6"/>
        </w:rPr>
        <w:t>FOR THE 2024 ANNUAL MEETING OF STOCKHOLDERS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6"/>
          <w:szCs w:val="26"/>
          <w:color w:val="0063A6"/>
        </w:rPr>
        <w:t>to be held at 9:00 am Pacific Time on Thursday,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6"/>
          <w:szCs w:val="26"/>
          <w:color w:val="0063A6"/>
        </w:rPr>
        <w:t>May 16, 2024</w:t>
      </w:r>
    </w:p>
    <w:p>
      <w:pPr>
        <w:spacing w:after="0" w:line="16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This proxy statement and the enclosed form of proxy are furnished in connection with the solicitation of proxies by our board of directors for use at the 2024 annual meeting of stockholders of Dropbox, Inc., a Delaware corporation, and any postponements, adjournments or continuations thereof (the “</w:t>
      </w:r>
      <w:r>
        <w:rPr>
          <w:rFonts w:ascii="Arial" w:cs="Arial" w:eastAsia="Arial" w:hAnsi="Arial"/>
          <w:sz w:val="16"/>
          <w:szCs w:val="16"/>
          <w:b w:val="1"/>
          <w:bCs w:val="1"/>
          <w:i w:val="1"/>
          <w:iCs w:val="1"/>
          <w:color w:val="auto"/>
        </w:rPr>
        <w:t>Annual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Meeting</w:t>
      </w:r>
      <w:r>
        <w:rPr>
          <w:rFonts w:ascii="Arial" w:cs="Arial" w:eastAsia="Arial" w:hAnsi="Arial"/>
          <w:sz w:val="16"/>
          <w:szCs w:val="16"/>
          <w:color w:val="auto"/>
        </w:rPr>
        <w:t>”). The Annual Meeting will be held on Thursday, May 16, 2024 at 9:00 am Pacific Time. The Annual Meeting will be conducted virtually via live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audio webcast. You will be able to attend the Annual Meeting virtually by visiting www.virtualshareholdermeeting.com/DBX2024, where you will be able to listen to the meeting live, submit questions and vote online. The Notice of Internet Availability of Proxy Materials (the “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containing instructions on how to access this proxy statement and our annual report is first being mailed on or about April 2, 2024 to all stockholders entitled to vote at the Annual Meeting. The proxy materials and our 2023 annual report can be accessed by following the instructions in the Notice.</w:t>
      </w:r>
    </w:p>
    <w:p>
      <w:pPr>
        <w:spacing w:after="0" w:line="130"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What matters am I voting 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You are being asked to vote on:</w:t>
      </w:r>
    </w:p>
    <w:p>
      <w:pPr>
        <w:spacing w:after="0" w:line="154"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the election of nine directors to serve until the next annual meeting of stockholders or until their successors are duly elected and qualified;</w:t>
      </w:r>
    </w:p>
    <w:p>
      <w:pPr>
        <w:spacing w:after="0" w:line="167" w:lineRule="exact"/>
        <w:rPr>
          <w:rFonts w:ascii="Arial" w:cs="Arial" w:eastAsia="Arial" w:hAnsi="Arial"/>
          <w:sz w:val="16"/>
          <w:szCs w:val="16"/>
          <w:color w:val="0063A6"/>
        </w:rPr>
      </w:pPr>
    </w:p>
    <w:p>
      <w:pPr>
        <w:ind w:left="340" w:right="100" w:hanging="332"/>
        <w:spacing w:after="0" w:line="286" w:lineRule="auto"/>
        <w:tabs>
          <w:tab w:leader="none" w:pos="329" w:val="left"/>
        </w:tabs>
        <w:numPr>
          <w:ilvl w:val="0"/>
          <w:numId w:val="7"/>
        </w:numPr>
        <w:rPr>
          <w:rFonts w:ascii="Arial" w:cs="Arial" w:eastAsia="Arial" w:hAnsi="Arial"/>
          <w:sz w:val="16"/>
          <w:szCs w:val="16"/>
          <w:color w:val="0063A6"/>
        </w:rPr>
      </w:pPr>
      <w:r>
        <w:rPr>
          <w:rFonts w:ascii="Arial" w:cs="Arial" w:eastAsia="Arial" w:hAnsi="Arial"/>
          <w:sz w:val="16"/>
          <w:szCs w:val="16"/>
          <w:color w:val="auto"/>
        </w:rPr>
        <w:t>a proposal to ratify the appointment of Ernst &amp; Young LLP as our independent registered public accounting firm for our fiscal year ending December 31, 2024;</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a proposal to approve, on an advisory basis, the compensation of our named executive officers; and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7"/>
        </w:numPr>
        <w:rPr>
          <w:rFonts w:ascii="Arial" w:cs="Arial" w:eastAsia="Arial" w:hAnsi="Arial"/>
          <w:sz w:val="16"/>
          <w:szCs w:val="16"/>
          <w:color w:val="0063A6"/>
        </w:rPr>
      </w:pPr>
      <w:r>
        <w:rPr>
          <w:rFonts w:ascii="Arial" w:cs="Arial" w:eastAsia="Arial" w:hAnsi="Arial"/>
          <w:sz w:val="16"/>
          <w:szCs w:val="16"/>
          <w:color w:val="auto"/>
        </w:rPr>
        <w:t>any other business as may properly come before the Annual Meeting.</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does the board of directors recommend I vote on these proposals?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recommends a vote:</w:t>
      </w:r>
    </w:p>
    <w:p>
      <w:pPr>
        <w:spacing w:after="0" w:line="16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6"/>
          <w:szCs w:val="16"/>
          <w:color w:val="0063A6"/>
        </w:rPr>
      </w:pPr>
      <w:r>
        <w:rPr>
          <w:rFonts w:ascii="Arial" w:cs="Arial" w:eastAsia="Arial" w:hAnsi="Arial"/>
          <w:sz w:val="16"/>
          <w:szCs w:val="16"/>
          <w:color w:val="auto"/>
        </w:rPr>
        <w:t>“FOR” the election of each director nominee named in this proxy statement;</w:t>
      </w:r>
    </w:p>
    <w:p>
      <w:pPr>
        <w:spacing w:after="0" w:line="167" w:lineRule="exact"/>
        <w:rPr>
          <w:rFonts w:ascii="Arial" w:cs="Arial" w:eastAsia="Arial" w:hAnsi="Arial"/>
          <w:sz w:val="16"/>
          <w:szCs w:val="16"/>
          <w:color w:val="0063A6"/>
        </w:rPr>
      </w:pPr>
    </w:p>
    <w:p>
      <w:pPr>
        <w:ind w:left="340" w:right="20" w:hanging="332"/>
        <w:spacing w:after="0" w:line="286" w:lineRule="auto"/>
        <w:tabs>
          <w:tab w:leader="none" w:pos="329" w:val="left"/>
        </w:tabs>
        <w:numPr>
          <w:ilvl w:val="0"/>
          <w:numId w:val="8"/>
        </w:numPr>
        <w:rPr>
          <w:rFonts w:ascii="Arial" w:cs="Arial" w:eastAsia="Arial" w:hAnsi="Arial"/>
          <w:sz w:val="16"/>
          <w:szCs w:val="16"/>
          <w:color w:val="0063A6"/>
        </w:rPr>
      </w:pPr>
      <w:r>
        <w:rPr>
          <w:rFonts w:ascii="Arial" w:cs="Arial" w:eastAsia="Arial" w:hAnsi="Arial"/>
          <w:sz w:val="16"/>
          <w:szCs w:val="16"/>
          <w:color w:val="auto"/>
        </w:rPr>
        <w:t>“FOR” the ratification of the appointment of Ernst &amp; Young LLP as our independent registered public accounting firm for our fiscal year ending December 31, 2024; and</w:t>
      </w:r>
    </w:p>
    <w:p>
      <w:pPr>
        <w:spacing w:after="0" w:line="88" w:lineRule="exact"/>
        <w:rPr>
          <w:rFonts w:ascii="Arial" w:cs="Arial" w:eastAsia="Arial" w:hAnsi="Arial"/>
          <w:sz w:val="16"/>
          <w:szCs w:val="16"/>
          <w:color w:val="0063A6"/>
        </w:rPr>
      </w:pPr>
    </w:p>
    <w:p>
      <w:pPr>
        <w:ind w:left="320" w:hanging="312"/>
        <w:spacing w:after="0"/>
        <w:tabs>
          <w:tab w:leader="none" w:pos="320" w:val="left"/>
        </w:tabs>
        <w:numPr>
          <w:ilvl w:val="0"/>
          <w:numId w:val="8"/>
        </w:numPr>
        <w:rPr>
          <w:rFonts w:ascii="Arial" w:cs="Arial" w:eastAsia="Arial" w:hAnsi="Arial"/>
          <w:sz w:val="16"/>
          <w:szCs w:val="16"/>
          <w:color w:val="0063A6"/>
        </w:rPr>
      </w:pPr>
      <w:r>
        <w:rPr>
          <w:rFonts w:ascii="Arial" w:cs="Arial" w:eastAsia="Arial" w:hAnsi="Arial"/>
          <w:sz w:val="16"/>
          <w:szCs w:val="16"/>
          <w:color w:val="auto"/>
        </w:rPr>
        <w:t>“FOR” the approval, on an advisory basis, of the compensation of our named executive officers.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many votes are needed for approval of each proposal?</w:t>
      </w:r>
    </w:p>
    <w:p>
      <w:pPr>
        <w:spacing w:after="0" w:line="100" w:lineRule="exact"/>
        <w:rPr>
          <w:sz w:val="20"/>
          <w:szCs w:val="20"/>
          <w:color w:val="auto"/>
        </w:rPr>
      </w:pPr>
    </w:p>
    <w:p>
      <w:pPr>
        <w:ind w:left="340" w:right="120" w:hanging="332"/>
        <w:spacing w:after="0" w:line="252" w:lineRule="auto"/>
        <w:tabs>
          <w:tab w:leader="none" w:pos="329" w:val="left"/>
        </w:tabs>
        <w:numPr>
          <w:ilvl w:val="0"/>
          <w:numId w:val="9"/>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1: </w:t>
      </w:r>
      <w:r>
        <w:rPr>
          <w:rFonts w:ascii="Arial" w:cs="Arial" w:eastAsia="Arial" w:hAnsi="Arial"/>
          <w:sz w:val="16"/>
          <w:szCs w:val="16"/>
          <w:color w:val="000000"/>
        </w:rPr>
        <w:t>Each director is elected by a plurality of the votes of the shares present virtually or represented by proxy at the meeting and entitled to</w:t>
      </w:r>
      <w:r>
        <w:rPr>
          <w:rFonts w:ascii="Arial" w:cs="Arial" w:eastAsia="Arial" w:hAnsi="Arial"/>
          <w:sz w:val="16"/>
          <w:szCs w:val="16"/>
          <w:b w:val="1"/>
          <w:bCs w:val="1"/>
          <w:color w:val="0063A6"/>
        </w:rPr>
        <w:t xml:space="preserve"> </w:t>
      </w:r>
      <w:r>
        <w:rPr>
          <w:rFonts w:ascii="Arial" w:cs="Arial" w:eastAsia="Arial" w:hAnsi="Arial"/>
          <w:sz w:val="16"/>
          <w:szCs w:val="16"/>
          <w:color w:val="000000"/>
        </w:rPr>
        <w:t>vote on the election of directors at the Annual Meeting. Abstentions and broker non-votes will have no effect on the outcome of the vote. “Plurality” means that the eight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 You may vote “For” or “Withhold” on each of the nominees for election as a director.</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11"/>
        </w:trPr>
        <w:tc>
          <w:tcPr>
            <w:tcW w:w="109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GENERAL INFORMATION (continued)</w:t>
      </w:r>
    </w:p>
    <w:p>
      <w:pPr>
        <w:spacing w:after="0" w:line="200" w:lineRule="exact"/>
        <w:rPr>
          <w:sz w:val="20"/>
          <w:szCs w:val="20"/>
          <w:color w:val="auto"/>
        </w:rPr>
      </w:pPr>
    </w:p>
    <w:p>
      <w:pPr>
        <w:spacing w:after="0" w:line="270" w:lineRule="exact"/>
        <w:rPr>
          <w:sz w:val="20"/>
          <w:szCs w:val="20"/>
          <w:color w:val="auto"/>
        </w:rPr>
      </w:pPr>
    </w:p>
    <w:p>
      <w:pPr>
        <w:ind w:left="340" w:right="20" w:hanging="332"/>
        <w:spacing w:after="0" w:line="252" w:lineRule="auto"/>
        <w:tabs>
          <w:tab w:leader="none" w:pos="329" w:val="left"/>
        </w:tabs>
        <w:numPr>
          <w:ilvl w:val="0"/>
          <w:numId w:val="10"/>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2: </w:t>
      </w:r>
      <w:r>
        <w:rPr>
          <w:rFonts w:ascii="Arial" w:cs="Arial" w:eastAsia="Arial" w:hAnsi="Arial"/>
          <w:sz w:val="16"/>
          <w:szCs w:val="16"/>
          <w:color w:val="000000"/>
        </w:rPr>
        <w:t>The ratification of the appointment of Ernst &amp; Young LLP as our independent registered public accounting firm for our fiscal year ending</w:t>
      </w:r>
      <w:r>
        <w:rPr>
          <w:rFonts w:ascii="Arial" w:cs="Arial" w:eastAsia="Arial" w:hAnsi="Arial"/>
          <w:sz w:val="16"/>
          <w:szCs w:val="16"/>
          <w:b w:val="1"/>
          <w:bCs w:val="1"/>
          <w:color w:val="0063A6"/>
        </w:rPr>
        <w:t xml:space="preserve"> </w:t>
      </w:r>
      <w:r>
        <w:rPr>
          <w:rFonts w:ascii="Arial" w:cs="Arial" w:eastAsia="Arial" w:hAnsi="Arial"/>
          <w:sz w:val="16"/>
          <w:szCs w:val="16"/>
          <w:color w:val="000000"/>
        </w:rPr>
        <w:t>December 31, 2024, requires the affirmative vote of a majority of the voting power of the shares of our common stock present virtually or represented by proxy at the Annual Meeting and entitled to vote thereon.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w:t>
      </w:r>
    </w:p>
    <w:p>
      <w:pPr>
        <w:spacing w:after="0" w:line="127" w:lineRule="exact"/>
        <w:rPr>
          <w:rFonts w:ascii="Arial" w:cs="Arial" w:eastAsia="Arial" w:hAnsi="Arial"/>
          <w:sz w:val="16"/>
          <w:szCs w:val="16"/>
          <w:color w:val="0063A6"/>
        </w:rPr>
      </w:pPr>
    </w:p>
    <w:p>
      <w:pPr>
        <w:ind w:left="340" w:right="40" w:hanging="332"/>
        <w:spacing w:after="0" w:line="251" w:lineRule="auto"/>
        <w:tabs>
          <w:tab w:leader="none" w:pos="329" w:val="left"/>
        </w:tabs>
        <w:numPr>
          <w:ilvl w:val="0"/>
          <w:numId w:val="10"/>
        </w:numPr>
        <w:rPr>
          <w:rFonts w:ascii="Arial" w:cs="Arial" w:eastAsia="Arial" w:hAnsi="Arial"/>
          <w:sz w:val="16"/>
          <w:szCs w:val="16"/>
          <w:color w:val="0063A6"/>
        </w:rPr>
      </w:pPr>
      <w:r>
        <w:rPr>
          <w:rFonts w:ascii="Arial" w:cs="Arial" w:eastAsia="Arial" w:hAnsi="Arial"/>
          <w:sz w:val="16"/>
          <w:szCs w:val="16"/>
          <w:b w:val="1"/>
          <w:bCs w:val="1"/>
          <w:color w:val="0063A6"/>
        </w:rPr>
        <w:t xml:space="preserve">Proposal No. 3: </w:t>
      </w:r>
      <w:r>
        <w:rPr>
          <w:rFonts w:ascii="Arial" w:cs="Arial" w:eastAsia="Arial" w:hAnsi="Arial"/>
          <w:sz w:val="16"/>
          <w:szCs w:val="16"/>
          <w:color w:val="000000"/>
        </w:rPr>
        <w:t>The approval, on an advisory basis, of the compensation of our named executive officers requires the affirmative vote of a majority of</w:t>
      </w:r>
      <w:r>
        <w:rPr>
          <w:rFonts w:ascii="Arial" w:cs="Arial" w:eastAsia="Arial" w:hAnsi="Arial"/>
          <w:sz w:val="16"/>
          <w:szCs w:val="16"/>
          <w:b w:val="1"/>
          <w:bCs w:val="1"/>
          <w:color w:val="0063A6"/>
        </w:rPr>
        <w:t xml:space="preserve"> </w:t>
      </w:r>
      <w:r>
        <w:rPr>
          <w:rFonts w:ascii="Arial" w:cs="Arial" w:eastAsia="Arial" w:hAnsi="Arial"/>
          <w:sz w:val="16"/>
          <w:szCs w:val="16"/>
          <w:color w:val="000000"/>
        </w:rPr>
        <w:t>the voting power of our common stock present virtually or represented by proxy at the Annual Meeting and entitled to vote thereon. You may vote “For,” “Against,” or “Abstain” with respect to this proposal. Abstentions are considered shares present and entitled to vote on this proposal, and thus, will have the same effect as a vote “Against” this proposal. Broker non-votes will have no effect on the outcome of this proposal. Because this proposal is an advisory vote, the result will not be binding on our board of directors or our company. Our board of directors and our talent and compensation committee will consider the outcome of the vote when determining named executive officer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Who is entitled to vote?</w:t>
      </w:r>
    </w:p>
    <w:p>
      <w:pPr>
        <w:spacing w:after="0" w:line="8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Holders of our Class A and Class B common stock as of the close of business on March 21, 2024, the record date for the Annual Meeting, may vote at the Annual Meeting. As of the record date, there were 258,367,529 shares of our Class A common stock outstanding and 80,017,765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common stock are collectively referred to in this proxy statement as our “common stock.”</w:t>
      </w:r>
    </w:p>
    <w:p>
      <w:pPr>
        <w:spacing w:after="0" w:line="12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b w:val="1"/>
          <w:bCs w:val="1"/>
          <w:color w:val="0063A6"/>
        </w:rPr>
        <w:t xml:space="preserve">Registered Stockholders. </w:t>
      </w:r>
      <w:r>
        <w:rPr>
          <w:rFonts w:ascii="Arial" w:cs="Arial" w:eastAsia="Arial" w:hAnsi="Arial"/>
          <w:sz w:val="16"/>
          <w:szCs w:val="16"/>
          <w:color w:val="000000"/>
        </w:rPr>
        <w:t>If shares of our common stock are registered directly in your name with our transfer agent, Computershare Trust Company, N.A.,</w:t>
      </w:r>
      <w:r>
        <w:rPr>
          <w:rFonts w:ascii="Arial" w:cs="Arial" w:eastAsia="Arial" w:hAnsi="Arial"/>
          <w:sz w:val="16"/>
          <w:szCs w:val="16"/>
          <w:b w:val="1"/>
          <w:bCs w:val="1"/>
          <w:color w:val="0063A6"/>
        </w:rPr>
        <w:t xml:space="preserve"> </w:t>
      </w:r>
      <w:r>
        <w:rPr>
          <w:rFonts w:ascii="Arial" w:cs="Arial" w:eastAsia="Arial" w:hAnsi="Arial"/>
          <w:sz w:val="16"/>
          <w:szCs w:val="16"/>
          <w:color w:val="000000"/>
        </w:rPr>
        <w:t>you are considered the stockholder of record with respect to those shares, and the Notice was provided to you directly by us. As the stockholder of record, you have the right to grant your voting proxy directly to the individuals listed on the proxy card or to vote live at the Annual Meeting. Throughout this proxy statement, we refer to these registered stockholders as “stockholders of record.”</w:t>
      </w:r>
    </w:p>
    <w:p>
      <w:pPr>
        <w:spacing w:after="0" w:line="129"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b w:val="1"/>
          <w:bCs w:val="1"/>
          <w:color w:val="0063A6"/>
        </w:rPr>
        <w:t xml:space="preserve">Street Name Stockholders. </w:t>
      </w:r>
      <w:r>
        <w:rPr>
          <w:rFonts w:ascii="Arial" w:cs="Arial" w:eastAsia="Arial" w:hAnsi="Arial"/>
          <w:sz w:val="16"/>
          <w:szCs w:val="16"/>
          <w:color w:val="000000"/>
        </w:rPr>
        <w:t>If shares of our common stock are held on your behalf in a brokerage account or by a bank or other nominee, you are</w:t>
      </w:r>
      <w:r>
        <w:rPr>
          <w:rFonts w:ascii="Arial" w:cs="Arial" w:eastAsia="Arial" w:hAnsi="Arial"/>
          <w:sz w:val="16"/>
          <w:szCs w:val="16"/>
          <w:b w:val="1"/>
          <w:bCs w:val="1"/>
          <w:color w:val="0063A6"/>
        </w:rPr>
        <w:t xml:space="preserve"> </w:t>
      </w:r>
      <w:r>
        <w:rPr>
          <w:rFonts w:ascii="Arial" w:cs="Arial" w:eastAsia="Arial" w:hAnsi="Arial"/>
          <w:sz w:val="16"/>
          <w:szCs w:val="16"/>
          <w:color w:val="000000"/>
        </w:rPr>
        <w:t>considered to be the beneficial owner of shares that are held in “street name,” and the Notice was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our common stock live at the Annual Meeting unless you follow your broker’s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Are a certain number of shares required to be present in order to hold the Annual Meeting?</w:t>
      </w:r>
    </w:p>
    <w:p>
      <w:pPr>
        <w:spacing w:after="0" w:line="86" w:lineRule="exact"/>
        <w:rPr>
          <w:sz w:val="20"/>
          <w:szCs w:val="20"/>
          <w:color w:val="auto"/>
        </w:rPr>
      </w:pPr>
    </w:p>
    <w:p>
      <w:pPr>
        <w:jc w:val="both"/>
        <w:ind w:right="380"/>
        <w:spacing w:after="0" w:line="259" w:lineRule="auto"/>
        <w:rPr>
          <w:sz w:val="20"/>
          <w:szCs w:val="20"/>
          <w:color w:val="auto"/>
        </w:rPr>
      </w:pPr>
      <w:r>
        <w:rPr>
          <w:rFonts w:ascii="Arial" w:cs="Arial" w:eastAsia="Arial" w:hAnsi="Arial"/>
          <w:sz w:val="16"/>
          <w:szCs w:val="16"/>
          <w:color w:val="auto"/>
        </w:rPr>
        <w:t>A quorum is the minimum number of voting power required to be present at the Annual Meeting to properly hold an annual meeting of stockholders and conduct business under our amended and restated bylaws and Delaware law. The presence, virtually or by proxy,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do I vote?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there are several ways to vote:</w:t>
      </w:r>
    </w:p>
    <w:p>
      <w:pPr>
        <w:spacing w:after="0" w:line="167" w:lineRule="exact"/>
        <w:rPr>
          <w:sz w:val="20"/>
          <w:szCs w:val="20"/>
          <w:color w:val="auto"/>
        </w:rPr>
      </w:pPr>
    </w:p>
    <w:p>
      <w:pPr>
        <w:ind w:left="340" w:hanging="332"/>
        <w:spacing w:after="0" w:line="257" w:lineRule="auto"/>
        <w:tabs>
          <w:tab w:leader="none" w:pos="329"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by Internet prior to the Annual Meeting at www.proxyvote.com, 24 hours a day, seven days a week, until 11:59 p.m. Eastern Time on May 15, 2024 for shares held directly and by 11:59 p.m. Eastern Time on May 13, 2024 for shares held in a Dropbox, Inc. employee stock ownership plan (a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(have your Notice or proxy card in hand when you visit the website);</w:t>
      </w:r>
    </w:p>
    <w:p>
      <w:pPr>
        <w:spacing w:after="0" w:line="124" w:lineRule="exact"/>
        <w:rPr>
          <w:rFonts w:ascii="Arial" w:cs="Arial" w:eastAsia="Arial" w:hAnsi="Arial"/>
          <w:sz w:val="16"/>
          <w:szCs w:val="16"/>
          <w:color w:val="0063A6"/>
        </w:rPr>
      </w:pPr>
    </w:p>
    <w:p>
      <w:pPr>
        <w:ind w:left="340" w:right="360" w:hanging="332"/>
        <w:spacing w:after="0" w:line="286" w:lineRule="auto"/>
        <w:tabs>
          <w:tab w:leader="none" w:pos="329"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by toll-free telephone at 1-800-690-6903, until 11:59 p.m. Eastern Time on May 15, 2024 for shares held directly and by 11:59 p.m. Eastern Time on May 13, 2024 for shares held in a Plan (have your Notice or proxy card in hand when you call);</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by completing and mailing your proxy card (if you received printed proxy materials); or</w:t>
      </w:r>
    </w:p>
    <w:p>
      <w:pPr>
        <w:spacing w:after="0" w:line="153" w:lineRule="exact"/>
        <w:rPr>
          <w:rFonts w:ascii="Arial" w:cs="Arial" w:eastAsia="Arial" w:hAnsi="Arial"/>
          <w:sz w:val="16"/>
          <w:szCs w:val="16"/>
          <w:color w:val="0063A6"/>
        </w:rPr>
      </w:pPr>
    </w:p>
    <w:p>
      <w:pPr>
        <w:ind w:left="340" w:right="580" w:hanging="332"/>
        <w:spacing w:after="0" w:line="286" w:lineRule="auto"/>
        <w:tabs>
          <w:tab w:leader="none" w:pos="329" w:val="left"/>
        </w:tabs>
        <w:numPr>
          <w:ilvl w:val="0"/>
          <w:numId w:val="11"/>
        </w:numPr>
        <w:rPr>
          <w:rFonts w:ascii="Arial" w:cs="Arial" w:eastAsia="Arial" w:hAnsi="Arial"/>
          <w:sz w:val="16"/>
          <w:szCs w:val="16"/>
          <w:color w:val="0063A6"/>
        </w:rPr>
      </w:pPr>
      <w:r>
        <w:rPr>
          <w:rFonts w:ascii="Arial" w:cs="Arial" w:eastAsia="Arial" w:hAnsi="Arial"/>
          <w:sz w:val="16"/>
          <w:szCs w:val="16"/>
          <w:color w:val="auto"/>
        </w:rPr>
        <w:t>by attending the Annual Meeting by visiting www.virtualshareholdermeeting.com/DBX2024, where you may vote and submit questions during the meeting (please have your Notice or proxy card in hand when you visit the website).</w:t>
      </w:r>
    </w:p>
    <w:p>
      <w:pPr>
        <w:spacing w:after="0" w:line="200" w:lineRule="exact"/>
        <w:rPr>
          <w:sz w:val="20"/>
          <w:szCs w:val="20"/>
          <w:color w:val="auto"/>
        </w:rPr>
      </w:pPr>
    </w:p>
    <w:p>
      <w:pPr>
        <w:spacing w:after="0" w:line="284" w:lineRule="exact"/>
        <w:rPr>
          <w:sz w:val="20"/>
          <w:szCs w:val="20"/>
          <w:color w:val="auto"/>
        </w:rPr>
      </w:pPr>
    </w:p>
    <w:p>
      <w:pPr>
        <w:ind w:left="580" w:hanging="554"/>
        <w:spacing w:after="0"/>
        <w:tabs>
          <w:tab w:leader="none" w:pos="58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GENERAL INFORMATION (continued)</w:t>
      </w:r>
    </w:p>
    <w:p>
      <w:pPr>
        <w:spacing w:after="0" w:line="200" w:lineRule="exact"/>
        <w:rPr>
          <w:sz w:val="20"/>
          <w:szCs w:val="20"/>
          <w:color w:val="auto"/>
        </w:rPr>
      </w:pPr>
    </w:p>
    <w:p>
      <w:pPr>
        <w:spacing w:after="0" w:line="27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Even if you plan to attend the Annual Meeting, we recommend that you also vote by proxy so that your vote will be counted if you later decide not to attend the Annual Meeting.</w:t>
      </w:r>
    </w:p>
    <w:p>
      <w:pPr>
        <w:spacing w:after="0" w:line="102"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If you are a street name stockholder, you will receive voting instructions from your broker, bank, or other nominee. You must follow the voting instructions provided by your broker, bank, or other nominee in order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 broker, bank, or other nominee. As discussed above, if you are a street name stockholder, you may not vote your shares live at the Annual Meeting unless you obtain a legal proxy from your broker, bank, or other nominee.</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may my brokerage firm or other intermediary vote my shares if I fail to provide timely directions?</w:t>
      </w:r>
    </w:p>
    <w:p>
      <w:pPr>
        <w:spacing w:after="0" w:line="8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2024. Your broker will not have discretion to vote on any other proposals, which are “non-routine” matters, absent direction from you (and failure to provide instructions on these matters will result in a “broker non-vote”).</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Can I change my vote?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Yes. If you are a stockholder of record, you can change your vote or revoke your proxy any time before the Annual Meeting by:</w:t>
      </w:r>
    </w:p>
    <w:p>
      <w:pPr>
        <w:spacing w:after="0" w:line="167"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6"/>
          <w:szCs w:val="16"/>
          <w:color w:val="0063A6"/>
        </w:rPr>
      </w:pPr>
      <w:r>
        <w:rPr>
          <w:rFonts w:ascii="Arial" w:cs="Arial" w:eastAsia="Arial" w:hAnsi="Arial"/>
          <w:sz w:val="16"/>
          <w:szCs w:val="16"/>
          <w:color w:val="auto"/>
        </w:rPr>
        <w:t>entering a new vote by Internet or by telephone;</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13"/>
        </w:numPr>
        <w:rPr>
          <w:rFonts w:ascii="Arial" w:cs="Arial" w:eastAsia="Arial" w:hAnsi="Arial"/>
          <w:sz w:val="16"/>
          <w:szCs w:val="16"/>
          <w:color w:val="0063A6"/>
        </w:rPr>
      </w:pPr>
      <w:r>
        <w:rPr>
          <w:rFonts w:ascii="Arial" w:cs="Arial" w:eastAsia="Arial" w:hAnsi="Arial"/>
          <w:sz w:val="16"/>
          <w:szCs w:val="16"/>
          <w:color w:val="auto"/>
        </w:rPr>
        <w:t>completing and returning a later-dated proxy card;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13"/>
        </w:numPr>
        <w:rPr>
          <w:rFonts w:ascii="Arial" w:cs="Arial" w:eastAsia="Arial" w:hAnsi="Arial"/>
          <w:sz w:val="16"/>
          <w:szCs w:val="16"/>
          <w:color w:val="0063A6"/>
        </w:rPr>
      </w:pPr>
      <w:r>
        <w:rPr>
          <w:rFonts w:ascii="Arial" w:cs="Arial" w:eastAsia="Arial" w:hAnsi="Arial"/>
          <w:sz w:val="16"/>
          <w:szCs w:val="16"/>
          <w:color w:val="auto"/>
        </w:rPr>
        <w:t>notifying the Corporate Secretary of Dropbox, Inc., in writing, at Dropbox, Inc., 1800 Owens Street, San Francisco, California 94158; or</w:t>
      </w:r>
    </w:p>
    <w:p>
      <w:pPr>
        <w:spacing w:after="0" w:line="153" w:lineRule="exact"/>
        <w:rPr>
          <w:rFonts w:ascii="Arial" w:cs="Arial" w:eastAsia="Arial" w:hAnsi="Arial"/>
          <w:sz w:val="16"/>
          <w:szCs w:val="16"/>
          <w:color w:val="0063A6"/>
        </w:rPr>
      </w:pPr>
    </w:p>
    <w:p>
      <w:pPr>
        <w:ind w:left="340" w:right="260" w:hanging="332"/>
        <w:spacing w:after="0" w:line="286" w:lineRule="auto"/>
        <w:tabs>
          <w:tab w:leader="none" w:pos="329" w:val="left"/>
        </w:tabs>
        <w:numPr>
          <w:ilvl w:val="0"/>
          <w:numId w:val="13"/>
        </w:numPr>
        <w:rPr>
          <w:rFonts w:ascii="Arial" w:cs="Arial" w:eastAsia="Arial" w:hAnsi="Arial"/>
          <w:sz w:val="16"/>
          <w:szCs w:val="16"/>
          <w:color w:val="0063A6"/>
        </w:rPr>
      </w:pPr>
      <w:r>
        <w:rPr>
          <w:rFonts w:ascii="Arial" w:cs="Arial" w:eastAsia="Arial" w:hAnsi="Arial"/>
          <w:sz w:val="16"/>
          <w:szCs w:val="16"/>
          <w:color w:val="auto"/>
        </w:rPr>
        <w:t>you may also change your vote by attending and voting at the Annual Meeting (although attendance at the Annual Meeting will not, by itself, revoke a proxy).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street name stockholder, your broker, bank, or other nominee can provide you with instructions on how to change your vote.</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What do I need to do to attend the Annual Meeting?</w:t>
      </w:r>
    </w:p>
    <w:p>
      <w:pPr>
        <w:spacing w:after="0" w:line="8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You will be able to attend the Annual Meeting virtually, submit your questions during the meeting and vote your shares electronically at the meeting by visiting www.virtualshareholdermeeting.com/DBX2024. To participate in the Annual Meeting, you will need the control number included on your Notice or proxy card. The Annual Meeting webcast will begin promptly at 9:00 am Pacific Time. We encourage you to access the meeting prior to the start time. Online check-in will begin at 8:45 am Pacific Time, and you should allow ample time for the check-in procedures.</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What is the effect of giving a proxy?</w:t>
      </w:r>
    </w:p>
    <w:p>
      <w:pPr>
        <w:spacing w:after="0" w:line="8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Proxies are solicited by and on behalf of our board of directors. Andrew W. Houston and Timothy Regan have been designated as proxy holders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as described above.</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Why did I receive a Notice of Internet Availability of Proxy Materials instead of a full set of proxy materials?</w:t>
      </w:r>
    </w:p>
    <w:p>
      <w:pPr>
        <w:spacing w:after="0" w:line="8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accordance with the rules of the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we have elected to furnish our proxy materials, including this proxy statement and our annual report, primarily via the Internet. The Notice containing instructions on how to access our proxy materials is first being mailed on or about April 2, 2024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198"/>
        </w:trPr>
        <w:tc>
          <w:tcPr>
            <w:tcW w:w="109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GENERAL INFORMATION (continued)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proxy materials on the Internet to help reduce the environmental impact and cost of our annual meetings of stockholders.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How are proxies solicited for the Annual Meeting?</w:t>
      </w:r>
    </w:p>
    <w:p>
      <w:pPr>
        <w:spacing w:after="0" w:line="10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board of directors is soliciting proxies for use at the Annual Meeting. All expenses associated with this solicitation will be borne by us. We will reimburse brokers or other nominees for reasonable expenses that they incur in sending our proxy materials to you if a broker, bank, or other nominee holds shares of our common stock on your behalf. In addition, our directors and employees may also solicit proxies by telephone, by electronic communication or by other means of communication. Our directors and employees will not be paid any additional compensation for soliciting proxies.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Where can I find the voting results of the Annual Meeting?</w:t>
      </w:r>
    </w:p>
    <w:p>
      <w:pPr>
        <w:spacing w:after="0" w:line="100"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Form 8-K within four business days after the Annual Meeting, we will file a Form 8-K to publish preliminary results and will provide the final results in an amendment to the Form 8-K as soon as they become available.</w:t>
      </w:r>
    </w:p>
    <w:p>
      <w:pPr>
        <w:spacing w:after="0" w:line="183"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0063A6"/>
        </w:rPr>
        <w:t>I share an address with another stockholder, and we received only one paper copy of the proxy materials. How may I obtain an additional copy of the proxy materials?</w:t>
      </w:r>
    </w:p>
    <w:p>
      <w:pPr>
        <w:spacing w:after="0" w:line="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have adopted a procedure called “householding,” which the SEC has approved. Under this procedure, we deliver a single copy of the Notice and, if applicable,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our proxy materials, to any stockholder at a shared address to which we delivered a single copy of any of these materials. To receive a separate copy, or, if a stockholder is receiving multiple copies, to request that we only send a single copy of the Notice and, if applicable, our proxy materials, such stockholder may contact us at:</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Dropbox, Inc.</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Attention: Corporate Secretary</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1800 Owens Street</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San Francisco, California 94158</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IR@dropbox.com</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Street name stockholders may contact their broker, bank, or other nominee to request information about householding.</w:t>
      </w:r>
    </w:p>
    <w:p>
      <w:pPr>
        <w:spacing w:after="0" w:line="208"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b w:val="1"/>
          <w:bCs w:val="1"/>
          <w:color w:val="0063A6"/>
        </w:rPr>
        <w:t>What is the deadline to propose actions for consideration at next year’s annual meeting of stockholders or to nominate individuals to serve as directors?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w:t>
      </w:r>
    </w:p>
    <w:p>
      <w:pPr>
        <w:spacing w:after="0" w:line="167"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Stockholders may present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2025 annual meeting of stockholders, our Corporate Secretary must receive the written proposal at our principal executive offices not later than December 3, 2024. In addition, stockholder proposals must comply with the requirements of Rule 14a-8 regarding the inclusion of stockholder proposals in company-sponsored proxy materials. Stockholder proposals should be addressed to:</w:t>
      </w:r>
    </w:p>
    <w:p>
      <w:pPr>
        <w:spacing w:after="0" w:line="182"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Dropbox, Inc.</w:t>
      </w:r>
    </w:p>
    <w:p>
      <w:pPr>
        <w:spacing w:after="0" w:line="1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Attention: Corporate Secretary</w:t>
      </w:r>
    </w:p>
    <w:p>
      <w:pPr>
        <w:jc w:val="center"/>
        <w:ind w:right="-79"/>
        <w:spacing w:after="0"/>
        <w:rPr>
          <w:sz w:val="20"/>
          <w:szCs w:val="20"/>
          <w:color w:val="auto"/>
        </w:rPr>
      </w:pPr>
      <w:r>
        <w:rPr>
          <w:rFonts w:ascii="Arial" w:cs="Arial" w:eastAsia="Arial" w:hAnsi="Arial"/>
          <w:sz w:val="16"/>
          <w:szCs w:val="16"/>
          <w:color w:val="auto"/>
        </w:rPr>
        <w:t>1800 Owens Street</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San Francisco, California 94158</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IR@dropbox.com</w:t>
      </w:r>
    </w:p>
    <w:p>
      <w:pPr>
        <w:spacing w:after="0" w:line="200" w:lineRule="exact"/>
        <w:rPr>
          <w:sz w:val="20"/>
          <w:szCs w:val="20"/>
          <w:color w:val="auto"/>
        </w:rPr>
      </w:pPr>
    </w:p>
    <w:p>
      <w:pPr>
        <w:spacing w:after="0" w:line="334" w:lineRule="exact"/>
        <w:rPr>
          <w:sz w:val="20"/>
          <w:szCs w:val="20"/>
          <w:color w:val="auto"/>
        </w:rPr>
      </w:pPr>
    </w:p>
    <w:p>
      <w:pPr>
        <w:ind w:left="580" w:hanging="554"/>
        <w:spacing w:after="0"/>
        <w:tabs>
          <w:tab w:leader="none" w:pos="58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GENERAL INFORMATION (continued)</w:t>
      </w:r>
    </w:p>
    <w:p>
      <w:pPr>
        <w:spacing w:after="0" w:line="200" w:lineRule="exact"/>
        <w:rPr>
          <w:sz w:val="20"/>
          <w:szCs w:val="20"/>
          <w:color w:val="auto"/>
        </w:rPr>
      </w:pPr>
    </w:p>
    <w:p>
      <w:pPr>
        <w:spacing w:after="0" w:line="32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 (i) specified in our notice of annual meeting (or any supplement thereto), (ii) otherwise properly brought before such annual meeting by or at the direction of our board of directors, or (iii) properly brought before such meeting by a stockholder of record entitled to vote at such annual meeting who has delivered timely written notice to our Corporate Secretary, which notice must contain the information specified in our amended and restated bylaws. To be timely for the 2025 annual meeting of stockholders, our Corporate Secretary must receive the written notice at our principal executive offices:</w:t>
      </w:r>
    </w:p>
    <w:p>
      <w:pPr>
        <w:spacing w:after="0" w:line="130"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6"/>
          <w:szCs w:val="16"/>
          <w:color w:val="0063A6"/>
        </w:rPr>
      </w:pPr>
      <w:r>
        <w:rPr>
          <w:rFonts w:ascii="Arial" w:cs="Arial" w:eastAsia="Arial" w:hAnsi="Arial"/>
          <w:sz w:val="16"/>
          <w:szCs w:val="16"/>
          <w:color w:val="auto"/>
        </w:rPr>
        <w:t>not earlier than January 16, 2025; and</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15"/>
        </w:numPr>
        <w:rPr>
          <w:rFonts w:ascii="Arial" w:cs="Arial" w:eastAsia="Arial" w:hAnsi="Arial"/>
          <w:sz w:val="16"/>
          <w:szCs w:val="16"/>
          <w:color w:val="0063A6"/>
        </w:rPr>
      </w:pPr>
      <w:r>
        <w:rPr>
          <w:rFonts w:ascii="Arial" w:cs="Arial" w:eastAsia="Arial" w:hAnsi="Arial"/>
          <w:sz w:val="16"/>
          <w:szCs w:val="16"/>
          <w:color w:val="auto"/>
        </w:rPr>
        <w:t>not later than February 15, 2025.</w:t>
      </w:r>
    </w:p>
    <w:p>
      <w:pPr>
        <w:spacing w:after="0" w:line="167"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In the event that we hold the 2025 annual meeting of stockholders more than 30 days before or more than 60 days after the one-year anniversary of the Annual Meeting, a notice of a stockholder proposal that is not intended to be included in our proxy statement must be received no earlier than the close of business on the 120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before the 2025 annual meeting of stockholders and no later than the close of business on the later of the following two dates:</w:t>
      </w:r>
    </w:p>
    <w:p>
      <w:pPr>
        <w:spacing w:after="0" w:line="43"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6"/>
          <w:szCs w:val="16"/>
          <w:color w:val="0063A6"/>
        </w:rPr>
      </w:pPr>
      <w:r>
        <w:rPr>
          <w:rFonts w:ascii="Arial" w:cs="Arial" w:eastAsia="Arial" w:hAnsi="Arial"/>
          <w:sz w:val="16"/>
          <w:szCs w:val="16"/>
          <w:color w:val="auto"/>
        </w:rPr>
        <w:t>the 90th day prior to the 2025 annual meeting of stockholders; or</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16"/>
        </w:numPr>
        <w:rPr>
          <w:rFonts w:ascii="Arial" w:cs="Arial" w:eastAsia="Arial" w:hAnsi="Arial"/>
          <w:sz w:val="16"/>
          <w:szCs w:val="16"/>
          <w:color w:val="0063A6"/>
        </w:rPr>
      </w:pPr>
      <w:r>
        <w:rPr>
          <w:rFonts w:ascii="Arial" w:cs="Arial" w:eastAsia="Arial" w:hAnsi="Arial"/>
          <w:sz w:val="16"/>
          <w:szCs w:val="16"/>
          <w:color w:val="auto"/>
        </w:rPr>
        <w:t>the 10th day following the day on which public announcement of the date of the 2025 annual meeting of stockholders is first made.</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 or Nomination of Director Candidates</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Holders of 1% of our fully diluted capitalization for at least 12 months prior to the submission of the recommendation may recommend director candidates for consideration by our nominating and corporate governance committee. Any such recommendations should include the nominee’s name and qualifications for membership on our board of directors and should be directed to our Corporate Secretary or legal department at the address set forth above. For additional information regarding stockholder recommendations for director candidates, see the section titled “</w:t>
      </w:r>
      <w:r>
        <w:rPr>
          <w:rFonts w:ascii="Arial" w:cs="Arial" w:eastAsia="Arial" w:hAnsi="Arial"/>
          <w:sz w:val="16"/>
          <w:szCs w:val="16"/>
          <w:i w:val="1"/>
          <w:iCs w:val="1"/>
          <w:color w:val="auto"/>
        </w:rPr>
        <w:t>Board of Directors and Corporate Governance—</w:t>
      </w:r>
      <w:r>
        <w:rPr>
          <w:rFonts w:ascii="Arial" w:cs="Arial" w:eastAsia="Arial" w:hAnsi="Arial"/>
          <w:sz w:val="16"/>
          <w:szCs w:val="16"/>
          <w:color w:val="auto"/>
        </w:rPr>
        <w:t xml:space="preserve"> </w:t>
      </w:r>
      <w:r>
        <w:rPr>
          <w:rFonts w:ascii="Arial" w:cs="Arial" w:eastAsia="Arial" w:hAnsi="Arial"/>
          <w:sz w:val="16"/>
          <w:szCs w:val="16"/>
          <w:i w:val="1"/>
          <w:iCs w:val="1"/>
          <w:color w:val="auto"/>
        </w:rPr>
        <w:t>Stockholder Recommendations and Nominations to the Board of Directors</w:t>
      </w:r>
      <w:r>
        <w:rPr>
          <w:rFonts w:ascii="Arial" w:cs="Arial" w:eastAsia="Arial" w:hAnsi="Arial"/>
          <w:sz w:val="16"/>
          <w:szCs w:val="16"/>
          <w:color w:val="auto"/>
        </w:rPr>
        <w:t>.”</w:t>
      </w:r>
    </w:p>
    <w:p>
      <w:pPr>
        <w:spacing w:after="0" w:line="12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Corporate Secretary in accordance with our amended and restated bylaws, which, in general, require that the notice be received by our Corporate Secretary within the time periods described above under the section titled “</w:t>
      </w:r>
      <w:r>
        <w:rPr>
          <w:rFonts w:ascii="Arial" w:cs="Arial" w:eastAsia="Arial" w:hAnsi="Arial"/>
          <w:sz w:val="16"/>
          <w:szCs w:val="16"/>
          <w:i w:val="1"/>
          <w:iCs w:val="1"/>
          <w:color w:val="auto"/>
        </w:rPr>
        <w:t>Stockholder Proposals</w:t>
      </w:r>
      <w:r>
        <w:rPr>
          <w:rFonts w:ascii="Arial" w:cs="Arial" w:eastAsia="Arial" w:hAnsi="Arial"/>
          <w:sz w:val="16"/>
          <w:szCs w:val="16"/>
          <w:color w:val="auto"/>
        </w:rPr>
        <w:t>” for stockholder proposals that are not intended to be included in a proxy statement.</w:t>
      </w:r>
    </w:p>
    <w:p>
      <w:pPr>
        <w:spacing w:after="0" w:line="12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In addition, a stockholder who desires to nominate director candidates for election at the 2025 Annual Meeting, which is expected to be held in or about May 2025, must comply with the requirements of newly enacted Rule 14a-19 by notifying our Corporate Secretary with regard to the intent to solicit proxies in support of director nominees (other than our nominees) as required by Rule 14a-19 no later than March 17, 2025. Please note that the notice requirement under Rule 14a-19 is in addition to the applicable notice requirements under the advance notice provisions of our amended and restated bylaws as described above.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Availability of Bylaws</w:t>
      </w:r>
    </w:p>
    <w:p>
      <w:pPr>
        <w:spacing w:after="0" w:line="15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A copy of our amended and restated bylaws is available via the SEC’s website at http://www.sec.gov. You may also contact our Corporate Secretary at the address set forth above for a copy of the relevant bylaw provisions regarding the requirements for making stockholder proposals and nominating director candidates.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11"/>
        </w:trPr>
        <w:tc>
          <w:tcPr>
            <w:tcW w:w="109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31"/>
          <w:szCs w:val="31"/>
          <w:color w:val="0063A6"/>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Our business affairs are managed under the direction of our board of directors. As of March 21, 2024, our board of directors consisted of nine directors, eight of whom qualified as “independent” under the listing rules of the Nasdaq Stock Market (“</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w:t>
      </w:r>
    </w:p>
    <w:p>
      <w:pPr>
        <w:spacing w:after="0" w:line="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Until the outstanding shares of our Class B common stock represent less than a majority of the combined voting power of our common stock, we will have a single class of directors who are each elected for one-year terms and until their successors are duly elected and qualified. When the outstanding shares of our Class B common stock represent less than a majority of the combined voting power of our common stock, we will have a classified board of directors consisting of three classes of approximately equal size, each serving staggered three-year terms. Our directors will be assigned by the then-current board of directors to a class.</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determining the composition of our board, our board of directors and nominating and corporate governance committee are committed to ensuring that our directors maintain effective and independent oversight of our business and that they capably represent the interests of our stockholders. As part of this commitment, our nominating and corporate governance committee considers the diversity of director nominees with respect to gender, race, ethnicity, sexual orientation, gender identity, viewpoints and perspectives, experience, and backgrounds. The following charts provide summary information about our director nominees with respect to diversity, based on self-identification, independence, and tenure. For additional information regarding our criteria for evaluating director nominees, see the section titled “</w:t>
      </w:r>
      <w:r>
        <w:rPr>
          <w:rFonts w:ascii="Arial" w:cs="Arial" w:eastAsia="Arial" w:hAnsi="Arial"/>
          <w:sz w:val="16"/>
          <w:szCs w:val="16"/>
          <w:i w:val="1"/>
          <w:iCs w:val="1"/>
          <w:color w:val="auto"/>
        </w:rPr>
        <w:t>Considerations in Evaluating Director Nominees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334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shd w:val="clear" w:color="auto" w:fill="0063A6"/>
        </w:rPr>
        <w:t>Board Diversity Matrix (As of March 21, 2024)</w:t>
      </w:r>
      <w:r>
        <w:rPr>
          <w:rFonts w:ascii="Arial" w:cs="Arial" w:eastAsia="Arial" w:hAnsi="Arial"/>
          <w:sz w:val="18"/>
          <w:szCs w:val="18"/>
          <w:b w:val="1"/>
          <w:bCs w:val="1"/>
          <w:color w:val="FFFFFF"/>
          <w:vertAlign w:val="superscript"/>
          <w:shd w:val="clear" w:color="auto" w:fill="0063A6"/>
        </w:rPr>
        <w:t>(1)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45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Total Number of Directors</w:t>
            </w:r>
          </w:p>
        </w:tc>
        <w:tc>
          <w:tcPr>
            <w:tcW w:w="1280" w:type="dxa"/>
            <w:vAlign w:val="bottom"/>
            <w:tcBorders>
              <w:bottom w:val="single" w:sz="8" w:color="F2F2F2"/>
            </w:tcBorders>
            <w:shd w:val="clear" w:color="auto" w:fill="F2F2F2"/>
          </w:tcPr>
          <w:p>
            <w:pPr>
              <w:spacing w:after="0"/>
              <w:rPr>
                <w:sz w:val="24"/>
                <w:szCs w:val="24"/>
                <w:color w:val="auto"/>
              </w:rPr>
            </w:pPr>
          </w:p>
        </w:tc>
        <w:tc>
          <w:tcPr>
            <w:tcW w:w="1420" w:type="dxa"/>
            <w:vAlign w:val="bottom"/>
            <w:tcBorders>
              <w:bottom w:val="single" w:sz="8" w:color="F2F2F2"/>
            </w:tcBorders>
            <w:shd w:val="clear" w:color="auto" w:fill="F2F2F2"/>
          </w:tcPr>
          <w:p>
            <w:pPr>
              <w:spacing w:after="0"/>
              <w:rPr>
                <w:sz w:val="24"/>
                <w:szCs w:val="24"/>
                <w:color w:val="auto"/>
              </w:rPr>
            </w:pPr>
          </w:p>
        </w:tc>
        <w:tc>
          <w:tcPr>
            <w:tcW w:w="2000" w:type="dxa"/>
            <w:vAlign w:val="bottom"/>
            <w:tcBorders>
              <w:bottom w:val="single" w:sz="8" w:color="F2F2F2"/>
            </w:tcBorders>
            <w:shd w:val="clear" w:color="auto" w:fill="F2F2F2"/>
          </w:tcPr>
          <w:p>
            <w:pPr>
              <w:jc w:val="right"/>
              <w:ind w:right="1488"/>
              <w:spacing w:after="0"/>
              <w:rPr>
                <w:sz w:val="20"/>
                <w:szCs w:val="20"/>
                <w:color w:val="auto"/>
              </w:rPr>
            </w:pPr>
            <w:r>
              <w:rPr>
                <w:rFonts w:ascii="Arial" w:cs="Arial" w:eastAsia="Arial" w:hAnsi="Arial"/>
                <w:sz w:val="14"/>
                <w:szCs w:val="14"/>
                <w:b w:val="1"/>
                <w:bCs w:val="1"/>
                <w:color w:val="auto"/>
              </w:rPr>
              <w:t>9</w:t>
            </w:r>
          </w:p>
        </w:tc>
        <w:tc>
          <w:tcPr>
            <w:tcW w:w="2040" w:type="dxa"/>
            <w:vAlign w:val="bottom"/>
            <w:tcBorders>
              <w:bottom w:val="single" w:sz="8" w:color="F2F2F2"/>
            </w:tcBorders>
            <w:shd w:val="clear" w:color="auto" w:fill="F2F2F2"/>
          </w:tcPr>
          <w:p>
            <w:pPr>
              <w:spacing w:after="0"/>
              <w:rPr>
                <w:sz w:val="24"/>
                <w:szCs w:val="24"/>
                <w:color w:val="auto"/>
              </w:rPr>
            </w:pPr>
          </w:p>
        </w:tc>
      </w:tr>
      <w:tr>
        <w:trPr>
          <w:trHeight w:val="268"/>
        </w:trPr>
        <w:tc>
          <w:tcPr>
            <w:tcW w:w="4500" w:type="dxa"/>
            <w:vAlign w:val="bottom"/>
            <w:shd w:val="clear" w:color="auto" w:fill="0063A6"/>
          </w:tcPr>
          <w:p>
            <w:pPr>
              <w:spacing w:after="0"/>
              <w:rPr>
                <w:sz w:val="23"/>
                <w:szCs w:val="23"/>
                <w:color w:val="auto"/>
              </w:rPr>
            </w:pPr>
          </w:p>
        </w:tc>
        <w:tc>
          <w:tcPr>
            <w:tcW w:w="1280" w:type="dxa"/>
            <w:vAlign w:val="bottom"/>
            <w:shd w:val="clear" w:color="auto" w:fill="0063A6"/>
          </w:tcPr>
          <w:p>
            <w:pPr>
              <w:jc w:val="center"/>
              <w:ind w:right="484"/>
              <w:spacing w:after="0"/>
              <w:rPr>
                <w:sz w:val="20"/>
                <w:szCs w:val="20"/>
                <w:color w:val="auto"/>
              </w:rPr>
            </w:pPr>
            <w:r>
              <w:rPr>
                <w:rFonts w:ascii="Arial" w:cs="Arial" w:eastAsia="Arial" w:hAnsi="Arial"/>
                <w:sz w:val="14"/>
                <w:szCs w:val="14"/>
                <w:b w:val="1"/>
                <w:bCs w:val="1"/>
                <w:color w:val="FFFFFF"/>
                <w:w w:val="99"/>
              </w:rPr>
              <w:t>Female</w:t>
            </w:r>
          </w:p>
        </w:tc>
        <w:tc>
          <w:tcPr>
            <w:tcW w:w="1420" w:type="dxa"/>
            <w:vAlign w:val="bottom"/>
            <w:shd w:val="clear" w:color="auto" w:fill="0063A6"/>
          </w:tcPr>
          <w:p>
            <w:pPr>
              <w:jc w:val="center"/>
              <w:ind w:left="303"/>
              <w:spacing w:after="0"/>
              <w:rPr>
                <w:sz w:val="20"/>
                <w:szCs w:val="20"/>
                <w:color w:val="auto"/>
              </w:rPr>
            </w:pPr>
            <w:r>
              <w:rPr>
                <w:rFonts w:ascii="Arial" w:cs="Arial" w:eastAsia="Arial" w:hAnsi="Arial"/>
                <w:sz w:val="14"/>
                <w:szCs w:val="14"/>
                <w:b w:val="1"/>
                <w:bCs w:val="1"/>
                <w:color w:val="FFFFFF"/>
              </w:rPr>
              <w:t>Male</w:t>
            </w:r>
          </w:p>
        </w:tc>
        <w:tc>
          <w:tcPr>
            <w:tcW w:w="2000" w:type="dxa"/>
            <w:vAlign w:val="bottom"/>
            <w:shd w:val="clear" w:color="auto" w:fill="0063A6"/>
          </w:tcPr>
          <w:p>
            <w:pPr>
              <w:jc w:val="right"/>
              <w:ind w:right="228"/>
              <w:spacing w:after="0"/>
              <w:rPr>
                <w:sz w:val="20"/>
                <w:szCs w:val="20"/>
                <w:color w:val="auto"/>
              </w:rPr>
            </w:pPr>
            <w:r>
              <w:rPr>
                <w:rFonts w:ascii="Arial" w:cs="Arial" w:eastAsia="Arial" w:hAnsi="Arial"/>
                <w:sz w:val="14"/>
                <w:szCs w:val="14"/>
                <w:b w:val="1"/>
                <w:bCs w:val="1"/>
                <w:color w:val="FFFFFF"/>
              </w:rPr>
              <w:t>Non-Binary</w:t>
            </w:r>
          </w:p>
        </w:tc>
        <w:tc>
          <w:tcPr>
            <w:tcW w:w="2040" w:type="dxa"/>
            <w:vAlign w:val="bottom"/>
            <w:shd w:val="clear" w:color="auto" w:fill="0063A6"/>
          </w:tcPr>
          <w:p>
            <w:pPr>
              <w:ind w:left="300"/>
              <w:spacing w:after="0"/>
              <w:rPr>
                <w:sz w:val="20"/>
                <w:szCs w:val="20"/>
                <w:color w:val="auto"/>
              </w:rPr>
            </w:pPr>
            <w:r>
              <w:rPr>
                <w:rFonts w:ascii="Arial" w:cs="Arial" w:eastAsia="Arial" w:hAnsi="Arial"/>
                <w:sz w:val="14"/>
                <w:szCs w:val="14"/>
                <w:b w:val="1"/>
                <w:bCs w:val="1"/>
                <w:color w:val="FFFFFF"/>
              </w:rPr>
              <w:t>Did Not Disclose Gender</w:t>
            </w:r>
          </w:p>
        </w:tc>
      </w:tr>
      <w:tr>
        <w:trPr>
          <w:trHeight w:val="360"/>
        </w:trPr>
        <w:tc>
          <w:tcPr>
            <w:tcW w:w="4500" w:type="dxa"/>
            <w:vAlign w:val="bottom"/>
            <w:tcBorders>
              <w:bottom w:val="single" w:sz="8" w:color="0063A6"/>
            </w:tcBorders>
            <w:shd w:val="clear" w:color="auto" w:fill="0063A6"/>
          </w:tcPr>
          <w:p>
            <w:pPr>
              <w:ind w:left="20"/>
              <w:spacing w:after="0"/>
              <w:rPr>
                <w:sz w:val="20"/>
                <w:szCs w:val="20"/>
                <w:color w:val="auto"/>
              </w:rPr>
            </w:pPr>
            <w:r>
              <w:rPr>
                <w:rFonts w:ascii="Arial" w:cs="Arial" w:eastAsia="Arial" w:hAnsi="Arial"/>
                <w:sz w:val="14"/>
                <w:szCs w:val="14"/>
                <w:b w:val="1"/>
                <w:bCs w:val="1"/>
                <w:color w:val="FFFFFF"/>
              </w:rPr>
              <w:t>Gender Identity</w:t>
            </w:r>
          </w:p>
        </w:tc>
        <w:tc>
          <w:tcPr>
            <w:tcW w:w="1280" w:type="dxa"/>
            <w:vAlign w:val="bottom"/>
            <w:tcBorders>
              <w:bottom w:val="single" w:sz="8" w:color="0063A6"/>
            </w:tcBorders>
            <w:shd w:val="clear" w:color="auto" w:fill="0063A6"/>
          </w:tcPr>
          <w:p>
            <w:pPr>
              <w:spacing w:after="0"/>
              <w:rPr>
                <w:sz w:val="24"/>
                <w:szCs w:val="24"/>
                <w:color w:val="auto"/>
              </w:rPr>
            </w:pPr>
          </w:p>
        </w:tc>
        <w:tc>
          <w:tcPr>
            <w:tcW w:w="1420" w:type="dxa"/>
            <w:vAlign w:val="bottom"/>
            <w:tcBorders>
              <w:bottom w:val="single" w:sz="8" w:color="0063A6"/>
            </w:tcBorders>
            <w:shd w:val="clear" w:color="auto" w:fill="0063A6"/>
          </w:tcPr>
          <w:p>
            <w:pPr>
              <w:spacing w:after="0"/>
              <w:rPr>
                <w:sz w:val="24"/>
                <w:szCs w:val="24"/>
                <w:color w:val="auto"/>
              </w:rPr>
            </w:pPr>
          </w:p>
        </w:tc>
        <w:tc>
          <w:tcPr>
            <w:tcW w:w="2000" w:type="dxa"/>
            <w:vAlign w:val="bottom"/>
            <w:tcBorders>
              <w:bottom w:val="single" w:sz="8" w:color="0063A6"/>
            </w:tcBorders>
            <w:shd w:val="clear" w:color="auto" w:fill="0063A6"/>
          </w:tcPr>
          <w:p>
            <w:pPr>
              <w:spacing w:after="0"/>
              <w:rPr>
                <w:sz w:val="24"/>
                <w:szCs w:val="24"/>
                <w:color w:val="auto"/>
              </w:rPr>
            </w:pPr>
          </w:p>
        </w:tc>
        <w:tc>
          <w:tcPr>
            <w:tcW w:w="2040" w:type="dxa"/>
            <w:vAlign w:val="bottom"/>
            <w:tcBorders>
              <w:bottom w:val="single" w:sz="8" w:color="0063A6"/>
            </w:tcBorders>
            <w:shd w:val="clear" w:color="auto" w:fill="0063A6"/>
          </w:tcPr>
          <w:p>
            <w:pPr>
              <w:spacing w:after="0"/>
              <w:rPr>
                <w:sz w:val="24"/>
                <w:szCs w:val="24"/>
                <w:color w:val="auto"/>
              </w:rPr>
            </w:pPr>
          </w:p>
        </w:tc>
      </w:tr>
      <w:tr>
        <w:trPr>
          <w:trHeight w:val="304"/>
        </w:trPr>
        <w:tc>
          <w:tcPr>
            <w:tcW w:w="45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Directors</w:t>
            </w:r>
          </w:p>
        </w:tc>
        <w:tc>
          <w:tcPr>
            <w:tcW w:w="1280" w:type="dxa"/>
            <w:vAlign w:val="bottom"/>
            <w:tcBorders>
              <w:bottom w:val="single" w:sz="8" w:color="F2F2F2"/>
            </w:tcBorders>
            <w:shd w:val="clear" w:color="auto" w:fill="F2F2F2"/>
          </w:tcPr>
          <w:p>
            <w:pPr>
              <w:jc w:val="center"/>
              <w:ind w:right="484"/>
              <w:spacing w:after="0"/>
              <w:rPr>
                <w:sz w:val="20"/>
                <w:szCs w:val="20"/>
                <w:color w:val="auto"/>
              </w:rPr>
            </w:pPr>
            <w:r>
              <w:rPr>
                <w:rFonts w:ascii="Arial" w:cs="Arial" w:eastAsia="Arial" w:hAnsi="Arial"/>
                <w:sz w:val="14"/>
                <w:szCs w:val="14"/>
                <w:b w:val="1"/>
                <w:bCs w:val="1"/>
                <w:color w:val="auto"/>
              </w:rPr>
              <w:t>3</w:t>
            </w:r>
          </w:p>
        </w:tc>
        <w:tc>
          <w:tcPr>
            <w:tcW w:w="1420" w:type="dxa"/>
            <w:vAlign w:val="bottom"/>
            <w:tcBorders>
              <w:bottom w:val="single" w:sz="8" w:color="F2F2F2"/>
            </w:tcBorders>
            <w:shd w:val="clear" w:color="auto" w:fill="F2F2F2"/>
          </w:tcPr>
          <w:p>
            <w:pPr>
              <w:jc w:val="center"/>
              <w:ind w:left="303"/>
              <w:spacing w:after="0"/>
              <w:rPr>
                <w:sz w:val="20"/>
                <w:szCs w:val="20"/>
                <w:color w:val="auto"/>
              </w:rPr>
            </w:pPr>
            <w:r>
              <w:rPr>
                <w:rFonts w:ascii="Arial" w:cs="Arial" w:eastAsia="Arial" w:hAnsi="Arial"/>
                <w:sz w:val="14"/>
                <w:szCs w:val="14"/>
                <w:b w:val="1"/>
                <w:bCs w:val="1"/>
                <w:color w:val="auto"/>
              </w:rPr>
              <w:t>6</w:t>
            </w:r>
          </w:p>
        </w:tc>
        <w:tc>
          <w:tcPr>
            <w:tcW w:w="2000" w:type="dxa"/>
            <w:vAlign w:val="bottom"/>
            <w:tcBorders>
              <w:bottom w:val="single" w:sz="8" w:color="F2F2F2"/>
            </w:tcBorders>
            <w:shd w:val="clear" w:color="auto" w:fill="F2F2F2"/>
          </w:tcPr>
          <w:p>
            <w:pPr>
              <w:spacing w:after="0"/>
              <w:rPr>
                <w:sz w:val="24"/>
                <w:szCs w:val="24"/>
                <w:color w:val="auto"/>
              </w:rPr>
            </w:pPr>
          </w:p>
        </w:tc>
        <w:tc>
          <w:tcPr>
            <w:tcW w:w="2040" w:type="dxa"/>
            <w:vAlign w:val="bottom"/>
            <w:tcBorders>
              <w:bottom w:val="single" w:sz="8" w:color="F2F2F2"/>
            </w:tcBorders>
            <w:shd w:val="clear" w:color="auto" w:fill="F2F2F2"/>
          </w:tcPr>
          <w:p>
            <w:pPr>
              <w:spacing w:after="0"/>
              <w:rPr>
                <w:sz w:val="24"/>
                <w:szCs w:val="24"/>
                <w:color w:val="auto"/>
              </w:rPr>
            </w:pPr>
          </w:p>
        </w:tc>
      </w:tr>
      <w:tr>
        <w:trPr>
          <w:trHeight w:val="304"/>
        </w:trPr>
        <w:tc>
          <w:tcPr>
            <w:tcW w:w="4500" w:type="dxa"/>
            <w:vAlign w:val="bottom"/>
            <w:tcBorders>
              <w:bottom w:val="single" w:sz="8" w:color="0063A6"/>
            </w:tcBorders>
            <w:shd w:val="clear" w:color="auto" w:fill="0063A6"/>
          </w:tcPr>
          <w:p>
            <w:pPr>
              <w:ind w:left="20"/>
              <w:spacing w:after="0"/>
              <w:rPr>
                <w:sz w:val="20"/>
                <w:szCs w:val="20"/>
                <w:color w:val="auto"/>
              </w:rPr>
            </w:pPr>
            <w:r>
              <w:rPr>
                <w:rFonts w:ascii="Arial" w:cs="Arial" w:eastAsia="Arial" w:hAnsi="Arial"/>
                <w:sz w:val="14"/>
                <w:szCs w:val="14"/>
                <w:b w:val="1"/>
                <w:bCs w:val="1"/>
                <w:color w:val="FFFFFF"/>
              </w:rPr>
              <w:t>Number of Directors who identify in any of the categories below</w:t>
            </w:r>
          </w:p>
        </w:tc>
        <w:tc>
          <w:tcPr>
            <w:tcW w:w="1280" w:type="dxa"/>
            <w:vAlign w:val="bottom"/>
            <w:tcBorders>
              <w:bottom w:val="single" w:sz="8" w:color="0063A6"/>
            </w:tcBorders>
            <w:shd w:val="clear" w:color="auto" w:fill="0063A6"/>
          </w:tcPr>
          <w:p>
            <w:pPr>
              <w:spacing w:after="0"/>
              <w:rPr>
                <w:sz w:val="24"/>
                <w:szCs w:val="24"/>
                <w:color w:val="auto"/>
              </w:rPr>
            </w:pPr>
          </w:p>
        </w:tc>
        <w:tc>
          <w:tcPr>
            <w:tcW w:w="1420" w:type="dxa"/>
            <w:vAlign w:val="bottom"/>
            <w:tcBorders>
              <w:bottom w:val="single" w:sz="8" w:color="0063A6"/>
            </w:tcBorders>
            <w:shd w:val="clear" w:color="auto" w:fill="0063A6"/>
          </w:tcPr>
          <w:p>
            <w:pPr>
              <w:spacing w:after="0"/>
              <w:rPr>
                <w:sz w:val="24"/>
                <w:szCs w:val="24"/>
                <w:color w:val="auto"/>
              </w:rPr>
            </w:pPr>
          </w:p>
        </w:tc>
        <w:tc>
          <w:tcPr>
            <w:tcW w:w="2000" w:type="dxa"/>
            <w:vAlign w:val="bottom"/>
            <w:tcBorders>
              <w:bottom w:val="single" w:sz="8" w:color="0063A6"/>
            </w:tcBorders>
            <w:shd w:val="clear" w:color="auto" w:fill="0063A6"/>
          </w:tcPr>
          <w:p>
            <w:pPr>
              <w:spacing w:after="0"/>
              <w:rPr>
                <w:sz w:val="24"/>
                <w:szCs w:val="24"/>
                <w:color w:val="auto"/>
              </w:rPr>
            </w:pPr>
          </w:p>
        </w:tc>
        <w:tc>
          <w:tcPr>
            <w:tcW w:w="2040" w:type="dxa"/>
            <w:vAlign w:val="bottom"/>
            <w:tcBorders>
              <w:bottom w:val="single" w:sz="8" w:color="0063A6"/>
            </w:tcBorders>
            <w:shd w:val="clear" w:color="auto" w:fill="0063A6"/>
          </w:tcPr>
          <w:p>
            <w:pPr>
              <w:spacing w:after="0"/>
              <w:rPr>
                <w:sz w:val="24"/>
                <w:szCs w:val="24"/>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6"/>
                <w:szCs w:val="16"/>
                <w:b w:val="1"/>
                <w:bCs w:val="1"/>
                <w:color w:val="auto"/>
              </w:rPr>
              <w:t>African American or Black</w:t>
            </w:r>
          </w:p>
        </w:tc>
        <w:tc>
          <w:tcPr>
            <w:tcW w:w="1280" w:type="dxa"/>
            <w:vAlign w:val="bottom"/>
          </w:tcPr>
          <w:p>
            <w:pPr>
              <w:spacing w:after="0"/>
              <w:rPr>
                <w:sz w:val="19"/>
                <w:szCs w:val="19"/>
                <w:color w:val="auto"/>
              </w:rPr>
            </w:pPr>
          </w:p>
        </w:tc>
        <w:tc>
          <w:tcPr>
            <w:tcW w:w="1420" w:type="dxa"/>
            <w:vAlign w:val="bottom"/>
          </w:tcPr>
          <w:p>
            <w:pPr>
              <w:jc w:val="center"/>
              <w:ind w:left="303"/>
              <w:spacing w:after="0"/>
              <w:rPr>
                <w:sz w:val="20"/>
                <w:szCs w:val="20"/>
                <w:color w:val="auto"/>
              </w:rPr>
            </w:pPr>
            <w:r>
              <w:rPr>
                <w:rFonts w:ascii="Arial" w:cs="Arial" w:eastAsia="Arial" w:hAnsi="Arial"/>
                <w:sz w:val="16"/>
                <w:szCs w:val="16"/>
                <w:color w:val="auto"/>
                <w:w w:val="89"/>
              </w:rPr>
              <w:t>1</w:t>
            </w:r>
          </w:p>
        </w:tc>
        <w:tc>
          <w:tcPr>
            <w:tcW w:w="2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45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b w:val="1"/>
                <w:bCs w:val="1"/>
                <w:color w:val="auto"/>
              </w:rPr>
              <w:t>Alaskan Native or Native American</w:t>
            </w:r>
          </w:p>
        </w:tc>
        <w:tc>
          <w:tcPr>
            <w:tcW w:w="1280" w:type="dxa"/>
            <w:vAlign w:val="bottom"/>
            <w:tcBorders>
              <w:bottom w:val="single" w:sz="8" w:color="F2F2F2"/>
            </w:tcBorders>
            <w:shd w:val="clear" w:color="auto" w:fill="F2F2F2"/>
          </w:tcPr>
          <w:p>
            <w:pPr>
              <w:spacing w:after="0"/>
              <w:rPr>
                <w:sz w:val="19"/>
                <w:szCs w:val="19"/>
                <w:color w:val="auto"/>
              </w:rPr>
            </w:pPr>
          </w:p>
        </w:tc>
        <w:tc>
          <w:tcPr>
            <w:tcW w:w="1420" w:type="dxa"/>
            <w:vAlign w:val="bottom"/>
            <w:tcBorders>
              <w:bottom w:val="single" w:sz="8" w:color="F2F2F2"/>
            </w:tcBorders>
            <w:shd w:val="clear" w:color="auto" w:fill="F2F2F2"/>
          </w:tcPr>
          <w:p>
            <w:pPr>
              <w:spacing w:after="0"/>
              <w:rPr>
                <w:sz w:val="19"/>
                <w:szCs w:val="19"/>
                <w:color w:val="auto"/>
              </w:rPr>
            </w:pPr>
          </w:p>
        </w:tc>
        <w:tc>
          <w:tcPr>
            <w:tcW w:w="2000" w:type="dxa"/>
            <w:vAlign w:val="bottom"/>
            <w:tcBorders>
              <w:bottom w:val="single" w:sz="8" w:color="F2F2F2"/>
            </w:tcBorders>
            <w:shd w:val="clear" w:color="auto" w:fill="F2F2F2"/>
          </w:tcPr>
          <w:p>
            <w:pPr>
              <w:spacing w:after="0"/>
              <w:rPr>
                <w:sz w:val="19"/>
                <w:szCs w:val="19"/>
                <w:color w:val="auto"/>
              </w:rPr>
            </w:pPr>
          </w:p>
        </w:tc>
        <w:tc>
          <w:tcPr>
            <w:tcW w:w="2040" w:type="dxa"/>
            <w:vAlign w:val="bottom"/>
            <w:tcBorders>
              <w:bottom w:val="single" w:sz="8" w:color="F2F2F2"/>
            </w:tcBorders>
            <w:shd w:val="clear" w:color="auto" w:fill="F2F2F2"/>
          </w:tcPr>
          <w:p>
            <w:pPr>
              <w:spacing w:after="0"/>
              <w:rPr>
                <w:sz w:val="19"/>
                <w:szCs w:val="19"/>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6"/>
                <w:szCs w:val="16"/>
                <w:b w:val="1"/>
                <w:bCs w:val="1"/>
                <w:color w:val="auto"/>
              </w:rPr>
              <w:t>Asian</w:t>
            </w:r>
          </w:p>
        </w:tc>
        <w:tc>
          <w:tcPr>
            <w:tcW w:w="1280" w:type="dxa"/>
            <w:vAlign w:val="bottom"/>
          </w:tcPr>
          <w:p>
            <w:pPr>
              <w:jc w:val="center"/>
              <w:ind w:right="484"/>
              <w:spacing w:after="0"/>
              <w:rPr>
                <w:sz w:val="20"/>
                <w:szCs w:val="20"/>
                <w:color w:val="auto"/>
              </w:rPr>
            </w:pPr>
            <w:r>
              <w:rPr>
                <w:rFonts w:ascii="Arial" w:cs="Arial" w:eastAsia="Arial" w:hAnsi="Arial"/>
                <w:sz w:val="16"/>
                <w:szCs w:val="16"/>
                <w:color w:val="auto"/>
                <w:w w:val="89"/>
              </w:rPr>
              <w:t>1</w:t>
            </w:r>
          </w:p>
        </w:tc>
        <w:tc>
          <w:tcPr>
            <w:tcW w:w="1420" w:type="dxa"/>
            <w:vAlign w:val="bottom"/>
          </w:tcPr>
          <w:p>
            <w:pPr>
              <w:jc w:val="center"/>
              <w:ind w:left="303"/>
              <w:spacing w:after="0"/>
              <w:rPr>
                <w:sz w:val="20"/>
                <w:szCs w:val="20"/>
                <w:color w:val="auto"/>
              </w:rPr>
            </w:pPr>
            <w:r>
              <w:rPr>
                <w:rFonts w:ascii="Arial" w:cs="Arial" w:eastAsia="Arial" w:hAnsi="Arial"/>
                <w:sz w:val="16"/>
                <w:szCs w:val="16"/>
                <w:color w:val="auto"/>
                <w:w w:val="89"/>
              </w:rPr>
              <w:t>1</w:t>
            </w:r>
          </w:p>
        </w:tc>
        <w:tc>
          <w:tcPr>
            <w:tcW w:w="2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45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b w:val="1"/>
                <w:bCs w:val="1"/>
                <w:color w:val="auto"/>
              </w:rPr>
              <w:t>Hispanic or Latinx</w:t>
            </w:r>
          </w:p>
        </w:tc>
        <w:tc>
          <w:tcPr>
            <w:tcW w:w="1280" w:type="dxa"/>
            <w:vAlign w:val="bottom"/>
            <w:tcBorders>
              <w:bottom w:val="single" w:sz="8" w:color="F2F2F2"/>
            </w:tcBorders>
            <w:shd w:val="clear" w:color="auto" w:fill="F2F2F2"/>
          </w:tcPr>
          <w:p>
            <w:pPr>
              <w:spacing w:after="0"/>
              <w:rPr>
                <w:sz w:val="19"/>
                <w:szCs w:val="19"/>
                <w:color w:val="auto"/>
              </w:rPr>
            </w:pPr>
          </w:p>
        </w:tc>
        <w:tc>
          <w:tcPr>
            <w:tcW w:w="1420" w:type="dxa"/>
            <w:vAlign w:val="bottom"/>
            <w:tcBorders>
              <w:bottom w:val="single" w:sz="8" w:color="F2F2F2"/>
            </w:tcBorders>
            <w:shd w:val="clear" w:color="auto" w:fill="F2F2F2"/>
          </w:tcPr>
          <w:p>
            <w:pPr>
              <w:spacing w:after="0"/>
              <w:rPr>
                <w:sz w:val="19"/>
                <w:szCs w:val="19"/>
                <w:color w:val="auto"/>
              </w:rPr>
            </w:pPr>
          </w:p>
        </w:tc>
        <w:tc>
          <w:tcPr>
            <w:tcW w:w="2000" w:type="dxa"/>
            <w:vAlign w:val="bottom"/>
            <w:tcBorders>
              <w:bottom w:val="single" w:sz="8" w:color="F2F2F2"/>
            </w:tcBorders>
            <w:shd w:val="clear" w:color="auto" w:fill="F2F2F2"/>
          </w:tcPr>
          <w:p>
            <w:pPr>
              <w:spacing w:after="0"/>
              <w:rPr>
                <w:sz w:val="19"/>
                <w:szCs w:val="19"/>
                <w:color w:val="auto"/>
              </w:rPr>
            </w:pPr>
          </w:p>
        </w:tc>
        <w:tc>
          <w:tcPr>
            <w:tcW w:w="2040" w:type="dxa"/>
            <w:vAlign w:val="bottom"/>
            <w:tcBorders>
              <w:bottom w:val="single" w:sz="8" w:color="F2F2F2"/>
            </w:tcBorders>
            <w:shd w:val="clear" w:color="auto" w:fill="F2F2F2"/>
          </w:tcPr>
          <w:p>
            <w:pPr>
              <w:spacing w:after="0"/>
              <w:rPr>
                <w:sz w:val="19"/>
                <w:szCs w:val="19"/>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6"/>
                <w:szCs w:val="16"/>
                <w:b w:val="1"/>
                <w:bCs w:val="1"/>
                <w:color w:val="auto"/>
              </w:rPr>
              <w:t>Native Hawaiian or Pacific Islander</w:t>
            </w: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45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b w:val="1"/>
                <w:bCs w:val="1"/>
                <w:color w:val="auto"/>
              </w:rPr>
              <w:t>White</w:t>
            </w:r>
          </w:p>
        </w:tc>
        <w:tc>
          <w:tcPr>
            <w:tcW w:w="1280" w:type="dxa"/>
            <w:vAlign w:val="bottom"/>
            <w:tcBorders>
              <w:bottom w:val="single" w:sz="8" w:color="F2F2F2"/>
            </w:tcBorders>
            <w:shd w:val="clear" w:color="auto" w:fill="F2F2F2"/>
          </w:tcPr>
          <w:p>
            <w:pPr>
              <w:jc w:val="center"/>
              <w:ind w:right="484"/>
              <w:spacing w:after="0"/>
              <w:rPr>
                <w:sz w:val="20"/>
                <w:szCs w:val="20"/>
                <w:color w:val="auto"/>
              </w:rPr>
            </w:pPr>
            <w:r>
              <w:rPr>
                <w:rFonts w:ascii="Arial" w:cs="Arial" w:eastAsia="Arial" w:hAnsi="Arial"/>
                <w:sz w:val="16"/>
                <w:szCs w:val="16"/>
                <w:color w:val="auto"/>
                <w:w w:val="89"/>
              </w:rPr>
              <w:t>2</w:t>
            </w:r>
          </w:p>
        </w:tc>
        <w:tc>
          <w:tcPr>
            <w:tcW w:w="1420" w:type="dxa"/>
            <w:vAlign w:val="bottom"/>
            <w:tcBorders>
              <w:bottom w:val="single" w:sz="8" w:color="F2F2F2"/>
            </w:tcBorders>
            <w:shd w:val="clear" w:color="auto" w:fill="F2F2F2"/>
          </w:tcPr>
          <w:p>
            <w:pPr>
              <w:jc w:val="center"/>
              <w:ind w:left="303"/>
              <w:spacing w:after="0"/>
              <w:rPr>
                <w:sz w:val="20"/>
                <w:szCs w:val="20"/>
                <w:color w:val="auto"/>
              </w:rPr>
            </w:pPr>
            <w:r>
              <w:rPr>
                <w:rFonts w:ascii="Arial" w:cs="Arial" w:eastAsia="Arial" w:hAnsi="Arial"/>
                <w:sz w:val="16"/>
                <w:szCs w:val="16"/>
                <w:color w:val="auto"/>
                <w:w w:val="89"/>
              </w:rPr>
              <w:t>4</w:t>
            </w:r>
          </w:p>
        </w:tc>
        <w:tc>
          <w:tcPr>
            <w:tcW w:w="2000" w:type="dxa"/>
            <w:vAlign w:val="bottom"/>
            <w:tcBorders>
              <w:bottom w:val="single" w:sz="8" w:color="F2F2F2"/>
            </w:tcBorders>
            <w:shd w:val="clear" w:color="auto" w:fill="F2F2F2"/>
          </w:tcPr>
          <w:p>
            <w:pPr>
              <w:spacing w:after="0"/>
              <w:rPr>
                <w:sz w:val="19"/>
                <w:szCs w:val="19"/>
                <w:color w:val="auto"/>
              </w:rPr>
            </w:pPr>
          </w:p>
        </w:tc>
        <w:tc>
          <w:tcPr>
            <w:tcW w:w="2040" w:type="dxa"/>
            <w:vAlign w:val="bottom"/>
            <w:tcBorders>
              <w:bottom w:val="single" w:sz="8" w:color="F2F2F2"/>
            </w:tcBorders>
            <w:shd w:val="clear" w:color="auto" w:fill="F2F2F2"/>
          </w:tcPr>
          <w:p>
            <w:pPr>
              <w:spacing w:after="0"/>
              <w:rPr>
                <w:sz w:val="19"/>
                <w:szCs w:val="19"/>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6"/>
                <w:szCs w:val="16"/>
                <w:b w:val="1"/>
                <w:bCs w:val="1"/>
                <w:color w:val="auto"/>
              </w:rPr>
              <w:t>Two or More Races or Ethnicities</w:t>
            </w: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450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b w:val="1"/>
                <w:bCs w:val="1"/>
                <w:color w:val="auto"/>
              </w:rPr>
              <w:t>LGBTQ+</w:t>
            </w:r>
          </w:p>
        </w:tc>
        <w:tc>
          <w:tcPr>
            <w:tcW w:w="1280" w:type="dxa"/>
            <w:vAlign w:val="bottom"/>
            <w:tcBorders>
              <w:bottom w:val="single" w:sz="8" w:color="F2F2F2"/>
            </w:tcBorders>
            <w:shd w:val="clear" w:color="auto" w:fill="F2F2F2"/>
          </w:tcPr>
          <w:p>
            <w:pPr>
              <w:spacing w:after="0"/>
              <w:rPr>
                <w:sz w:val="19"/>
                <w:szCs w:val="19"/>
                <w:color w:val="auto"/>
              </w:rPr>
            </w:pPr>
          </w:p>
        </w:tc>
        <w:tc>
          <w:tcPr>
            <w:tcW w:w="1420" w:type="dxa"/>
            <w:vAlign w:val="bottom"/>
            <w:tcBorders>
              <w:bottom w:val="single" w:sz="8" w:color="F2F2F2"/>
            </w:tcBorders>
            <w:shd w:val="clear" w:color="auto" w:fill="F2F2F2"/>
          </w:tcPr>
          <w:p>
            <w:pPr>
              <w:spacing w:after="0"/>
              <w:rPr>
                <w:sz w:val="19"/>
                <w:szCs w:val="19"/>
                <w:color w:val="auto"/>
              </w:rPr>
            </w:pPr>
          </w:p>
        </w:tc>
        <w:tc>
          <w:tcPr>
            <w:tcW w:w="2000" w:type="dxa"/>
            <w:vAlign w:val="bottom"/>
            <w:tcBorders>
              <w:bottom w:val="single" w:sz="8" w:color="F2F2F2"/>
            </w:tcBorders>
            <w:shd w:val="clear" w:color="auto" w:fill="F2F2F2"/>
          </w:tcPr>
          <w:p>
            <w:pPr>
              <w:spacing w:after="0"/>
              <w:rPr>
                <w:sz w:val="19"/>
                <w:szCs w:val="19"/>
                <w:color w:val="auto"/>
              </w:rPr>
            </w:pPr>
          </w:p>
        </w:tc>
        <w:tc>
          <w:tcPr>
            <w:tcW w:w="2040" w:type="dxa"/>
            <w:vAlign w:val="bottom"/>
            <w:tcBorders>
              <w:bottom w:val="single" w:sz="8" w:color="F2F2F2"/>
            </w:tcBorders>
            <w:shd w:val="clear" w:color="auto" w:fill="F2F2F2"/>
          </w:tcPr>
          <w:p>
            <w:pPr>
              <w:spacing w:after="0"/>
              <w:rPr>
                <w:sz w:val="19"/>
                <w:szCs w:val="19"/>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6"/>
                <w:szCs w:val="16"/>
                <w:b w:val="1"/>
                <w:bCs w:val="1"/>
                <w:color w:val="auto"/>
              </w:rPr>
              <w:t>Did Not Disclose Demographic Background</w:t>
            </w: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-1795145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-2198370</wp:posOffset>
            </wp:positionV>
            <wp:extent cx="713232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72"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The Board Diversity Matrix above presents our board's diversity statistics in the format prescribed by the Nasdaq rules.</w:t>
      </w:r>
    </w:p>
    <w:p>
      <w:pPr>
        <w:spacing w:after="0" w:line="200" w:lineRule="exact"/>
        <w:rPr>
          <w:sz w:val="20"/>
          <w:szCs w:val="20"/>
          <w:color w:val="auto"/>
        </w:rPr>
      </w:pPr>
    </w:p>
    <w:p>
      <w:pPr>
        <w:spacing w:after="0" w:line="341" w:lineRule="exact"/>
        <w:rPr>
          <w:sz w:val="20"/>
          <w:szCs w:val="20"/>
          <w:color w:val="auto"/>
        </w:rPr>
      </w:pPr>
    </w:p>
    <w:p>
      <w:pPr>
        <w:ind w:left="580" w:hanging="554"/>
        <w:spacing w:after="0"/>
        <w:tabs>
          <w:tab w:leader="none" w:pos="58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143510</wp:posOffset>
            </wp:positionV>
            <wp:extent cx="6035040" cy="2057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50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00" w:type="dxa"/>
            <w:vAlign w:val="bottom"/>
          </w:tcPr>
          <w:p>
            <w:pPr>
              <w:jc w:val="center"/>
              <w:ind w:left="1162"/>
              <w:spacing w:after="0"/>
              <w:rPr>
                <w:sz w:val="20"/>
                <w:szCs w:val="20"/>
                <w:color w:val="auto"/>
              </w:rPr>
            </w:pPr>
            <w:r>
              <w:rPr>
                <w:rFonts w:ascii="Arial" w:cs="Arial" w:eastAsia="Arial" w:hAnsi="Arial"/>
                <w:sz w:val="18"/>
                <w:szCs w:val="18"/>
                <w:color w:val="0063A6"/>
                <w:w w:val="97"/>
              </w:rPr>
              <w:t>8 of 9</w:t>
            </w:r>
          </w:p>
        </w:tc>
        <w:tc>
          <w:tcPr>
            <w:tcW w:w="6500" w:type="dxa"/>
            <w:vAlign w:val="bottom"/>
          </w:tcPr>
          <w:p>
            <w:pPr>
              <w:jc w:val="center"/>
              <w:ind w:left="1484"/>
              <w:spacing w:after="0"/>
              <w:rPr>
                <w:sz w:val="20"/>
                <w:szCs w:val="20"/>
                <w:color w:val="auto"/>
              </w:rPr>
            </w:pPr>
            <w:r>
              <w:rPr>
                <w:rFonts w:ascii="Arial" w:cs="Arial" w:eastAsia="Arial" w:hAnsi="Arial"/>
                <w:sz w:val="18"/>
                <w:szCs w:val="18"/>
                <w:color w:val="0063A6"/>
                <w:w w:val="95"/>
              </w:rPr>
              <w:t>5.4 Years</w:t>
            </w:r>
          </w:p>
        </w:tc>
        <w:tc>
          <w:tcPr>
            <w:tcW w:w="340" w:type="dxa"/>
            <w:vAlign w:val="bottom"/>
          </w:tcPr>
          <w:p>
            <w:pPr>
              <w:spacing w:after="0"/>
              <w:rPr>
                <w:sz w:val="20"/>
                <w:szCs w:val="20"/>
                <w:color w:val="auto"/>
              </w:rPr>
            </w:pPr>
          </w:p>
        </w:tc>
      </w:tr>
      <w:tr>
        <w:trPr>
          <w:trHeight w:val="144"/>
        </w:trPr>
        <w:tc>
          <w:tcPr>
            <w:tcW w:w="4400" w:type="dxa"/>
            <w:vAlign w:val="bottom"/>
          </w:tcPr>
          <w:p>
            <w:pPr>
              <w:jc w:val="center"/>
              <w:ind w:left="1162"/>
              <w:spacing w:after="0" w:line="145" w:lineRule="exact"/>
              <w:rPr>
                <w:sz w:val="20"/>
                <w:szCs w:val="20"/>
                <w:color w:val="auto"/>
              </w:rPr>
            </w:pPr>
            <w:r>
              <w:rPr>
                <w:rFonts w:ascii="Arial" w:cs="Arial" w:eastAsia="Arial" w:hAnsi="Arial"/>
                <w:sz w:val="14"/>
                <w:szCs w:val="14"/>
                <w:color w:val="0063A6"/>
              </w:rPr>
              <w:t>Director nominees</w:t>
            </w:r>
          </w:p>
        </w:tc>
        <w:tc>
          <w:tcPr>
            <w:tcW w:w="6500" w:type="dxa"/>
            <w:vAlign w:val="bottom"/>
          </w:tcPr>
          <w:p>
            <w:pPr>
              <w:jc w:val="center"/>
              <w:ind w:left="1484"/>
              <w:spacing w:after="0" w:line="145" w:lineRule="exact"/>
              <w:rPr>
                <w:sz w:val="20"/>
                <w:szCs w:val="20"/>
                <w:color w:val="auto"/>
              </w:rPr>
            </w:pPr>
            <w:r>
              <w:rPr>
                <w:rFonts w:ascii="Arial" w:cs="Arial" w:eastAsia="Arial" w:hAnsi="Arial"/>
                <w:sz w:val="14"/>
                <w:szCs w:val="14"/>
                <w:color w:val="0063A6"/>
              </w:rPr>
              <w:t>Average tenure of</w:t>
            </w:r>
          </w:p>
        </w:tc>
        <w:tc>
          <w:tcPr>
            <w:tcW w:w="340" w:type="dxa"/>
            <w:vAlign w:val="bottom"/>
          </w:tcPr>
          <w:p>
            <w:pPr>
              <w:spacing w:after="0"/>
              <w:rPr>
                <w:sz w:val="12"/>
                <w:szCs w:val="12"/>
                <w:color w:val="auto"/>
              </w:rPr>
            </w:pPr>
          </w:p>
        </w:tc>
      </w:tr>
      <w:tr>
        <w:trPr>
          <w:trHeight w:val="190"/>
        </w:trPr>
        <w:tc>
          <w:tcPr>
            <w:tcW w:w="4400" w:type="dxa"/>
            <w:vAlign w:val="bottom"/>
          </w:tcPr>
          <w:p>
            <w:pPr>
              <w:jc w:val="center"/>
              <w:ind w:left="1142"/>
              <w:spacing w:after="0"/>
              <w:rPr>
                <w:sz w:val="20"/>
                <w:szCs w:val="20"/>
                <w:color w:val="auto"/>
              </w:rPr>
            </w:pPr>
            <w:r>
              <w:rPr>
                <w:rFonts w:ascii="Arial" w:cs="Arial" w:eastAsia="Arial" w:hAnsi="Arial"/>
                <w:sz w:val="14"/>
                <w:szCs w:val="14"/>
                <w:color w:val="0063A6"/>
              </w:rPr>
              <w:t>who are independent</w:t>
            </w:r>
          </w:p>
        </w:tc>
        <w:tc>
          <w:tcPr>
            <w:tcW w:w="6500" w:type="dxa"/>
            <w:vAlign w:val="bottom"/>
          </w:tcPr>
          <w:p>
            <w:pPr>
              <w:jc w:val="center"/>
              <w:ind w:left="1484"/>
              <w:spacing w:after="0"/>
              <w:rPr>
                <w:sz w:val="20"/>
                <w:szCs w:val="20"/>
                <w:color w:val="auto"/>
              </w:rPr>
            </w:pPr>
            <w:r>
              <w:rPr>
                <w:rFonts w:ascii="Arial" w:cs="Arial" w:eastAsia="Arial" w:hAnsi="Arial"/>
                <w:sz w:val="14"/>
                <w:szCs w:val="14"/>
                <w:color w:val="0063A6"/>
              </w:rPr>
              <w:t>director nominees</w:t>
            </w:r>
          </w:p>
        </w:tc>
        <w:tc>
          <w:tcPr>
            <w:tcW w:w="340" w:type="dxa"/>
            <w:vAlign w:val="bottom"/>
          </w:tcPr>
          <w:p>
            <w:pPr>
              <w:spacing w:after="0"/>
              <w:rPr>
                <w:sz w:val="16"/>
                <w:szCs w:val="16"/>
                <w:color w:val="auto"/>
              </w:rPr>
            </w:pPr>
          </w:p>
        </w:tc>
      </w:tr>
      <w:tr>
        <w:trPr>
          <w:trHeight w:val="712"/>
        </w:trPr>
        <w:tc>
          <w:tcPr>
            <w:tcW w:w="4400" w:type="dxa"/>
            <w:vAlign w:val="bottom"/>
          </w:tcPr>
          <w:p>
            <w:pPr>
              <w:spacing w:after="0"/>
              <w:rPr>
                <w:sz w:val="24"/>
                <w:szCs w:val="24"/>
                <w:color w:val="auto"/>
              </w:rPr>
            </w:pPr>
          </w:p>
        </w:tc>
        <w:tc>
          <w:tcPr>
            <w:tcW w:w="6500" w:type="dxa"/>
            <w:vAlign w:val="bottom"/>
          </w:tcPr>
          <w:p>
            <w:pPr>
              <w:ind w:left="9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12"/>
        </w:trPr>
        <w:tc>
          <w:tcPr>
            <w:tcW w:w="4400" w:type="dxa"/>
            <w:vAlign w:val="bottom"/>
            <w:tcBorders>
              <w:bottom w:val="single" w:sz="8" w:color="9A9A9A"/>
            </w:tcBorders>
          </w:tcPr>
          <w:p>
            <w:pPr>
              <w:spacing w:after="0"/>
              <w:rPr>
                <w:sz w:val="18"/>
                <w:szCs w:val="18"/>
                <w:color w:val="auto"/>
              </w:rPr>
            </w:pPr>
          </w:p>
        </w:tc>
        <w:tc>
          <w:tcPr>
            <w:tcW w:w="650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2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194" w:lineRule="exact"/>
        <w:rPr>
          <w:sz w:val="20"/>
          <w:szCs w:val="20"/>
          <w:color w:val="auto"/>
        </w:rPr>
      </w:pPr>
    </w:p>
    <w:p>
      <w:pPr>
        <w:spacing w:after="0"/>
        <w:rPr>
          <w:sz w:val="20"/>
          <w:szCs w:val="20"/>
          <w:color w:val="auto"/>
        </w:rPr>
      </w:pPr>
      <w:r>
        <w:rPr>
          <w:rFonts w:ascii="Arial" w:cs="Arial" w:eastAsia="Arial" w:hAnsi="Arial"/>
          <w:sz w:val="26"/>
          <w:szCs w:val="26"/>
          <w:color w:val="0063A6"/>
        </w:rPr>
        <w:t>Nominees for Director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provides summary information about each of our director nominees as of March 21, 2024:</w:t>
      </w:r>
    </w:p>
    <w:p>
      <w:pPr>
        <w:spacing w:after="0" w:line="27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23430" cy="1491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1491615"/>
                    </a:xfrm>
                    <a:prstGeom prst="rect">
                      <a:avLst/>
                    </a:prstGeom>
                    <a:noFill/>
                  </pic:spPr>
                </pic:pic>
              </a:graphicData>
            </a:graphic>
          </wp:anchor>
        </w:drawing>
      </w:r>
    </w:p>
    <w:p>
      <w:pPr>
        <w:spacing w:after="0" w:line="242"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41</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None</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CHAIR OF THE BOARD</w:t>
      </w:r>
    </w:p>
    <w:p>
      <w:pPr>
        <w:spacing w:after="0" w:line="113" w:lineRule="exact"/>
        <w:rPr>
          <w:sz w:val="20"/>
          <w:szCs w:val="20"/>
          <w:color w:val="auto"/>
        </w:rPr>
      </w:pPr>
    </w:p>
    <w:p>
      <w:pPr>
        <w:ind w:left="2960"/>
        <w:spacing w:after="0" w:line="252"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Houston is one of our co-founders and has served as a member of our board of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our Chief Executive Officer since June 2007. Mr. Houston also currently serves as a member of the board of directors of Meta Platforms, Inc. Mr. Houston holds a B.S. in Electrical Engineering and Computer Science from the Massachusetts Institute of Technology. Mr. Houston was selected to serve on our board of directors because of the perspective and experience he brings as our Chief Executive Officer and as one of our co-founders.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DONALD W.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63515" cy="8890"/>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1337310" cy="14573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37310" cy="1457325"/>
                    </a:xfrm>
                    <a:prstGeom prst="rect">
                      <a:avLst/>
                    </a:prstGeom>
                    <a:noFill/>
                  </pic:spPr>
                </pic:pic>
              </a:graphicData>
            </a:graphic>
          </wp:anchor>
        </w:drawing>
      </w:r>
    </w:p>
    <w:p>
      <w:pPr>
        <w:spacing w:after="0" w:line="8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w:t>
      </w:r>
      <w:r>
        <w:rPr>
          <w:rFonts w:ascii="Arial" w:cs="Arial" w:eastAsia="Arial" w:hAnsi="Arial"/>
          <w:sz w:val="16"/>
          <w:szCs w:val="16"/>
          <w:i w:val="1"/>
          <w:iCs w:val="1"/>
          <w:color w:val="auto"/>
        </w:rPr>
        <w:t>Chair</w:t>
      </w:r>
      <w:r>
        <w:rPr>
          <w:rFonts w:ascii="Arial" w:cs="Arial" w:eastAsia="Arial" w:hAnsi="Arial"/>
          <w:sz w:val="16"/>
          <w:szCs w:val="16"/>
          <w:color w:val="auto"/>
        </w:rPr>
        <w:t>)</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LEAD INDEPENDENT DIRECTOR</w:t>
      </w:r>
    </w:p>
    <w:p>
      <w:pPr>
        <w:spacing w:after="0" w:line="113" w:lineRule="exact"/>
        <w:rPr>
          <w:sz w:val="20"/>
          <w:szCs w:val="20"/>
          <w:color w:val="auto"/>
        </w:rPr>
      </w:pPr>
    </w:p>
    <w:p>
      <w:pPr>
        <w:ind w:left="2960" w:right="80"/>
        <w:spacing w:after="0" w:line="247"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Blair has served as a member of our Board of Directors since December 2017. From</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1999 to October 2015, Mr. Blair served as Executive Vice President and Chief Financial Officer for NIKE, Inc., or NIKE, a global footwear and apparel company. Prior to joining NIKE, for fifteen years, Mr. Blair served in a number of senior executive-level corporate and operating unit financial assignments for PepsiCo, Inc., or PepsiCo, a food and beverage company, including Chief Financial Officer for PepsiCo Japan (based in Tokyo) and Pepsi-Cola International’s Asia Division (based in Hong Kong). Mr. Blair currently serves as a member of the board of directors for Corning Incorporated, a global manufacturing company. Mr. Blair holds an M.B.A. and a B.S. in Economics from the University of Pennsylvania. Mr. Blair was selected to serve on our board of directors because of his extensive financial expertise, and business management and governance experience.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80" w:hanging="554"/>
        <w:spacing w:after="0"/>
        <w:tabs>
          <w:tab w:leader="none" w:pos="58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5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LISA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1337310" cy="1457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37310" cy="145732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Nominating &amp; Corporate Governance</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right="60"/>
        <w:spacing w:after="0" w:line="246"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Ms. Campbell has served as a member of our board of directors since August 2019. Since July</w:t>
      </w:r>
      <w:r>
        <w:rPr>
          <w:rFonts w:ascii="Arial" w:cs="Arial" w:eastAsia="Arial" w:hAnsi="Arial"/>
          <w:sz w:val="16"/>
          <w:szCs w:val="16"/>
          <w:b w:val="1"/>
          <w:bCs w:val="1"/>
          <w:color w:val="auto"/>
        </w:rPr>
        <w:t xml:space="preserve"> </w:t>
      </w:r>
      <w:r>
        <w:rPr>
          <w:rFonts w:ascii="Arial" w:cs="Arial" w:eastAsia="Arial" w:hAnsi="Arial"/>
          <w:sz w:val="16"/>
          <w:szCs w:val="16"/>
          <w:color w:val="auto"/>
        </w:rPr>
        <w:t>2021, Ms. Campbell has served as Chief Marketing Officer and Partner for OneTrust. From August 2017 to July 2021, Ms. Campbell served as Chief Marketing Officer and Senior Vice President of Business Strategy for Autodesk, Inc. From January 2015 to August 2017, Ms. Campbell served as Vice President, Industry Strategy and Marketing – Manufacturing at Autodesk, and she served as its Vice President, Industry Strategy and Marketing – Architecture, Engineering and Construction from February 2012 through January 2015. She has also held other senior positions at Autodesk, including managing its Global eCommerce business and Autodesk.com, and managing its Geospatial Business and infrastructure business. Prior to joining Autodesk in 2003, Ms. Campbell served in executive-level marketing positions at Evolve (now Oracle), Sterling Software Inc., and Digital Equipment Corporation. Ms. Campbell holds an M.B.A. from Babson College and a B.A. in Mathematics and Computer Science from Boston College. She was selected to serve on our board of directors because of her valuable expertise in business, industry, and marketing strategy.</w:t>
      </w:r>
    </w:p>
    <w:p>
      <w:pPr>
        <w:spacing w:after="0" w:line="200" w:lineRule="exact"/>
        <w:rPr>
          <w:sz w:val="20"/>
          <w:szCs w:val="20"/>
          <w:color w:val="auto"/>
        </w:rPr>
      </w:pPr>
    </w:p>
    <w:p>
      <w:pPr>
        <w:spacing w:after="0" w:line="38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PAUL E. JACOBS,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1337310" cy="1457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37310" cy="145732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Nominating &amp; Corporate Governance (</w:t>
      </w:r>
      <w:r>
        <w:rPr>
          <w:rFonts w:ascii="Arial" w:cs="Arial" w:eastAsia="Arial" w:hAnsi="Arial"/>
          <w:sz w:val="16"/>
          <w:szCs w:val="16"/>
          <w:i w:val="1"/>
          <w:iCs w:val="1"/>
          <w:color w:val="auto"/>
        </w:rPr>
        <w:t>Chair</w:t>
      </w:r>
      <w:r>
        <w:rPr>
          <w:rFonts w:ascii="Arial" w:cs="Arial" w:eastAsia="Arial" w:hAnsi="Arial"/>
          <w:sz w:val="16"/>
          <w:szCs w:val="16"/>
          <w:color w:val="auto"/>
        </w:rPr>
        <w:t>)</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right="20"/>
        <w:spacing w:after="0" w:line="247"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Dr. Jacobs has served as a member of our board of directors since April 2016. Since August 2023,</w:t>
      </w:r>
      <w:r>
        <w:rPr>
          <w:rFonts w:ascii="Arial" w:cs="Arial" w:eastAsia="Arial" w:hAnsi="Arial"/>
          <w:sz w:val="16"/>
          <w:szCs w:val="16"/>
          <w:b w:val="1"/>
          <w:bCs w:val="1"/>
          <w:color w:val="auto"/>
        </w:rPr>
        <w:t xml:space="preserve"> </w:t>
      </w:r>
      <w:r>
        <w:rPr>
          <w:rFonts w:ascii="Arial" w:cs="Arial" w:eastAsia="Arial" w:hAnsi="Arial"/>
          <w:sz w:val="16"/>
          <w:szCs w:val="16"/>
          <w:color w:val="auto"/>
        </w:rPr>
        <w:t>Dr. Jacobs has served as Chief Executive Officer of Globalstar, Inc., or Globalstar, a telecom infrastructure provider. Since April 2018, Dr. Jacobs has also served as Chair and Chief Executive Officer of VIREWIRX, Inc., formerly XCOM Labs, Inc., a wireless technology company. From March 2014 to March 2018, Dr. Jacobs served as Executive Chair for Qualcomm Incorporated, a semiconductor and telecommunications equipment company, or Qualcomm. From March 2009 to March 2018, Dr. Jacobs served as Chair of the board of directors for Qualcomm. From July 2005 to March 2014, Dr. Jacobs served as Chief Executive Officer for Qualcomm. Dr. Jacobs currently serves as a member of the board of directors of Globalstar and Arm Holdings plc, a microchip design company. Dr. Jacobs holds a Ph.D. in Electrical Engineering and Computer Science, an M.S. in Electrical Engineering, and a B.S. in Electrical Engineering and Computer Science from the University of California, Berkeley. Dr. Jacobs was selected to serve on our board of directors because of his extensive business, operations, and management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0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198"/>
        </w:trPr>
        <w:tc>
          <w:tcPr>
            <w:tcW w:w="109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2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5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SARA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 Talent and Compensation (</w:t>
      </w:r>
      <w:r>
        <w:rPr>
          <w:rFonts w:ascii="Arial" w:cs="Arial" w:eastAsia="Arial" w:hAnsi="Arial"/>
          <w:sz w:val="16"/>
          <w:szCs w:val="16"/>
          <w:i w:val="1"/>
          <w:iCs w:val="1"/>
          <w:color w:val="auto"/>
        </w:rPr>
        <w:t>Chair</w:t>
      </w:r>
      <w:r>
        <w:rPr>
          <w:rFonts w:ascii="Arial" w:cs="Arial" w:eastAsia="Arial" w:hAnsi="Arial"/>
          <w:sz w:val="16"/>
          <w:szCs w:val="16"/>
          <w:color w:val="auto"/>
        </w:rPr>
        <w:t>)</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wp:posOffset>
            </wp:positionV>
            <wp:extent cx="1337310" cy="14573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37310" cy="1457325"/>
                    </a:xfrm>
                    <a:prstGeom prst="rect">
                      <a:avLst/>
                    </a:prstGeom>
                    <a:noFill/>
                  </pic:spPr>
                </pic:pic>
              </a:graphicData>
            </a:graphic>
          </wp:anchor>
        </w:drawing>
      </w:r>
    </w:p>
    <w:p>
      <w:pPr>
        <w:spacing w:after="0" w:line="93" w:lineRule="exact"/>
        <w:rPr>
          <w:sz w:val="20"/>
          <w:szCs w:val="20"/>
          <w:color w:val="auto"/>
        </w:rPr>
      </w:pPr>
    </w:p>
    <w:p>
      <w:pPr>
        <w:ind w:left="2960"/>
        <w:spacing w:after="0" w:line="245"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Ms. Mathew has served as a member of our board of directors since July 2021. From January</w:t>
      </w:r>
      <w:r>
        <w:rPr>
          <w:rFonts w:ascii="Arial" w:cs="Arial" w:eastAsia="Arial" w:hAnsi="Arial"/>
          <w:sz w:val="16"/>
          <w:szCs w:val="16"/>
          <w:b w:val="1"/>
          <w:bCs w:val="1"/>
          <w:color w:val="auto"/>
        </w:rPr>
        <w:t xml:space="preserve"> </w:t>
      </w:r>
      <w:r>
        <w:rPr>
          <w:rFonts w:ascii="Arial" w:cs="Arial" w:eastAsia="Arial" w:hAnsi="Arial"/>
          <w:sz w:val="16"/>
          <w:szCs w:val="16"/>
          <w:color w:val="auto"/>
        </w:rPr>
        <w:t>2010 to October 2013, Ms. Mathew served as Chief Executive Officer of Dun and Bradstreet Corporation, or Dun and Bradstreet, a commercial data analytics company, as its President and Chief Operating Officer from March 2007 to January 2010 and as its Chief Financial Officer from August 2001 to March 2007. Ms. Mathew also served as a member of the board of directors of Dun and Bradstreet from January 2008 to October 2013, including as Chair from July 2010 to October 2013. Prior to joining Dun and Bradstreet, Ms. Mathew served for eighteen years in a number of executive-level finance positions for the Procter &amp; Gamble Company, or P&amp;G, a consumer goods company. Ms. Mathew currently serves as a member of the board of directors for Carnival Corporation &amp; plc, a global leisure travel company and State Street Corporation, a financial services company. Ms. Mathew previously served as a member of the board of directors of Federal Home Loan Mortgage Company, a government-sponsored mortgage securitization company, XOS, Inc., a manufacturer of electric trucks, Reckitt Benckiser, a consumer products company, Avon Products, Inc. a beauty, household and personal care products manufacturer, Campbell Soup Company, Inc., a consumer food company, and Shire PLC, a biopharmaceutical company. Ms. Mathew holds an M.B.A. from Xavier University, a graduate degree in accounting from the Institute of Cost and Works Accountants from India, and a B.S. in physics, mathematics and chemistry from the University of Madras. Ms. Mathew was selected to serve on our board of directors because of her experience leading multi-national enterprises and valuable financial, strategy and operational expertise.</w:t>
      </w:r>
    </w:p>
    <w:p>
      <w:pPr>
        <w:spacing w:after="0" w:line="200" w:lineRule="exact"/>
        <w:rPr>
          <w:sz w:val="20"/>
          <w:szCs w:val="20"/>
          <w:color w:val="auto"/>
        </w:rPr>
      </w:pPr>
    </w:p>
    <w:p>
      <w:pPr>
        <w:spacing w:after="0" w:line="387"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ANDREW MOORE,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59</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1320165" cy="1448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0165" cy="144843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Audit</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spacing w:after="0" w:line="246"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Dr. Moore has served as a member of our board of directors since December 2023. Since March</w:t>
      </w:r>
      <w:r>
        <w:rPr>
          <w:rFonts w:ascii="Arial" w:cs="Arial" w:eastAsia="Arial" w:hAnsi="Arial"/>
          <w:sz w:val="16"/>
          <w:szCs w:val="16"/>
          <w:b w:val="1"/>
          <w:bCs w:val="1"/>
          <w:color w:val="auto"/>
        </w:rPr>
        <w:t xml:space="preserve"> </w:t>
      </w:r>
      <w:r>
        <w:rPr>
          <w:rFonts w:ascii="Arial" w:cs="Arial" w:eastAsia="Arial" w:hAnsi="Arial"/>
          <w:sz w:val="16"/>
          <w:szCs w:val="16"/>
          <w:color w:val="auto"/>
        </w:rPr>
        <w:t>2023, Dr. Moore has served as the Founder and CEO of Lovelace AI, a startup AI company building products for national security. From January 2019 to January 2023, Dr. Moore served as General Manager and VP of Google Cloud Artificial Intelligence &amp; Industry Solutions at Google LLC, a wholly owned subsidiary of Alphabet Inc., or Google. From September 2014 to January 2019, Dr. Moore served as the Dean of the School of Computer Science and as Professor of Computer Science and Robotics at Carnegie Mellon University. From October 2011 to July 2014, Dr. Moore served as VP of Engineering, Google Commerce at Google and from January 2006 to October 2011, he served as a Founding Director of Google’s Pittsburgh Engineering office. Prior to joining Google, Dr. Moore was an assistant professor and also professor of Computer Science and Robotics at Carnegie Mellon University from 1993-2006. Dr. Moore holds a Ph.D. in Computer Science and a B.A. in Mathematics and Computer Science from the University of Cambridge. Mr. Moore was selected to serve on our board of directors because of his deep academic experience, product knowledge, and engineering leadership.</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80" w:hanging="554"/>
        <w:spacing w:after="0"/>
        <w:tabs>
          <w:tab w:leader="none" w:pos="58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ABHAY PARASNIS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49</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1337310" cy="14573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37310" cy="145732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Talent and Compensation</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right="80"/>
        <w:spacing w:after="0" w:line="246"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Parasnis has served as a member of our board of directors since March 2022. Since May</w:t>
      </w:r>
      <w:r>
        <w:rPr>
          <w:rFonts w:ascii="Arial" w:cs="Arial" w:eastAsia="Arial" w:hAnsi="Arial"/>
          <w:sz w:val="16"/>
          <w:szCs w:val="16"/>
          <w:b w:val="1"/>
          <w:bCs w:val="1"/>
          <w:color w:val="auto"/>
        </w:rPr>
        <w:t xml:space="preserve"> </w:t>
      </w:r>
      <w:r>
        <w:rPr>
          <w:rFonts w:ascii="Arial" w:cs="Arial" w:eastAsia="Arial" w:hAnsi="Arial"/>
          <w:sz w:val="16"/>
          <w:szCs w:val="16"/>
          <w:color w:val="auto"/>
        </w:rPr>
        <w:t>2022, Mr. Parasnis has served as Chief Executive Officer of Typeface Inc., a company that provides enterprise AI solutions. From July 2015 to February 2022, Mr. Parasnis served as Chief Technology Officer of Adobe Inc., or Adobe, during which time Mr. Parasnis also held additional titles, including Executive Vice President from January 2016 to February 2022, Chief Strategy Officer from February 2020 to December 2020, and Chief Product Officer from December 2020 to February 2022. Prior to joining Adobe, Mr. Parasnis served in executive level positions with Kony, Inc., Oracle Corporation and Microsoft Corporation. Mr. Parasnis also serves as a member of the board of directors of Schneider Electric SE, a French digital automation and energy management company traded on the Euronext (Paris) exchange. Mr. Parasnis holds a B.S. in Electronics &amp; Telecommunications from the College of Engineering Pune in Pune, India and an Advanced Diploma in Computer Science from the National Institute of Information Technology. Mr. Parasnis was selected to serve on our board of directors because of his extensive technical, product, and operational expertise and his experience leading and growing a multi-product portfolio.</w:t>
      </w:r>
    </w:p>
    <w:p>
      <w:pPr>
        <w:spacing w:after="0" w:line="15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KAREN PEACOCK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63515" cy="8890"/>
                    </a:xfrm>
                    <a:prstGeom prst="rect">
                      <a:avLst/>
                    </a:prstGeom>
                    <a:noFill/>
                  </pic:spPr>
                </pic:pic>
              </a:graphicData>
            </a:graphic>
          </wp:anchor>
        </w:drawing>
      </w:r>
    </w:p>
    <w:p>
      <w:pPr>
        <w:spacing w:after="0" w:line="20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51</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wp:posOffset>
            </wp:positionV>
            <wp:extent cx="1337310" cy="14573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37310" cy="145732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Talent and Compensation</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right="20"/>
        <w:spacing w:after="0" w:line="247"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Ms. Peacock has served as a member of our board of directors since August 2019. From July 2020</w:t>
      </w:r>
      <w:r>
        <w:rPr>
          <w:rFonts w:ascii="Arial" w:cs="Arial" w:eastAsia="Arial" w:hAnsi="Arial"/>
          <w:sz w:val="16"/>
          <w:szCs w:val="16"/>
          <w:b w:val="1"/>
          <w:bCs w:val="1"/>
          <w:color w:val="auto"/>
        </w:rPr>
        <w:t xml:space="preserve"> </w:t>
      </w:r>
      <w:r>
        <w:rPr>
          <w:rFonts w:ascii="Arial" w:cs="Arial" w:eastAsia="Arial" w:hAnsi="Arial"/>
          <w:sz w:val="16"/>
          <w:szCs w:val="16"/>
          <w:color w:val="auto"/>
        </w:rPr>
        <w:t>to October 2022, Ms. Peacock served as Chief Executive Officer for Intercom, Inc., or Intercom, a corporation that develops and markets business messaging and communication software, and from May 2017 to July 2020, Ms. Peacock served as Chief Operating Officer for Intercom. From January 2016 to March 2017, Ms. Peacock served as Senior Vice President, Small Business at Intuit Inc., or Intuit, and from 2014 to January 2016, she served as VP, General Manager of Intuit’s Employee Management Solutions division. Ms. Peacock has also held other senior roles at Intuit, including Vice President of Marketing and Product Management. Prior to joining Intuit in 2002, Ms. Peacock was Director of Product Management at Allegis Corporation and prior to that, was a management consultant with the Boston Consulting Group. Ms. Peacock holds an M.B.A. from Stanford Graduate School of Business and a B.A. in Applied Mathematics from Harvard University. She was selected to serve on our board of directors because of her valuable expertise in business, industry, and her extensive experience in executive-level operational roles.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68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0063A6"/>
        </w:rPr>
        <w:t>MICHAEL SEIBEL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38100</wp:posOffset>
            </wp:positionV>
            <wp:extent cx="52635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63515" cy="8255"/>
                    </a:xfrm>
                    <a:prstGeom prst="rect">
                      <a:avLst/>
                    </a:prstGeom>
                    <a:noFill/>
                  </pic:spPr>
                </pic:pic>
              </a:graphicData>
            </a:graphic>
          </wp:anchor>
        </w:drawing>
      </w:r>
    </w:p>
    <w:p>
      <w:pPr>
        <w:spacing w:after="0" w:line="201"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1337310" cy="14573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37310" cy="1457325"/>
                    </a:xfrm>
                    <a:prstGeom prst="rect">
                      <a:avLst/>
                    </a:prstGeom>
                    <a:noFill/>
                  </pic:spPr>
                </pic:pic>
              </a:graphicData>
            </a:graphic>
          </wp:anchor>
        </w:drawing>
      </w:r>
    </w:p>
    <w:p>
      <w:pPr>
        <w:spacing w:after="0" w:line="9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Talent and Compensation</w:t>
      </w:r>
    </w:p>
    <w:p>
      <w:pPr>
        <w:spacing w:after="0" w:line="100"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INDEPENDENT DIRECTOR</w:t>
      </w:r>
    </w:p>
    <w:p>
      <w:pPr>
        <w:spacing w:after="0" w:line="113" w:lineRule="exact"/>
        <w:rPr>
          <w:sz w:val="20"/>
          <w:szCs w:val="20"/>
          <w:color w:val="auto"/>
        </w:rPr>
      </w:pPr>
    </w:p>
    <w:p>
      <w:pPr>
        <w:ind w:left="2960"/>
        <w:spacing w:after="0" w:line="249" w:lineRule="auto"/>
        <w:rPr>
          <w:sz w:val="20"/>
          <w:szCs w:val="20"/>
          <w:color w:val="auto"/>
        </w:rPr>
      </w:pPr>
      <w:r>
        <w:rPr>
          <w:rFonts w:ascii="Arial" w:cs="Arial" w:eastAsia="Arial" w:hAnsi="Arial"/>
          <w:sz w:val="16"/>
          <w:szCs w:val="16"/>
          <w:b w:val="1"/>
          <w:bCs w:val="1"/>
          <w:color w:val="auto"/>
        </w:rPr>
        <w:t xml:space="preserve">EXPERIENCE: </w:t>
      </w:r>
      <w:r>
        <w:rPr>
          <w:rFonts w:ascii="Arial" w:cs="Arial" w:eastAsia="Arial" w:hAnsi="Arial"/>
          <w:sz w:val="16"/>
          <w:szCs w:val="16"/>
          <w:color w:val="auto"/>
        </w:rPr>
        <w:t>Mr. Seibel has served as a member of our board of directors since December 2020. Mr. Seibel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a Partner at Y Combinator, an accelerator and investment company for early-stage technology companies since October 2014 and is the former Managing Director of YC Early Stage. From February 2012 to August 2012, Mr. Seibel served as Chief Executive Officer of Socialcam, Inc., a social media company, and from June 2007 to October 2011, Mr. Seibel served as Chief Executive Officer of Justin.tv (now known as Twitch.tv), an online video broadcasting company. Mr. Seibel currently serves on the board of directors of Reddit, Inc., a community and discussion platform. Mr. Seibel holds a B.A. in Political Science from Yale University. Mr. Seibel was selected to serve on our board of directors because of his financial and managerial experience.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80" w:hanging="554"/>
        <w:spacing w:after="0"/>
        <w:tabs>
          <w:tab w:leader="none" w:pos="58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6"/>
          <w:szCs w:val="26"/>
          <w:color w:val="0063A6"/>
        </w:rPr>
        <w:t>Director Independence</w:t>
      </w:r>
    </w:p>
    <w:p>
      <w:pPr>
        <w:spacing w:after="0" w:line="179"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Under the listing rules of Nasdaq, independent directors must comprise a majority of a listed company’s board of directors. In addition, Nasdaq rules require that, subject to specified exceptions, each member of a listed company’s audit, talent and compensation, and nominating and corporate governance committees be independent. Under Nasdaq rules, a director will only qualify as an “independent director” if, in the opinion of the company’s board of directors, the director does not have a relationship that would interfere with the exercise of independent judgment in carrying out the responsibilities of a director.</w:t>
      </w:r>
    </w:p>
    <w:p>
      <w:pPr>
        <w:spacing w:after="0" w:line="12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 her background, employment, and affiliations, our board of directors has determined that Drs. Jacobs and Moore, Messrs. Blair, Parasnis and Seibel, and Mss. Campbell, Mathew and Peacock do not have a relationship that would interfere with the exercise of independent judgment in carrying out the responsibilities of a director and that each of these directors is “independent” as that term is defined under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if any, described in the section titled “</w:t>
      </w:r>
      <w:r>
        <w:rPr>
          <w:rFonts w:ascii="Arial" w:cs="Arial" w:eastAsia="Arial" w:hAnsi="Arial"/>
          <w:sz w:val="16"/>
          <w:szCs w:val="16"/>
          <w:i w:val="1"/>
          <w:iCs w:val="1"/>
          <w:color w:val="auto"/>
        </w:rPr>
        <w:t>Certain Relationships and Related Party Transactions</w:t>
      </w:r>
      <w:r>
        <w:rPr>
          <w:rFonts w:ascii="Arial" w:cs="Arial" w:eastAsia="Arial" w:hAnsi="Arial"/>
          <w:sz w:val="16"/>
          <w:szCs w:val="16"/>
          <w:color w:val="auto"/>
        </w:rPr>
        <w:t>.”</w:t>
      </w:r>
    </w:p>
    <w:p>
      <w:pPr>
        <w:spacing w:after="0" w:line="357" w:lineRule="exact"/>
        <w:rPr>
          <w:sz w:val="20"/>
          <w:szCs w:val="20"/>
          <w:color w:val="auto"/>
        </w:rPr>
      </w:pPr>
    </w:p>
    <w:p>
      <w:pPr>
        <w:spacing w:after="0"/>
        <w:rPr>
          <w:sz w:val="20"/>
          <w:szCs w:val="20"/>
          <w:color w:val="auto"/>
        </w:rPr>
      </w:pPr>
      <w:r>
        <w:rPr>
          <w:rFonts w:ascii="Arial" w:cs="Arial" w:eastAsia="Arial" w:hAnsi="Arial"/>
          <w:sz w:val="26"/>
          <w:szCs w:val="26"/>
          <w:color w:val="0063A6"/>
        </w:rPr>
        <w:t>Board Leadership Structure and Role of the Lead Independent Director</w:t>
      </w:r>
    </w:p>
    <w:p>
      <w:pPr>
        <w:spacing w:after="0" w:line="17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Mr. Houston currently serves as both the chair of our board of directors and as our Chief Executive Officer. As our co-founder, Mr. Houston is best positioned to identify strategic priorities, lead critical discussion, and execute our business plans.</w:t>
      </w:r>
    </w:p>
    <w:p>
      <w:pPr>
        <w:ind w:right="20"/>
        <w:spacing w:after="0" w:line="238" w:lineRule="auto"/>
        <w:rPr>
          <w:sz w:val="20"/>
          <w:szCs w:val="20"/>
          <w:color w:val="auto"/>
        </w:rPr>
      </w:pPr>
      <w:r>
        <w:rPr>
          <w:rFonts w:ascii="Arial" w:cs="Arial" w:eastAsia="Arial" w:hAnsi="Arial"/>
          <w:sz w:val="16"/>
          <w:szCs w:val="16"/>
          <w:color w:val="auto"/>
        </w:rPr>
        <w:t>Our board of directors has adopted Corporate Governance Guidelines that provide that one of our independent directors should serve as our lead independent director at any time when the chair of our board of directors is not independent, including when our Chief Executive Officer serves as the chair of our board of directors. Because Mr. Houston is our chair and is not an “independent” director as defined in Nasdaq’s listing rules, our board of directors has determined that it is advisable and in the best interests of stockholders to have a lead independent director to, among other things, preside over meetings of the independent directors and help set the agenda for board meetings. Mr. Blair has served as our lead independent director since March 2020. As our lead independent director, Mr. Blair presides over periodic meetings of our independent directors, consults with Mr. Houston on the agenda for meetings of the board, serves as a liaison between Mr. Houston and our independent directors, and performs such additional duties as our board of directors may otherwise determine and delegate. Mr. Blair has extensive executive and board leadership experience and is involved in setting the agenda of the board and guiding discussion to ensure that appropriate time and attention is allocated to the board's risk oversight functions as further described below. The lead independent director’s responsibilities include:</w:t>
      </w:r>
    </w:p>
    <w:p>
      <w:pPr>
        <w:spacing w:after="0" w:line="144"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presiding over all meetings of the board of directors at which the chair is not present;</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calling separate meetings of the independent directors and determining the agenda and serving as chair of meetings of independent directors;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reporting to our Chief Executive Officer and chair regarding feedback from executive sessions; and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2"/>
        </w:numPr>
        <w:rPr>
          <w:rFonts w:ascii="Arial" w:cs="Arial" w:eastAsia="Arial" w:hAnsi="Arial"/>
          <w:sz w:val="16"/>
          <w:szCs w:val="16"/>
          <w:color w:val="0063A6"/>
        </w:rPr>
      </w:pPr>
      <w:r>
        <w:rPr>
          <w:rFonts w:ascii="Arial" w:cs="Arial" w:eastAsia="Arial" w:hAnsi="Arial"/>
          <w:sz w:val="16"/>
          <w:szCs w:val="16"/>
          <w:color w:val="auto"/>
        </w:rPr>
        <w:t>serving as spokesperson for the company if requested.</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Only independent directors serve on the audit committee, the talent and compensation committee, and the nominating and corporate governance committee of our board of directors. Our independent directors meet at least quarterly in executive sessions chaired by the lead independent director, which include discussions and recommendations regarding guidance to be provided to the Chief Executive Officer, and such topics as the independent directors may determine.</w:t>
      </w:r>
    </w:p>
    <w:p>
      <w:pPr>
        <w:spacing w:after="0" w:line="12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As a result of the board of directors’ committee system and the existence of a majority of independent directors, combined with a strong lead independent director with significant responsibilities and the company’s robust corporate governance policies and procedures, the board of directors believes it maintains effective oversight of our business operations, including independent oversight of our financial statements and risk management, executive compensation, selection of director candidates, and corporate governance programs. We believe that the leadership structure of our board of directors, including Mr. Blair’s role as lead independent director, as well as the strong independent committees of our board of directors is appropriate and enhances our board of directors’ ability to effectively carry out its roles and responsibilities on behalf of our stockholders. Mr. Houston’s combined role leverages his deep involvement with the company’s business, and his history as a co-founder of the company with knowledge of the company’s development and culture enables strong leadership, creates clear accountability and enhances our ability to communicate our message and strategy clearly and consistently to stockholders.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6"/>
          <w:szCs w:val="26"/>
          <w:color w:val="0063A6"/>
        </w:rPr>
        <w:t>Board Committees</w:t>
      </w:r>
    </w:p>
    <w:p>
      <w:pPr>
        <w:spacing w:after="0" w:line="179" w:lineRule="exact"/>
        <w:rPr>
          <w:sz w:val="20"/>
          <w:szCs w:val="20"/>
          <w:color w:val="auto"/>
        </w:rPr>
      </w:pPr>
    </w:p>
    <w:p>
      <w:pPr>
        <w:jc w:val="both"/>
        <w:ind w:right="180"/>
        <w:spacing w:after="0" w:line="257" w:lineRule="auto"/>
        <w:rPr>
          <w:sz w:val="20"/>
          <w:szCs w:val="20"/>
          <w:color w:val="auto"/>
        </w:rPr>
      </w:pPr>
      <w:r>
        <w:rPr>
          <w:rFonts w:ascii="Arial" w:cs="Arial" w:eastAsia="Arial" w:hAnsi="Arial"/>
          <w:sz w:val="16"/>
          <w:szCs w:val="16"/>
          <w:color w:val="auto"/>
        </w:rPr>
        <w:t>Our board of directors has established an audit committee, a talent and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149465" cy="2082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08280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820" w:type="dxa"/>
            <w:vAlign w:val="bottom"/>
            <w:shd w:val="clear" w:color="auto" w:fill="0063A6"/>
          </w:tcPr>
          <w:p>
            <w:pPr>
              <w:ind w:left="1120"/>
              <w:spacing w:after="0"/>
              <w:rPr>
                <w:sz w:val="20"/>
                <w:szCs w:val="20"/>
                <w:color w:val="auto"/>
              </w:rPr>
            </w:pPr>
            <w:r>
              <w:rPr>
                <w:rFonts w:ascii="Arial" w:cs="Arial" w:eastAsia="Arial" w:hAnsi="Arial"/>
                <w:sz w:val="14"/>
                <w:szCs w:val="14"/>
                <w:b w:val="1"/>
                <w:bCs w:val="1"/>
                <w:color w:val="FFFFFF"/>
              </w:rPr>
              <w:t>Director</w:t>
            </w:r>
          </w:p>
        </w:tc>
        <w:tc>
          <w:tcPr>
            <w:tcW w:w="2800" w:type="dxa"/>
            <w:vAlign w:val="bottom"/>
            <w:shd w:val="clear" w:color="auto" w:fill="0063A6"/>
          </w:tcPr>
          <w:p>
            <w:pPr>
              <w:ind w:left="1220"/>
              <w:spacing w:after="0"/>
              <w:rPr>
                <w:sz w:val="20"/>
                <w:szCs w:val="20"/>
                <w:color w:val="auto"/>
              </w:rPr>
            </w:pPr>
            <w:r>
              <w:rPr>
                <w:rFonts w:ascii="Arial" w:cs="Arial" w:eastAsia="Arial" w:hAnsi="Arial"/>
                <w:sz w:val="14"/>
                <w:szCs w:val="14"/>
                <w:b w:val="1"/>
                <w:bCs w:val="1"/>
                <w:color w:val="FFFFFF"/>
              </w:rPr>
              <w:t>Audit</w:t>
            </w:r>
          </w:p>
        </w:tc>
        <w:tc>
          <w:tcPr>
            <w:tcW w:w="2580" w:type="dxa"/>
            <w:vAlign w:val="bottom"/>
            <w:shd w:val="clear" w:color="auto" w:fill="0063A6"/>
          </w:tcPr>
          <w:p>
            <w:pPr>
              <w:ind w:left="540"/>
              <w:spacing w:after="0"/>
              <w:rPr>
                <w:sz w:val="20"/>
                <w:szCs w:val="20"/>
                <w:color w:val="auto"/>
              </w:rPr>
            </w:pPr>
            <w:r>
              <w:rPr>
                <w:rFonts w:ascii="Arial" w:cs="Arial" w:eastAsia="Arial" w:hAnsi="Arial"/>
                <w:sz w:val="14"/>
                <w:szCs w:val="14"/>
                <w:b w:val="1"/>
                <w:bCs w:val="1"/>
                <w:color w:val="FFFFFF"/>
              </w:rPr>
              <w:t>Talent and Compensation</w:t>
            </w:r>
          </w:p>
        </w:tc>
        <w:tc>
          <w:tcPr>
            <w:tcW w:w="3040" w:type="dxa"/>
            <w:vAlign w:val="bottom"/>
            <w:shd w:val="clear" w:color="auto" w:fill="0063A6"/>
          </w:tcPr>
          <w:p>
            <w:pPr>
              <w:ind w:left="300"/>
              <w:spacing w:after="0"/>
              <w:rPr>
                <w:sz w:val="20"/>
                <w:szCs w:val="20"/>
                <w:color w:val="auto"/>
              </w:rPr>
            </w:pPr>
            <w:r>
              <w:rPr>
                <w:rFonts w:ascii="Arial" w:cs="Arial" w:eastAsia="Arial" w:hAnsi="Arial"/>
                <w:sz w:val="14"/>
                <w:szCs w:val="14"/>
                <w:b w:val="1"/>
                <w:bCs w:val="1"/>
                <w:color w:val="FFFFFF"/>
              </w:rPr>
              <w:t>Nominating and Corporate Governance</w:t>
            </w:r>
          </w:p>
        </w:tc>
      </w:tr>
      <w:tr>
        <w:trPr>
          <w:trHeight w:val="56"/>
        </w:trPr>
        <w:tc>
          <w:tcPr>
            <w:tcW w:w="2820" w:type="dxa"/>
            <w:vAlign w:val="bottom"/>
            <w:shd w:val="clear" w:color="auto" w:fill="0063A6"/>
          </w:tcPr>
          <w:p>
            <w:pPr>
              <w:spacing w:after="0"/>
              <w:rPr>
                <w:sz w:val="4"/>
                <w:szCs w:val="4"/>
                <w:color w:val="auto"/>
              </w:rPr>
            </w:pPr>
          </w:p>
        </w:tc>
        <w:tc>
          <w:tcPr>
            <w:tcW w:w="2800" w:type="dxa"/>
            <w:vAlign w:val="bottom"/>
            <w:shd w:val="clear" w:color="auto" w:fill="0063A6"/>
          </w:tcPr>
          <w:p>
            <w:pPr>
              <w:spacing w:after="0"/>
              <w:rPr>
                <w:sz w:val="4"/>
                <w:szCs w:val="4"/>
                <w:color w:val="auto"/>
              </w:rPr>
            </w:pPr>
          </w:p>
        </w:tc>
        <w:tc>
          <w:tcPr>
            <w:tcW w:w="2580" w:type="dxa"/>
            <w:vAlign w:val="bottom"/>
            <w:shd w:val="clear" w:color="auto" w:fill="0063A6"/>
          </w:tcPr>
          <w:p>
            <w:pPr>
              <w:spacing w:after="0"/>
              <w:rPr>
                <w:sz w:val="4"/>
                <w:szCs w:val="4"/>
                <w:color w:val="auto"/>
              </w:rPr>
            </w:pPr>
          </w:p>
        </w:tc>
        <w:tc>
          <w:tcPr>
            <w:tcW w:w="3040" w:type="dxa"/>
            <w:vAlign w:val="bottom"/>
            <w:shd w:val="clear" w:color="auto" w:fill="0063A6"/>
          </w:tcPr>
          <w:p>
            <w:pPr>
              <w:spacing w:after="0"/>
              <w:rPr>
                <w:sz w:val="4"/>
                <w:szCs w:val="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Andrew W. Houston</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Donald W. Blair</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Lisa Campbell</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Paul E. Jacobs, Ph.D</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Sara Mathew</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Andrew Moore, Ph.D</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Abhay Parasnis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Karen Peacock</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Michael Seibel</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000" w:type="dxa"/>
            <w:vAlign w:val="bottom"/>
          </w:tcPr>
          <w:p>
            <w:pPr>
              <w:spacing w:after="0"/>
              <w:rPr>
                <w:sz w:val="20"/>
                <w:szCs w:val="20"/>
                <w:color w:val="auto"/>
              </w:rPr>
            </w:pPr>
            <w:r>
              <w:rPr>
                <w:rFonts w:ascii="Arial" w:cs="Arial" w:eastAsia="Arial" w:hAnsi="Arial"/>
                <w:sz w:val="16"/>
                <w:szCs w:val="16"/>
                <w:b w:val="1"/>
                <w:bCs w:val="1"/>
                <w:color w:val="auto"/>
              </w:rPr>
              <w:t>Number of Meetings</w:t>
            </w:r>
          </w:p>
        </w:tc>
        <w:tc>
          <w:tcPr>
            <w:tcW w:w="2760" w:type="dxa"/>
            <w:vAlign w:val="bottom"/>
          </w:tcPr>
          <w:p>
            <w:pPr>
              <w:jc w:val="right"/>
              <w:ind w:right="1459"/>
              <w:spacing w:after="0"/>
              <w:rPr>
                <w:sz w:val="20"/>
                <w:szCs w:val="20"/>
                <w:color w:val="auto"/>
              </w:rPr>
            </w:pPr>
            <w:r>
              <w:rPr>
                <w:rFonts w:ascii="Arial" w:cs="Arial" w:eastAsia="Arial" w:hAnsi="Arial"/>
                <w:sz w:val="16"/>
                <w:szCs w:val="16"/>
                <w:color w:val="auto"/>
              </w:rPr>
              <w:t>5</w:t>
            </w:r>
          </w:p>
        </w:tc>
        <w:tc>
          <w:tcPr>
            <w:tcW w:w="2980" w:type="dxa"/>
            <w:vAlign w:val="bottom"/>
          </w:tcPr>
          <w:p>
            <w:pPr>
              <w:jc w:val="right"/>
              <w:ind w:right="1619"/>
              <w:spacing w:after="0"/>
              <w:rPr>
                <w:sz w:val="20"/>
                <w:szCs w:val="20"/>
                <w:color w:val="auto"/>
              </w:rPr>
            </w:pPr>
            <w:r>
              <w:rPr>
                <w:rFonts w:ascii="Arial" w:cs="Arial" w:eastAsia="Arial" w:hAnsi="Arial"/>
                <w:sz w:val="16"/>
                <w:szCs w:val="16"/>
                <w:color w:val="auto"/>
              </w:rPr>
              <w:t>4</w:t>
            </w: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57"/>
        </w:trPr>
        <w:tc>
          <w:tcPr>
            <w:tcW w:w="3000" w:type="dxa"/>
            <w:vAlign w:val="bottom"/>
          </w:tcPr>
          <w:p>
            <w:pPr>
              <w:ind w:left="840"/>
              <w:spacing w:after="0"/>
              <w:rPr>
                <w:sz w:val="20"/>
                <w:szCs w:val="20"/>
                <w:color w:val="auto"/>
              </w:rPr>
            </w:pPr>
            <w:r>
              <w:rPr>
                <w:rFonts w:ascii="Arial" w:cs="Arial" w:eastAsia="Arial" w:hAnsi="Arial"/>
                <w:sz w:val="16"/>
                <w:szCs w:val="16"/>
                <w:color w:val="auto"/>
              </w:rPr>
              <w:t>Committee member</w:t>
            </w:r>
          </w:p>
        </w:tc>
        <w:tc>
          <w:tcPr>
            <w:tcW w:w="2760" w:type="dxa"/>
            <w:vAlign w:val="bottom"/>
          </w:tcPr>
          <w:p>
            <w:pPr>
              <w:jc w:val="right"/>
              <w:ind w:right="759"/>
              <w:spacing w:after="0"/>
              <w:rPr>
                <w:sz w:val="20"/>
                <w:szCs w:val="20"/>
                <w:color w:val="auto"/>
              </w:rPr>
            </w:pPr>
            <w:r>
              <w:rPr>
                <w:rFonts w:ascii="Arial" w:cs="Arial" w:eastAsia="Arial" w:hAnsi="Arial"/>
                <w:sz w:val="16"/>
                <w:szCs w:val="16"/>
                <w:color w:val="auto"/>
              </w:rPr>
              <w:t>Committee chair</w:t>
            </w:r>
          </w:p>
        </w:tc>
        <w:tc>
          <w:tcPr>
            <w:tcW w:w="2980" w:type="dxa"/>
            <w:vAlign w:val="bottom"/>
          </w:tcPr>
          <w:p>
            <w:pPr>
              <w:jc w:val="right"/>
              <w:ind w:right="919"/>
              <w:spacing w:after="0"/>
              <w:rPr>
                <w:sz w:val="20"/>
                <w:szCs w:val="20"/>
                <w:color w:val="auto"/>
              </w:rPr>
            </w:pPr>
            <w:r>
              <w:rPr>
                <w:rFonts w:ascii="Arial" w:cs="Arial" w:eastAsia="Arial" w:hAnsi="Arial"/>
                <w:sz w:val="16"/>
                <w:szCs w:val="16"/>
                <w:color w:val="auto"/>
              </w:rPr>
              <w:t>Financial expert</w:t>
            </w: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-177800</wp:posOffset>
            </wp:positionV>
            <wp:extent cx="10287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-177800</wp:posOffset>
            </wp:positionV>
            <wp:extent cx="102870"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10287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-177800</wp:posOffset>
            </wp:positionV>
            <wp:extent cx="137160"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11112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Audit Committee</w:t>
      </w:r>
    </w:p>
    <w:p>
      <w:pPr>
        <w:spacing w:after="0" w:line="100"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Our audit committee consists of Mr. Blair, Dr. Moore and Mss. Campbell and Mathew, with Mr. Blair serving as chair. Dr. Moore was appointed to the audit committee in December 2023. Each of the members of the audit committee meets the requirements for independence of audit committee members under Nasdaq listing rules and SEC rules and regulations and also meets the financial literacy and sophistication requirements of the Nasdaq listing rules. Our board of directors has determined that Mr. Blair and Ms. Mathew are audit committee financial experts within the meaning of Item 407(d) of Regulation S-K. Our audit committee is responsible for, among other things:</w:t>
      </w:r>
    </w:p>
    <w:p>
      <w:pPr>
        <w:spacing w:after="0" w:line="74"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selecting a qualified firm to serve as the independent registered public accounting firm to audit our financial statements;</w:t>
      </w:r>
    </w:p>
    <w:p>
      <w:pPr>
        <w:spacing w:after="0" w:line="99" w:lineRule="exact"/>
        <w:rPr>
          <w:rFonts w:ascii="Arial" w:cs="Arial" w:eastAsia="Arial" w:hAnsi="Arial"/>
          <w:sz w:val="16"/>
          <w:szCs w:val="16"/>
          <w:color w:val="0063A6"/>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helping to ensure the independence and overseeing performance of the independent registered public accounting firm;</w:t>
      </w:r>
    </w:p>
    <w:p>
      <w:pPr>
        <w:spacing w:after="0" w:line="113" w:lineRule="exact"/>
        <w:rPr>
          <w:rFonts w:ascii="Arial" w:cs="Arial" w:eastAsia="Arial" w:hAnsi="Arial"/>
          <w:sz w:val="16"/>
          <w:szCs w:val="16"/>
          <w:color w:val="0063A6"/>
        </w:rPr>
      </w:pPr>
    </w:p>
    <w:p>
      <w:pPr>
        <w:ind w:left="340" w:right="260" w:hanging="332"/>
        <w:spacing w:after="0" w:line="286" w:lineRule="auto"/>
        <w:tabs>
          <w:tab w:leader="none" w:pos="329"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reviewing and discussing the scope and results of the audit with the independent registered public accounting firm, and reviewing, with management, internal audit and the independent registered public accounting firm, our interim and year-end operating results;</w:t>
      </w:r>
    </w:p>
    <w:p>
      <w:pPr>
        <w:spacing w:after="0" w:line="47" w:lineRule="exact"/>
        <w:rPr>
          <w:rFonts w:ascii="Arial" w:cs="Arial" w:eastAsia="Arial" w:hAnsi="Arial"/>
          <w:sz w:val="16"/>
          <w:szCs w:val="16"/>
          <w:color w:val="0063A6"/>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reviewing our financial statements and our critical accounting policies and estimates;</w:t>
      </w:r>
    </w:p>
    <w:p>
      <w:pPr>
        <w:spacing w:after="0" w:line="113" w:lineRule="exact"/>
        <w:rPr>
          <w:rFonts w:ascii="Arial" w:cs="Arial" w:eastAsia="Arial" w:hAnsi="Arial"/>
          <w:sz w:val="16"/>
          <w:szCs w:val="16"/>
          <w:color w:val="0063A6"/>
        </w:rPr>
      </w:pPr>
    </w:p>
    <w:p>
      <w:pPr>
        <w:ind w:left="340" w:right="100" w:hanging="332"/>
        <w:spacing w:after="0" w:line="268" w:lineRule="auto"/>
        <w:tabs>
          <w:tab w:leader="none" w:pos="329"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overseeing and monitoring the integrity of our financial statements and our compliance with legal and regulatory requirements as they relate to financial statements or accounting matters;</w:t>
      </w:r>
    </w:p>
    <w:p>
      <w:pPr>
        <w:spacing w:after="0" w:line="61" w:lineRule="exact"/>
        <w:rPr>
          <w:rFonts w:ascii="Arial" w:cs="Arial" w:eastAsia="Arial" w:hAnsi="Arial"/>
          <w:sz w:val="16"/>
          <w:szCs w:val="16"/>
          <w:color w:val="0063A6"/>
        </w:rPr>
      </w:pPr>
    </w:p>
    <w:p>
      <w:pPr>
        <w:ind w:left="340" w:right="560" w:hanging="332"/>
        <w:spacing w:after="0" w:line="286" w:lineRule="auto"/>
        <w:tabs>
          <w:tab w:leader="none" w:pos="329"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overseeing programs and policies with respect to assessing and managing risks pertaining to our operational infrastructure, particularly reliability, business continuity, cybersecurity, and data privacy;</w:t>
      </w:r>
    </w:p>
    <w:p>
      <w:pPr>
        <w:spacing w:after="0" w:line="47" w:lineRule="exact"/>
        <w:rPr>
          <w:rFonts w:ascii="Arial" w:cs="Arial" w:eastAsia="Arial" w:hAnsi="Arial"/>
          <w:sz w:val="16"/>
          <w:szCs w:val="16"/>
          <w:color w:val="0063A6"/>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reviewing and approving any amendments to the internal audit charter;</w:t>
      </w:r>
    </w:p>
    <w:p>
      <w:pPr>
        <w:spacing w:after="0" w:line="113" w:lineRule="exact"/>
        <w:rPr>
          <w:rFonts w:ascii="Arial" w:cs="Arial" w:eastAsia="Arial" w:hAnsi="Arial"/>
          <w:sz w:val="16"/>
          <w:szCs w:val="16"/>
          <w:color w:val="auto"/>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reviewing the design, implementation, adequacy, and effectiveness of our internal controls;</w:t>
      </w:r>
    </w:p>
    <w:p>
      <w:pPr>
        <w:spacing w:after="0" w:line="99" w:lineRule="exact"/>
        <w:rPr>
          <w:rFonts w:ascii="Arial" w:cs="Arial" w:eastAsia="Arial" w:hAnsi="Arial"/>
          <w:sz w:val="16"/>
          <w:szCs w:val="16"/>
          <w:color w:val="0063A6"/>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overseeing the performance of our internal audit department, which functionally reports to the audit committee;</w:t>
      </w:r>
    </w:p>
    <w:p>
      <w:pPr>
        <w:spacing w:after="0" w:line="113" w:lineRule="exact"/>
        <w:rPr>
          <w:rFonts w:ascii="Arial" w:cs="Arial" w:eastAsia="Arial" w:hAnsi="Arial"/>
          <w:sz w:val="16"/>
          <w:szCs w:val="16"/>
          <w:color w:val="0063A6"/>
        </w:rPr>
      </w:pPr>
    </w:p>
    <w:p>
      <w:pPr>
        <w:ind w:left="340" w:right="60" w:hanging="332"/>
        <w:spacing w:after="0" w:line="286" w:lineRule="auto"/>
        <w:tabs>
          <w:tab w:leader="none" w:pos="329"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establishing and overseeing procedures for employees to submit concerns anonymously about questionable accounting, internal accounting controls, or audit matters;</w:t>
      </w:r>
    </w:p>
    <w:p>
      <w:pPr>
        <w:spacing w:after="0" w:line="47" w:lineRule="exact"/>
        <w:rPr>
          <w:rFonts w:ascii="Arial" w:cs="Arial" w:eastAsia="Arial" w:hAnsi="Arial"/>
          <w:sz w:val="16"/>
          <w:szCs w:val="16"/>
          <w:color w:val="0063A6"/>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overseeing management’s assessment and mitigation of enterprise risks;</w:t>
      </w:r>
    </w:p>
    <w:p>
      <w:pPr>
        <w:spacing w:after="0" w:line="113" w:lineRule="exact"/>
        <w:rPr>
          <w:rFonts w:ascii="Arial" w:cs="Arial" w:eastAsia="Arial" w:hAnsi="Arial"/>
          <w:sz w:val="16"/>
          <w:szCs w:val="16"/>
          <w:color w:val="0063A6"/>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overseeing compliance with our code of business conduct and ethics;</w:t>
      </w:r>
    </w:p>
    <w:p>
      <w:pPr>
        <w:spacing w:after="0" w:line="99" w:lineRule="exact"/>
        <w:rPr>
          <w:rFonts w:ascii="Arial" w:cs="Arial" w:eastAsia="Arial" w:hAnsi="Arial"/>
          <w:sz w:val="16"/>
          <w:szCs w:val="16"/>
          <w:color w:val="0063A6"/>
        </w:rPr>
      </w:pPr>
    </w:p>
    <w:p>
      <w:pPr>
        <w:ind w:left="320" w:hanging="312"/>
        <w:spacing w:after="0"/>
        <w:tabs>
          <w:tab w:leader="none" w:pos="320" w:val="left"/>
        </w:tabs>
        <w:numPr>
          <w:ilvl w:val="0"/>
          <w:numId w:val="23"/>
        </w:numPr>
        <w:rPr>
          <w:rFonts w:ascii="Arial" w:cs="Arial" w:eastAsia="Arial" w:hAnsi="Arial"/>
          <w:sz w:val="16"/>
          <w:szCs w:val="16"/>
          <w:color w:val="0063A6"/>
        </w:rPr>
      </w:pPr>
      <w:r>
        <w:rPr>
          <w:rFonts w:ascii="Arial" w:cs="Arial" w:eastAsia="Arial" w:hAnsi="Arial"/>
          <w:sz w:val="16"/>
          <w:szCs w:val="16"/>
          <w:color w:val="auto"/>
        </w:rPr>
        <w:t>reviewing and approving related party transactions; and</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580" w:hanging="554"/>
        <w:spacing w:after="0"/>
        <w:tabs>
          <w:tab w:leader="none" w:pos="580"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07"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6"/>
          <w:szCs w:val="16"/>
          <w:color w:val="0063A6"/>
        </w:rPr>
      </w:pPr>
      <w:r>
        <w:rPr>
          <w:rFonts w:ascii="Arial" w:cs="Arial" w:eastAsia="Arial" w:hAnsi="Arial"/>
          <w:sz w:val="16"/>
          <w:szCs w:val="16"/>
          <w:color w:val="auto"/>
        </w:rPr>
        <w:t>pre-approving all audit and all permissible non-audit services to be performed by the independent registered public accounting firm.</w:t>
      </w:r>
    </w:p>
    <w:p>
      <w:pPr>
        <w:spacing w:after="0" w:line="167"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Our audit committee operates under a written charter that satisfies the applicable rules and regulations of the SEC and the listing standards of Nasdaq. A copy of the charter for our audit committee is available on our website at investors.dropbox.com. During 2023, our audit committee held five meetings.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Talent and Compensation Committee</w:t>
      </w:r>
    </w:p>
    <w:p>
      <w:pPr>
        <w:spacing w:after="0" w:line="86"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Our talent and compensation committee consists of Mss. Mathew and Peacock and Messrs. Parasnis and Seibel, with Ms. Mathew serving as chair. Each member of the talent and compensation committee meets the requirements for independence for talent and compensation committee members under the listing standards of Nasdaq. Each member of our talent and compensation committee is also a non-employee director, as defined pursuant to Rule 16b-3 promulgated under the Securities Exchange Act of 1934, as amended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or Rule 16b-3. Our talent and compensation committee is responsible for, among other things:</w:t>
      </w:r>
    </w:p>
    <w:p>
      <w:pPr>
        <w:spacing w:after="0" w:line="128" w:lineRule="exact"/>
        <w:rPr>
          <w:sz w:val="20"/>
          <w:szCs w:val="20"/>
          <w:color w:val="auto"/>
        </w:rPr>
      </w:pPr>
    </w:p>
    <w:p>
      <w:pPr>
        <w:ind w:left="340" w:right="380" w:hanging="332"/>
        <w:spacing w:after="0" w:line="286" w:lineRule="auto"/>
        <w:tabs>
          <w:tab w:leader="none" w:pos="329" w:val="left"/>
        </w:tabs>
        <w:numPr>
          <w:ilvl w:val="0"/>
          <w:numId w:val="26"/>
        </w:numPr>
        <w:rPr>
          <w:rFonts w:ascii="Arial" w:cs="Arial" w:eastAsia="Arial" w:hAnsi="Arial"/>
          <w:sz w:val="16"/>
          <w:szCs w:val="16"/>
          <w:color w:val="0063A6"/>
        </w:rPr>
      </w:pPr>
      <w:r>
        <w:rPr>
          <w:rFonts w:ascii="Arial" w:cs="Arial" w:eastAsia="Arial" w:hAnsi="Arial"/>
          <w:sz w:val="16"/>
          <w:szCs w:val="16"/>
          <w:color w:val="auto"/>
        </w:rPr>
        <w:t>reviewing, approving, and determining, or making recommendations to our board of directors regarding, the compensation of our executive officers, including our Chief Executive Officer;</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26"/>
        </w:numPr>
        <w:rPr>
          <w:rFonts w:ascii="Arial" w:cs="Arial" w:eastAsia="Arial" w:hAnsi="Arial"/>
          <w:sz w:val="16"/>
          <w:szCs w:val="16"/>
          <w:color w:val="0063A6"/>
        </w:rPr>
      </w:pPr>
      <w:r>
        <w:rPr>
          <w:rFonts w:ascii="Arial" w:cs="Arial" w:eastAsia="Arial" w:hAnsi="Arial"/>
          <w:sz w:val="16"/>
          <w:szCs w:val="16"/>
          <w:color w:val="auto"/>
        </w:rPr>
        <w:t>reviewing, approving, and administering incentive compensation and equity compensation plans;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6"/>
        </w:numPr>
        <w:rPr>
          <w:rFonts w:ascii="Arial" w:cs="Arial" w:eastAsia="Arial" w:hAnsi="Arial"/>
          <w:sz w:val="16"/>
          <w:szCs w:val="16"/>
          <w:color w:val="0063A6"/>
        </w:rPr>
      </w:pPr>
      <w:r>
        <w:rPr>
          <w:rFonts w:ascii="Arial" w:cs="Arial" w:eastAsia="Arial" w:hAnsi="Arial"/>
          <w:sz w:val="16"/>
          <w:szCs w:val="16"/>
          <w:color w:val="auto"/>
        </w:rPr>
        <w:t>reviewing and approving our overall compensation philosophy;</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26"/>
        </w:numPr>
        <w:rPr>
          <w:rFonts w:ascii="Arial" w:cs="Arial" w:eastAsia="Arial" w:hAnsi="Arial"/>
          <w:sz w:val="16"/>
          <w:szCs w:val="16"/>
          <w:color w:val="0063A6"/>
        </w:rPr>
      </w:pPr>
      <w:r>
        <w:rPr>
          <w:rFonts w:ascii="Arial" w:cs="Arial" w:eastAsia="Arial" w:hAnsi="Arial"/>
          <w:sz w:val="16"/>
          <w:szCs w:val="16"/>
          <w:color w:val="auto"/>
        </w:rPr>
        <w:t>making recommendations regarding non-employee director compensation to our full board of directors; and</w:t>
      </w:r>
    </w:p>
    <w:p>
      <w:pPr>
        <w:spacing w:after="0" w:line="167" w:lineRule="exact"/>
        <w:rPr>
          <w:rFonts w:ascii="Arial" w:cs="Arial" w:eastAsia="Arial" w:hAnsi="Arial"/>
          <w:sz w:val="16"/>
          <w:szCs w:val="16"/>
          <w:color w:val="0063A6"/>
        </w:rPr>
      </w:pPr>
    </w:p>
    <w:p>
      <w:pPr>
        <w:ind w:left="340" w:right="1000" w:hanging="332"/>
        <w:spacing w:after="0" w:line="286" w:lineRule="auto"/>
        <w:tabs>
          <w:tab w:leader="none" w:pos="329" w:val="left"/>
        </w:tabs>
        <w:numPr>
          <w:ilvl w:val="0"/>
          <w:numId w:val="26"/>
        </w:numPr>
        <w:rPr>
          <w:rFonts w:ascii="Arial" w:cs="Arial" w:eastAsia="Arial" w:hAnsi="Arial"/>
          <w:sz w:val="16"/>
          <w:szCs w:val="16"/>
          <w:color w:val="0063A6"/>
        </w:rPr>
      </w:pPr>
      <w:r>
        <w:rPr>
          <w:rFonts w:ascii="Arial" w:cs="Arial" w:eastAsia="Arial" w:hAnsi="Arial"/>
          <w:sz w:val="16"/>
          <w:szCs w:val="16"/>
          <w:color w:val="auto"/>
        </w:rPr>
        <w:t>reviewing our human capital management disclosures and activities, including assisting our board with matters related to talent acquisition, management and development, employee engagement, and diversity and inclusion.</w:t>
      </w:r>
    </w:p>
    <w:p>
      <w:pPr>
        <w:spacing w:after="0" w:line="102"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Our talent and compensation committee operates under a written charter that satisfies the applicable rules and regulations of the SEC and the listing standards of Nasdaq. A copy of the charter for our talent and compensation committee is available on our website at investors.dropbox.com. During 2023, our talent and compensation committee held four meetings.</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Nominating and Corporate Governance Committee</w:t>
      </w:r>
    </w:p>
    <w:p>
      <w:pPr>
        <w:spacing w:after="0" w:line="100"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Our nominating and corporate governance committee consists of Ms. Campbell and Dr. Jacobs, with Dr. Jacobs serving as chair. Each member of the nominating and corporate governance committee meets the requirements for independence under the listing standards of Nasdaq. Our nominating and corporate governance committee is responsible for, among other things:</w:t>
      </w:r>
    </w:p>
    <w:p>
      <w:pPr>
        <w:spacing w:after="0" w:line="104" w:lineRule="exact"/>
        <w:rPr>
          <w:sz w:val="20"/>
          <w:szCs w:val="20"/>
          <w:color w:val="auto"/>
        </w:rPr>
      </w:pPr>
    </w:p>
    <w:p>
      <w:pPr>
        <w:ind w:left="340" w:right="740" w:hanging="332"/>
        <w:spacing w:after="0" w:line="286" w:lineRule="auto"/>
        <w:tabs>
          <w:tab w:leader="none" w:pos="329"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identifying, evaluating, and making recommendations to our board of directors regarding nominees for election to our board of directors and its committees;</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overseeing the evaluation of the performance of our board of directors and of individual directors;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overseeing our corporate governance practices;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reviewing succession planning processes for executive officers, including the CEO and assisting the board in the succession planning process;</w:t>
      </w:r>
    </w:p>
    <w:p>
      <w:pPr>
        <w:spacing w:after="0" w:line="167" w:lineRule="exact"/>
        <w:rPr>
          <w:rFonts w:ascii="Arial" w:cs="Arial" w:eastAsia="Arial" w:hAnsi="Arial"/>
          <w:sz w:val="16"/>
          <w:szCs w:val="16"/>
          <w:color w:val="auto"/>
        </w:rPr>
      </w:pPr>
    </w:p>
    <w:p>
      <w:pPr>
        <w:ind w:left="320" w:hanging="312"/>
        <w:spacing w:after="0"/>
        <w:tabs>
          <w:tab w:leader="none" w:pos="320"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developing and making recommendations to our board of directors regarding corporate governance guidelines and matters; and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27"/>
        </w:numPr>
        <w:rPr>
          <w:rFonts w:ascii="Arial" w:cs="Arial" w:eastAsia="Arial" w:hAnsi="Arial"/>
          <w:sz w:val="16"/>
          <w:szCs w:val="16"/>
          <w:color w:val="0063A6"/>
        </w:rPr>
      </w:pPr>
      <w:r>
        <w:rPr>
          <w:rFonts w:ascii="Arial" w:cs="Arial" w:eastAsia="Arial" w:hAnsi="Arial"/>
          <w:sz w:val="16"/>
          <w:szCs w:val="16"/>
          <w:color w:val="auto"/>
        </w:rPr>
        <w:t>overseeing our environmental, social and governance (“</w:t>
      </w:r>
      <w:r>
        <w:rPr>
          <w:rFonts w:ascii="Arial" w:cs="Arial" w:eastAsia="Arial" w:hAnsi="Arial"/>
          <w:sz w:val="16"/>
          <w:szCs w:val="16"/>
          <w:b w:val="1"/>
          <w:bCs w:val="1"/>
          <w:i w:val="1"/>
          <w:iCs w:val="1"/>
          <w:color w:val="auto"/>
        </w:rPr>
        <w:t>ESG</w:t>
      </w:r>
      <w:r>
        <w:rPr>
          <w:rFonts w:ascii="Arial" w:cs="Arial" w:eastAsia="Arial" w:hAnsi="Arial"/>
          <w:sz w:val="16"/>
          <w:szCs w:val="16"/>
          <w:color w:val="auto"/>
        </w:rPr>
        <w:t>”) activities, programs and disclosures.</w:t>
      </w:r>
    </w:p>
    <w:p>
      <w:pPr>
        <w:spacing w:after="0" w:line="167"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Our nominating and corporate governance committee operates under a written charter that satisfies the applicable Nasdaq listing standards. A copy of the charter for our nominating and corporate governance committee is available on our website at investors.dropbox.com. During 2023, our nominating and corporate governance committee held four meetings.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4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6"/>
          <w:szCs w:val="26"/>
          <w:color w:val="0063A6"/>
        </w:rPr>
        <w:t>Attendance at Board and Stockholder Meetings</w:t>
      </w:r>
    </w:p>
    <w:p>
      <w:pPr>
        <w:spacing w:after="0" w:line="16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During our fiscal year ended December 31, 2023, our board of directors held eight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w:t>
      </w:r>
    </w:p>
    <w:p>
      <w:pPr>
        <w:spacing w:after="0" w:line="12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annual meetings of stockholders, we strongly encourage, but do not require, our directors to attend. All except one of our directors who then served on the board attended our 2023 annual meeting of our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26"/>
          <w:szCs w:val="26"/>
          <w:color w:val="0063A6"/>
        </w:rPr>
        <w:t>Compensation Committee Interlocks and Insider Participation</w:t>
      </w:r>
    </w:p>
    <w:p>
      <w:pPr>
        <w:spacing w:after="0" w:line="165"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None of the members of our talent and compensation committee is or has been an officer or employee of our company. None of our executive officers currently serves, or in the past year has served, as a member of the board of directors or talent and compensation committee (or other board committee performing equivalent functions) of any entity that has one or more of its executive officers serving on our board of directors or talent and compensation committee.</w:t>
      </w:r>
    </w:p>
    <w:p>
      <w:pPr>
        <w:spacing w:after="0" w:line="200" w:lineRule="exact"/>
        <w:rPr>
          <w:sz w:val="20"/>
          <w:szCs w:val="20"/>
          <w:color w:val="auto"/>
        </w:rPr>
      </w:pPr>
    </w:p>
    <w:p>
      <w:pPr>
        <w:spacing w:after="0"/>
        <w:rPr>
          <w:sz w:val="20"/>
          <w:szCs w:val="20"/>
          <w:color w:val="auto"/>
        </w:rPr>
      </w:pPr>
      <w:r>
        <w:rPr>
          <w:rFonts w:ascii="Arial" w:cs="Arial" w:eastAsia="Arial" w:hAnsi="Arial"/>
          <w:sz w:val="26"/>
          <w:szCs w:val="26"/>
          <w:color w:val="0063A6"/>
        </w:rPr>
        <w:t>Considerations in Evaluating Director Nominees</w:t>
      </w:r>
    </w:p>
    <w:p>
      <w:pPr>
        <w:spacing w:after="0" w:line="165"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Our nominating and corporate governance committee uses a variety of methods, including engaging the services of outside consultants and search firms, to identify and evaluate director nominees. In its evaluation of director candidates, our nominating and corporate governance committee considers the current size and composition, organization, and governance of our board of directors and the needs of our board of directors and the respective committees of our board of directors. Some of the qualifications that our nominating and corporate governance committee considers include, without limitation, issues of character, integrity, judgment, business experience, and diversity, and with respect to diversity, such factors as gender, race, ethnicity, sexual orientation, gender identity, differences in professional background, education, skill and other individual qualities and attributes that contribute to the total mix of viewpoints and experience represented on the board of directors, potential conflicts of interest and other commitments. Nominees must also have the highest personal and professional ethics and the ability to offer advice and guidance to our Chief Executive Officer and other members of management based on proven achievement and leadership in the companies or institutions with which they are affiliated. Director candidates must understand the fiduciary responsibilities that are required of a member of our board of directors and have sufficient time available, in the judgment of our nominating and corporate governance committee, to perform all board of director and applicable committee responsibilities. Members of our board of directors are expected to prepare for, attend, and participate in all board of directors and applicable committee meetings. Our nominating and corporate governance committee may also consider such other factors as it may deem, from time to time, are in our and our stockholders’ best interests.</w:t>
      </w:r>
    </w:p>
    <w:p>
      <w:pPr>
        <w:spacing w:after="0" w:line="14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nominating and corporate governance committee considers the suitability of each director candidate, including current directors, in light of the current size and composition of our board. Although we do not maintain a specific policy with respect to board diversity, our board of directors believes that our board of directors should be a diverse body, and our nominating and corporate governance committee considers a broad range of backgrounds and experiences. In making determinations regarding nominations of directors, our nominating and corporate governance committee may take into account the benefits of diverse viewpoints. After completing its review and evaluation of director candidates, including incumbent directors, our nominating and corporate governance committee recommends to our full board of directors the director nominees for selection.</w:t>
      </w:r>
    </w:p>
    <w:p>
      <w:pPr>
        <w:spacing w:after="0" w:line="204" w:lineRule="exact"/>
        <w:rPr>
          <w:sz w:val="20"/>
          <w:szCs w:val="20"/>
          <w:color w:val="auto"/>
        </w:rPr>
      </w:pPr>
    </w:p>
    <w:p>
      <w:pPr>
        <w:spacing w:after="0"/>
        <w:rPr>
          <w:sz w:val="20"/>
          <w:szCs w:val="20"/>
          <w:color w:val="auto"/>
        </w:rPr>
      </w:pPr>
      <w:r>
        <w:rPr>
          <w:rFonts w:ascii="Arial" w:cs="Arial" w:eastAsia="Arial" w:hAnsi="Arial"/>
          <w:sz w:val="26"/>
          <w:szCs w:val="26"/>
          <w:color w:val="0063A6"/>
        </w:rPr>
        <w:t>Board Evaluations</w:t>
      </w:r>
    </w:p>
    <w:p>
      <w:pPr>
        <w:spacing w:after="0" w:line="16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effectiveness of our board of directors and its committees is critical to our success. To maintain and improve that effectiveness, our nominating and corporate governance committee, in partnership with our lead independent director, oversees the design and implementation of an annual assessment of our board and its committees.</w:t>
      </w:r>
    </w:p>
    <w:p>
      <w:pPr>
        <w:spacing w:after="0" w:line="117"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Our board of directors engaged a third-party board governance consultant (the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to help enhance this assessment process. Our board of directors believes that the third-party Consultant strengthens the board's effectiveness as the Consultant brings broad market insight and an objective, candid perspective on a wide range of governance matters, including board dynamics, structure and composition, meeting agendas, decision-making and overall effectiveness. The Consultant prepared a written survey in close partnership with our nominating and governance committee, in-house legal team, and lead independent director. This survey contained a mix of statements and open-ended questions. The Consultant then consolidated this feedback and led a discussion with the board regarding results and opportunities to increase effectiveness.</w:t>
      </w:r>
    </w:p>
    <w:p>
      <w:pPr>
        <w:spacing w:after="0" w:line="200" w:lineRule="exact"/>
        <w:rPr>
          <w:sz w:val="20"/>
          <w:szCs w:val="20"/>
          <w:color w:val="auto"/>
        </w:rPr>
      </w:pPr>
    </w:p>
    <w:p>
      <w:pPr>
        <w:spacing w:after="0" w:line="311" w:lineRule="exact"/>
        <w:rPr>
          <w:sz w:val="20"/>
          <w:szCs w:val="20"/>
          <w:color w:val="auto"/>
        </w:rPr>
      </w:pPr>
    </w:p>
    <w:p>
      <w:pPr>
        <w:ind w:left="580" w:hanging="554"/>
        <w:spacing w:after="0"/>
        <w:tabs>
          <w:tab w:leader="none" w:pos="58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Our board of directors and its committees implement improvements and take further actions, as appropriate, based on opportunities identified during its evaluation.</w:t>
      </w:r>
    </w:p>
    <w:p>
      <w:pPr>
        <w:spacing w:after="0" w:line="218" w:lineRule="exact"/>
        <w:rPr>
          <w:sz w:val="20"/>
          <w:szCs w:val="20"/>
          <w:color w:val="auto"/>
        </w:rPr>
      </w:pPr>
    </w:p>
    <w:p>
      <w:pPr>
        <w:spacing w:after="0"/>
        <w:rPr>
          <w:sz w:val="20"/>
          <w:szCs w:val="20"/>
          <w:color w:val="auto"/>
        </w:rPr>
      </w:pPr>
      <w:r>
        <w:rPr>
          <w:rFonts w:ascii="Arial" w:cs="Arial" w:eastAsia="Arial" w:hAnsi="Arial"/>
          <w:sz w:val="26"/>
          <w:szCs w:val="26"/>
          <w:color w:val="0063A6"/>
        </w:rPr>
        <w:t>Stockholder Recommendations and Nominations to the Board of Directors</w:t>
      </w:r>
    </w:p>
    <w:p>
      <w:pPr>
        <w:spacing w:after="0" w:line="165"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Our nominating and corporate governance committee will consider director candidates recommended by stockholders holding at least one percent (1%) of the fully diluted capitalization of the company continuously for at least 12 months prior to the date of the submission of the recommendation, so long as such recommendations comply with our amended and restated certificate of incorporation, amended and restated bylaws, and applicable laws, rules and regulations, including those promulgated by the SEC. Our nominating and corporate governance committee will evaluate such recommendations in accordance with its charter, our amended and restated bylaws and our policies and procedures for director candidates, as well as the regular director nominee criteria described above. This process is designed to ensure that our board of directors includes members with diverse backgrounds, skills, and experience, including appropriate financial and other expertise relevant to our business. Eligible stockholders wishing to recommend a candidate for nomination should contact our Corporate Secretary or legal department in writing. Such recommendations must include information about the candidate, a statement of support by the recommending stockholder, evidence of the recommending stockholder’s ownership of our capital stock, a signed letter from the candidate confirming willingness to serve on our board of directors and any additional information required by our amended and restated bylaws. Our nominating and corporate governance committee has discretion to decide which individuals to recommend for nomination as directors.</w:t>
      </w:r>
    </w:p>
    <w:p>
      <w:pPr>
        <w:spacing w:after="0" w:line="131"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Under our amended and restated bylaws, stockholders may also directly nominate persons for our board of directors. Any nomination must comply with the requirements set forth in our amended and restated bylaws and should be sent in writing to our Corporate Secretary at Dropbox, Inc., 1800 Owens Street San Francisco, California 94158. To be timely for the 2025 annual meeting of stockholders, nominations must be received by our Corporate Secretary observing the same deadlines for stockholder proposals discussed above under “</w:t>
      </w:r>
      <w:r>
        <w:rPr>
          <w:rFonts w:ascii="Arial" w:cs="Arial" w:eastAsia="Arial" w:hAnsi="Arial"/>
          <w:sz w:val="16"/>
          <w:szCs w:val="16"/>
          <w:i w:val="1"/>
          <w:iCs w:val="1"/>
          <w:color w:val="auto"/>
        </w:rPr>
        <w:t>What is the deadline to propose actions for consideration at next year’s</w:t>
      </w:r>
      <w:r>
        <w:rPr>
          <w:rFonts w:ascii="Arial" w:cs="Arial" w:eastAsia="Arial" w:hAnsi="Arial"/>
          <w:sz w:val="16"/>
          <w:szCs w:val="16"/>
          <w:color w:val="auto"/>
        </w:rPr>
        <w:t xml:space="preserve"> </w:t>
      </w:r>
      <w:r>
        <w:rPr>
          <w:rFonts w:ascii="Arial" w:cs="Arial" w:eastAsia="Arial" w:hAnsi="Arial"/>
          <w:sz w:val="16"/>
          <w:szCs w:val="16"/>
          <w:i w:val="1"/>
          <w:iCs w:val="1"/>
          <w:color w:val="auto"/>
        </w:rPr>
        <w:t>annual meeting of stockholders or to nominate individuals to serve as directors? – Stockholder Proposals.</w:t>
      </w:r>
      <w:r>
        <w:rPr>
          <w:rFonts w:ascii="Arial" w:cs="Arial" w:eastAsia="Arial" w:hAnsi="Arial"/>
          <w:sz w:val="16"/>
          <w:szCs w:val="16"/>
          <w:color w:val="auto"/>
        </w:rPr>
        <w:t>”</w:t>
      </w:r>
    </w:p>
    <w:p>
      <w:pPr>
        <w:spacing w:after="0" w:line="244" w:lineRule="exact"/>
        <w:rPr>
          <w:sz w:val="20"/>
          <w:szCs w:val="20"/>
          <w:color w:val="auto"/>
        </w:rPr>
      </w:pPr>
    </w:p>
    <w:p>
      <w:pPr>
        <w:spacing w:after="0"/>
        <w:rPr>
          <w:sz w:val="20"/>
          <w:szCs w:val="20"/>
          <w:color w:val="auto"/>
        </w:rPr>
      </w:pPr>
      <w:r>
        <w:rPr>
          <w:rFonts w:ascii="Arial" w:cs="Arial" w:eastAsia="Arial" w:hAnsi="Arial"/>
          <w:sz w:val="26"/>
          <w:szCs w:val="26"/>
          <w:color w:val="0063A6"/>
        </w:rPr>
        <w:t>Communications with the Board of Directors</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Interested parties wishing to communicate with non-management members of our board of directors may do so by writing and mailing the correspondence to our Corporate Secretary at Dropbox, Inc., 1800 Owens Street, San Francisco, California 94158. Each communication should set forth (i) the name and address of the stockholder, as it appears on our books, and if the shares of our common stock are held by a broker, bank or nominee, the name and address of the beneficial owner of such shares, and (ii) the class and number of shares of our common stock that are owned of record by the record holder and beneficially by the beneficial owner.</w:t>
      </w:r>
    </w:p>
    <w:p>
      <w:pPr>
        <w:spacing w:after="0" w:line="11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Our Corporate Secretary or legal department, in consultation with appropriate members of our board of directors as necessary, will review all incoming communications and, if appropriate, such communications will be forwarded to the appropriate member or members of our board of directors, or if none are specified, to the chair of our board of directors.</w:t>
      </w:r>
    </w:p>
    <w:p>
      <w:pPr>
        <w:spacing w:after="0" w:line="11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This procedure does not apply to (i) communications to non-management directors from our officers or directors who are stockholders or (ii) stockholder proposals submitted pursuant to Rule 14a-8 under the Exchange Act, which are discussed further in the section titled “</w:t>
      </w:r>
      <w:r>
        <w:rPr>
          <w:rFonts w:ascii="Arial" w:cs="Arial" w:eastAsia="Arial" w:hAnsi="Arial"/>
          <w:sz w:val="16"/>
          <w:szCs w:val="16"/>
          <w:i w:val="1"/>
          <w:iCs w:val="1"/>
          <w:color w:val="auto"/>
        </w:rPr>
        <w:t>What is the deadline to propose</w:t>
      </w:r>
      <w:r>
        <w:rPr>
          <w:rFonts w:ascii="Arial" w:cs="Arial" w:eastAsia="Arial" w:hAnsi="Arial"/>
          <w:sz w:val="16"/>
          <w:szCs w:val="16"/>
          <w:color w:val="auto"/>
        </w:rPr>
        <w:t xml:space="preserve"> </w:t>
      </w:r>
      <w:r>
        <w:rPr>
          <w:rFonts w:ascii="Arial" w:cs="Arial" w:eastAsia="Arial" w:hAnsi="Arial"/>
          <w:sz w:val="16"/>
          <w:szCs w:val="16"/>
          <w:i w:val="1"/>
          <w:iCs w:val="1"/>
          <w:color w:val="auto"/>
        </w:rPr>
        <w:t>actions for consideration at next year’s annual meeting of stockholders or to nominate individuals to serve as directors?—Stockholder Proposals</w:t>
      </w:r>
      <w:r>
        <w:rPr>
          <w:rFonts w:ascii="Arial" w:cs="Arial" w:eastAsia="Arial" w:hAnsi="Arial"/>
          <w:sz w:val="16"/>
          <w:szCs w:val="16"/>
          <w:color w:val="auto"/>
        </w:rPr>
        <w:t>”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in this proxy statement.</w:t>
      </w:r>
    </w:p>
    <w:p>
      <w:pPr>
        <w:spacing w:after="0" w:line="245" w:lineRule="exact"/>
        <w:rPr>
          <w:sz w:val="20"/>
          <w:szCs w:val="20"/>
          <w:color w:val="auto"/>
        </w:rPr>
      </w:pPr>
    </w:p>
    <w:p>
      <w:pPr>
        <w:spacing w:after="0"/>
        <w:rPr>
          <w:sz w:val="20"/>
          <w:szCs w:val="20"/>
          <w:color w:val="auto"/>
        </w:rPr>
      </w:pPr>
      <w:r>
        <w:rPr>
          <w:rFonts w:ascii="Arial" w:cs="Arial" w:eastAsia="Arial" w:hAnsi="Arial"/>
          <w:sz w:val="26"/>
          <w:szCs w:val="26"/>
          <w:color w:val="0063A6"/>
        </w:rPr>
        <w:t>Corporate Governance Guidelines and Code of Business Conduct and Ethics</w:t>
      </w:r>
    </w:p>
    <w:p>
      <w:pPr>
        <w:spacing w:after="0" w:line="179"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Our board of directors has adopted Corporate Governance Guidelines that address items such as the qualifications and responsibilities of our directors and director candidates, including independence standards, and corporate governance policies and standards applicable to us in general. In addition, our board of directors has adopted a Code of Business Conduct and Ethics that applies to all of our employees, officers, independent contractors and directors, including our Chief Executive Officer, Chief Financial Officer and other executive and senior financial officers. The full text of our Corporate Governance Guidelines and our Code of Business Conduct and Ethics is posted on our website at investors.dropbox.com. We will post amendments to our Code of Business Conduct and Ethics or any waivers of our Code of Business Conduct and Ethics for directors and executive officers on the same website or in filings under the Exchange Act.</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6"/>
          <w:szCs w:val="26"/>
          <w:color w:val="0063A6"/>
        </w:rPr>
        <w:t>Stock Ownership Guidelines</w:t>
      </w:r>
    </w:p>
    <w:p>
      <w:pPr>
        <w:spacing w:after="0" w:line="179"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The talent and compensation committee of our board of directors adopted stock ownership guidelines for our independent directors and executive officers. Under these guidelines, all independent directors are required to acquire and own stock or stock equivalents in an amount equal to five times their annual cash retainers for service on the board, excluding any cash retainers for committee or chair service or service as lead independent director. For these purposes, owned stock includes any shares of stock owned directly or indirectly by the covered individual, but does not include unexercised, unvested or unearned equity awards (including unexercised stock options). Independent directors are required to meet the ownership requirements within five years of the later of (i) December 1, 2023, or such later date as specified in the stock ownership guidelines or (ii) such independent director's appointment or election date, as applicable. All of our independent directors are in compliance with the applicable ownership requirements or are not yet required to meet the applicable ownership requirements pursuant to the stock ownership guidelines. For a description of the stock ownership guidelines applicable to our executive officers, refer to "</w:t>
      </w:r>
      <w:r>
        <w:rPr>
          <w:rFonts w:ascii="Arial" w:cs="Arial" w:eastAsia="Arial" w:hAnsi="Arial"/>
          <w:sz w:val="16"/>
          <w:szCs w:val="16"/>
          <w:i w:val="1"/>
          <w:iCs w:val="1"/>
          <w:color w:val="auto"/>
        </w:rPr>
        <w:t>Executive Compensation — Compensation Discussion and Analysis — Stock Ownership Guidelines".</w:t>
      </w:r>
    </w:p>
    <w:p>
      <w:pPr>
        <w:spacing w:after="0" w:line="208" w:lineRule="exact"/>
        <w:rPr>
          <w:sz w:val="20"/>
          <w:szCs w:val="20"/>
          <w:color w:val="auto"/>
        </w:rPr>
      </w:pPr>
    </w:p>
    <w:p>
      <w:pPr>
        <w:spacing w:after="0"/>
        <w:rPr>
          <w:sz w:val="20"/>
          <w:szCs w:val="20"/>
          <w:color w:val="auto"/>
        </w:rPr>
      </w:pPr>
      <w:r>
        <w:rPr>
          <w:rFonts w:ascii="Arial" w:cs="Arial" w:eastAsia="Arial" w:hAnsi="Arial"/>
          <w:sz w:val="26"/>
          <w:szCs w:val="26"/>
          <w:color w:val="0063A6"/>
        </w:rPr>
        <w:t>Role of Board in Risk Oversight Process</w:t>
      </w:r>
    </w:p>
    <w:p>
      <w:pPr>
        <w:spacing w:after="0" w:line="179" w:lineRule="exact"/>
        <w:rPr>
          <w:sz w:val="20"/>
          <w:szCs w:val="20"/>
          <w:color w:val="auto"/>
        </w:rPr>
      </w:pPr>
    </w:p>
    <w:p>
      <w:pPr>
        <w:ind w:right="300"/>
        <w:spacing w:after="0" w:line="247" w:lineRule="auto"/>
        <w:rPr>
          <w:sz w:val="20"/>
          <w:szCs w:val="20"/>
          <w:color w:val="auto"/>
        </w:rPr>
      </w:pPr>
      <w:r>
        <w:rPr>
          <w:rFonts w:ascii="Arial" w:cs="Arial" w:eastAsia="Arial" w:hAnsi="Arial"/>
          <w:sz w:val="16"/>
          <w:szCs w:val="16"/>
          <w:color w:val="auto"/>
        </w:rPr>
        <w:t>Risk is inherent with every business, and we face a number of risks, including strategic, financial, business and operational, legal and compliance, and reputational, in the pursuit and achievement of our strategic objectives. We have designed and implemented processes to manage risk in our operations. Management is responsible for the day-to-day oversight and management of these risks, while our board of directors, as a whole and assisted by its committees, has responsibility for the oversight of our risk management framework, which is designed to identify, assess, and manage risks to which our company is exposed, as well as to foster a corporate culture of integrity. Consistent with this approach, our board and its committees regularly review our strategic and operational risks in the context of discussions with management, question and answer sessions, and reports from the management team, outside advisors, and consultants.</w:t>
      </w:r>
    </w:p>
    <w:p>
      <w:pPr>
        <w:spacing w:after="0" w:line="13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 addition, our board has designated standing committees with oversight of certain categories of risk and receives regular reports on significant risk-related committee activities at full board meetings. Delegated committee oversight of specific risks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420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54"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0063A6"/>
        </w:rPr>
        <w:t>Audit</w:t>
      </w:r>
    </w:p>
    <w:p>
      <w:pPr>
        <w:spacing w:after="0" w:line="26"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0063A6"/>
        </w:rPr>
        <w:t>Committee</w:t>
      </w:r>
    </w:p>
    <w:p>
      <w:pPr>
        <w:spacing w:after="0" w:line="185" w:lineRule="exact"/>
        <w:rPr>
          <w:sz w:val="20"/>
          <w:szCs w:val="20"/>
          <w:color w:val="auto"/>
        </w:rPr>
      </w:pPr>
    </w:p>
    <w:p>
      <w:pPr>
        <w:ind w:left="20" w:right="80"/>
        <w:spacing w:after="0" w:line="253" w:lineRule="auto"/>
        <w:rPr>
          <w:sz w:val="20"/>
          <w:szCs w:val="20"/>
          <w:color w:val="auto"/>
        </w:rPr>
      </w:pPr>
      <w:r>
        <w:rPr>
          <w:rFonts w:ascii="Arial" w:cs="Arial" w:eastAsia="Arial" w:hAnsi="Arial"/>
          <w:sz w:val="16"/>
          <w:szCs w:val="16"/>
          <w:color w:val="auto"/>
        </w:rPr>
        <w:t>Our audit committee assists our board in fulfilling its oversight responsibilities with respect to risk management in the areas of internal control over financial reporting and disclosure controls and procedures, as well as legal and regulatory compliance. The audit committee further oversees our initiatives related to our operational infrastructure, particularly reliability, business continuity, cybersecurity, and data privacy. Our audit committee also, among other things, discusses with management and the independent auditor guidelines with respect to risk assessment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184785</wp:posOffset>
            </wp:positionV>
            <wp:extent cx="17145" cy="3517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 cy="35179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380" w:type="dxa"/>
            <w:vAlign w:val="bottom"/>
            <w:shd w:val="clear" w:color="auto" w:fill="E5EFFD"/>
          </w:tcPr>
          <w:p>
            <w:pPr>
              <w:jc w:val="center"/>
              <w:ind w:left="72"/>
              <w:spacing w:after="0"/>
              <w:rPr>
                <w:sz w:val="20"/>
                <w:szCs w:val="20"/>
                <w:color w:val="auto"/>
              </w:rPr>
            </w:pPr>
            <w:r>
              <w:rPr>
                <w:rFonts w:ascii="Arial" w:cs="Arial" w:eastAsia="Arial" w:hAnsi="Arial"/>
                <w:sz w:val="22"/>
                <w:szCs w:val="22"/>
                <w:b w:val="1"/>
                <w:bCs w:val="1"/>
                <w:color w:val="0063A6"/>
                <w:w w:val="98"/>
              </w:rPr>
              <w:t>Talent and Compensation</w:t>
            </w:r>
          </w:p>
        </w:tc>
        <w:tc>
          <w:tcPr>
            <w:tcW w:w="5860" w:type="dxa"/>
            <w:vAlign w:val="bottom"/>
            <w:shd w:val="clear" w:color="auto" w:fill="E5EFFD"/>
          </w:tcPr>
          <w:p>
            <w:pPr>
              <w:jc w:val="center"/>
              <w:ind w:left="92"/>
              <w:spacing w:after="0"/>
              <w:rPr>
                <w:sz w:val="20"/>
                <w:szCs w:val="20"/>
                <w:color w:val="auto"/>
              </w:rPr>
            </w:pPr>
            <w:r>
              <w:rPr>
                <w:rFonts w:ascii="Arial" w:cs="Arial" w:eastAsia="Arial" w:hAnsi="Arial"/>
                <w:sz w:val="22"/>
                <w:szCs w:val="22"/>
                <w:b w:val="1"/>
                <w:bCs w:val="1"/>
                <w:color w:val="0063A6"/>
                <w:w w:val="97"/>
              </w:rPr>
              <w:t>Nominating and</w:t>
            </w:r>
          </w:p>
        </w:tc>
      </w:tr>
      <w:tr>
        <w:trPr>
          <w:trHeight w:val="298"/>
        </w:trPr>
        <w:tc>
          <w:tcPr>
            <w:tcW w:w="5380" w:type="dxa"/>
            <w:vAlign w:val="bottom"/>
            <w:shd w:val="clear" w:color="auto" w:fill="E5EFFD"/>
          </w:tcPr>
          <w:p>
            <w:pPr>
              <w:jc w:val="center"/>
              <w:ind w:left="132"/>
              <w:spacing w:after="0"/>
              <w:rPr>
                <w:sz w:val="20"/>
                <w:szCs w:val="20"/>
                <w:color w:val="auto"/>
              </w:rPr>
            </w:pPr>
            <w:r>
              <w:rPr>
                <w:rFonts w:ascii="Arial" w:cs="Arial" w:eastAsia="Arial" w:hAnsi="Arial"/>
                <w:sz w:val="22"/>
                <w:szCs w:val="22"/>
                <w:b w:val="1"/>
                <w:bCs w:val="1"/>
                <w:color w:val="0063A6"/>
                <w:w w:val="96"/>
              </w:rPr>
              <w:t>Committee</w:t>
            </w:r>
          </w:p>
        </w:tc>
        <w:tc>
          <w:tcPr>
            <w:tcW w:w="5860" w:type="dxa"/>
            <w:vAlign w:val="bottom"/>
            <w:shd w:val="clear" w:color="auto" w:fill="E5EFFD"/>
          </w:tcPr>
          <w:p>
            <w:pPr>
              <w:jc w:val="center"/>
              <w:ind w:left="152"/>
              <w:spacing w:after="0"/>
              <w:rPr>
                <w:sz w:val="20"/>
                <w:szCs w:val="20"/>
                <w:color w:val="auto"/>
              </w:rPr>
            </w:pPr>
            <w:r>
              <w:rPr>
                <w:rFonts w:ascii="Arial" w:cs="Arial" w:eastAsia="Arial" w:hAnsi="Arial"/>
                <w:sz w:val="22"/>
                <w:szCs w:val="22"/>
                <w:b w:val="1"/>
                <w:bCs w:val="1"/>
                <w:color w:val="0063A6"/>
                <w:w w:val="98"/>
              </w:rPr>
              <w:t>Corporate Governance Committee</w:t>
            </w:r>
          </w:p>
        </w:tc>
      </w:tr>
    </w:tbl>
    <w:p>
      <w:pPr>
        <w:spacing w:after="0" w:line="107" w:lineRule="exact"/>
        <w:rPr>
          <w:sz w:val="20"/>
          <w:szCs w:val="20"/>
          <w:color w:val="auto"/>
        </w:rPr>
      </w:pPr>
    </w:p>
    <w:p>
      <w:pPr>
        <w:sectPr>
          <w:pgSz w:w="11900" w:h="16838" w:orient="portrait"/>
          <w:cols w:equalWidth="0" w:num="1">
            <w:col w:w="11240"/>
          </w:cols>
          <w:pgMar w:left="320" w:top="114" w:right="339" w:bottom="1440" w:gutter="0" w:footer="0" w:header="0"/>
        </w:sectPr>
      </w:pPr>
    </w:p>
    <w:p>
      <w:pPr>
        <w:ind w:left="20"/>
        <w:spacing w:after="0" w:line="252" w:lineRule="auto"/>
        <w:rPr>
          <w:sz w:val="20"/>
          <w:szCs w:val="20"/>
          <w:color w:val="auto"/>
        </w:rPr>
      </w:pPr>
      <w:r>
        <w:rPr>
          <w:rFonts w:ascii="Arial" w:cs="Arial" w:eastAsia="Arial" w:hAnsi="Arial"/>
          <w:sz w:val="16"/>
          <w:szCs w:val="16"/>
          <w:color w:val="auto"/>
        </w:rPr>
        <w:t>Our talent and compensation committee assesses risks relating to our executive compensation plans and arrangements, and whether our compensation policies and programs have the potential to encourage excessive risk-taking. Our talent and compensation committee also oversees our human capital management activities and related risks.</w:t>
      </w:r>
    </w:p>
    <w:p>
      <w:pPr>
        <w:spacing w:after="0" w:line="20" w:lineRule="exact"/>
        <w:rPr>
          <w:sz w:val="20"/>
          <w:szCs w:val="20"/>
          <w:color w:val="auto"/>
        </w:rPr>
      </w:pPr>
      <w:r>
        <w:rPr>
          <w:sz w:val="20"/>
          <w:szCs w:val="20"/>
          <w:color w:val="auto"/>
        </w:rPr>
        <w:br w:type="column"/>
      </w:r>
    </w:p>
    <w:p>
      <w:pPr>
        <w:ind w:right="80"/>
        <w:spacing w:after="0" w:line="253" w:lineRule="auto"/>
        <w:rPr>
          <w:sz w:val="20"/>
          <w:szCs w:val="20"/>
          <w:color w:val="auto"/>
        </w:rPr>
      </w:pPr>
      <w:r>
        <w:rPr>
          <w:rFonts w:ascii="Arial" w:cs="Arial" w:eastAsia="Arial" w:hAnsi="Arial"/>
          <w:sz w:val="16"/>
          <w:szCs w:val="16"/>
          <w:color w:val="auto"/>
        </w:rPr>
        <w:t>Our nominating and corporate governance committee assesses risks relating to our corporate governance practices and the independence of the board. Our nominating and corporate governance committee also generally oversees our ESG activities and related risks.</w:t>
      </w:r>
    </w:p>
    <w:p>
      <w:pPr>
        <w:spacing w:after="0" w:line="390" w:lineRule="exact"/>
        <w:rPr>
          <w:sz w:val="20"/>
          <w:szCs w:val="20"/>
          <w:color w:val="auto"/>
        </w:rPr>
      </w:pPr>
    </w:p>
    <w:p>
      <w:pPr>
        <w:sectPr>
          <w:pgSz w:w="11900" w:h="16838" w:orient="portrait"/>
          <w:cols w:equalWidth="0" w:num="2">
            <w:col w:w="5520" w:space="120"/>
            <w:col w:w="5600"/>
          </w:cols>
          <w:pgMar w:left="320" w:top="114" w:right="3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believes its current leadership structure supports the risk oversight function of the board.</w:t>
      </w:r>
    </w:p>
    <w:p>
      <w:pPr>
        <w:spacing w:after="0" w:line="270" w:lineRule="exact"/>
        <w:rPr>
          <w:sz w:val="20"/>
          <w:szCs w:val="20"/>
          <w:color w:val="auto"/>
        </w:rPr>
      </w:pPr>
    </w:p>
    <w:p>
      <w:pPr>
        <w:spacing w:after="0"/>
        <w:rPr>
          <w:sz w:val="20"/>
          <w:szCs w:val="20"/>
          <w:color w:val="auto"/>
        </w:rPr>
      </w:pPr>
      <w:r>
        <w:rPr>
          <w:rFonts w:ascii="Arial" w:cs="Arial" w:eastAsia="Arial" w:hAnsi="Arial"/>
          <w:sz w:val="26"/>
          <w:szCs w:val="26"/>
          <w:color w:val="0063A6"/>
        </w:rPr>
        <w:t>Cybersecurity and Data Privacy Governance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Our Guiding Value</w:t>
      </w:r>
    </w:p>
    <w:p>
      <w:pPr>
        <w:spacing w:after="0" w:line="100"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Being Worthy of Trust is our guiding value and serves as the foundation of our relationship with the millions of people and businesses around the world who rely on Dropbox to protect their most valuable content. Protecting our users’ information through robust data privacy and cybersecurity programs is one of our top priorities. Effective governance of these programs is a priority for our board.</w:t>
      </w:r>
    </w:p>
    <w:p>
      <w:pPr>
        <w:spacing w:after="0" w:line="200" w:lineRule="exact"/>
        <w:rPr>
          <w:sz w:val="20"/>
          <w:szCs w:val="20"/>
          <w:color w:val="auto"/>
        </w:rPr>
      </w:pPr>
    </w:p>
    <w:p>
      <w:pPr>
        <w:spacing w:after="0" w:line="307" w:lineRule="exact"/>
        <w:rPr>
          <w:sz w:val="20"/>
          <w:szCs w:val="20"/>
          <w:color w:val="auto"/>
        </w:rPr>
      </w:pPr>
    </w:p>
    <w:p>
      <w:pPr>
        <w:ind w:left="580" w:hanging="554"/>
        <w:spacing w:after="0"/>
        <w:tabs>
          <w:tab w:leader="none" w:pos="580"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Board and Management Oversight</w:t>
      </w:r>
    </w:p>
    <w:p>
      <w:pPr>
        <w:spacing w:after="0" w:line="8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Our board of directors is actively involved in overseeing cybersecurity risk management. At least once a year, the board of directors discusses our programs and policies related to cybersecurity and risk initiatives and considers them closely both from a risk management perspective and as part of Dropbox’s business strategy. Additionally, our audit committee oversees programs and policies related to cybersecurity risks and initiatives. Our audit committee is comprised entirely of independent directors who evaluate these issues at least quarterly.</w:t>
      </w:r>
    </w:p>
    <w:p>
      <w:pPr>
        <w:spacing w:after="0" w:line="286"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We have also established a cross-functional leadership team to oversee our information security and privacy programs and practices, as well as to assess, identify and mitigate security and privacy risks. Members of this team also report periodically to the board of directors, audit committee, and members of our senior leadership team. This team includes senior leaders from our legal, privacy, information security, information technology, infrastructure, and compliance teams, including our Chief Privacy Officer, VP, Business Foundations, our Head of Security, and our Chief Legal Officer.</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have also established an Office of Data Protection Officer (the “</w:t>
      </w:r>
      <w:r>
        <w:rPr>
          <w:rFonts w:ascii="Arial" w:cs="Arial" w:eastAsia="Arial" w:hAnsi="Arial"/>
          <w:sz w:val="16"/>
          <w:szCs w:val="16"/>
          <w:b w:val="1"/>
          <w:bCs w:val="1"/>
          <w:i w:val="1"/>
          <w:iCs w:val="1"/>
          <w:color w:val="auto"/>
        </w:rPr>
        <w:t>ODPO</w:t>
      </w:r>
      <w:r>
        <w:rPr>
          <w:rFonts w:ascii="Arial" w:cs="Arial" w:eastAsia="Arial" w:hAnsi="Arial"/>
          <w:sz w:val="16"/>
          <w:szCs w:val="16"/>
          <w:color w:val="auto"/>
        </w:rPr>
        <w:t>”) to provide independent oversight of our privacy program and guidance on privacy issues; the ODPO is headed by the VP, Data Protection Officer and acts as the single point of contact for privacy-related requests for users subject to the General Data Protection Regulation, as well as for regulatory authorities. The ODPO reports periodically to management, the board of directors, and the audit committee on privacy risks to provide an independent assessment of our privacy program.</w:t>
      </w:r>
    </w:p>
    <w:p>
      <w:pPr>
        <w:spacing w:after="0" w:line="129"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also have a privacy policy that describes how we collect, use, store, share, and protect customer data, as well as how customers can access and manage their personal data. We are committed to upholding the legal protections safeguarding the privacy of our customers’ data as well as outlining our policies and practices pertaining to government requests for customer data; as part of that commitment, we have publicly disclosed our guiding principles in responding to government requests and, since 2012, we have published quantitative data on government requests that we received.</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External Auditing Standards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Several of our security and privacy management systems are independently examined and/or certified according to internationally recognized standards:</w:t>
      </w:r>
    </w:p>
    <w:p>
      <w:pPr>
        <w:spacing w:after="0" w:line="127"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Our primary information security management system is independently examined on an annual basis and is ISO 27001 certified.</w:t>
      </w:r>
    </w:p>
    <w:p>
      <w:pPr>
        <w:spacing w:after="0" w:line="126" w:lineRule="exact"/>
        <w:rPr>
          <w:rFonts w:ascii="Arial" w:cs="Arial" w:eastAsia="Arial" w:hAnsi="Arial"/>
          <w:sz w:val="16"/>
          <w:szCs w:val="16"/>
          <w:color w:val="0063A6"/>
        </w:rPr>
      </w:pPr>
    </w:p>
    <w:p>
      <w:pPr>
        <w:ind w:left="640" w:hanging="308"/>
        <w:spacing w:after="0"/>
        <w:tabs>
          <w:tab w:leader="none" w:pos="64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Our primary privacy information management system is independently examined on an annual basis and is ISO 27701 certified.</w:t>
      </w:r>
    </w:p>
    <w:p>
      <w:pPr>
        <w:spacing w:after="0" w:line="126" w:lineRule="exact"/>
        <w:rPr>
          <w:rFonts w:ascii="Arial" w:cs="Arial" w:eastAsia="Arial" w:hAnsi="Arial"/>
          <w:sz w:val="16"/>
          <w:szCs w:val="16"/>
          <w:color w:val="0063A6"/>
        </w:rPr>
      </w:pPr>
    </w:p>
    <w:p>
      <w:pPr>
        <w:ind w:left="640" w:hanging="308"/>
        <w:spacing w:after="0"/>
        <w:tabs>
          <w:tab w:leader="none" w:pos="64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Our primary cloud security controls are ISO 27017 certified and our cloud privacy and data protection controls are ISO 27018 certified.</w:t>
      </w:r>
    </w:p>
    <w:p>
      <w:pPr>
        <w:spacing w:after="0" w:line="126" w:lineRule="exact"/>
        <w:rPr>
          <w:rFonts w:ascii="Arial" w:cs="Arial" w:eastAsia="Arial" w:hAnsi="Arial"/>
          <w:sz w:val="16"/>
          <w:szCs w:val="16"/>
          <w:color w:val="0063A6"/>
        </w:rPr>
      </w:pPr>
    </w:p>
    <w:p>
      <w:pPr>
        <w:ind w:left="640" w:hanging="308"/>
        <w:spacing w:after="0"/>
        <w:tabs>
          <w:tab w:leader="none" w:pos="640" w:val="left"/>
        </w:tabs>
        <w:numPr>
          <w:ilvl w:val="0"/>
          <w:numId w:val="30"/>
        </w:numPr>
        <w:rPr>
          <w:rFonts w:ascii="Arial" w:cs="Arial" w:eastAsia="Arial" w:hAnsi="Arial"/>
          <w:sz w:val="16"/>
          <w:szCs w:val="16"/>
          <w:color w:val="0063A6"/>
        </w:rPr>
      </w:pPr>
      <w:r>
        <w:rPr>
          <w:rFonts w:ascii="Arial" w:cs="Arial" w:eastAsia="Arial" w:hAnsi="Arial"/>
          <w:sz w:val="16"/>
          <w:szCs w:val="16"/>
          <w:color w:val="auto"/>
        </w:rPr>
        <w:t>Our primary incident-response policies and procedures are examined as part of SOC 2, ISO 27001, and other security assessments.</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Employee Training</w:t>
      </w:r>
    </w:p>
    <w:p>
      <w:pPr>
        <w:spacing w:after="0" w:line="100"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All employees are required to complete annual information security and privacy training. They also receive ongoing security awareness education via informational emails, talks and presentations, and resources available on our intranet.</w:t>
      </w:r>
    </w:p>
    <w:p>
      <w:pPr>
        <w:spacing w:after="0" w:line="326" w:lineRule="exact"/>
        <w:rPr>
          <w:sz w:val="20"/>
          <w:szCs w:val="20"/>
          <w:color w:val="auto"/>
        </w:rPr>
      </w:pPr>
    </w:p>
    <w:p>
      <w:pPr>
        <w:spacing w:after="0"/>
        <w:rPr>
          <w:sz w:val="20"/>
          <w:szCs w:val="20"/>
          <w:color w:val="auto"/>
        </w:rPr>
      </w:pPr>
      <w:r>
        <w:rPr>
          <w:rFonts w:ascii="Arial" w:cs="Arial" w:eastAsia="Arial" w:hAnsi="Arial"/>
          <w:sz w:val="26"/>
          <w:szCs w:val="26"/>
          <w:color w:val="0063A6"/>
        </w:rPr>
        <w:t>Environmental, Social and Governance Matters</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At Dropbox, our mission is to create a more enlightened way of working. We believe Dropbox’s long-term success will be strengthened by helping to create a more equitable and sustainable world for our stakeholders.</w:t>
      </w:r>
    </w:p>
    <w:p>
      <w:pPr>
        <w:spacing w:after="0" w:line="102"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We are committed to conducting business in an ethical and transparent way, and to being accountable to our customers, our employees, our stockholders, the communities in which we operate, and all our other stakeholders for the manner in which we run our business.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ESG Governance and Oversight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The committees of our board of directors play important roles in overseeing our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89535</wp:posOffset>
            </wp:positionV>
            <wp:extent cx="17145" cy="12598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 cy="125984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89535</wp:posOffset>
            </wp:positionV>
            <wp:extent cx="17145" cy="12598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 cy="125984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3400" w:type="dxa"/>
            <w:vAlign w:val="bottom"/>
            <w:shd w:val="clear" w:color="auto" w:fill="E5EFFD"/>
          </w:tcPr>
          <w:p>
            <w:pPr>
              <w:jc w:val="center"/>
              <w:spacing w:after="0"/>
              <w:rPr>
                <w:sz w:val="20"/>
                <w:szCs w:val="20"/>
                <w:color w:val="auto"/>
              </w:rPr>
            </w:pPr>
            <w:r>
              <w:rPr>
                <w:rFonts w:ascii="Arial" w:cs="Arial" w:eastAsia="Arial" w:hAnsi="Arial"/>
                <w:sz w:val="18"/>
                <w:szCs w:val="18"/>
                <w:b w:val="1"/>
                <w:bCs w:val="1"/>
                <w:color w:val="0063A6"/>
              </w:rPr>
              <w:t>Nominating and Corporate</w:t>
            </w:r>
          </w:p>
        </w:tc>
        <w:tc>
          <w:tcPr>
            <w:tcW w:w="4440" w:type="dxa"/>
            <w:vAlign w:val="bottom"/>
            <w:vMerge w:val="restart"/>
            <w:shd w:val="clear" w:color="auto" w:fill="E5EFFD"/>
          </w:tcPr>
          <w:p>
            <w:pPr>
              <w:jc w:val="center"/>
              <w:spacing w:after="0"/>
              <w:rPr>
                <w:sz w:val="20"/>
                <w:szCs w:val="20"/>
                <w:color w:val="auto"/>
              </w:rPr>
            </w:pPr>
            <w:r>
              <w:rPr>
                <w:rFonts w:ascii="Arial" w:cs="Arial" w:eastAsia="Arial" w:hAnsi="Arial"/>
                <w:sz w:val="18"/>
                <w:szCs w:val="18"/>
                <w:b w:val="1"/>
                <w:bCs w:val="1"/>
                <w:color w:val="0063A6"/>
                <w:w w:val="99"/>
              </w:rPr>
              <w:t>Talent and Compensation Committee</w:t>
            </w:r>
          </w:p>
        </w:tc>
        <w:tc>
          <w:tcPr>
            <w:tcW w:w="3400" w:type="dxa"/>
            <w:vAlign w:val="bottom"/>
            <w:vMerge w:val="restart"/>
            <w:shd w:val="clear" w:color="auto" w:fill="E5EFFD"/>
          </w:tcPr>
          <w:p>
            <w:pPr>
              <w:jc w:val="center"/>
              <w:spacing w:after="0"/>
              <w:rPr>
                <w:sz w:val="20"/>
                <w:szCs w:val="20"/>
                <w:color w:val="auto"/>
              </w:rPr>
            </w:pPr>
            <w:r>
              <w:rPr>
                <w:rFonts w:ascii="Arial" w:cs="Arial" w:eastAsia="Arial" w:hAnsi="Arial"/>
                <w:sz w:val="18"/>
                <w:szCs w:val="18"/>
                <w:b w:val="1"/>
                <w:bCs w:val="1"/>
                <w:color w:val="0063A6"/>
                <w:w w:val="99"/>
              </w:rPr>
              <w:t>Audit Committee</w:t>
            </w:r>
          </w:p>
        </w:tc>
        <w:tc>
          <w:tcPr>
            <w:tcW w:w="0" w:type="dxa"/>
            <w:vAlign w:val="bottom"/>
          </w:tcPr>
          <w:p>
            <w:pPr>
              <w:spacing w:after="0"/>
              <w:rPr>
                <w:sz w:val="1"/>
                <w:szCs w:val="1"/>
                <w:color w:val="auto"/>
              </w:rPr>
            </w:pPr>
          </w:p>
        </w:tc>
      </w:tr>
      <w:tr>
        <w:trPr>
          <w:trHeight w:val="139"/>
        </w:trPr>
        <w:tc>
          <w:tcPr>
            <w:tcW w:w="3400" w:type="dxa"/>
            <w:vAlign w:val="bottom"/>
            <w:vMerge w:val="restart"/>
            <w:shd w:val="clear" w:color="auto" w:fill="E5EFFD"/>
          </w:tcPr>
          <w:p>
            <w:pPr>
              <w:jc w:val="center"/>
              <w:spacing w:after="0"/>
              <w:rPr>
                <w:sz w:val="20"/>
                <w:szCs w:val="20"/>
                <w:color w:val="auto"/>
              </w:rPr>
            </w:pPr>
            <w:r>
              <w:rPr>
                <w:rFonts w:ascii="Arial" w:cs="Arial" w:eastAsia="Arial" w:hAnsi="Arial"/>
                <w:sz w:val="18"/>
                <w:szCs w:val="18"/>
                <w:b w:val="1"/>
                <w:bCs w:val="1"/>
                <w:color w:val="0063A6"/>
                <w:w w:val="99"/>
              </w:rPr>
              <w:t>Governance Committee</w:t>
            </w:r>
          </w:p>
        </w:tc>
        <w:tc>
          <w:tcPr>
            <w:tcW w:w="4440" w:type="dxa"/>
            <w:vAlign w:val="bottom"/>
            <w:vMerge w:val="continue"/>
            <w:shd w:val="clear" w:color="auto" w:fill="E5EFFD"/>
          </w:tcPr>
          <w:p>
            <w:pPr>
              <w:spacing w:after="0"/>
              <w:rPr>
                <w:sz w:val="12"/>
                <w:szCs w:val="12"/>
                <w:color w:val="auto"/>
              </w:rPr>
            </w:pPr>
          </w:p>
        </w:tc>
        <w:tc>
          <w:tcPr>
            <w:tcW w:w="3400" w:type="dxa"/>
            <w:vAlign w:val="bottom"/>
            <w:vMerge w:val="continue"/>
            <w:shd w:val="clear" w:color="auto" w:fill="E5EFFD"/>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400" w:type="dxa"/>
            <w:vAlign w:val="bottom"/>
            <w:vMerge w:val="continue"/>
            <w:shd w:val="clear" w:color="auto" w:fill="E5EFFD"/>
          </w:tcPr>
          <w:p>
            <w:pPr>
              <w:spacing w:after="0"/>
              <w:rPr>
                <w:sz w:val="9"/>
                <w:szCs w:val="9"/>
                <w:color w:val="auto"/>
              </w:rPr>
            </w:pPr>
          </w:p>
        </w:tc>
        <w:tc>
          <w:tcPr>
            <w:tcW w:w="4440" w:type="dxa"/>
            <w:vAlign w:val="bottom"/>
            <w:shd w:val="clear" w:color="auto" w:fill="E5EFFD"/>
          </w:tcPr>
          <w:p>
            <w:pPr>
              <w:spacing w:after="0"/>
              <w:rPr>
                <w:sz w:val="9"/>
                <w:szCs w:val="9"/>
                <w:color w:val="auto"/>
              </w:rPr>
            </w:pPr>
          </w:p>
        </w:tc>
        <w:tc>
          <w:tcPr>
            <w:tcW w:w="3400" w:type="dxa"/>
            <w:vAlign w:val="bottom"/>
            <w:shd w:val="clear" w:color="auto" w:fill="E5EFFD"/>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400" w:type="dxa"/>
            <w:vAlign w:val="bottom"/>
            <w:shd w:val="clear" w:color="auto" w:fill="E5EFFD"/>
          </w:tcPr>
          <w:p>
            <w:pPr>
              <w:spacing w:after="0"/>
              <w:rPr>
                <w:sz w:val="9"/>
                <w:szCs w:val="9"/>
                <w:color w:val="auto"/>
              </w:rPr>
            </w:pPr>
          </w:p>
        </w:tc>
        <w:tc>
          <w:tcPr>
            <w:tcW w:w="4440" w:type="dxa"/>
            <w:vAlign w:val="bottom"/>
            <w:shd w:val="clear" w:color="auto" w:fill="E5EFFD"/>
          </w:tcPr>
          <w:p>
            <w:pPr>
              <w:spacing w:after="0"/>
              <w:rPr>
                <w:sz w:val="9"/>
                <w:szCs w:val="9"/>
                <w:color w:val="auto"/>
              </w:rPr>
            </w:pPr>
          </w:p>
        </w:tc>
        <w:tc>
          <w:tcPr>
            <w:tcW w:w="3400" w:type="dxa"/>
            <w:vAlign w:val="bottom"/>
            <w:shd w:val="clear" w:color="auto" w:fill="E5EFFD"/>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3400" w:type="dxa"/>
            <w:vAlign w:val="bottom"/>
          </w:tcPr>
          <w:p>
            <w:pPr>
              <w:jc w:val="center"/>
              <w:spacing w:after="0"/>
              <w:rPr>
                <w:sz w:val="20"/>
                <w:szCs w:val="20"/>
                <w:color w:val="auto"/>
              </w:rPr>
            </w:pPr>
            <w:r>
              <w:rPr>
                <w:rFonts w:ascii="Arial" w:cs="Arial" w:eastAsia="Arial" w:hAnsi="Arial"/>
                <w:sz w:val="16"/>
                <w:szCs w:val="16"/>
                <w:color w:val="auto"/>
              </w:rPr>
              <w:t>Our nominating and corporate governance</w:t>
            </w:r>
          </w:p>
        </w:tc>
        <w:tc>
          <w:tcPr>
            <w:tcW w:w="4440" w:type="dxa"/>
            <w:vAlign w:val="bottom"/>
          </w:tcPr>
          <w:p>
            <w:pPr>
              <w:jc w:val="center"/>
              <w:spacing w:after="0"/>
              <w:rPr>
                <w:sz w:val="20"/>
                <w:szCs w:val="20"/>
                <w:color w:val="auto"/>
              </w:rPr>
            </w:pPr>
            <w:r>
              <w:rPr>
                <w:rFonts w:ascii="Arial" w:cs="Arial" w:eastAsia="Arial" w:hAnsi="Arial"/>
                <w:sz w:val="16"/>
                <w:szCs w:val="16"/>
                <w:color w:val="auto"/>
              </w:rPr>
              <w:t>Our talent and compensation committee oversees Dropbox’s</w:t>
            </w:r>
          </w:p>
        </w:tc>
        <w:tc>
          <w:tcPr>
            <w:tcW w:w="3400" w:type="dxa"/>
            <w:vAlign w:val="bottom"/>
          </w:tcPr>
          <w:p>
            <w:pPr>
              <w:jc w:val="center"/>
              <w:spacing w:after="0"/>
              <w:rPr>
                <w:sz w:val="20"/>
                <w:szCs w:val="20"/>
                <w:color w:val="auto"/>
              </w:rPr>
            </w:pPr>
            <w:r>
              <w:rPr>
                <w:rFonts w:ascii="Arial" w:cs="Arial" w:eastAsia="Arial" w:hAnsi="Arial"/>
                <w:sz w:val="16"/>
                <w:szCs w:val="16"/>
                <w:color w:val="auto"/>
              </w:rPr>
              <w:t>Our audit committee oversees initiatives</w:t>
            </w:r>
          </w:p>
        </w:tc>
        <w:tc>
          <w:tcPr>
            <w:tcW w:w="0" w:type="dxa"/>
            <w:vAlign w:val="bottom"/>
          </w:tcPr>
          <w:p>
            <w:pPr>
              <w:spacing w:after="0"/>
              <w:rPr>
                <w:sz w:val="1"/>
                <w:szCs w:val="1"/>
                <w:color w:val="auto"/>
              </w:rPr>
            </w:pPr>
          </w:p>
        </w:tc>
      </w:tr>
      <w:tr>
        <w:trPr>
          <w:trHeight w:val="189"/>
        </w:trPr>
        <w:tc>
          <w:tcPr>
            <w:tcW w:w="3400" w:type="dxa"/>
            <w:vAlign w:val="bottom"/>
          </w:tcPr>
          <w:p>
            <w:pPr>
              <w:jc w:val="center"/>
              <w:spacing w:after="0"/>
              <w:rPr>
                <w:sz w:val="20"/>
                <w:szCs w:val="20"/>
                <w:color w:val="auto"/>
              </w:rPr>
            </w:pPr>
            <w:r>
              <w:rPr>
                <w:rFonts w:ascii="Arial" w:cs="Arial" w:eastAsia="Arial" w:hAnsi="Arial"/>
                <w:sz w:val="16"/>
                <w:szCs w:val="16"/>
                <w:color w:val="auto"/>
              </w:rPr>
              <w:t>committee generally oversees Dropbox’s ESG</w:t>
            </w:r>
          </w:p>
        </w:tc>
        <w:tc>
          <w:tcPr>
            <w:tcW w:w="4440" w:type="dxa"/>
            <w:vAlign w:val="bottom"/>
          </w:tcPr>
          <w:p>
            <w:pPr>
              <w:jc w:val="center"/>
              <w:spacing w:after="0"/>
              <w:rPr>
                <w:sz w:val="20"/>
                <w:szCs w:val="20"/>
                <w:color w:val="auto"/>
              </w:rPr>
            </w:pPr>
            <w:r>
              <w:rPr>
                <w:rFonts w:ascii="Arial" w:cs="Arial" w:eastAsia="Arial" w:hAnsi="Arial"/>
                <w:sz w:val="16"/>
                <w:szCs w:val="16"/>
                <w:color w:val="auto"/>
              </w:rPr>
              <w:t>human capital management activities.</w:t>
            </w:r>
          </w:p>
        </w:tc>
        <w:tc>
          <w:tcPr>
            <w:tcW w:w="3400" w:type="dxa"/>
            <w:vAlign w:val="bottom"/>
          </w:tcPr>
          <w:p>
            <w:pPr>
              <w:jc w:val="center"/>
              <w:spacing w:after="0"/>
              <w:rPr>
                <w:sz w:val="20"/>
                <w:szCs w:val="20"/>
                <w:color w:val="auto"/>
              </w:rPr>
            </w:pPr>
            <w:r>
              <w:rPr>
                <w:rFonts w:ascii="Arial" w:cs="Arial" w:eastAsia="Arial" w:hAnsi="Arial"/>
                <w:sz w:val="16"/>
                <w:szCs w:val="16"/>
                <w:color w:val="auto"/>
              </w:rPr>
              <w:t>related to our operational infrastructure,</w:t>
            </w:r>
          </w:p>
        </w:tc>
        <w:tc>
          <w:tcPr>
            <w:tcW w:w="0" w:type="dxa"/>
            <w:vAlign w:val="bottom"/>
          </w:tcPr>
          <w:p>
            <w:pPr>
              <w:spacing w:after="0"/>
              <w:rPr>
                <w:sz w:val="1"/>
                <w:szCs w:val="1"/>
                <w:color w:val="auto"/>
              </w:rPr>
            </w:pPr>
          </w:p>
        </w:tc>
      </w:tr>
      <w:tr>
        <w:trPr>
          <w:trHeight w:val="189"/>
        </w:trPr>
        <w:tc>
          <w:tcPr>
            <w:tcW w:w="3400" w:type="dxa"/>
            <w:vAlign w:val="bottom"/>
          </w:tcPr>
          <w:p>
            <w:pPr>
              <w:jc w:val="center"/>
              <w:spacing w:after="0"/>
              <w:rPr>
                <w:sz w:val="20"/>
                <w:szCs w:val="20"/>
                <w:color w:val="auto"/>
              </w:rPr>
            </w:pPr>
            <w:r>
              <w:rPr>
                <w:rFonts w:ascii="Arial" w:cs="Arial" w:eastAsia="Arial" w:hAnsi="Arial"/>
                <w:sz w:val="16"/>
                <w:szCs w:val="16"/>
                <w:color w:val="auto"/>
              </w:rPr>
              <w:t>activities, programs, and disclosures, other</w:t>
            </w:r>
          </w:p>
        </w:tc>
        <w:tc>
          <w:tcPr>
            <w:tcW w:w="4440" w:type="dxa"/>
            <w:vAlign w:val="bottom"/>
          </w:tcPr>
          <w:p>
            <w:pPr>
              <w:spacing w:after="0"/>
              <w:rPr>
                <w:sz w:val="16"/>
                <w:szCs w:val="16"/>
                <w:color w:val="auto"/>
              </w:rPr>
            </w:pPr>
          </w:p>
        </w:tc>
        <w:tc>
          <w:tcPr>
            <w:tcW w:w="3400" w:type="dxa"/>
            <w:vAlign w:val="bottom"/>
          </w:tcPr>
          <w:p>
            <w:pPr>
              <w:jc w:val="center"/>
              <w:spacing w:after="0"/>
              <w:rPr>
                <w:sz w:val="20"/>
                <w:szCs w:val="20"/>
                <w:color w:val="auto"/>
              </w:rPr>
            </w:pPr>
            <w:r>
              <w:rPr>
                <w:rFonts w:ascii="Arial" w:cs="Arial" w:eastAsia="Arial" w:hAnsi="Arial"/>
                <w:sz w:val="16"/>
                <w:szCs w:val="16"/>
                <w:color w:val="auto"/>
              </w:rPr>
              <w:t>particularly reliability, business continuity,</w:t>
            </w:r>
          </w:p>
        </w:tc>
        <w:tc>
          <w:tcPr>
            <w:tcW w:w="0" w:type="dxa"/>
            <w:vAlign w:val="bottom"/>
          </w:tcPr>
          <w:p>
            <w:pPr>
              <w:spacing w:after="0"/>
              <w:rPr>
                <w:sz w:val="1"/>
                <w:szCs w:val="1"/>
                <w:color w:val="auto"/>
              </w:rPr>
            </w:pPr>
          </w:p>
        </w:tc>
      </w:tr>
      <w:tr>
        <w:trPr>
          <w:trHeight w:val="176"/>
        </w:trPr>
        <w:tc>
          <w:tcPr>
            <w:tcW w:w="3400" w:type="dxa"/>
            <w:vAlign w:val="bottom"/>
          </w:tcPr>
          <w:p>
            <w:pPr>
              <w:jc w:val="center"/>
              <w:spacing w:after="0" w:line="175" w:lineRule="exact"/>
              <w:rPr>
                <w:sz w:val="20"/>
                <w:szCs w:val="20"/>
                <w:color w:val="auto"/>
              </w:rPr>
            </w:pPr>
            <w:r>
              <w:rPr>
                <w:rFonts w:ascii="Arial" w:cs="Arial" w:eastAsia="Arial" w:hAnsi="Arial"/>
                <w:sz w:val="16"/>
                <w:szCs w:val="16"/>
                <w:color w:val="auto"/>
              </w:rPr>
              <w:t>than such activities specifically delegated to</w:t>
            </w:r>
          </w:p>
        </w:tc>
        <w:tc>
          <w:tcPr>
            <w:tcW w:w="4440" w:type="dxa"/>
            <w:vAlign w:val="bottom"/>
          </w:tcPr>
          <w:p>
            <w:pPr>
              <w:spacing w:after="0"/>
              <w:rPr>
                <w:sz w:val="15"/>
                <w:szCs w:val="15"/>
                <w:color w:val="auto"/>
              </w:rPr>
            </w:pPr>
          </w:p>
        </w:tc>
        <w:tc>
          <w:tcPr>
            <w:tcW w:w="3400" w:type="dxa"/>
            <w:vAlign w:val="bottom"/>
          </w:tcPr>
          <w:p>
            <w:pPr>
              <w:jc w:val="center"/>
              <w:spacing w:after="0" w:line="175" w:lineRule="exact"/>
              <w:rPr>
                <w:sz w:val="20"/>
                <w:szCs w:val="20"/>
                <w:color w:val="auto"/>
              </w:rPr>
            </w:pPr>
            <w:r>
              <w:rPr>
                <w:rFonts w:ascii="Arial" w:cs="Arial" w:eastAsia="Arial" w:hAnsi="Arial"/>
                <w:sz w:val="16"/>
                <w:szCs w:val="16"/>
                <w:color w:val="auto"/>
              </w:rPr>
              <w:t>cybersecurity, and data privacy, and business</w:t>
            </w:r>
          </w:p>
        </w:tc>
        <w:tc>
          <w:tcPr>
            <w:tcW w:w="0" w:type="dxa"/>
            <w:vAlign w:val="bottom"/>
          </w:tcPr>
          <w:p>
            <w:pPr>
              <w:spacing w:after="0"/>
              <w:rPr>
                <w:sz w:val="1"/>
                <w:szCs w:val="1"/>
                <w:color w:val="auto"/>
              </w:rPr>
            </w:pPr>
          </w:p>
        </w:tc>
      </w:tr>
      <w:tr>
        <w:trPr>
          <w:trHeight w:val="189"/>
        </w:trPr>
        <w:tc>
          <w:tcPr>
            <w:tcW w:w="3400" w:type="dxa"/>
            <w:vAlign w:val="bottom"/>
          </w:tcPr>
          <w:p>
            <w:pPr>
              <w:jc w:val="center"/>
              <w:spacing w:after="0"/>
              <w:rPr>
                <w:sz w:val="20"/>
                <w:szCs w:val="20"/>
                <w:color w:val="auto"/>
              </w:rPr>
            </w:pPr>
            <w:r>
              <w:rPr>
                <w:rFonts w:ascii="Arial" w:cs="Arial" w:eastAsia="Arial" w:hAnsi="Arial"/>
                <w:sz w:val="16"/>
                <w:szCs w:val="16"/>
                <w:color w:val="auto"/>
              </w:rPr>
              <w:t>another standing committee.</w:t>
            </w:r>
          </w:p>
        </w:tc>
        <w:tc>
          <w:tcPr>
            <w:tcW w:w="4440" w:type="dxa"/>
            <w:vAlign w:val="bottom"/>
          </w:tcPr>
          <w:p>
            <w:pPr>
              <w:spacing w:after="0"/>
              <w:rPr>
                <w:sz w:val="16"/>
                <w:szCs w:val="16"/>
                <w:color w:val="auto"/>
              </w:rPr>
            </w:pPr>
          </w:p>
        </w:tc>
        <w:tc>
          <w:tcPr>
            <w:tcW w:w="3400" w:type="dxa"/>
            <w:vAlign w:val="bottom"/>
          </w:tcPr>
          <w:p>
            <w:pPr>
              <w:jc w:val="center"/>
              <w:spacing w:after="0"/>
              <w:rPr>
                <w:sz w:val="20"/>
                <w:szCs w:val="20"/>
                <w:color w:val="auto"/>
              </w:rPr>
            </w:pPr>
            <w:r>
              <w:rPr>
                <w:rFonts w:ascii="Arial" w:cs="Arial" w:eastAsia="Arial" w:hAnsi="Arial"/>
                <w:sz w:val="16"/>
                <w:szCs w:val="16"/>
                <w:color w:val="auto"/>
              </w:rPr>
              <w:t>ethics, as well as our enterprise-risk</w:t>
            </w:r>
          </w:p>
        </w:tc>
        <w:tc>
          <w:tcPr>
            <w:tcW w:w="0" w:type="dxa"/>
            <w:vAlign w:val="bottom"/>
          </w:tcPr>
          <w:p>
            <w:pPr>
              <w:spacing w:after="0"/>
              <w:rPr>
                <w:sz w:val="1"/>
                <w:szCs w:val="1"/>
                <w:color w:val="auto"/>
              </w:rPr>
            </w:pPr>
          </w:p>
        </w:tc>
      </w:tr>
      <w:tr>
        <w:trPr>
          <w:trHeight w:val="215"/>
        </w:trPr>
        <w:tc>
          <w:tcPr>
            <w:tcW w:w="34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400" w:type="dxa"/>
            <w:vAlign w:val="bottom"/>
          </w:tcPr>
          <w:p>
            <w:pPr>
              <w:jc w:val="center"/>
              <w:spacing w:after="0"/>
              <w:rPr>
                <w:sz w:val="20"/>
                <w:szCs w:val="20"/>
                <w:color w:val="auto"/>
              </w:rPr>
            </w:pPr>
            <w:r>
              <w:rPr>
                <w:rFonts w:ascii="Arial" w:cs="Arial" w:eastAsia="Arial" w:hAnsi="Arial"/>
                <w:sz w:val="16"/>
                <w:szCs w:val="16"/>
                <w:color w:val="auto"/>
              </w:rPr>
              <w:t>management program.</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Multiple teams, with oversight from our board of directors and its committees, play a role in executing Dropbox’s ESG strategy and programs. Our Social Impact and Sustainability team leads Dropbox’s internal ESG working group, which reports to members of our senior leadership team who are responsible for overseeing the direction of our ESG program.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Environmental Sustainability</w:t>
      </w:r>
    </w:p>
    <w:p>
      <w:pPr>
        <w:spacing w:after="0" w:line="86"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6"/>
          <w:szCs w:val="16"/>
          <w:color w:val="0063A6"/>
        </w:rPr>
      </w:pPr>
      <w:r>
        <w:rPr>
          <w:rFonts w:ascii="Arial" w:cs="Arial" w:eastAsia="Arial" w:hAnsi="Arial"/>
          <w:sz w:val="16"/>
          <w:szCs w:val="16"/>
          <w:color w:val="auto"/>
        </w:rPr>
        <w:t>We have announced company-wide environmental sustainability goals that we plan to accomplish by 2030:</w:t>
      </w:r>
    </w:p>
    <w:p>
      <w:pPr>
        <w:spacing w:after="0" w:line="126" w:lineRule="exact"/>
        <w:rPr>
          <w:rFonts w:ascii="Arial" w:cs="Arial" w:eastAsia="Arial" w:hAnsi="Arial"/>
          <w:sz w:val="16"/>
          <w:szCs w:val="16"/>
          <w:color w:val="0063A6"/>
        </w:rPr>
      </w:pPr>
    </w:p>
    <w:p>
      <w:pPr>
        <w:ind w:left="720" w:hanging="307"/>
        <w:spacing w:after="0"/>
        <w:tabs>
          <w:tab w:leader="none" w:pos="720" w:val="left"/>
        </w:tabs>
        <w:numPr>
          <w:ilvl w:val="1"/>
          <w:numId w:val="31"/>
        </w:numPr>
        <w:rPr>
          <w:rFonts w:ascii="Arial" w:cs="Arial" w:eastAsia="Arial" w:hAnsi="Arial"/>
          <w:sz w:val="16"/>
          <w:szCs w:val="16"/>
          <w:color w:val="0063A6"/>
        </w:rPr>
      </w:pPr>
      <w:r>
        <w:rPr>
          <w:rFonts w:ascii="Arial" w:cs="Arial" w:eastAsia="Arial" w:hAnsi="Arial"/>
          <w:sz w:val="16"/>
          <w:szCs w:val="16"/>
          <w:color w:val="auto"/>
        </w:rPr>
        <w:t>Achieve carbon neutrality with respect to scope 1, scope 2 and scope 3 business travel emissions.</w:t>
      </w:r>
    </w:p>
    <w:p>
      <w:pPr>
        <w:spacing w:after="0" w:line="126" w:lineRule="exact"/>
        <w:rPr>
          <w:rFonts w:ascii="Arial" w:cs="Arial" w:eastAsia="Arial" w:hAnsi="Arial"/>
          <w:sz w:val="16"/>
          <w:szCs w:val="16"/>
          <w:color w:val="0063A6"/>
        </w:rPr>
      </w:pPr>
    </w:p>
    <w:p>
      <w:pPr>
        <w:ind w:left="720" w:hanging="307"/>
        <w:spacing w:after="0"/>
        <w:tabs>
          <w:tab w:leader="none" w:pos="720" w:val="left"/>
        </w:tabs>
        <w:numPr>
          <w:ilvl w:val="1"/>
          <w:numId w:val="31"/>
        </w:numPr>
        <w:rPr>
          <w:rFonts w:ascii="Arial" w:cs="Arial" w:eastAsia="Arial" w:hAnsi="Arial"/>
          <w:sz w:val="16"/>
          <w:szCs w:val="16"/>
          <w:color w:val="0063A6"/>
        </w:rPr>
      </w:pPr>
      <w:r>
        <w:rPr>
          <w:rFonts w:ascii="Arial" w:cs="Arial" w:eastAsia="Arial" w:hAnsi="Arial"/>
          <w:sz w:val="16"/>
          <w:szCs w:val="16"/>
          <w:color w:val="auto"/>
        </w:rPr>
        <w:t>Source 100% renewable electricity for our operations, including our data centers.</w:t>
      </w:r>
    </w:p>
    <w:p>
      <w:pPr>
        <w:spacing w:after="0" w:line="126" w:lineRule="exact"/>
        <w:rPr>
          <w:rFonts w:ascii="Arial" w:cs="Arial" w:eastAsia="Arial" w:hAnsi="Arial"/>
          <w:sz w:val="16"/>
          <w:szCs w:val="16"/>
          <w:color w:val="0063A6"/>
        </w:rPr>
      </w:pPr>
    </w:p>
    <w:p>
      <w:pPr>
        <w:ind w:left="320" w:hanging="312"/>
        <w:spacing w:after="0"/>
        <w:tabs>
          <w:tab w:leader="none" w:pos="320" w:val="left"/>
        </w:tabs>
        <w:numPr>
          <w:ilvl w:val="0"/>
          <w:numId w:val="31"/>
        </w:numPr>
        <w:rPr>
          <w:rFonts w:ascii="Arial" w:cs="Arial" w:eastAsia="Arial" w:hAnsi="Arial"/>
          <w:sz w:val="16"/>
          <w:szCs w:val="16"/>
          <w:color w:val="0063A6"/>
        </w:rPr>
      </w:pPr>
      <w:r>
        <w:rPr>
          <w:rFonts w:ascii="Arial" w:cs="Arial" w:eastAsia="Arial" w:hAnsi="Arial"/>
          <w:sz w:val="16"/>
          <w:szCs w:val="16"/>
          <w:color w:val="auto"/>
        </w:rPr>
        <w:t>In addition, we are committed to supporting nonprofits focused on sustainability and climate change in partnership with the Dropbox Foundation (the</w:t>
      </w:r>
    </w:p>
    <w:p>
      <w:pPr>
        <w:spacing w:after="0" w:line="21" w:lineRule="exact"/>
        <w:rPr>
          <w:rFonts w:ascii="Arial" w:cs="Arial" w:eastAsia="Arial" w:hAnsi="Arial"/>
          <w:sz w:val="16"/>
          <w:szCs w:val="16"/>
          <w:color w:val="0063A6"/>
        </w:rPr>
      </w:pPr>
    </w:p>
    <w:p>
      <w:pPr>
        <w:ind w:left="340" w:right="80"/>
        <w:spacing w:after="0" w:line="265" w:lineRule="auto"/>
        <w:rPr>
          <w:rFonts w:ascii="Arial" w:cs="Arial" w:eastAsia="Arial" w:hAnsi="Arial"/>
          <w:sz w:val="16"/>
          <w:szCs w:val="16"/>
          <w:color w:val="0063A6"/>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Dropbox Foundation</w:t>
      </w:r>
      <w:r>
        <w:rPr>
          <w:rFonts w:ascii="Arial" w:cs="Arial" w:eastAsia="Arial" w:hAnsi="Arial"/>
          <w:sz w:val="16"/>
          <w:szCs w:val="16"/>
          <w:color w:val="auto"/>
        </w:rPr>
        <w:t>”) by empowering our employees to volunteer with organizations focused on environmental sustainability, and supporting internal sustainability employee interest groups.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Social</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Wellness and Development</w:t>
      </w:r>
    </w:p>
    <w:p>
      <w:pPr>
        <w:spacing w:after="0" w:line="165" w:lineRule="exact"/>
        <w:rPr>
          <w:sz w:val="20"/>
          <w:szCs w:val="20"/>
          <w:color w:val="auto"/>
        </w:rPr>
      </w:pPr>
    </w:p>
    <w:p>
      <w:pPr>
        <w:ind w:left="340" w:right="40" w:hanging="332"/>
        <w:spacing w:after="0" w:line="286" w:lineRule="auto"/>
        <w:tabs>
          <w:tab w:leader="none" w:pos="329"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In 2020, we announced our Virtual First work model pursuant to which remote work has become the primary experience for all of our employees; as part of our Virtual First workforce strategy, we strive to support our employees by:</w:t>
      </w:r>
    </w:p>
    <w:p>
      <w:pPr>
        <w:spacing w:after="0" w:line="101" w:lineRule="exact"/>
        <w:rPr>
          <w:rFonts w:ascii="Arial" w:cs="Arial" w:eastAsia="Arial" w:hAnsi="Arial"/>
          <w:sz w:val="16"/>
          <w:szCs w:val="16"/>
          <w:color w:val="0063A6"/>
        </w:rPr>
      </w:pPr>
    </w:p>
    <w:p>
      <w:pPr>
        <w:ind w:left="740" w:right="480" w:hanging="327"/>
        <w:spacing w:after="0" w:line="268" w:lineRule="auto"/>
        <w:tabs>
          <w:tab w:leader="none" w:pos="729" w:val="left"/>
        </w:tabs>
        <w:numPr>
          <w:ilvl w:val="1"/>
          <w:numId w:val="32"/>
        </w:numPr>
        <w:rPr>
          <w:rFonts w:ascii="Arial" w:cs="Arial" w:eastAsia="Arial" w:hAnsi="Arial"/>
          <w:sz w:val="16"/>
          <w:szCs w:val="16"/>
          <w:color w:val="0063A6"/>
        </w:rPr>
      </w:pPr>
      <w:r>
        <w:rPr>
          <w:rFonts w:ascii="Arial" w:cs="Arial" w:eastAsia="Arial" w:hAnsi="Arial"/>
          <w:sz w:val="16"/>
          <w:szCs w:val="16"/>
          <w:color w:val="auto"/>
        </w:rPr>
        <w:t>Providing a quarterly allowance that gives employees the flexibility to focus this benefit towards what really matters to them; this may include health and wellness, family and caregiver support, productivity and ergonomics, learning and development programs or financial wellness.</w:t>
      </w:r>
    </w:p>
    <w:p>
      <w:pPr>
        <w:spacing w:after="0" w:line="115" w:lineRule="exact"/>
        <w:rPr>
          <w:rFonts w:ascii="Arial" w:cs="Arial" w:eastAsia="Arial" w:hAnsi="Arial"/>
          <w:sz w:val="16"/>
          <w:szCs w:val="16"/>
          <w:color w:val="0063A6"/>
        </w:rPr>
      </w:pPr>
    </w:p>
    <w:p>
      <w:pPr>
        <w:ind w:left="720" w:hanging="307"/>
        <w:spacing w:after="0"/>
        <w:tabs>
          <w:tab w:leader="none" w:pos="720" w:val="left"/>
        </w:tabs>
        <w:numPr>
          <w:ilvl w:val="1"/>
          <w:numId w:val="32"/>
        </w:numPr>
        <w:rPr>
          <w:rFonts w:ascii="Arial" w:cs="Arial" w:eastAsia="Arial" w:hAnsi="Arial"/>
          <w:sz w:val="16"/>
          <w:szCs w:val="16"/>
          <w:color w:val="0063A6"/>
        </w:rPr>
      </w:pPr>
      <w:r>
        <w:rPr>
          <w:rFonts w:ascii="Arial" w:cs="Arial" w:eastAsia="Arial" w:hAnsi="Arial"/>
          <w:sz w:val="16"/>
          <w:szCs w:val="16"/>
          <w:color w:val="auto"/>
        </w:rPr>
        <w:t>Empowering our employees to adopt flexible working arrangements and providing tools for efficient remote collaboration.</w:t>
      </w:r>
    </w:p>
    <w:p>
      <w:pPr>
        <w:spacing w:after="0" w:line="167" w:lineRule="exact"/>
        <w:rPr>
          <w:rFonts w:ascii="Arial" w:cs="Arial" w:eastAsia="Arial" w:hAnsi="Arial"/>
          <w:sz w:val="16"/>
          <w:szCs w:val="16"/>
          <w:color w:val="0063A6"/>
        </w:rPr>
      </w:pPr>
    </w:p>
    <w:p>
      <w:pPr>
        <w:ind w:left="740" w:right="340" w:hanging="327"/>
        <w:spacing w:after="0" w:line="286" w:lineRule="auto"/>
        <w:tabs>
          <w:tab w:leader="none" w:pos="729" w:val="left"/>
        </w:tabs>
        <w:numPr>
          <w:ilvl w:val="1"/>
          <w:numId w:val="32"/>
        </w:numPr>
        <w:rPr>
          <w:rFonts w:ascii="Arial" w:cs="Arial" w:eastAsia="Arial" w:hAnsi="Arial"/>
          <w:sz w:val="16"/>
          <w:szCs w:val="16"/>
          <w:color w:val="0063A6"/>
        </w:rPr>
      </w:pPr>
      <w:r>
        <w:rPr>
          <w:rFonts w:ascii="Arial" w:cs="Arial" w:eastAsia="Arial" w:hAnsi="Arial"/>
          <w:sz w:val="16"/>
          <w:szCs w:val="16"/>
          <w:color w:val="auto"/>
        </w:rPr>
        <w:t>Continuing to provide opportunities for in-person collaboration at our “Dropbox Studios” locations and “On-Demand Spaces” and through team offsites and events.</w:t>
      </w:r>
    </w:p>
    <w:p>
      <w:pPr>
        <w:spacing w:after="0" w:line="101" w:lineRule="exact"/>
        <w:rPr>
          <w:rFonts w:ascii="Arial" w:cs="Arial" w:eastAsia="Arial" w:hAnsi="Arial"/>
          <w:sz w:val="16"/>
          <w:szCs w:val="16"/>
          <w:color w:val="0063A6"/>
        </w:rPr>
      </w:pPr>
    </w:p>
    <w:p>
      <w:pPr>
        <w:ind w:left="340" w:right="500" w:hanging="332"/>
        <w:spacing w:after="0" w:line="268" w:lineRule="auto"/>
        <w:tabs>
          <w:tab w:leader="none" w:pos="329"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We are committed to supporting the well-being of our employees by providing paid parental leave for all eligible employees, as well as mental and physical wellness benefits.</w:t>
      </w:r>
    </w:p>
    <w:p>
      <w:pPr>
        <w:spacing w:after="0" w:line="115" w:lineRule="exact"/>
        <w:rPr>
          <w:rFonts w:ascii="Arial" w:cs="Arial" w:eastAsia="Arial" w:hAnsi="Arial"/>
          <w:sz w:val="16"/>
          <w:szCs w:val="16"/>
          <w:color w:val="0063A6"/>
        </w:rPr>
      </w:pPr>
    </w:p>
    <w:p>
      <w:pPr>
        <w:ind w:left="340" w:right="80" w:hanging="332"/>
        <w:spacing w:after="0" w:line="259" w:lineRule="auto"/>
        <w:tabs>
          <w:tab w:leader="none" w:pos="329"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Dropbox is committed to a safe and healthy work environment for employees and considers it a key component of continued success. This commitment is led by the Global Physical Security and Safety team, which includes a Global Security Operations Center (“</w:t>
      </w:r>
      <w:r>
        <w:rPr>
          <w:rFonts w:ascii="Arial" w:cs="Arial" w:eastAsia="Arial" w:hAnsi="Arial"/>
          <w:sz w:val="16"/>
          <w:szCs w:val="16"/>
          <w:b w:val="1"/>
          <w:bCs w:val="1"/>
          <w:i w:val="1"/>
          <w:iCs w:val="1"/>
          <w:color w:val="auto"/>
        </w:rPr>
        <w:t>GSOC</w:t>
      </w:r>
      <w:r>
        <w:rPr>
          <w:rFonts w:ascii="Arial" w:cs="Arial" w:eastAsia="Arial" w:hAnsi="Arial"/>
          <w:sz w:val="16"/>
          <w:szCs w:val="16"/>
          <w:color w:val="auto"/>
        </w:rPr>
        <w:t>”). GSOC helps employees whenever there’s an emergency or incident and is the main contact during a crisis response by Dropbox. GSOC provides around-the-clock support for employees whether they’re in a studio, on a business trip, or at home.</w:t>
      </w:r>
    </w:p>
    <w:p>
      <w:pPr>
        <w:spacing w:after="0" w:line="110" w:lineRule="exact"/>
        <w:rPr>
          <w:rFonts w:ascii="Arial" w:cs="Arial" w:eastAsia="Arial" w:hAnsi="Arial"/>
          <w:sz w:val="16"/>
          <w:szCs w:val="16"/>
          <w:color w:val="0063A6"/>
        </w:rPr>
      </w:pPr>
    </w:p>
    <w:p>
      <w:pPr>
        <w:ind w:left="320" w:hanging="312"/>
        <w:spacing w:after="0"/>
        <w:tabs>
          <w:tab w:leader="none" w:pos="320" w:val="left"/>
        </w:tabs>
        <w:numPr>
          <w:ilvl w:val="0"/>
          <w:numId w:val="32"/>
        </w:numPr>
        <w:rPr>
          <w:rFonts w:ascii="Arial" w:cs="Arial" w:eastAsia="Arial" w:hAnsi="Arial"/>
          <w:sz w:val="16"/>
          <w:szCs w:val="16"/>
          <w:color w:val="0063A6"/>
        </w:rPr>
      </w:pPr>
      <w:r>
        <w:rPr>
          <w:rFonts w:ascii="Arial" w:cs="Arial" w:eastAsia="Arial" w:hAnsi="Arial"/>
          <w:sz w:val="16"/>
          <w:szCs w:val="16"/>
          <w:color w:val="auto"/>
        </w:rPr>
        <w:t>With the shift to our Virtual First work model, we remain committed to supporting employee wellness and development:</w:t>
      </w:r>
    </w:p>
    <w:p>
      <w:pPr>
        <w:spacing w:after="0" w:line="167" w:lineRule="exact"/>
        <w:rPr>
          <w:rFonts w:ascii="Arial" w:cs="Arial" w:eastAsia="Arial" w:hAnsi="Arial"/>
          <w:sz w:val="16"/>
          <w:szCs w:val="16"/>
          <w:color w:val="0063A6"/>
        </w:rPr>
      </w:pPr>
    </w:p>
    <w:p>
      <w:pPr>
        <w:ind w:left="740" w:right="440" w:hanging="327"/>
        <w:spacing w:after="0" w:line="286" w:lineRule="auto"/>
        <w:tabs>
          <w:tab w:leader="none" w:pos="729" w:val="left"/>
        </w:tabs>
        <w:numPr>
          <w:ilvl w:val="1"/>
          <w:numId w:val="32"/>
        </w:numPr>
        <w:rPr>
          <w:rFonts w:ascii="Arial" w:cs="Arial" w:eastAsia="Arial" w:hAnsi="Arial"/>
          <w:sz w:val="16"/>
          <w:szCs w:val="16"/>
          <w:color w:val="0063A6"/>
        </w:rPr>
      </w:pPr>
      <w:r>
        <w:rPr>
          <w:rFonts w:ascii="Arial" w:cs="Arial" w:eastAsia="Arial" w:hAnsi="Arial"/>
          <w:sz w:val="16"/>
          <w:szCs w:val="16"/>
          <w:color w:val="auto"/>
        </w:rPr>
        <w:t>We provide subsidized dependent care and access to dependent care resources, as well as supporting flexible working arrangements for our employees with caregiving obligations.</w:t>
      </w:r>
    </w:p>
    <w:p>
      <w:pPr>
        <w:spacing w:after="0" w:line="101" w:lineRule="exact"/>
        <w:rPr>
          <w:rFonts w:ascii="Arial" w:cs="Arial" w:eastAsia="Arial" w:hAnsi="Arial"/>
          <w:sz w:val="16"/>
          <w:szCs w:val="16"/>
          <w:color w:val="0063A6"/>
        </w:rPr>
      </w:pPr>
    </w:p>
    <w:p>
      <w:pPr>
        <w:ind w:left="740" w:hanging="327"/>
        <w:spacing w:after="0"/>
        <w:tabs>
          <w:tab w:leader="none" w:pos="740" w:val="left"/>
        </w:tabs>
        <w:numPr>
          <w:ilvl w:val="1"/>
          <w:numId w:val="32"/>
        </w:numPr>
        <w:rPr>
          <w:rFonts w:ascii="Arial" w:cs="Arial" w:eastAsia="Arial" w:hAnsi="Arial"/>
          <w:sz w:val="14"/>
          <w:szCs w:val="14"/>
          <w:color w:val="0063A6"/>
        </w:rPr>
      </w:pPr>
      <w:r>
        <w:rPr>
          <w:rFonts w:ascii="Arial" w:cs="Arial" w:eastAsia="Arial" w:hAnsi="Arial"/>
          <w:sz w:val="16"/>
          <w:szCs w:val="16"/>
          <w:color w:val="auto"/>
        </w:rPr>
        <w:t>We offer a program to help employees and their dependents manage their mental health through coaching, therapy, and on-demand resources.</w:t>
      </w:r>
    </w:p>
    <w:p>
      <w:pPr>
        <w:spacing w:after="0" w:line="200" w:lineRule="exact"/>
        <w:rPr>
          <w:sz w:val="20"/>
          <w:szCs w:val="20"/>
          <w:color w:val="auto"/>
        </w:rPr>
      </w:pPr>
    </w:p>
    <w:p>
      <w:pPr>
        <w:spacing w:after="0" w:line="350" w:lineRule="exact"/>
        <w:rPr>
          <w:sz w:val="20"/>
          <w:szCs w:val="20"/>
          <w:color w:val="auto"/>
        </w:rPr>
      </w:pPr>
    </w:p>
    <w:p>
      <w:pPr>
        <w:ind w:left="580" w:hanging="554"/>
        <w:spacing w:after="0"/>
        <w:tabs>
          <w:tab w:leader="none" w:pos="58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ind w:left="740" w:right="160" w:hanging="327"/>
        <w:spacing w:after="0" w:line="286" w:lineRule="auto"/>
        <w:tabs>
          <w:tab w:leader="none" w:pos="729" w:val="left"/>
        </w:tabs>
        <w:numPr>
          <w:ilvl w:val="1"/>
          <w:numId w:val="34"/>
        </w:numPr>
        <w:rPr>
          <w:rFonts w:ascii="Arial" w:cs="Arial" w:eastAsia="Arial" w:hAnsi="Arial"/>
          <w:sz w:val="16"/>
          <w:szCs w:val="16"/>
          <w:color w:val="0063A6"/>
        </w:rPr>
      </w:pPr>
      <w:r>
        <w:rPr>
          <w:rFonts w:ascii="Arial" w:cs="Arial" w:eastAsia="Arial" w:hAnsi="Arial"/>
          <w:sz w:val="16"/>
          <w:szCs w:val="16"/>
          <w:color w:val="auto"/>
        </w:rPr>
        <w:t>We continue to offer robust learning and development opportunities for our employees and managers, which includes skill-building workshops as well as coaching pods to support connection and peer learning in a remote context.</w:t>
      </w:r>
    </w:p>
    <w:p>
      <w:pPr>
        <w:spacing w:after="0" w:line="101" w:lineRule="exact"/>
        <w:rPr>
          <w:rFonts w:ascii="Arial" w:cs="Arial" w:eastAsia="Arial" w:hAnsi="Arial"/>
          <w:sz w:val="16"/>
          <w:szCs w:val="16"/>
          <w:color w:val="0063A6"/>
        </w:rPr>
      </w:pPr>
    </w:p>
    <w:p>
      <w:pPr>
        <w:ind w:left="340" w:right="40" w:hanging="332"/>
        <w:spacing w:after="0" w:line="268" w:lineRule="auto"/>
        <w:tabs>
          <w:tab w:leader="none" w:pos="329" w:val="left"/>
        </w:tabs>
        <w:numPr>
          <w:ilvl w:val="0"/>
          <w:numId w:val="34"/>
        </w:numPr>
        <w:rPr>
          <w:rFonts w:ascii="Arial" w:cs="Arial" w:eastAsia="Arial" w:hAnsi="Arial"/>
          <w:sz w:val="16"/>
          <w:szCs w:val="16"/>
          <w:color w:val="0063A6"/>
        </w:rPr>
      </w:pPr>
      <w:r>
        <w:rPr>
          <w:rFonts w:ascii="Arial" w:cs="Arial" w:eastAsia="Arial" w:hAnsi="Arial"/>
          <w:sz w:val="16"/>
          <w:szCs w:val="16"/>
          <w:color w:val="auto"/>
        </w:rPr>
        <w:t>We conduct a bi-annual employee engagement survey, the results of which are used by management to refine our employee wellness and development initiatives.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Diversity, Equity and Inclusion</w:t>
      </w:r>
    </w:p>
    <w:p>
      <w:pPr>
        <w:spacing w:after="0" w:line="165" w:lineRule="exact"/>
        <w:rPr>
          <w:sz w:val="20"/>
          <w:szCs w:val="20"/>
          <w:color w:val="auto"/>
        </w:rPr>
      </w:pPr>
    </w:p>
    <w:p>
      <w:pPr>
        <w:ind w:left="340" w:right="80" w:hanging="332"/>
        <w:spacing w:after="0" w:line="286" w:lineRule="auto"/>
        <w:tabs>
          <w:tab w:leader="none" w:pos="329" w:val="left"/>
        </w:tabs>
        <w:numPr>
          <w:ilvl w:val="0"/>
          <w:numId w:val="35"/>
        </w:numPr>
        <w:rPr>
          <w:rFonts w:ascii="Arial" w:cs="Arial" w:eastAsia="Arial" w:hAnsi="Arial"/>
          <w:sz w:val="16"/>
          <w:szCs w:val="16"/>
          <w:color w:val="0063A6"/>
        </w:rPr>
      </w:pPr>
      <w:r>
        <w:rPr>
          <w:rFonts w:ascii="Arial" w:cs="Arial" w:eastAsia="Arial" w:hAnsi="Arial"/>
          <w:sz w:val="16"/>
          <w:szCs w:val="16"/>
          <w:color w:val="auto"/>
        </w:rPr>
        <w:t>We provide resources and training to employees at all levels to ensure that we are cultivating diverse and inclusive teams, as well as sponsor a number of professional development opportunities.</w:t>
      </w:r>
    </w:p>
    <w:p>
      <w:pPr>
        <w:spacing w:after="0" w:line="101" w:lineRule="exact"/>
        <w:rPr>
          <w:rFonts w:ascii="Arial" w:cs="Arial" w:eastAsia="Arial" w:hAnsi="Arial"/>
          <w:sz w:val="16"/>
          <w:szCs w:val="16"/>
          <w:color w:val="0063A6"/>
        </w:rPr>
      </w:pPr>
    </w:p>
    <w:p>
      <w:pPr>
        <w:ind w:left="340" w:right="180" w:hanging="332"/>
        <w:spacing w:after="0" w:line="257" w:lineRule="auto"/>
        <w:tabs>
          <w:tab w:leader="none" w:pos="329" w:val="left"/>
        </w:tabs>
        <w:numPr>
          <w:ilvl w:val="0"/>
          <w:numId w:val="35"/>
        </w:numPr>
        <w:rPr>
          <w:rFonts w:ascii="Arial" w:cs="Arial" w:eastAsia="Arial" w:hAnsi="Arial"/>
          <w:sz w:val="16"/>
          <w:szCs w:val="16"/>
          <w:color w:val="0063A6"/>
        </w:rPr>
      </w:pPr>
      <w:r>
        <w:rPr>
          <w:rFonts w:ascii="Arial" w:cs="Arial" w:eastAsia="Arial" w:hAnsi="Arial"/>
          <w:sz w:val="16"/>
          <w:szCs w:val="16"/>
          <w:color w:val="auto"/>
        </w:rPr>
        <w:t>Our Employee Resource Groups, or ERGs, provide support for different identity groups within our workforce by fostering an inclusive environment and providing professional development and community-building opportunities; each ERG has an executive-level sponsor who champions ERG initiatives and programs.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Social Impact</w:t>
      </w:r>
    </w:p>
    <w:p>
      <w:pPr>
        <w:spacing w:after="0" w:line="165" w:lineRule="exact"/>
        <w:rPr>
          <w:sz w:val="20"/>
          <w:szCs w:val="20"/>
          <w:color w:val="auto"/>
        </w:rPr>
      </w:pPr>
    </w:p>
    <w:p>
      <w:pPr>
        <w:ind w:left="340" w:right="40" w:hanging="332"/>
        <w:spacing w:after="0" w:line="286" w:lineRule="auto"/>
        <w:tabs>
          <w:tab w:leader="none" w:pos="329" w:val="left"/>
        </w:tabs>
        <w:numPr>
          <w:ilvl w:val="0"/>
          <w:numId w:val="36"/>
        </w:numPr>
        <w:rPr>
          <w:rFonts w:ascii="Arial" w:cs="Arial" w:eastAsia="Arial" w:hAnsi="Arial"/>
          <w:sz w:val="16"/>
          <w:szCs w:val="16"/>
          <w:color w:val="0063A6"/>
        </w:rPr>
      </w:pPr>
      <w:r>
        <w:rPr>
          <w:rFonts w:ascii="Arial" w:cs="Arial" w:eastAsia="Arial" w:hAnsi="Arial"/>
          <w:sz w:val="16"/>
          <w:szCs w:val="16"/>
          <w:color w:val="auto"/>
        </w:rPr>
        <w:t>At Dropbox, we’re committed to leveraging our people, products, and resources for good, which we believe positively contributes to our work culture and helps us recruit and retain talented employees.</w:t>
      </w:r>
    </w:p>
    <w:p>
      <w:pPr>
        <w:spacing w:after="0" w:line="88" w:lineRule="exact"/>
        <w:rPr>
          <w:rFonts w:ascii="Arial" w:cs="Arial" w:eastAsia="Arial" w:hAnsi="Arial"/>
          <w:sz w:val="16"/>
          <w:szCs w:val="16"/>
          <w:color w:val="0063A6"/>
        </w:rPr>
      </w:pPr>
    </w:p>
    <w:p>
      <w:pPr>
        <w:ind w:left="340" w:right="100" w:hanging="332"/>
        <w:spacing w:after="0" w:line="266" w:lineRule="auto"/>
        <w:tabs>
          <w:tab w:leader="none" w:pos="329" w:val="left"/>
        </w:tabs>
        <w:numPr>
          <w:ilvl w:val="0"/>
          <w:numId w:val="36"/>
        </w:numPr>
        <w:rPr>
          <w:rFonts w:ascii="Arial" w:cs="Arial" w:eastAsia="Arial" w:hAnsi="Arial"/>
          <w:sz w:val="16"/>
          <w:szCs w:val="16"/>
          <w:color w:val="0063A6"/>
        </w:rPr>
      </w:pPr>
      <w:r>
        <w:rPr>
          <w:rFonts w:ascii="Arial" w:cs="Arial" w:eastAsia="Arial" w:hAnsi="Arial"/>
          <w:sz w:val="16"/>
          <w:szCs w:val="16"/>
          <w:color w:val="auto"/>
        </w:rPr>
        <w:t>We partner closely with the Dropbox Foundation in its work with nonprofit organizations to defend human rights in communities around the world. We encourage Dropbox employees to support these organizations and other causes they’re passionate about through skills-based volunteering, donations, and by raising awareness of their missions through internal talks and other advocacy.</w:t>
      </w:r>
    </w:p>
    <w:p>
      <w:pPr>
        <w:spacing w:after="0" w:line="117" w:lineRule="exact"/>
        <w:rPr>
          <w:rFonts w:ascii="Arial" w:cs="Arial" w:eastAsia="Arial" w:hAnsi="Arial"/>
          <w:sz w:val="16"/>
          <w:szCs w:val="16"/>
          <w:color w:val="0063A6"/>
        </w:rPr>
      </w:pPr>
    </w:p>
    <w:p>
      <w:pPr>
        <w:ind w:left="340" w:right="620" w:hanging="332"/>
        <w:spacing w:after="0" w:line="286" w:lineRule="auto"/>
        <w:tabs>
          <w:tab w:leader="none" w:pos="329" w:val="left"/>
        </w:tabs>
        <w:numPr>
          <w:ilvl w:val="0"/>
          <w:numId w:val="36"/>
        </w:numPr>
        <w:rPr>
          <w:rFonts w:ascii="Arial" w:cs="Arial" w:eastAsia="Arial" w:hAnsi="Arial"/>
          <w:sz w:val="16"/>
          <w:szCs w:val="16"/>
          <w:color w:val="0063A6"/>
        </w:rPr>
      </w:pPr>
      <w:r>
        <w:rPr>
          <w:rFonts w:ascii="Arial" w:cs="Arial" w:eastAsia="Arial" w:hAnsi="Arial"/>
          <w:sz w:val="16"/>
          <w:szCs w:val="16"/>
          <w:color w:val="auto"/>
        </w:rPr>
        <w:t>We empower our employees to give back to their communities by providing paid volunteer time off, matching a portion of employee donations to nonprofits and making Dropbox product donations to nonprofit organizations that are nominated by our employees.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Accessibility</w:t>
      </w:r>
    </w:p>
    <w:p>
      <w:pPr>
        <w:spacing w:after="0" w:line="165" w:lineRule="exact"/>
        <w:rPr>
          <w:sz w:val="20"/>
          <w:szCs w:val="20"/>
          <w:color w:val="auto"/>
        </w:rPr>
      </w:pPr>
    </w:p>
    <w:p>
      <w:pPr>
        <w:ind w:left="340" w:right="60" w:hanging="332"/>
        <w:spacing w:after="0" w:line="266" w:lineRule="auto"/>
        <w:tabs>
          <w:tab w:leader="none" w:pos="329" w:val="left"/>
        </w:tabs>
        <w:numPr>
          <w:ilvl w:val="0"/>
          <w:numId w:val="37"/>
        </w:numPr>
        <w:rPr>
          <w:rFonts w:ascii="Arial" w:cs="Arial" w:eastAsia="Arial" w:hAnsi="Arial"/>
          <w:sz w:val="16"/>
          <w:szCs w:val="16"/>
          <w:color w:val="0063A6"/>
        </w:rPr>
      </w:pPr>
      <w:r>
        <w:rPr>
          <w:rFonts w:ascii="Arial" w:cs="Arial" w:eastAsia="Arial" w:hAnsi="Arial"/>
          <w:sz w:val="16"/>
          <w:szCs w:val="16"/>
          <w:color w:val="auto"/>
        </w:rPr>
        <w:t>Our mission is to design a more enlightened way of working—for everyone who uses our products. Inclusion is at the heart of our mission. The Dropbox for All initiative is a commitment to making Dropbox more inclusive and broadens the possibilities of who can work together, how they can contribute, and what it means to be part of a team.</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Governance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AI Principles</w:t>
      </w:r>
    </w:p>
    <w:p>
      <w:pPr>
        <w:spacing w:after="0" w:line="165" w:lineRule="exact"/>
        <w:rPr>
          <w:sz w:val="20"/>
          <w:szCs w:val="20"/>
          <w:color w:val="auto"/>
        </w:rPr>
      </w:pPr>
    </w:p>
    <w:p>
      <w:pPr>
        <w:ind w:left="340" w:right="300" w:hanging="332"/>
        <w:spacing w:after="0" w:line="286" w:lineRule="auto"/>
        <w:tabs>
          <w:tab w:leader="none" w:pos="329" w:val="left"/>
        </w:tabs>
        <w:numPr>
          <w:ilvl w:val="0"/>
          <w:numId w:val="38"/>
        </w:numPr>
        <w:rPr>
          <w:rFonts w:ascii="Arial" w:cs="Arial" w:eastAsia="Arial" w:hAnsi="Arial"/>
          <w:sz w:val="16"/>
          <w:szCs w:val="16"/>
          <w:i w:val="1"/>
          <w:iCs w:val="1"/>
          <w:color w:val="0063A6"/>
        </w:rPr>
      </w:pPr>
      <w:r>
        <w:rPr>
          <w:rFonts w:ascii="Arial" w:cs="Arial" w:eastAsia="Arial" w:hAnsi="Arial"/>
          <w:sz w:val="16"/>
          <w:szCs w:val="16"/>
          <w:color w:val="auto"/>
        </w:rPr>
        <w:t>We have a dedicated website disclosing AI principles that will continue to guide our teams as we develop AI products and features responsibly in the years to come.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Business Conduct and Ethics; Human and Labor Rights</w:t>
      </w:r>
    </w:p>
    <w:p>
      <w:pPr>
        <w:spacing w:after="0" w:line="165" w:lineRule="exact"/>
        <w:rPr>
          <w:sz w:val="20"/>
          <w:szCs w:val="20"/>
          <w:color w:val="auto"/>
        </w:rPr>
      </w:pPr>
    </w:p>
    <w:p>
      <w:pPr>
        <w:ind w:left="340" w:right="360" w:hanging="332"/>
        <w:spacing w:after="0" w:line="268" w:lineRule="auto"/>
        <w:tabs>
          <w:tab w:leader="none" w:pos="329" w:val="left"/>
        </w:tabs>
        <w:numPr>
          <w:ilvl w:val="0"/>
          <w:numId w:val="39"/>
        </w:numPr>
        <w:rPr>
          <w:rFonts w:ascii="Arial" w:cs="Arial" w:eastAsia="Arial" w:hAnsi="Arial"/>
          <w:sz w:val="16"/>
          <w:szCs w:val="16"/>
          <w:color w:val="0063A6"/>
        </w:rPr>
      </w:pPr>
      <w:r>
        <w:rPr>
          <w:rFonts w:ascii="Arial" w:cs="Arial" w:eastAsia="Arial" w:hAnsi="Arial"/>
          <w:sz w:val="16"/>
          <w:szCs w:val="16"/>
          <w:color w:val="auto"/>
        </w:rPr>
        <w:t>We have a Worldwide Code of Business Conduct and Ethics (the “</w:t>
      </w:r>
      <w:r>
        <w:rPr>
          <w:rFonts w:ascii="Arial" w:cs="Arial" w:eastAsia="Arial" w:hAnsi="Arial"/>
          <w:sz w:val="16"/>
          <w:szCs w:val="16"/>
          <w:b w:val="1"/>
          <w:bCs w:val="1"/>
          <w:i w:val="1"/>
          <w:iCs w:val="1"/>
          <w:color w:val="auto"/>
        </w:rPr>
        <w:t>Code of Conduct</w:t>
      </w:r>
      <w:r>
        <w:rPr>
          <w:rFonts w:ascii="Arial" w:cs="Arial" w:eastAsia="Arial" w:hAnsi="Arial"/>
          <w:sz w:val="16"/>
          <w:szCs w:val="16"/>
          <w:color w:val="auto"/>
        </w:rPr>
        <w:t>”) that is applicable to all our employees, officers, directors and independent contractors, as well as written policies addressing insider trading, anti-corruption, financial controls and maintaining confidentiality.</w:t>
      </w:r>
    </w:p>
    <w:p>
      <w:pPr>
        <w:spacing w:after="0" w:line="115" w:lineRule="exact"/>
        <w:rPr>
          <w:rFonts w:ascii="Arial" w:cs="Arial" w:eastAsia="Arial" w:hAnsi="Arial"/>
          <w:sz w:val="16"/>
          <w:szCs w:val="16"/>
          <w:color w:val="0063A6"/>
        </w:rPr>
      </w:pPr>
    </w:p>
    <w:p>
      <w:pPr>
        <w:ind w:left="320" w:hanging="312"/>
        <w:spacing w:after="0"/>
        <w:tabs>
          <w:tab w:leader="none" w:pos="320" w:val="left"/>
        </w:tabs>
        <w:numPr>
          <w:ilvl w:val="0"/>
          <w:numId w:val="39"/>
        </w:numPr>
        <w:rPr>
          <w:rFonts w:ascii="Arial" w:cs="Arial" w:eastAsia="Arial" w:hAnsi="Arial"/>
          <w:sz w:val="16"/>
          <w:szCs w:val="16"/>
          <w:color w:val="0063A6"/>
        </w:rPr>
      </w:pPr>
      <w:r>
        <w:rPr>
          <w:rFonts w:ascii="Arial" w:cs="Arial" w:eastAsia="Arial" w:hAnsi="Arial"/>
          <w:sz w:val="16"/>
          <w:szCs w:val="16"/>
          <w:color w:val="auto"/>
        </w:rPr>
        <w:t>The Code of Conduct and our internal policies are reviewed on an annual basis and updated as necessary.</w:t>
      </w:r>
    </w:p>
    <w:p>
      <w:pPr>
        <w:spacing w:after="0" w:line="167" w:lineRule="exact"/>
        <w:rPr>
          <w:rFonts w:ascii="Arial" w:cs="Arial" w:eastAsia="Arial" w:hAnsi="Arial"/>
          <w:sz w:val="16"/>
          <w:szCs w:val="16"/>
          <w:color w:val="0063A6"/>
        </w:rPr>
      </w:pPr>
    </w:p>
    <w:p>
      <w:pPr>
        <w:ind w:left="340" w:right="140" w:hanging="332"/>
        <w:spacing w:after="0" w:line="286" w:lineRule="auto"/>
        <w:tabs>
          <w:tab w:leader="none" w:pos="329" w:val="left"/>
        </w:tabs>
        <w:numPr>
          <w:ilvl w:val="0"/>
          <w:numId w:val="39"/>
        </w:numPr>
        <w:rPr>
          <w:rFonts w:ascii="Arial" w:cs="Arial" w:eastAsia="Arial" w:hAnsi="Arial"/>
          <w:sz w:val="16"/>
          <w:szCs w:val="16"/>
          <w:color w:val="0063A6"/>
        </w:rPr>
      </w:pPr>
      <w:r>
        <w:rPr>
          <w:rFonts w:ascii="Arial" w:cs="Arial" w:eastAsia="Arial" w:hAnsi="Arial"/>
          <w:sz w:val="16"/>
          <w:szCs w:val="16"/>
          <w:color w:val="auto"/>
        </w:rPr>
        <w:t>All employees are required to complete a training course on the Code of Conduct and related policies on an annual basis; additional trainings on select topics are provided to certain employees based on their roles.</w:t>
      </w:r>
    </w:p>
    <w:p>
      <w:pPr>
        <w:spacing w:after="0" w:line="88" w:lineRule="exact"/>
        <w:rPr>
          <w:rFonts w:ascii="Arial" w:cs="Arial" w:eastAsia="Arial" w:hAnsi="Arial"/>
          <w:sz w:val="16"/>
          <w:szCs w:val="16"/>
          <w:color w:val="0063A6"/>
        </w:rPr>
      </w:pPr>
    </w:p>
    <w:p>
      <w:pPr>
        <w:ind w:left="340" w:right="140" w:hanging="332"/>
        <w:spacing w:after="0" w:line="266" w:lineRule="auto"/>
        <w:tabs>
          <w:tab w:leader="none" w:pos="329" w:val="left"/>
        </w:tabs>
        <w:numPr>
          <w:ilvl w:val="0"/>
          <w:numId w:val="39"/>
        </w:numPr>
        <w:rPr>
          <w:rFonts w:ascii="Arial" w:cs="Arial" w:eastAsia="Arial" w:hAnsi="Arial"/>
          <w:sz w:val="16"/>
          <w:szCs w:val="16"/>
          <w:color w:val="0063A6"/>
        </w:rPr>
      </w:pPr>
      <w:r>
        <w:rPr>
          <w:rFonts w:ascii="Arial" w:cs="Arial" w:eastAsia="Arial" w:hAnsi="Arial"/>
          <w:sz w:val="16"/>
          <w:szCs w:val="16"/>
          <w:color w:val="auto"/>
        </w:rPr>
        <w:t>Trust is one of our core values and we seek to maintain that trust through empowering employees to report any potential violations of our Code of Conduct, our policies or applicable laws through our confidential whistleblower hotline; we do not tolerate any retaliation against employees who report potential violations in good faith or participate in investigations into such violations.</w:t>
      </w:r>
    </w:p>
    <w:p>
      <w:pPr>
        <w:spacing w:after="0" w:line="117" w:lineRule="exact"/>
        <w:rPr>
          <w:rFonts w:ascii="Arial" w:cs="Arial" w:eastAsia="Arial" w:hAnsi="Arial"/>
          <w:sz w:val="16"/>
          <w:szCs w:val="16"/>
          <w:color w:val="0063A6"/>
        </w:rPr>
      </w:pPr>
    </w:p>
    <w:p>
      <w:pPr>
        <w:ind w:left="340" w:right="360" w:hanging="332"/>
        <w:spacing w:after="0" w:line="286" w:lineRule="auto"/>
        <w:tabs>
          <w:tab w:leader="none" w:pos="329" w:val="left"/>
        </w:tabs>
        <w:numPr>
          <w:ilvl w:val="0"/>
          <w:numId w:val="39"/>
        </w:numPr>
        <w:rPr>
          <w:rFonts w:ascii="Arial" w:cs="Arial" w:eastAsia="Arial" w:hAnsi="Arial"/>
          <w:sz w:val="16"/>
          <w:szCs w:val="16"/>
          <w:color w:val="0063A6"/>
        </w:rPr>
      </w:pPr>
      <w:r>
        <w:rPr>
          <w:rFonts w:ascii="Arial" w:cs="Arial" w:eastAsia="Arial" w:hAnsi="Arial"/>
          <w:sz w:val="16"/>
          <w:szCs w:val="16"/>
          <w:color w:val="auto"/>
        </w:rPr>
        <w:t>We prohibit all forms of slavery, human trafficking, and discrimination in our operations, and we strive to ensure that our policies and procedures are reflective of our commitment to human and labor rights.</w:t>
      </w:r>
    </w:p>
    <w:p>
      <w:pPr>
        <w:spacing w:after="0" w:line="88" w:lineRule="exact"/>
        <w:rPr>
          <w:rFonts w:ascii="Arial" w:cs="Arial" w:eastAsia="Arial" w:hAnsi="Arial"/>
          <w:sz w:val="16"/>
          <w:szCs w:val="16"/>
          <w:color w:val="0063A6"/>
        </w:rPr>
      </w:pPr>
    </w:p>
    <w:p>
      <w:pPr>
        <w:ind w:left="320" w:hanging="312"/>
        <w:spacing w:after="0"/>
        <w:tabs>
          <w:tab w:leader="none" w:pos="320" w:val="left"/>
        </w:tabs>
        <w:numPr>
          <w:ilvl w:val="0"/>
          <w:numId w:val="39"/>
        </w:numPr>
        <w:rPr>
          <w:rFonts w:ascii="Arial" w:cs="Arial" w:eastAsia="Arial" w:hAnsi="Arial"/>
          <w:sz w:val="14"/>
          <w:szCs w:val="14"/>
          <w:color w:val="0063A6"/>
        </w:rPr>
      </w:pPr>
      <w:r>
        <w:rPr>
          <w:rFonts w:ascii="Arial" w:cs="Arial" w:eastAsia="Arial" w:hAnsi="Arial"/>
          <w:sz w:val="16"/>
          <w:szCs w:val="16"/>
          <w:color w:val="auto"/>
        </w:rPr>
        <w:t>Our Supplier Code of Conduct establishes our expectations of a supplier’s commitment to safeguarding human rights in their own operations.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8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6"/>
          <w:szCs w:val="26"/>
          <w:color w:val="0063A6"/>
        </w:rPr>
        <w:t>Director Compensation</w:t>
      </w:r>
    </w:p>
    <w:p>
      <w:pPr>
        <w:spacing w:after="0" w:line="179"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We have adopted a compensation policy for our non-employee directors. Under this director compensation policy, each non-employee director receives the cash and equity compensation for board services described below. We also reimburse our non-employee directors for reasonable, customary, and documented travel expenses to board meetings. The director compensation policy has been developed in consultation with Compensia, Inc., or Compensia, an independent national compensation consulting firm. Compensia provided recommendations and competitive non-employee director compensation data and analyses. We considered and discussed these recommendations and data and considered the specific duties and committee responsibilities of particular directors. We adopted Compensia’s recommendations when we initially adopted the director compensation policy in connection with our initial public offering, and we believe the policy provides our non-employee directors with reasonable and appropriate compensation that is commensurate with the services they provide and competitive with compensation paid by our peer group companies to their non-employee directors. Compensia has also advised on subsequent amendments to the policy. Our director compensation policy follows the principles listed below.</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840" w:type="dxa"/>
            <w:vAlign w:val="bottom"/>
            <w:tcBorders>
              <w:left w:val="single" w:sz="8" w:color="0063A6"/>
              <w:bottom w:val="single" w:sz="8" w:color="0063A6"/>
              <w:right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Principle</w:t>
            </w:r>
          </w:p>
        </w:tc>
        <w:tc>
          <w:tcPr>
            <w:tcW w:w="8420" w:type="dxa"/>
            <w:vAlign w:val="bottom"/>
            <w:tcBorders>
              <w:bottom w:val="single" w:sz="8" w:color="0063A6"/>
              <w:right w:val="single" w:sz="8" w:color="0063A6"/>
            </w:tcBorders>
            <w:shd w:val="clear" w:color="auto" w:fill="0063A6"/>
          </w:tcPr>
          <w:p>
            <w:pPr>
              <w:ind w:left="40"/>
              <w:spacing w:after="0"/>
              <w:rPr>
                <w:sz w:val="20"/>
                <w:szCs w:val="20"/>
                <w:color w:val="auto"/>
              </w:rPr>
            </w:pPr>
            <w:r>
              <w:rPr>
                <w:rFonts w:ascii="Arial" w:cs="Arial" w:eastAsia="Arial" w:hAnsi="Arial"/>
                <w:sz w:val="14"/>
                <w:szCs w:val="14"/>
                <w:b w:val="1"/>
                <w:bCs w:val="1"/>
                <w:color w:val="FFFFFF"/>
              </w:rPr>
              <w:t>Description</w:t>
            </w:r>
          </w:p>
        </w:tc>
      </w:tr>
      <w:tr>
        <w:trPr>
          <w:trHeight w:val="242"/>
        </w:trPr>
        <w:tc>
          <w:tcPr>
            <w:tcW w:w="284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Pay Mix</w:t>
            </w:r>
          </w:p>
        </w:tc>
        <w:tc>
          <w:tcPr>
            <w:tcW w:w="8420" w:type="dxa"/>
            <w:vAlign w:val="bottom"/>
            <w:tcBorders>
              <w:right w:val="single" w:sz="8" w:color="0063A6"/>
            </w:tcBorders>
          </w:tcPr>
          <w:p>
            <w:pPr>
              <w:ind w:left="40"/>
              <w:spacing w:after="0"/>
              <w:rPr>
                <w:sz w:val="20"/>
                <w:szCs w:val="20"/>
                <w:color w:val="auto"/>
              </w:rPr>
            </w:pPr>
            <w:r>
              <w:rPr>
                <w:rFonts w:ascii="Arial" w:cs="Arial" w:eastAsia="Arial" w:hAnsi="Arial"/>
                <w:sz w:val="16"/>
                <w:szCs w:val="16"/>
                <w:color w:val="auto"/>
              </w:rPr>
              <w:t>Our director compensation policy consists of a balance of cash and equity, with an emphasis on equity over cash, in</w:t>
            </w:r>
          </w:p>
        </w:tc>
      </w:tr>
      <w:tr>
        <w:trPr>
          <w:trHeight w:val="215"/>
        </w:trPr>
        <w:tc>
          <w:tcPr>
            <w:tcW w:w="2840" w:type="dxa"/>
            <w:vAlign w:val="bottom"/>
            <w:tcBorders>
              <w:left w:val="single" w:sz="8" w:color="0063A6"/>
              <w:right w:val="single" w:sz="8" w:color="0063A6"/>
            </w:tcBorders>
          </w:tcPr>
          <w:p>
            <w:pPr>
              <w:spacing w:after="0"/>
              <w:rPr>
                <w:sz w:val="18"/>
                <w:szCs w:val="18"/>
                <w:color w:val="auto"/>
              </w:rPr>
            </w:pPr>
          </w:p>
        </w:tc>
        <w:tc>
          <w:tcPr>
            <w:tcW w:w="8420" w:type="dxa"/>
            <w:vAlign w:val="bottom"/>
            <w:tcBorders>
              <w:right w:val="single" w:sz="8" w:color="0063A6"/>
            </w:tcBorders>
          </w:tcPr>
          <w:p>
            <w:pPr>
              <w:ind w:left="40"/>
              <w:spacing w:after="0"/>
              <w:rPr>
                <w:sz w:val="20"/>
                <w:szCs w:val="20"/>
                <w:color w:val="auto"/>
              </w:rPr>
            </w:pPr>
            <w:r>
              <w:rPr>
                <w:rFonts w:ascii="Arial" w:cs="Arial" w:eastAsia="Arial" w:hAnsi="Arial"/>
                <w:sz w:val="16"/>
                <w:szCs w:val="16"/>
                <w:color w:val="auto"/>
              </w:rPr>
              <w:t>order to better align the interests of our directors with that of our stockholders.</w:t>
            </w:r>
          </w:p>
        </w:tc>
      </w:tr>
      <w:tr>
        <w:trPr>
          <w:trHeight w:val="69"/>
        </w:trPr>
        <w:tc>
          <w:tcPr>
            <w:tcW w:w="2840" w:type="dxa"/>
            <w:vAlign w:val="bottom"/>
            <w:tcBorders>
              <w:left w:val="single" w:sz="8" w:color="0063A6"/>
              <w:bottom w:val="single" w:sz="8" w:color="0063A6"/>
              <w:right w:val="single" w:sz="8" w:color="0063A6"/>
            </w:tcBorders>
          </w:tcPr>
          <w:p>
            <w:pPr>
              <w:spacing w:after="0"/>
              <w:rPr>
                <w:sz w:val="6"/>
                <w:szCs w:val="6"/>
                <w:color w:val="auto"/>
              </w:rPr>
            </w:pPr>
          </w:p>
        </w:tc>
        <w:tc>
          <w:tcPr>
            <w:tcW w:w="8420" w:type="dxa"/>
            <w:vAlign w:val="bottom"/>
            <w:tcBorders>
              <w:bottom w:val="single" w:sz="8" w:color="0063A6"/>
              <w:right w:val="single" w:sz="8" w:color="0063A6"/>
            </w:tcBorders>
          </w:tcPr>
          <w:p>
            <w:pPr>
              <w:spacing w:after="0"/>
              <w:rPr>
                <w:sz w:val="6"/>
                <w:szCs w:val="6"/>
                <w:color w:val="auto"/>
              </w:rPr>
            </w:pPr>
          </w:p>
        </w:tc>
      </w:tr>
      <w:tr>
        <w:trPr>
          <w:trHeight w:val="290"/>
        </w:trPr>
        <w:tc>
          <w:tcPr>
            <w:tcW w:w="284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Total Compensation Limit</w:t>
            </w:r>
          </w:p>
        </w:tc>
        <w:tc>
          <w:tcPr>
            <w:tcW w:w="8420" w:type="dxa"/>
            <w:vAlign w:val="bottom"/>
            <w:tcBorders>
              <w:right w:val="single" w:sz="8" w:color="0063A6"/>
            </w:tcBorders>
          </w:tcPr>
          <w:p>
            <w:pPr>
              <w:ind w:left="40"/>
              <w:spacing w:after="0"/>
              <w:rPr>
                <w:sz w:val="20"/>
                <w:szCs w:val="20"/>
                <w:color w:val="auto"/>
              </w:rPr>
            </w:pPr>
            <w:r>
              <w:rPr>
                <w:rFonts w:ascii="Arial" w:cs="Arial" w:eastAsia="Arial" w:hAnsi="Arial"/>
                <w:sz w:val="16"/>
                <w:szCs w:val="16"/>
                <w:color w:val="auto"/>
              </w:rPr>
              <w:t>Our director compensation policy includes a maximum annual limit of $1,200,000 of cash compensation and equity</w:t>
            </w:r>
          </w:p>
        </w:tc>
      </w:tr>
      <w:tr>
        <w:trPr>
          <w:trHeight w:val="189"/>
        </w:trPr>
        <w:tc>
          <w:tcPr>
            <w:tcW w:w="2840" w:type="dxa"/>
            <w:vAlign w:val="bottom"/>
            <w:tcBorders>
              <w:left w:val="single" w:sz="8" w:color="0063A6"/>
              <w:right w:val="single" w:sz="8" w:color="0063A6"/>
            </w:tcBorders>
          </w:tcPr>
          <w:p>
            <w:pPr>
              <w:spacing w:after="0"/>
              <w:rPr>
                <w:sz w:val="16"/>
                <w:szCs w:val="16"/>
                <w:color w:val="auto"/>
              </w:rPr>
            </w:pPr>
          </w:p>
        </w:tc>
        <w:tc>
          <w:tcPr>
            <w:tcW w:w="8420" w:type="dxa"/>
            <w:vAlign w:val="bottom"/>
            <w:tcBorders>
              <w:right w:val="single" w:sz="8" w:color="0063A6"/>
            </w:tcBorders>
          </w:tcPr>
          <w:p>
            <w:pPr>
              <w:ind w:left="40"/>
              <w:spacing w:after="0"/>
              <w:rPr>
                <w:sz w:val="20"/>
                <w:szCs w:val="20"/>
                <w:color w:val="auto"/>
              </w:rPr>
            </w:pPr>
            <w:r>
              <w:rPr>
                <w:rFonts w:ascii="Arial" w:cs="Arial" w:eastAsia="Arial" w:hAnsi="Arial"/>
                <w:sz w:val="16"/>
                <w:szCs w:val="16"/>
                <w:color w:val="auto"/>
              </w:rPr>
              <w:t>awards that may be paid, issued, or granted to a non-employee director in any fiscal year. The maximum limit does</w:t>
            </w:r>
          </w:p>
        </w:tc>
      </w:tr>
      <w:tr>
        <w:trPr>
          <w:trHeight w:val="189"/>
        </w:trPr>
        <w:tc>
          <w:tcPr>
            <w:tcW w:w="2840" w:type="dxa"/>
            <w:vAlign w:val="bottom"/>
            <w:tcBorders>
              <w:left w:val="single" w:sz="8" w:color="0063A6"/>
              <w:right w:val="single" w:sz="8" w:color="0063A6"/>
            </w:tcBorders>
          </w:tcPr>
          <w:p>
            <w:pPr>
              <w:spacing w:after="0"/>
              <w:rPr>
                <w:sz w:val="16"/>
                <w:szCs w:val="16"/>
                <w:color w:val="auto"/>
              </w:rPr>
            </w:pPr>
          </w:p>
        </w:tc>
        <w:tc>
          <w:tcPr>
            <w:tcW w:w="8420" w:type="dxa"/>
            <w:vAlign w:val="bottom"/>
            <w:tcBorders>
              <w:right w:val="single" w:sz="8" w:color="0063A6"/>
            </w:tcBorders>
          </w:tcPr>
          <w:p>
            <w:pPr>
              <w:ind w:left="40"/>
              <w:spacing w:after="0"/>
              <w:rPr>
                <w:sz w:val="20"/>
                <w:szCs w:val="20"/>
                <w:color w:val="auto"/>
              </w:rPr>
            </w:pPr>
            <w:r>
              <w:rPr>
                <w:rFonts w:ascii="Arial" w:cs="Arial" w:eastAsia="Arial" w:hAnsi="Arial"/>
                <w:sz w:val="16"/>
                <w:szCs w:val="16"/>
                <w:color w:val="auto"/>
              </w:rPr>
              <w:t>not reflect the intended size of any potential compensation or equity awards to our non-employee directors. Any</w:t>
            </w:r>
          </w:p>
        </w:tc>
      </w:tr>
      <w:tr>
        <w:trPr>
          <w:trHeight w:val="189"/>
        </w:trPr>
        <w:tc>
          <w:tcPr>
            <w:tcW w:w="2840" w:type="dxa"/>
            <w:vAlign w:val="bottom"/>
            <w:tcBorders>
              <w:left w:val="single" w:sz="8" w:color="0063A6"/>
              <w:right w:val="single" w:sz="8" w:color="0063A6"/>
            </w:tcBorders>
          </w:tcPr>
          <w:p>
            <w:pPr>
              <w:spacing w:after="0"/>
              <w:rPr>
                <w:sz w:val="16"/>
                <w:szCs w:val="16"/>
                <w:color w:val="auto"/>
              </w:rPr>
            </w:pPr>
          </w:p>
        </w:tc>
        <w:tc>
          <w:tcPr>
            <w:tcW w:w="8420" w:type="dxa"/>
            <w:vAlign w:val="bottom"/>
            <w:tcBorders>
              <w:right w:val="single" w:sz="8" w:color="0063A6"/>
            </w:tcBorders>
          </w:tcPr>
          <w:p>
            <w:pPr>
              <w:ind w:left="40"/>
              <w:spacing w:after="0"/>
              <w:rPr>
                <w:sz w:val="20"/>
                <w:szCs w:val="20"/>
                <w:color w:val="auto"/>
              </w:rPr>
            </w:pPr>
            <w:r>
              <w:rPr>
                <w:rFonts w:ascii="Arial" w:cs="Arial" w:eastAsia="Arial" w:hAnsi="Arial"/>
                <w:sz w:val="16"/>
                <w:szCs w:val="16"/>
                <w:color w:val="auto"/>
              </w:rPr>
              <w:t>cash compensation paid or equity awards granted to a person for his or her services as an employee, or for his or</w:t>
            </w:r>
          </w:p>
        </w:tc>
      </w:tr>
      <w:tr>
        <w:trPr>
          <w:trHeight w:val="175"/>
        </w:trPr>
        <w:tc>
          <w:tcPr>
            <w:tcW w:w="2840" w:type="dxa"/>
            <w:vAlign w:val="bottom"/>
            <w:tcBorders>
              <w:left w:val="single" w:sz="8" w:color="0063A6"/>
              <w:right w:val="single" w:sz="8" w:color="0063A6"/>
            </w:tcBorders>
          </w:tcPr>
          <w:p>
            <w:pPr>
              <w:spacing w:after="0"/>
              <w:rPr>
                <w:sz w:val="15"/>
                <w:szCs w:val="15"/>
                <w:color w:val="auto"/>
              </w:rPr>
            </w:pPr>
          </w:p>
        </w:tc>
        <w:tc>
          <w:tcPr>
            <w:tcW w:w="8420" w:type="dxa"/>
            <w:vAlign w:val="bottom"/>
            <w:tcBorders>
              <w:right w:val="single" w:sz="8" w:color="0063A6"/>
            </w:tcBorders>
          </w:tcPr>
          <w:p>
            <w:pPr>
              <w:ind w:left="40"/>
              <w:spacing w:after="0" w:line="175" w:lineRule="exact"/>
              <w:rPr>
                <w:sz w:val="20"/>
                <w:szCs w:val="20"/>
                <w:color w:val="auto"/>
              </w:rPr>
            </w:pPr>
            <w:r>
              <w:rPr>
                <w:rFonts w:ascii="Arial" w:cs="Arial" w:eastAsia="Arial" w:hAnsi="Arial"/>
                <w:sz w:val="16"/>
                <w:szCs w:val="16"/>
                <w:color w:val="auto"/>
              </w:rPr>
              <w:t>her services as a consultant (other than as a non-employee director), will not count for purposes of the limitation.</w:t>
            </w:r>
          </w:p>
        </w:tc>
      </w:tr>
      <w:tr>
        <w:trPr>
          <w:trHeight w:val="189"/>
        </w:trPr>
        <w:tc>
          <w:tcPr>
            <w:tcW w:w="2840" w:type="dxa"/>
            <w:vAlign w:val="bottom"/>
            <w:tcBorders>
              <w:left w:val="single" w:sz="8" w:color="0063A6"/>
              <w:right w:val="single" w:sz="8" w:color="0063A6"/>
            </w:tcBorders>
          </w:tcPr>
          <w:p>
            <w:pPr>
              <w:spacing w:after="0"/>
              <w:rPr>
                <w:sz w:val="16"/>
                <w:szCs w:val="16"/>
                <w:color w:val="auto"/>
              </w:rPr>
            </w:pPr>
          </w:p>
        </w:tc>
        <w:tc>
          <w:tcPr>
            <w:tcW w:w="8420" w:type="dxa"/>
            <w:vAlign w:val="bottom"/>
            <w:tcBorders>
              <w:right w:val="single" w:sz="8" w:color="0063A6"/>
            </w:tcBorders>
          </w:tcPr>
          <w:p>
            <w:pPr>
              <w:ind w:left="40"/>
              <w:spacing w:after="0"/>
              <w:rPr>
                <w:sz w:val="20"/>
                <w:szCs w:val="20"/>
                <w:color w:val="auto"/>
              </w:rPr>
            </w:pPr>
            <w:r>
              <w:rPr>
                <w:rFonts w:ascii="Arial" w:cs="Arial" w:eastAsia="Arial" w:hAnsi="Arial"/>
                <w:sz w:val="16"/>
                <w:szCs w:val="16"/>
                <w:color w:val="auto"/>
              </w:rPr>
              <w:t>For purposes of this limitation, the value of equity awards is based on the grant date fair value (determined in</w:t>
            </w:r>
          </w:p>
        </w:tc>
      </w:tr>
      <w:tr>
        <w:trPr>
          <w:trHeight w:val="223"/>
        </w:trPr>
        <w:tc>
          <w:tcPr>
            <w:tcW w:w="2840" w:type="dxa"/>
            <w:vAlign w:val="bottom"/>
            <w:tcBorders>
              <w:left w:val="single" w:sz="8" w:color="0063A6"/>
              <w:right w:val="single" w:sz="8" w:color="0063A6"/>
            </w:tcBorders>
          </w:tcPr>
          <w:p>
            <w:pPr>
              <w:spacing w:after="0"/>
              <w:rPr>
                <w:sz w:val="19"/>
                <w:szCs w:val="19"/>
                <w:color w:val="auto"/>
              </w:rPr>
            </w:pPr>
          </w:p>
        </w:tc>
        <w:tc>
          <w:tcPr>
            <w:tcW w:w="8420" w:type="dxa"/>
            <w:vAlign w:val="bottom"/>
            <w:tcBorders>
              <w:right w:val="single" w:sz="8" w:color="0063A6"/>
            </w:tcBorders>
          </w:tcPr>
          <w:p>
            <w:pPr>
              <w:ind w:left="40"/>
              <w:spacing w:after="0"/>
              <w:rPr>
                <w:sz w:val="20"/>
                <w:szCs w:val="20"/>
                <w:color w:val="auto"/>
              </w:rPr>
            </w:pPr>
            <w:r>
              <w:rPr>
                <w:rFonts w:ascii="Arial" w:cs="Arial" w:eastAsia="Arial" w:hAnsi="Arial"/>
                <w:sz w:val="16"/>
                <w:szCs w:val="16"/>
                <w:color w:val="auto"/>
              </w:rPr>
              <w:t>accordance with U.S. Generally Accepted Accounting Principles (“</w:t>
            </w:r>
            <w:r>
              <w:rPr>
                <w:rFonts w:ascii="Arial" w:cs="Arial" w:eastAsia="Arial" w:hAnsi="Arial"/>
                <w:sz w:val="16"/>
                <w:szCs w:val="16"/>
                <w:b w:val="1"/>
                <w:bCs w:val="1"/>
                <w:i w:val="1"/>
                <w:iCs w:val="1"/>
                <w:color w:val="auto"/>
              </w:rPr>
              <w:t>GAAP</w:t>
            </w:r>
            <w:r>
              <w:rPr>
                <w:rFonts w:ascii="Arial" w:cs="Arial" w:eastAsia="Arial" w:hAnsi="Arial"/>
                <w:sz w:val="16"/>
                <w:szCs w:val="16"/>
                <w:color w:val="auto"/>
              </w:rPr>
              <w:t>”)).</w:t>
            </w:r>
          </w:p>
        </w:tc>
      </w:tr>
      <w:tr>
        <w:trPr>
          <w:trHeight w:val="143"/>
        </w:trPr>
        <w:tc>
          <w:tcPr>
            <w:tcW w:w="2840" w:type="dxa"/>
            <w:vAlign w:val="bottom"/>
            <w:tcBorders>
              <w:left w:val="single" w:sz="8" w:color="0063A6"/>
              <w:bottom w:val="single" w:sz="8" w:color="0063A6"/>
              <w:right w:val="single" w:sz="8" w:color="0063A6"/>
            </w:tcBorders>
          </w:tcPr>
          <w:p>
            <w:pPr>
              <w:spacing w:after="0"/>
              <w:rPr>
                <w:sz w:val="12"/>
                <w:szCs w:val="12"/>
                <w:color w:val="auto"/>
              </w:rPr>
            </w:pPr>
          </w:p>
        </w:tc>
        <w:tc>
          <w:tcPr>
            <w:tcW w:w="8420" w:type="dxa"/>
            <w:vAlign w:val="bottom"/>
            <w:tcBorders>
              <w:bottom w:val="single" w:sz="8" w:color="0063A6"/>
              <w:right w:val="single" w:sz="8" w:color="0063A6"/>
            </w:tcBorders>
          </w:tcPr>
          <w:p>
            <w:pPr>
              <w:spacing w:after="0"/>
              <w:rPr>
                <w:sz w:val="12"/>
                <w:szCs w:val="12"/>
                <w:color w:val="auto"/>
              </w:rPr>
            </w:pPr>
          </w:p>
        </w:tc>
      </w:tr>
      <w:tr>
        <w:trPr>
          <w:trHeight w:val="222"/>
        </w:trPr>
        <w:tc>
          <w:tcPr>
            <w:tcW w:w="284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Regular Review</w:t>
            </w:r>
          </w:p>
        </w:tc>
        <w:tc>
          <w:tcPr>
            <w:tcW w:w="8420" w:type="dxa"/>
            <w:vAlign w:val="bottom"/>
            <w:tcBorders>
              <w:right w:val="single" w:sz="8" w:color="0063A6"/>
            </w:tcBorders>
          </w:tcPr>
          <w:p>
            <w:pPr>
              <w:ind w:left="40"/>
              <w:spacing w:after="0"/>
              <w:rPr>
                <w:sz w:val="20"/>
                <w:szCs w:val="20"/>
                <w:color w:val="auto"/>
              </w:rPr>
            </w:pPr>
            <w:r>
              <w:rPr>
                <w:rFonts w:ascii="Arial" w:cs="Arial" w:eastAsia="Arial" w:hAnsi="Arial"/>
                <w:sz w:val="16"/>
                <w:szCs w:val="16"/>
                <w:color w:val="auto"/>
              </w:rPr>
              <w:t>With advice from Compensia, our talent and compensation committee regularly reviews the amount and form of</w:t>
            </w:r>
          </w:p>
        </w:tc>
      </w:tr>
      <w:tr>
        <w:trPr>
          <w:trHeight w:val="175"/>
        </w:trPr>
        <w:tc>
          <w:tcPr>
            <w:tcW w:w="2840" w:type="dxa"/>
            <w:vAlign w:val="bottom"/>
            <w:tcBorders>
              <w:left w:val="single" w:sz="8" w:color="0063A6"/>
              <w:right w:val="single" w:sz="8" w:color="0063A6"/>
            </w:tcBorders>
          </w:tcPr>
          <w:p>
            <w:pPr>
              <w:spacing w:after="0"/>
              <w:rPr>
                <w:sz w:val="15"/>
                <w:szCs w:val="15"/>
                <w:color w:val="auto"/>
              </w:rPr>
            </w:pPr>
          </w:p>
        </w:tc>
        <w:tc>
          <w:tcPr>
            <w:tcW w:w="8420" w:type="dxa"/>
            <w:vAlign w:val="bottom"/>
            <w:tcBorders>
              <w:right w:val="single" w:sz="8" w:color="0063A6"/>
            </w:tcBorders>
          </w:tcPr>
          <w:p>
            <w:pPr>
              <w:ind w:left="40"/>
              <w:spacing w:after="0" w:line="175" w:lineRule="exact"/>
              <w:rPr>
                <w:sz w:val="20"/>
                <w:szCs w:val="20"/>
                <w:color w:val="auto"/>
              </w:rPr>
            </w:pPr>
            <w:r>
              <w:rPr>
                <w:rFonts w:ascii="Arial" w:cs="Arial" w:eastAsia="Arial" w:hAnsi="Arial"/>
                <w:sz w:val="16"/>
                <w:szCs w:val="16"/>
                <w:color w:val="auto"/>
              </w:rPr>
              <w:t>director compensation to ensure consistency with prudent governance practices and comparability with our peer</w:t>
            </w:r>
          </w:p>
        </w:tc>
      </w:tr>
      <w:tr>
        <w:trPr>
          <w:trHeight w:val="215"/>
        </w:trPr>
        <w:tc>
          <w:tcPr>
            <w:tcW w:w="2840" w:type="dxa"/>
            <w:vAlign w:val="bottom"/>
            <w:tcBorders>
              <w:left w:val="single" w:sz="8" w:color="0063A6"/>
              <w:right w:val="single" w:sz="8" w:color="0063A6"/>
            </w:tcBorders>
          </w:tcPr>
          <w:p>
            <w:pPr>
              <w:spacing w:after="0"/>
              <w:rPr>
                <w:sz w:val="18"/>
                <w:szCs w:val="18"/>
                <w:color w:val="auto"/>
              </w:rPr>
            </w:pPr>
          </w:p>
        </w:tc>
        <w:tc>
          <w:tcPr>
            <w:tcW w:w="8420" w:type="dxa"/>
            <w:vAlign w:val="bottom"/>
            <w:tcBorders>
              <w:right w:val="single" w:sz="8" w:color="0063A6"/>
            </w:tcBorders>
          </w:tcPr>
          <w:p>
            <w:pPr>
              <w:ind w:left="40"/>
              <w:spacing w:after="0"/>
              <w:rPr>
                <w:sz w:val="20"/>
                <w:szCs w:val="20"/>
                <w:color w:val="auto"/>
              </w:rPr>
            </w:pPr>
            <w:r>
              <w:rPr>
                <w:rFonts w:ascii="Arial" w:cs="Arial" w:eastAsia="Arial" w:hAnsi="Arial"/>
                <w:sz w:val="16"/>
                <w:szCs w:val="16"/>
                <w:color w:val="auto"/>
              </w:rPr>
              <w:t>group.</w:t>
            </w:r>
          </w:p>
        </w:tc>
      </w:tr>
      <w:tr>
        <w:trPr>
          <w:trHeight w:val="83"/>
        </w:trPr>
        <w:tc>
          <w:tcPr>
            <w:tcW w:w="2840" w:type="dxa"/>
            <w:vAlign w:val="bottom"/>
            <w:tcBorders>
              <w:left w:val="single" w:sz="8" w:color="0063A6"/>
              <w:bottom w:val="single" w:sz="8" w:color="0063A6"/>
              <w:right w:val="single" w:sz="8" w:color="0063A6"/>
            </w:tcBorders>
          </w:tcPr>
          <w:p>
            <w:pPr>
              <w:spacing w:after="0"/>
              <w:rPr>
                <w:sz w:val="7"/>
                <w:szCs w:val="7"/>
                <w:color w:val="auto"/>
              </w:rPr>
            </w:pPr>
          </w:p>
        </w:tc>
        <w:tc>
          <w:tcPr>
            <w:tcW w:w="8420" w:type="dxa"/>
            <w:vAlign w:val="bottom"/>
            <w:tcBorders>
              <w:bottom w:val="single" w:sz="8" w:color="0063A6"/>
              <w:right w:val="single" w:sz="8" w:color="0063A6"/>
            </w:tcBorders>
          </w:tcPr>
          <w:p>
            <w:pPr>
              <w:spacing w:after="0"/>
              <w:rPr>
                <w:sz w:val="7"/>
                <w:szCs w:val="7"/>
                <w:color w:val="auto"/>
              </w:rPr>
            </w:pPr>
          </w:p>
        </w:tc>
      </w:tr>
      <w:tr>
        <w:trPr>
          <w:trHeight w:val="222"/>
        </w:trPr>
        <w:tc>
          <w:tcPr>
            <w:tcW w:w="284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Board Leadership Compensation</w:t>
            </w:r>
          </w:p>
        </w:tc>
        <w:tc>
          <w:tcPr>
            <w:tcW w:w="8420" w:type="dxa"/>
            <w:vAlign w:val="bottom"/>
            <w:tcBorders>
              <w:right w:val="single" w:sz="8" w:color="0063A6"/>
            </w:tcBorders>
          </w:tcPr>
          <w:p>
            <w:pPr>
              <w:ind w:left="40"/>
              <w:spacing w:after="0"/>
              <w:rPr>
                <w:sz w:val="20"/>
                <w:szCs w:val="20"/>
                <w:color w:val="auto"/>
              </w:rPr>
            </w:pPr>
            <w:r>
              <w:rPr>
                <w:rFonts w:ascii="Arial" w:cs="Arial" w:eastAsia="Arial" w:hAnsi="Arial"/>
                <w:sz w:val="16"/>
                <w:szCs w:val="16"/>
                <w:color w:val="auto"/>
              </w:rPr>
              <w:t>Our director compensation policy provides additional compensation for leadership positions on the board of</w:t>
            </w:r>
          </w:p>
        </w:tc>
      </w:tr>
      <w:tr>
        <w:trPr>
          <w:trHeight w:val="176"/>
        </w:trPr>
        <w:tc>
          <w:tcPr>
            <w:tcW w:w="2840" w:type="dxa"/>
            <w:vAlign w:val="bottom"/>
            <w:tcBorders>
              <w:left w:val="single" w:sz="8" w:color="0063A6"/>
              <w:right w:val="single" w:sz="8" w:color="0063A6"/>
            </w:tcBorders>
          </w:tcPr>
          <w:p>
            <w:pPr>
              <w:spacing w:after="0"/>
              <w:rPr>
                <w:sz w:val="15"/>
                <w:szCs w:val="15"/>
                <w:color w:val="auto"/>
              </w:rPr>
            </w:pPr>
          </w:p>
        </w:tc>
        <w:tc>
          <w:tcPr>
            <w:tcW w:w="8420" w:type="dxa"/>
            <w:vAlign w:val="bottom"/>
            <w:tcBorders>
              <w:right w:val="single" w:sz="8" w:color="0063A6"/>
            </w:tcBorders>
          </w:tcPr>
          <w:p>
            <w:pPr>
              <w:ind w:left="40"/>
              <w:spacing w:after="0" w:line="175" w:lineRule="exact"/>
              <w:rPr>
                <w:sz w:val="20"/>
                <w:szCs w:val="20"/>
                <w:color w:val="auto"/>
              </w:rPr>
            </w:pPr>
            <w:r>
              <w:rPr>
                <w:rFonts w:ascii="Arial" w:cs="Arial" w:eastAsia="Arial" w:hAnsi="Arial"/>
                <w:sz w:val="16"/>
                <w:szCs w:val="16"/>
                <w:color w:val="auto"/>
              </w:rPr>
              <w:t>directors, including lead independent director and committee chair roles, to account for the added time and effort</w:t>
            </w:r>
          </w:p>
        </w:tc>
      </w:tr>
      <w:tr>
        <w:trPr>
          <w:trHeight w:val="215"/>
        </w:trPr>
        <w:tc>
          <w:tcPr>
            <w:tcW w:w="2840" w:type="dxa"/>
            <w:vAlign w:val="bottom"/>
            <w:tcBorders>
              <w:left w:val="single" w:sz="8" w:color="0063A6"/>
              <w:right w:val="single" w:sz="8" w:color="0063A6"/>
            </w:tcBorders>
          </w:tcPr>
          <w:p>
            <w:pPr>
              <w:spacing w:after="0"/>
              <w:rPr>
                <w:sz w:val="18"/>
                <w:szCs w:val="18"/>
                <w:color w:val="auto"/>
              </w:rPr>
            </w:pPr>
          </w:p>
        </w:tc>
        <w:tc>
          <w:tcPr>
            <w:tcW w:w="8420" w:type="dxa"/>
            <w:vAlign w:val="bottom"/>
            <w:tcBorders>
              <w:right w:val="single" w:sz="8" w:color="0063A6"/>
            </w:tcBorders>
          </w:tcPr>
          <w:p>
            <w:pPr>
              <w:ind w:left="40"/>
              <w:spacing w:after="0"/>
              <w:rPr>
                <w:sz w:val="20"/>
                <w:szCs w:val="20"/>
                <w:color w:val="auto"/>
              </w:rPr>
            </w:pPr>
            <w:r>
              <w:rPr>
                <w:rFonts w:ascii="Arial" w:cs="Arial" w:eastAsia="Arial" w:hAnsi="Arial"/>
                <w:sz w:val="16"/>
                <w:szCs w:val="16"/>
                <w:color w:val="auto"/>
              </w:rPr>
              <w:t>associated with these positions.</w:t>
            </w:r>
          </w:p>
        </w:tc>
      </w:tr>
      <w:tr>
        <w:trPr>
          <w:trHeight w:val="83"/>
        </w:trPr>
        <w:tc>
          <w:tcPr>
            <w:tcW w:w="2840" w:type="dxa"/>
            <w:vAlign w:val="bottom"/>
            <w:tcBorders>
              <w:left w:val="single" w:sz="8" w:color="0063A6"/>
              <w:bottom w:val="single" w:sz="8" w:color="0063A6"/>
              <w:right w:val="single" w:sz="8" w:color="0063A6"/>
            </w:tcBorders>
          </w:tcPr>
          <w:p>
            <w:pPr>
              <w:spacing w:after="0"/>
              <w:rPr>
                <w:sz w:val="7"/>
                <w:szCs w:val="7"/>
                <w:color w:val="auto"/>
              </w:rPr>
            </w:pPr>
          </w:p>
        </w:tc>
        <w:tc>
          <w:tcPr>
            <w:tcW w:w="8420" w:type="dxa"/>
            <w:vAlign w:val="bottom"/>
            <w:tcBorders>
              <w:bottom w:val="single" w:sz="8" w:color="0063A6"/>
              <w:right w:val="single" w:sz="8" w:color="0063A6"/>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hanging="554"/>
        <w:spacing w:after="0"/>
        <w:tabs>
          <w:tab w:leader="none" w:pos="58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8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Components of Compensation</w:t>
      </w:r>
    </w:p>
    <w:p>
      <w:pPr>
        <w:spacing w:after="0" w:line="113"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Our director compensation policy consists of a cash component and an equity component. There are no per-meeting attendance fees for attending board meetings. Directors who are also our employees receive no additional compensation for their service as directors. The components of our director compensation policy, as currently in effect,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0575" cy="5006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0575" cy="5006340"/>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080" w:type="dxa"/>
            <w:vAlign w:val="bottom"/>
            <w:tcBorders>
              <w:bottom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Component</w:t>
            </w:r>
          </w:p>
        </w:tc>
        <w:tc>
          <w:tcPr>
            <w:tcW w:w="816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Description</w:t>
            </w:r>
          </w:p>
        </w:tc>
        <w:tc>
          <w:tcPr>
            <w:tcW w:w="20" w:type="dxa"/>
            <w:vAlign w:val="bottom"/>
            <w:shd w:val="clear" w:color="auto" w:fill="0063A6"/>
          </w:tcPr>
          <w:p>
            <w:pPr>
              <w:spacing w:after="0"/>
              <w:rPr>
                <w:sz w:val="24"/>
                <w:szCs w:val="24"/>
                <w:color w:val="auto"/>
              </w:rPr>
            </w:pPr>
          </w:p>
        </w:tc>
      </w:tr>
      <w:tr>
        <w:trPr>
          <w:trHeight w:val="276"/>
        </w:trPr>
        <w:tc>
          <w:tcPr>
            <w:tcW w:w="3080" w:type="dxa"/>
            <w:vAlign w:val="bottom"/>
            <w:shd w:val="clear" w:color="auto" w:fill="E5EFFD"/>
          </w:tcPr>
          <w:p>
            <w:pPr>
              <w:ind w:left="80"/>
              <w:spacing w:after="0"/>
              <w:rPr>
                <w:sz w:val="20"/>
                <w:szCs w:val="20"/>
                <w:color w:val="auto"/>
              </w:rPr>
            </w:pPr>
            <w:r>
              <w:rPr>
                <w:rFonts w:ascii="Arial" w:cs="Arial" w:eastAsia="Arial" w:hAnsi="Arial"/>
                <w:sz w:val="16"/>
                <w:szCs w:val="16"/>
                <w:b w:val="1"/>
                <w:bCs w:val="1"/>
                <w:color w:val="0063A6"/>
              </w:rPr>
              <w:t>Cash Compensation</w:t>
            </w:r>
          </w:p>
        </w:tc>
        <w:tc>
          <w:tcPr>
            <w:tcW w:w="8160" w:type="dxa"/>
            <w:vAlign w:val="bottom"/>
            <w:shd w:val="clear" w:color="auto" w:fill="E5EFFD"/>
          </w:tcPr>
          <w:p>
            <w:pPr>
              <w:spacing w:after="0"/>
              <w:rPr>
                <w:sz w:val="24"/>
                <w:szCs w:val="24"/>
                <w:color w:val="auto"/>
              </w:rPr>
            </w:pPr>
          </w:p>
        </w:tc>
        <w:tc>
          <w:tcPr>
            <w:tcW w:w="20" w:type="dxa"/>
            <w:vAlign w:val="bottom"/>
          </w:tcPr>
          <w:p>
            <w:pPr>
              <w:spacing w:after="0"/>
              <w:rPr>
                <w:sz w:val="24"/>
                <w:szCs w:val="24"/>
                <w:color w:val="auto"/>
              </w:rPr>
            </w:pPr>
          </w:p>
        </w:tc>
      </w:tr>
      <w:tr>
        <w:trPr>
          <w:trHeight w:val="75"/>
        </w:trPr>
        <w:tc>
          <w:tcPr>
            <w:tcW w:w="3080" w:type="dxa"/>
            <w:vAlign w:val="bottom"/>
            <w:tcBorders>
              <w:bottom w:val="single" w:sz="8" w:color="0063A6"/>
            </w:tcBorders>
            <w:shd w:val="clear" w:color="auto" w:fill="E5EFFD"/>
          </w:tcPr>
          <w:p>
            <w:pPr>
              <w:spacing w:after="0"/>
              <w:rPr>
                <w:sz w:val="6"/>
                <w:szCs w:val="6"/>
                <w:color w:val="auto"/>
              </w:rPr>
            </w:pPr>
          </w:p>
        </w:tc>
        <w:tc>
          <w:tcPr>
            <w:tcW w:w="8160" w:type="dxa"/>
            <w:vAlign w:val="bottom"/>
            <w:tcBorders>
              <w:bottom w:val="single" w:sz="8" w:color="0063A6"/>
            </w:tcBorders>
            <w:shd w:val="clear" w:color="auto" w:fill="E5EFFD"/>
          </w:tcPr>
          <w:p>
            <w:pPr>
              <w:spacing w:after="0"/>
              <w:rPr>
                <w:sz w:val="6"/>
                <w:szCs w:val="6"/>
                <w:color w:val="auto"/>
              </w:rPr>
            </w:pPr>
          </w:p>
        </w:tc>
        <w:tc>
          <w:tcPr>
            <w:tcW w:w="20" w:type="dxa"/>
            <w:vAlign w:val="bottom"/>
            <w:tcBorders>
              <w:bottom w:val="single" w:sz="8" w:color="0063A6"/>
            </w:tcBorders>
          </w:tcPr>
          <w:p>
            <w:pPr>
              <w:spacing w:after="0"/>
              <w:rPr>
                <w:sz w:val="6"/>
                <w:szCs w:val="6"/>
                <w:color w:val="auto"/>
              </w:rPr>
            </w:pPr>
          </w:p>
        </w:tc>
      </w:tr>
      <w:tr>
        <w:trPr>
          <w:trHeight w:val="256"/>
        </w:trPr>
        <w:tc>
          <w:tcPr>
            <w:tcW w:w="3080" w:type="dxa"/>
            <w:vAlign w:val="bottom"/>
          </w:tcPr>
          <w:p>
            <w:pPr>
              <w:ind w:left="80"/>
              <w:spacing w:after="0"/>
              <w:rPr>
                <w:sz w:val="20"/>
                <w:szCs w:val="20"/>
                <w:color w:val="auto"/>
              </w:rPr>
            </w:pPr>
            <w:r>
              <w:rPr>
                <w:rFonts w:ascii="Arial" w:cs="Arial" w:eastAsia="Arial" w:hAnsi="Arial"/>
                <w:sz w:val="16"/>
                <w:szCs w:val="16"/>
                <w:b w:val="1"/>
                <w:bCs w:val="1"/>
                <w:color w:val="auto"/>
              </w:rPr>
              <w:t>Annual Cash Retainer</w:t>
            </w:r>
          </w:p>
        </w:tc>
        <w:tc>
          <w:tcPr>
            <w:tcW w:w="8160" w:type="dxa"/>
            <w:vAlign w:val="bottom"/>
          </w:tcPr>
          <w:p>
            <w:pPr>
              <w:ind w:left="60"/>
              <w:spacing w:after="0"/>
              <w:rPr>
                <w:sz w:val="20"/>
                <w:szCs w:val="20"/>
                <w:color w:val="auto"/>
              </w:rPr>
            </w:pPr>
            <w:r>
              <w:rPr>
                <w:rFonts w:ascii="Arial" w:cs="Arial" w:eastAsia="Arial" w:hAnsi="Arial"/>
                <w:sz w:val="16"/>
                <w:szCs w:val="16"/>
                <w:color w:val="auto"/>
              </w:rPr>
              <w:t>$50,000, paid quarterly in arrears on a prorated basis.</w:t>
            </w:r>
          </w:p>
        </w:tc>
        <w:tc>
          <w:tcPr>
            <w:tcW w:w="20" w:type="dxa"/>
            <w:vAlign w:val="bottom"/>
          </w:tcPr>
          <w:p>
            <w:pPr>
              <w:spacing w:after="0"/>
              <w:rPr>
                <w:sz w:val="22"/>
                <w:szCs w:val="22"/>
                <w:color w:val="auto"/>
              </w:rPr>
            </w:pPr>
          </w:p>
        </w:tc>
      </w:tr>
    </w:tbl>
    <w:p>
      <w:pPr>
        <w:spacing w:after="0" w:line="68"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Committee and Board Leadership</w:t>
      </w:r>
    </w:p>
    <w:p>
      <w:pPr>
        <w:ind w:left="3140" w:right="880" w:hanging="3059"/>
        <w:spacing w:after="0" w:line="181" w:lineRule="auto"/>
        <w:tabs>
          <w:tab w:leader="none" w:pos="3120" w:val="left"/>
        </w:tabs>
        <w:rPr>
          <w:sz w:val="20"/>
          <w:szCs w:val="20"/>
          <w:color w:val="auto"/>
        </w:rPr>
      </w:pPr>
      <w:r>
        <w:rPr>
          <w:rFonts w:ascii="Arial" w:cs="Arial" w:eastAsia="Arial" w:hAnsi="Arial"/>
          <w:sz w:val="28"/>
          <w:szCs w:val="28"/>
          <w:b w:val="1"/>
          <w:bCs w:val="1"/>
          <w:color w:val="auto"/>
          <w:vertAlign w:val="subscript"/>
        </w:rPr>
        <w:t>Compensation</w:t>
      </w:r>
      <w:r>
        <w:rPr>
          <w:sz w:val="20"/>
          <w:szCs w:val="20"/>
          <w:color w:val="auto"/>
        </w:rPr>
        <w:tab/>
      </w:r>
      <w:r>
        <w:rPr>
          <w:rFonts w:ascii="Arial" w:cs="Arial" w:eastAsia="Arial" w:hAnsi="Arial"/>
          <w:sz w:val="15"/>
          <w:szCs w:val="15"/>
          <w:color w:val="auto"/>
        </w:rPr>
        <w:t>Under the policy in fiscal 2023, each non-employee director was entitled to receive the following cash compensation for their additional services:</w:t>
      </w:r>
    </w:p>
    <w:p>
      <w:pPr>
        <w:spacing w:after="0" w:line="84" w:lineRule="exact"/>
        <w:rPr>
          <w:sz w:val="20"/>
          <w:szCs w:val="20"/>
          <w:color w:val="auto"/>
        </w:rPr>
      </w:pPr>
    </w:p>
    <w:p>
      <w:pPr>
        <w:ind w:left="3300" w:hanging="154"/>
        <w:spacing w:after="0"/>
        <w:tabs>
          <w:tab w:leader="none" w:pos="3300" w:val="left"/>
        </w:tabs>
        <w:numPr>
          <w:ilvl w:val="0"/>
          <w:numId w:val="41"/>
        </w:numPr>
        <w:rPr>
          <w:rFonts w:ascii="Arial" w:cs="Arial" w:eastAsia="Arial" w:hAnsi="Arial"/>
          <w:sz w:val="16"/>
          <w:szCs w:val="16"/>
          <w:color w:val="0063A6"/>
        </w:rPr>
      </w:pPr>
      <w:r>
        <w:rPr>
          <w:rFonts w:ascii="Arial" w:cs="Arial" w:eastAsia="Arial" w:hAnsi="Arial"/>
          <w:sz w:val="16"/>
          <w:szCs w:val="16"/>
          <w:color w:val="auto"/>
        </w:rPr>
        <w:t>$35,000 per year for service as a lead independent director;</w:t>
      </w:r>
    </w:p>
    <w:p>
      <w:pPr>
        <w:spacing w:after="0" w:line="113" w:lineRule="exact"/>
        <w:rPr>
          <w:rFonts w:ascii="Arial" w:cs="Arial" w:eastAsia="Arial" w:hAnsi="Arial"/>
          <w:sz w:val="16"/>
          <w:szCs w:val="16"/>
          <w:color w:val="0063A6"/>
        </w:rPr>
      </w:pPr>
    </w:p>
    <w:p>
      <w:pPr>
        <w:ind w:left="3300" w:hanging="154"/>
        <w:spacing w:after="0"/>
        <w:tabs>
          <w:tab w:leader="none" w:pos="3300" w:val="left"/>
        </w:tabs>
        <w:numPr>
          <w:ilvl w:val="0"/>
          <w:numId w:val="41"/>
        </w:numPr>
        <w:rPr>
          <w:rFonts w:ascii="Arial" w:cs="Arial" w:eastAsia="Arial" w:hAnsi="Arial"/>
          <w:sz w:val="16"/>
          <w:szCs w:val="16"/>
          <w:color w:val="0063A6"/>
        </w:rPr>
      </w:pPr>
      <w:r>
        <w:rPr>
          <w:rFonts w:ascii="Arial" w:cs="Arial" w:eastAsia="Arial" w:hAnsi="Arial"/>
          <w:sz w:val="16"/>
          <w:szCs w:val="16"/>
          <w:color w:val="auto"/>
        </w:rPr>
        <w:t>$30,000 per year for service as chair of the audit committee;</w:t>
      </w:r>
    </w:p>
    <w:p>
      <w:pPr>
        <w:spacing w:after="0" w:line="113" w:lineRule="exact"/>
        <w:rPr>
          <w:rFonts w:ascii="Arial" w:cs="Arial" w:eastAsia="Arial" w:hAnsi="Arial"/>
          <w:sz w:val="16"/>
          <w:szCs w:val="16"/>
          <w:color w:val="0063A6"/>
        </w:rPr>
      </w:pPr>
    </w:p>
    <w:p>
      <w:pPr>
        <w:ind w:left="3300" w:hanging="154"/>
        <w:spacing w:after="0"/>
        <w:tabs>
          <w:tab w:leader="none" w:pos="3300" w:val="left"/>
        </w:tabs>
        <w:numPr>
          <w:ilvl w:val="0"/>
          <w:numId w:val="41"/>
        </w:numPr>
        <w:rPr>
          <w:rFonts w:ascii="Arial" w:cs="Arial" w:eastAsia="Arial" w:hAnsi="Arial"/>
          <w:sz w:val="16"/>
          <w:szCs w:val="16"/>
          <w:color w:val="0063A6"/>
        </w:rPr>
      </w:pPr>
      <w:r>
        <w:rPr>
          <w:rFonts w:ascii="Arial" w:cs="Arial" w:eastAsia="Arial" w:hAnsi="Arial"/>
          <w:sz w:val="16"/>
          <w:szCs w:val="16"/>
          <w:color w:val="auto"/>
        </w:rPr>
        <w:t>$12,500 per year for service as a member of the audit committee;</w:t>
      </w:r>
    </w:p>
    <w:p>
      <w:pPr>
        <w:spacing w:after="0" w:line="113" w:lineRule="exact"/>
        <w:rPr>
          <w:rFonts w:ascii="Arial" w:cs="Arial" w:eastAsia="Arial" w:hAnsi="Arial"/>
          <w:sz w:val="16"/>
          <w:szCs w:val="16"/>
          <w:color w:val="0063A6"/>
        </w:rPr>
      </w:pPr>
    </w:p>
    <w:p>
      <w:pPr>
        <w:ind w:left="3300" w:hanging="154"/>
        <w:spacing w:after="0"/>
        <w:tabs>
          <w:tab w:leader="none" w:pos="3300" w:val="left"/>
        </w:tabs>
        <w:numPr>
          <w:ilvl w:val="0"/>
          <w:numId w:val="41"/>
        </w:numPr>
        <w:rPr>
          <w:rFonts w:ascii="Arial" w:cs="Arial" w:eastAsia="Arial" w:hAnsi="Arial"/>
          <w:sz w:val="16"/>
          <w:szCs w:val="16"/>
          <w:color w:val="0063A6"/>
        </w:rPr>
      </w:pPr>
      <w:r>
        <w:rPr>
          <w:rFonts w:ascii="Arial" w:cs="Arial" w:eastAsia="Arial" w:hAnsi="Arial"/>
          <w:sz w:val="16"/>
          <w:szCs w:val="16"/>
          <w:color w:val="auto"/>
        </w:rPr>
        <w:t>$20,000 per year for service as chair of the talent and compensation committee;</w:t>
      </w:r>
    </w:p>
    <w:p>
      <w:pPr>
        <w:spacing w:after="0" w:line="99" w:lineRule="exact"/>
        <w:rPr>
          <w:rFonts w:ascii="Arial" w:cs="Arial" w:eastAsia="Arial" w:hAnsi="Arial"/>
          <w:sz w:val="16"/>
          <w:szCs w:val="16"/>
          <w:color w:val="0063A6"/>
        </w:rPr>
      </w:pPr>
    </w:p>
    <w:p>
      <w:pPr>
        <w:ind w:left="3300" w:hanging="154"/>
        <w:spacing w:after="0"/>
        <w:tabs>
          <w:tab w:leader="none" w:pos="3300" w:val="left"/>
        </w:tabs>
        <w:numPr>
          <w:ilvl w:val="0"/>
          <w:numId w:val="41"/>
        </w:numPr>
        <w:rPr>
          <w:rFonts w:ascii="Arial" w:cs="Arial" w:eastAsia="Arial" w:hAnsi="Arial"/>
          <w:sz w:val="16"/>
          <w:szCs w:val="16"/>
          <w:color w:val="0063A6"/>
        </w:rPr>
      </w:pPr>
      <w:r>
        <w:rPr>
          <w:rFonts w:ascii="Arial" w:cs="Arial" w:eastAsia="Arial" w:hAnsi="Arial"/>
          <w:sz w:val="16"/>
          <w:szCs w:val="16"/>
          <w:color w:val="auto"/>
        </w:rPr>
        <w:t>$10,000 per year for service as a member of the talent and compensation committee;</w:t>
      </w:r>
    </w:p>
    <w:p>
      <w:pPr>
        <w:spacing w:after="0" w:line="113" w:lineRule="exact"/>
        <w:rPr>
          <w:rFonts w:ascii="Arial" w:cs="Arial" w:eastAsia="Arial" w:hAnsi="Arial"/>
          <w:sz w:val="16"/>
          <w:szCs w:val="16"/>
          <w:color w:val="0063A6"/>
        </w:rPr>
      </w:pPr>
    </w:p>
    <w:p>
      <w:pPr>
        <w:ind w:left="3300" w:hanging="154"/>
        <w:spacing w:after="0"/>
        <w:tabs>
          <w:tab w:leader="none" w:pos="3300" w:val="left"/>
        </w:tabs>
        <w:numPr>
          <w:ilvl w:val="0"/>
          <w:numId w:val="41"/>
        </w:numPr>
        <w:rPr>
          <w:rFonts w:ascii="Arial" w:cs="Arial" w:eastAsia="Arial" w:hAnsi="Arial"/>
          <w:sz w:val="16"/>
          <w:szCs w:val="16"/>
          <w:color w:val="0063A6"/>
        </w:rPr>
      </w:pPr>
      <w:r>
        <w:rPr>
          <w:rFonts w:ascii="Arial" w:cs="Arial" w:eastAsia="Arial" w:hAnsi="Arial"/>
          <w:sz w:val="16"/>
          <w:szCs w:val="16"/>
          <w:color w:val="auto"/>
        </w:rPr>
        <w:t>$15,000 per year for service as chair of the nominating and corporate governance committee; and</w:t>
      </w:r>
    </w:p>
    <w:p>
      <w:pPr>
        <w:spacing w:after="0" w:line="113" w:lineRule="exact"/>
        <w:rPr>
          <w:rFonts w:ascii="Arial" w:cs="Arial" w:eastAsia="Arial" w:hAnsi="Arial"/>
          <w:sz w:val="16"/>
          <w:szCs w:val="16"/>
          <w:color w:val="0063A6"/>
        </w:rPr>
      </w:pPr>
    </w:p>
    <w:p>
      <w:pPr>
        <w:ind w:left="3300" w:hanging="154"/>
        <w:spacing w:after="0"/>
        <w:tabs>
          <w:tab w:leader="none" w:pos="3300" w:val="left"/>
        </w:tabs>
        <w:numPr>
          <w:ilvl w:val="0"/>
          <w:numId w:val="41"/>
        </w:numPr>
        <w:rPr>
          <w:rFonts w:ascii="Arial" w:cs="Arial" w:eastAsia="Arial" w:hAnsi="Arial"/>
          <w:sz w:val="16"/>
          <w:szCs w:val="16"/>
          <w:color w:val="0063A6"/>
        </w:rPr>
      </w:pPr>
      <w:r>
        <w:rPr>
          <w:rFonts w:ascii="Arial" w:cs="Arial" w:eastAsia="Arial" w:hAnsi="Arial"/>
          <w:sz w:val="16"/>
          <w:szCs w:val="16"/>
          <w:color w:val="auto"/>
        </w:rPr>
        <w:t>$5,000 per year for service as a member of the nominating and corporate governance committee.</w:t>
      </w:r>
    </w:p>
    <w:p>
      <w:pPr>
        <w:spacing w:after="0" w:line="113" w:lineRule="exact"/>
        <w:rPr>
          <w:sz w:val="20"/>
          <w:szCs w:val="20"/>
          <w:color w:val="auto"/>
        </w:rPr>
      </w:pPr>
    </w:p>
    <w:p>
      <w:pPr>
        <w:ind w:left="3140" w:right="320"/>
        <w:spacing w:after="0" w:line="268" w:lineRule="auto"/>
        <w:rPr>
          <w:sz w:val="20"/>
          <w:szCs w:val="20"/>
          <w:color w:val="auto"/>
        </w:rPr>
      </w:pPr>
      <w:r>
        <w:rPr>
          <w:rFonts w:ascii="Arial" w:cs="Arial" w:eastAsia="Arial" w:hAnsi="Arial"/>
          <w:sz w:val="16"/>
          <w:szCs w:val="16"/>
          <w:color w:val="auto"/>
        </w:rPr>
        <w:t>Directors who serve as the chair of a committee will receive only the annual fee as the chair of the committee and not any additional fees for serving as a member of that committee.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100" w:type="dxa"/>
            <w:vAlign w:val="bottom"/>
            <w:tcBorders>
              <w:right w:val="single" w:sz="8" w:color="E5EFFD"/>
            </w:tcBorders>
            <w:shd w:val="clear" w:color="auto" w:fill="E5EFFD"/>
          </w:tcPr>
          <w:p>
            <w:pPr>
              <w:ind w:left="80"/>
              <w:spacing w:after="0"/>
              <w:rPr>
                <w:sz w:val="20"/>
                <w:szCs w:val="20"/>
                <w:color w:val="auto"/>
              </w:rPr>
            </w:pPr>
            <w:r>
              <w:rPr>
                <w:rFonts w:ascii="Arial" w:cs="Arial" w:eastAsia="Arial" w:hAnsi="Arial"/>
                <w:sz w:val="16"/>
                <w:szCs w:val="16"/>
                <w:b w:val="1"/>
                <w:bCs w:val="1"/>
                <w:color w:val="0063A6"/>
              </w:rPr>
              <w:t>Equity Compensation</w:t>
            </w:r>
          </w:p>
        </w:tc>
        <w:tc>
          <w:tcPr>
            <w:tcW w:w="40" w:type="dxa"/>
            <w:vAlign w:val="bottom"/>
            <w:shd w:val="clear" w:color="auto" w:fill="E5EFFD"/>
          </w:tcPr>
          <w:p>
            <w:pPr>
              <w:spacing w:after="0"/>
              <w:rPr>
                <w:sz w:val="24"/>
                <w:szCs w:val="24"/>
                <w:color w:val="auto"/>
              </w:rPr>
            </w:pPr>
          </w:p>
        </w:tc>
        <w:tc>
          <w:tcPr>
            <w:tcW w:w="1220" w:type="dxa"/>
            <w:vAlign w:val="bottom"/>
            <w:shd w:val="clear" w:color="auto" w:fill="E5EFFD"/>
          </w:tcPr>
          <w:p>
            <w:pPr>
              <w:spacing w:after="0"/>
              <w:rPr>
                <w:sz w:val="24"/>
                <w:szCs w:val="24"/>
                <w:color w:val="auto"/>
              </w:rPr>
            </w:pPr>
          </w:p>
        </w:tc>
        <w:tc>
          <w:tcPr>
            <w:tcW w:w="100" w:type="dxa"/>
            <w:vAlign w:val="bottom"/>
            <w:shd w:val="clear" w:color="auto" w:fill="E5EFFD"/>
          </w:tcPr>
          <w:p>
            <w:pPr>
              <w:spacing w:after="0"/>
              <w:rPr>
                <w:sz w:val="24"/>
                <w:szCs w:val="24"/>
                <w:color w:val="auto"/>
              </w:rPr>
            </w:pPr>
          </w:p>
        </w:tc>
        <w:tc>
          <w:tcPr>
            <w:tcW w:w="6780" w:type="dxa"/>
            <w:vAlign w:val="bottom"/>
            <w:shd w:val="clear" w:color="auto" w:fill="E5EFFD"/>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100" w:type="dxa"/>
            <w:vAlign w:val="bottom"/>
            <w:tcBorders>
              <w:bottom w:val="single" w:sz="8" w:color="0063A6"/>
              <w:right w:val="single" w:sz="8" w:color="E5EFFD"/>
            </w:tcBorders>
            <w:shd w:val="clear" w:color="auto" w:fill="E5EFFD"/>
          </w:tcPr>
          <w:p>
            <w:pPr>
              <w:spacing w:after="0"/>
              <w:rPr>
                <w:sz w:val="6"/>
                <w:szCs w:val="6"/>
                <w:color w:val="auto"/>
              </w:rPr>
            </w:pPr>
          </w:p>
        </w:tc>
        <w:tc>
          <w:tcPr>
            <w:tcW w:w="40" w:type="dxa"/>
            <w:vAlign w:val="bottom"/>
            <w:tcBorders>
              <w:bottom w:val="single" w:sz="8" w:color="0063A6"/>
            </w:tcBorders>
            <w:shd w:val="clear" w:color="auto" w:fill="E5EFFD"/>
          </w:tcPr>
          <w:p>
            <w:pPr>
              <w:spacing w:after="0"/>
              <w:rPr>
                <w:sz w:val="6"/>
                <w:szCs w:val="6"/>
                <w:color w:val="auto"/>
              </w:rPr>
            </w:pPr>
          </w:p>
        </w:tc>
        <w:tc>
          <w:tcPr>
            <w:tcW w:w="1220" w:type="dxa"/>
            <w:vAlign w:val="bottom"/>
            <w:tcBorders>
              <w:bottom w:val="single" w:sz="8" w:color="0063A6"/>
            </w:tcBorders>
            <w:shd w:val="clear" w:color="auto" w:fill="E5EFFD"/>
          </w:tcPr>
          <w:p>
            <w:pPr>
              <w:spacing w:after="0"/>
              <w:rPr>
                <w:sz w:val="6"/>
                <w:szCs w:val="6"/>
                <w:color w:val="auto"/>
              </w:rPr>
            </w:pPr>
          </w:p>
        </w:tc>
        <w:tc>
          <w:tcPr>
            <w:tcW w:w="100" w:type="dxa"/>
            <w:vAlign w:val="bottom"/>
            <w:tcBorders>
              <w:bottom w:val="single" w:sz="8" w:color="0063A6"/>
            </w:tcBorders>
            <w:shd w:val="clear" w:color="auto" w:fill="E5EFFD"/>
          </w:tcPr>
          <w:p>
            <w:pPr>
              <w:spacing w:after="0"/>
              <w:rPr>
                <w:sz w:val="6"/>
                <w:szCs w:val="6"/>
                <w:color w:val="auto"/>
              </w:rPr>
            </w:pPr>
          </w:p>
        </w:tc>
        <w:tc>
          <w:tcPr>
            <w:tcW w:w="6780" w:type="dxa"/>
            <w:vAlign w:val="bottom"/>
            <w:tcBorders>
              <w:bottom w:val="single" w:sz="8" w:color="0063A6"/>
            </w:tcBorders>
            <w:shd w:val="clear" w:color="auto" w:fill="E5EFFD"/>
          </w:tcPr>
          <w:p>
            <w:pPr>
              <w:spacing w:after="0"/>
              <w:rPr>
                <w:sz w:val="6"/>
                <w:szCs w:val="6"/>
                <w:color w:val="auto"/>
              </w:rPr>
            </w:pPr>
          </w:p>
        </w:tc>
        <w:tc>
          <w:tcPr>
            <w:tcW w:w="20" w:type="dxa"/>
            <w:vAlign w:val="bottom"/>
            <w:tcBorders>
              <w:bottom w:val="single" w:sz="8" w:color="0063A6"/>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3100" w:type="dxa"/>
            <w:vAlign w:val="bottom"/>
            <w:tcBorders>
              <w:right w:val="single" w:sz="8" w:color="0063A6"/>
            </w:tcBorders>
          </w:tcPr>
          <w:p>
            <w:pPr>
              <w:ind w:left="80"/>
              <w:spacing w:after="0"/>
              <w:rPr>
                <w:sz w:val="20"/>
                <w:szCs w:val="20"/>
                <w:color w:val="auto"/>
              </w:rPr>
            </w:pPr>
            <w:r>
              <w:rPr>
                <w:rFonts w:ascii="Arial" w:cs="Arial" w:eastAsia="Arial" w:hAnsi="Arial"/>
                <w:sz w:val="16"/>
                <w:szCs w:val="16"/>
                <w:b w:val="1"/>
                <w:bCs w:val="1"/>
                <w:color w:val="auto"/>
              </w:rPr>
              <w:t>Initial Award</w:t>
            </w:r>
          </w:p>
        </w:tc>
        <w:tc>
          <w:tcPr>
            <w:tcW w:w="40" w:type="dxa"/>
            <w:vAlign w:val="bottom"/>
          </w:tcPr>
          <w:p>
            <w:pPr>
              <w:spacing w:after="0"/>
              <w:rPr>
                <w:sz w:val="22"/>
                <w:szCs w:val="22"/>
                <w:color w:val="auto"/>
              </w:rPr>
            </w:pPr>
          </w:p>
        </w:tc>
        <w:tc>
          <w:tcPr>
            <w:tcW w:w="8100" w:type="dxa"/>
            <w:vAlign w:val="bottom"/>
            <w:gridSpan w:val="3"/>
            <w:vMerge w:val="restart"/>
          </w:tcPr>
          <w:p>
            <w:pPr>
              <w:spacing w:after="0"/>
              <w:rPr>
                <w:sz w:val="20"/>
                <w:szCs w:val="20"/>
                <w:color w:val="auto"/>
              </w:rPr>
            </w:pPr>
            <w:r>
              <w:rPr>
                <w:rFonts w:ascii="Arial" w:cs="Arial" w:eastAsia="Arial" w:hAnsi="Arial"/>
                <w:sz w:val="16"/>
                <w:szCs w:val="16"/>
                <w:color w:val="auto"/>
              </w:rPr>
              <w:t>Each person who first becomes a non-employee director receives, on the first trading date on or after the date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100" w:type="dxa"/>
            <w:vAlign w:val="bottom"/>
            <w:tcBorders>
              <w:right w:val="single" w:sz="8" w:color="0063A6"/>
            </w:tcBorders>
          </w:tcPr>
          <w:p>
            <w:pPr>
              <w:spacing w:after="0"/>
              <w:rPr>
                <w:sz w:val="5"/>
                <w:szCs w:val="5"/>
                <w:color w:val="auto"/>
              </w:rPr>
            </w:pPr>
          </w:p>
        </w:tc>
        <w:tc>
          <w:tcPr>
            <w:tcW w:w="40" w:type="dxa"/>
            <w:vAlign w:val="bottom"/>
          </w:tcPr>
          <w:p>
            <w:pPr>
              <w:spacing w:after="0"/>
              <w:rPr>
                <w:sz w:val="5"/>
                <w:szCs w:val="5"/>
                <w:color w:val="auto"/>
              </w:rPr>
            </w:pPr>
          </w:p>
        </w:tc>
        <w:tc>
          <w:tcPr>
            <w:tcW w:w="81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on which the person first becomes a non-employee director, an initial award of restricted stock units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the Initial Award. An employee director who becomes a non-employee director due to termination of employment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00" w:type="dxa"/>
            <w:vAlign w:val="bottom"/>
            <w:tcBorders>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will not be entitled to an Initial Award.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100" w:type="dxa"/>
            <w:vAlign w:val="bottom"/>
            <w:tcBorders>
              <w:right w:val="single" w:sz="8" w:color="0063A6"/>
            </w:tcBorders>
          </w:tcPr>
          <w:p>
            <w:pPr>
              <w:spacing w:after="0"/>
              <w:rPr>
                <w:sz w:val="22"/>
                <w:szCs w:val="22"/>
                <w:color w:val="auto"/>
              </w:rPr>
            </w:pPr>
          </w:p>
        </w:tc>
        <w:tc>
          <w:tcPr>
            <w:tcW w:w="40" w:type="dxa"/>
            <w:vAlign w:val="bottom"/>
          </w:tcPr>
          <w:p>
            <w:pPr>
              <w:spacing w:after="0"/>
              <w:rPr>
                <w:sz w:val="22"/>
                <w:szCs w:val="22"/>
                <w:color w:val="auto"/>
              </w:rPr>
            </w:pPr>
          </w:p>
        </w:tc>
        <w:tc>
          <w:tcPr>
            <w:tcW w:w="8100" w:type="dxa"/>
            <w:vAlign w:val="bottom"/>
            <w:gridSpan w:val="3"/>
          </w:tcPr>
          <w:p>
            <w:pPr>
              <w:spacing w:after="0"/>
              <w:rPr>
                <w:sz w:val="20"/>
                <w:szCs w:val="20"/>
                <w:color w:val="auto"/>
              </w:rPr>
            </w:pPr>
            <w:r>
              <w:rPr>
                <w:rFonts w:ascii="Arial" w:cs="Arial" w:eastAsia="Arial" w:hAnsi="Arial"/>
                <w:sz w:val="16"/>
                <w:szCs w:val="16"/>
                <w:i w:val="1"/>
                <w:iCs w:val="1"/>
                <w:color w:val="auto"/>
              </w:rPr>
              <w:t>Number of Shares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Borders>
              <w:right w:val="single" w:sz="8" w:color="0063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00" w:type="dxa"/>
            <w:vAlign w:val="bottom"/>
            <w:tcBorders>
              <w:right w:val="single" w:sz="8" w:color="0063A6"/>
            </w:tcBorders>
          </w:tcPr>
          <w:p>
            <w:pPr>
              <w:spacing w:after="0"/>
              <w:rPr>
                <w:sz w:val="24"/>
                <w:szCs w:val="24"/>
                <w:color w:val="auto"/>
              </w:rPr>
            </w:pPr>
          </w:p>
        </w:tc>
        <w:tc>
          <w:tcPr>
            <w:tcW w:w="40" w:type="dxa"/>
            <w:vAlign w:val="bottom"/>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The Initial Award covers a number of shares of our Class A common stock having a grant date fair value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(determined in accordance with GAAP) equal to $250,000 multiplied by the fraction obtained by dividing (a) the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number of full months during the period beginning on the date the person first becomes a non-employee director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and ending on the one-year anniversary of the date of the then-most recent annual meeting of the company’s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00" w:type="dxa"/>
            <w:vAlign w:val="bottom"/>
            <w:tcBorders>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stockholders, or the Initial Award Vesting Period by (b) 12, rounded to the nearest whole share.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100" w:type="dxa"/>
            <w:vAlign w:val="bottom"/>
            <w:tcBorders>
              <w:right w:val="single" w:sz="8" w:color="0063A6"/>
            </w:tcBorders>
          </w:tcPr>
          <w:p>
            <w:pPr>
              <w:spacing w:after="0"/>
              <w:rPr>
                <w:sz w:val="21"/>
                <w:szCs w:val="21"/>
                <w:color w:val="auto"/>
              </w:rPr>
            </w:pPr>
          </w:p>
        </w:tc>
        <w:tc>
          <w:tcPr>
            <w:tcW w:w="40" w:type="dxa"/>
            <w:vAlign w:val="bottom"/>
          </w:tcPr>
          <w:p>
            <w:pPr>
              <w:spacing w:after="0"/>
              <w:rPr>
                <w:sz w:val="21"/>
                <w:szCs w:val="21"/>
                <w:color w:val="auto"/>
              </w:rPr>
            </w:pPr>
          </w:p>
        </w:tc>
        <w:tc>
          <w:tcPr>
            <w:tcW w:w="8100" w:type="dxa"/>
            <w:vAlign w:val="bottom"/>
            <w:gridSpan w:val="3"/>
          </w:tcPr>
          <w:p>
            <w:pPr>
              <w:spacing w:after="0"/>
              <w:rPr>
                <w:sz w:val="20"/>
                <w:szCs w:val="20"/>
                <w:color w:val="auto"/>
              </w:rPr>
            </w:pPr>
            <w:r>
              <w:rPr>
                <w:rFonts w:ascii="Arial" w:cs="Arial" w:eastAsia="Arial" w:hAnsi="Arial"/>
                <w:sz w:val="16"/>
                <w:szCs w:val="16"/>
                <w:i w:val="1"/>
                <w:iCs w:val="1"/>
                <w:color w:val="auto"/>
              </w:rPr>
              <w:t>Vesting of Award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00" w:type="dxa"/>
            <w:vAlign w:val="bottom"/>
            <w:tcBorders>
              <w:right w:val="single" w:sz="8" w:color="0063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100" w:type="dxa"/>
            <w:vAlign w:val="bottom"/>
            <w:tcBorders>
              <w:right w:val="single" w:sz="8" w:color="0063A6"/>
            </w:tcBorders>
          </w:tcPr>
          <w:p>
            <w:pPr>
              <w:spacing w:after="0"/>
              <w:rPr>
                <w:sz w:val="24"/>
                <w:szCs w:val="24"/>
                <w:color w:val="auto"/>
              </w:rPr>
            </w:pPr>
          </w:p>
        </w:tc>
        <w:tc>
          <w:tcPr>
            <w:tcW w:w="40" w:type="dxa"/>
            <w:vAlign w:val="bottom"/>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The Initial Award vests on the last day of the Initial Award Vesting Period or, if earlier, on the day before the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00" w:type="dxa"/>
            <w:vAlign w:val="bottom"/>
            <w:tcBorders>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annual meeting of our stockholders that follows the grant date of the Initial Award, subject to the non-employee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00" w:type="dxa"/>
            <w:vAlign w:val="bottom"/>
            <w:tcBorders>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00" w:type="dxa"/>
            <w:vAlign w:val="bottom"/>
            <w:gridSpan w:val="3"/>
          </w:tcPr>
          <w:p>
            <w:pPr>
              <w:spacing w:after="0"/>
              <w:rPr>
                <w:sz w:val="20"/>
                <w:szCs w:val="20"/>
                <w:color w:val="auto"/>
              </w:rPr>
            </w:pPr>
            <w:r>
              <w:rPr>
                <w:rFonts w:ascii="Arial" w:cs="Arial" w:eastAsia="Arial" w:hAnsi="Arial"/>
                <w:sz w:val="16"/>
                <w:szCs w:val="16"/>
                <w:color w:val="auto"/>
              </w:rPr>
              <w:t>director continuing to provide services to us through the applicable vesting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3100" w:type="dxa"/>
            <w:vAlign w:val="bottom"/>
            <w:tcBorders>
              <w:bottom w:val="single" w:sz="8" w:color="0063A6"/>
              <w:right w:val="single" w:sz="8" w:color="0063A6"/>
            </w:tcBorders>
          </w:tcPr>
          <w:p>
            <w:pPr>
              <w:spacing w:after="0"/>
              <w:rPr>
                <w:sz w:val="7"/>
                <w:szCs w:val="7"/>
                <w:color w:val="auto"/>
              </w:rPr>
            </w:pPr>
          </w:p>
        </w:tc>
        <w:tc>
          <w:tcPr>
            <w:tcW w:w="40" w:type="dxa"/>
            <w:vAlign w:val="bottom"/>
            <w:tcBorders>
              <w:bottom w:val="single" w:sz="8" w:color="0063A6"/>
            </w:tcBorders>
          </w:tcPr>
          <w:p>
            <w:pPr>
              <w:spacing w:after="0"/>
              <w:rPr>
                <w:sz w:val="7"/>
                <w:szCs w:val="7"/>
                <w:color w:val="auto"/>
              </w:rPr>
            </w:pPr>
          </w:p>
        </w:tc>
        <w:tc>
          <w:tcPr>
            <w:tcW w:w="1220" w:type="dxa"/>
            <w:vAlign w:val="bottom"/>
            <w:tcBorders>
              <w:bottom w:val="single" w:sz="8" w:color="0063A6"/>
            </w:tcBorders>
          </w:tcPr>
          <w:p>
            <w:pPr>
              <w:spacing w:after="0"/>
              <w:rPr>
                <w:sz w:val="7"/>
                <w:szCs w:val="7"/>
                <w:color w:val="auto"/>
              </w:rPr>
            </w:pPr>
          </w:p>
        </w:tc>
        <w:tc>
          <w:tcPr>
            <w:tcW w:w="100" w:type="dxa"/>
            <w:vAlign w:val="bottom"/>
            <w:tcBorders>
              <w:bottom w:val="single" w:sz="8" w:color="0063A6"/>
            </w:tcBorders>
          </w:tcPr>
          <w:p>
            <w:pPr>
              <w:spacing w:after="0"/>
              <w:rPr>
                <w:sz w:val="7"/>
                <w:szCs w:val="7"/>
                <w:color w:val="auto"/>
              </w:rPr>
            </w:pPr>
          </w:p>
        </w:tc>
        <w:tc>
          <w:tcPr>
            <w:tcW w:w="6780" w:type="dxa"/>
            <w:vAlign w:val="bottom"/>
            <w:tcBorders>
              <w:bottom w:val="single" w:sz="8" w:color="0063A6"/>
            </w:tcBorders>
          </w:tcPr>
          <w:p>
            <w:pPr>
              <w:spacing w:after="0"/>
              <w:rPr>
                <w:sz w:val="7"/>
                <w:szCs w:val="7"/>
                <w:color w:val="auto"/>
              </w:rPr>
            </w:pPr>
          </w:p>
        </w:tc>
        <w:tc>
          <w:tcPr>
            <w:tcW w:w="20" w:type="dxa"/>
            <w:vAlign w:val="bottom"/>
            <w:tcBorders>
              <w:bottom w:val="single" w:sz="8" w:color="0063A6"/>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8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21"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100" w:type="dxa"/>
            <w:vAlign w:val="bottom"/>
            <w:tcBorders>
              <w:left w:val="single" w:sz="8" w:color="0063A6"/>
              <w:bottom w:val="single" w:sz="8" w:color="0063A6"/>
              <w:right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Component</w:t>
            </w:r>
          </w:p>
        </w:tc>
        <w:tc>
          <w:tcPr>
            <w:tcW w:w="40" w:type="dxa"/>
            <w:vAlign w:val="bottom"/>
            <w:tcBorders>
              <w:bottom w:val="single" w:sz="8" w:color="0063A6"/>
            </w:tcBorders>
            <w:shd w:val="clear" w:color="auto" w:fill="0063A6"/>
          </w:tcPr>
          <w:p>
            <w:pPr>
              <w:spacing w:after="0"/>
              <w:rPr>
                <w:sz w:val="24"/>
                <w:szCs w:val="24"/>
                <w:color w:val="auto"/>
              </w:rPr>
            </w:pPr>
          </w:p>
        </w:tc>
        <w:tc>
          <w:tcPr>
            <w:tcW w:w="8120" w:type="dxa"/>
            <w:vAlign w:val="bottom"/>
            <w:tcBorders>
              <w:bottom w:val="single" w:sz="8" w:color="0063A6"/>
              <w:right w:val="single" w:sz="8" w:color="0063A6"/>
            </w:tcBorders>
            <w:gridSpan w:val="3"/>
            <w:shd w:val="clear" w:color="auto" w:fill="0063A6"/>
          </w:tcPr>
          <w:p>
            <w:pPr>
              <w:spacing w:after="0"/>
              <w:rPr>
                <w:sz w:val="20"/>
                <w:szCs w:val="20"/>
                <w:color w:val="auto"/>
              </w:rPr>
            </w:pPr>
            <w:r>
              <w:rPr>
                <w:rFonts w:ascii="Arial" w:cs="Arial" w:eastAsia="Arial" w:hAnsi="Arial"/>
                <w:sz w:val="14"/>
                <w:szCs w:val="14"/>
                <w:b w:val="1"/>
                <w:bCs w:val="1"/>
                <w:color w:val="FFFFFF"/>
              </w:rPr>
              <w:t>Description</w:t>
            </w:r>
          </w:p>
        </w:tc>
        <w:tc>
          <w:tcPr>
            <w:tcW w:w="0" w:type="dxa"/>
            <w:vAlign w:val="bottom"/>
          </w:tcPr>
          <w:p>
            <w:pPr>
              <w:spacing w:after="0"/>
              <w:rPr>
                <w:sz w:val="1"/>
                <w:szCs w:val="1"/>
                <w:color w:val="auto"/>
              </w:rPr>
            </w:pPr>
          </w:p>
        </w:tc>
      </w:tr>
      <w:tr>
        <w:trPr>
          <w:trHeight w:val="276"/>
        </w:trPr>
        <w:tc>
          <w:tcPr>
            <w:tcW w:w="310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Annual Award</w:t>
            </w:r>
          </w:p>
        </w:tc>
        <w:tc>
          <w:tcPr>
            <w:tcW w:w="40" w:type="dxa"/>
            <w:vAlign w:val="bottom"/>
          </w:tcPr>
          <w:p>
            <w:pPr>
              <w:spacing w:after="0"/>
              <w:rPr>
                <w:sz w:val="24"/>
                <w:szCs w:val="24"/>
                <w:color w:val="auto"/>
              </w:rPr>
            </w:pPr>
          </w:p>
        </w:tc>
        <w:tc>
          <w:tcPr>
            <w:tcW w:w="8120" w:type="dxa"/>
            <w:vAlign w:val="bottom"/>
            <w:tcBorders>
              <w:right w:val="single" w:sz="8" w:color="0063A6"/>
            </w:tcBorders>
            <w:gridSpan w:val="3"/>
            <w:vMerge w:val="restart"/>
          </w:tcPr>
          <w:p>
            <w:pPr>
              <w:spacing w:after="0"/>
              <w:rPr>
                <w:sz w:val="20"/>
                <w:szCs w:val="20"/>
                <w:color w:val="auto"/>
              </w:rPr>
            </w:pPr>
            <w:r>
              <w:rPr>
                <w:rFonts w:ascii="Arial" w:cs="Arial" w:eastAsia="Arial" w:hAnsi="Arial"/>
                <w:sz w:val="16"/>
                <w:szCs w:val="16"/>
                <w:color w:val="auto"/>
              </w:rPr>
              <w:t>Each non-employee director will automatically receive, on the date of each annual meeting of stockholders</w:t>
            </w:r>
          </w:p>
        </w:tc>
        <w:tc>
          <w:tcPr>
            <w:tcW w:w="0" w:type="dxa"/>
            <w:vAlign w:val="bottom"/>
          </w:tcPr>
          <w:p>
            <w:pPr>
              <w:spacing w:after="0"/>
              <w:rPr>
                <w:sz w:val="1"/>
                <w:szCs w:val="1"/>
                <w:color w:val="auto"/>
              </w:rPr>
            </w:pPr>
          </w:p>
        </w:tc>
      </w:tr>
      <w:tr>
        <w:trPr>
          <w:trHeight w:val="74"/>
        </w:trPr>
        <w:tc>
          <w:tcPr>
            <w:tcW w:w="3100" w:type="dxa"/>
            <w:vAlign w:val="bottom"/>
            <w:tcBorders>
              <w:left w:val="single" w:sz="8" w:color="0063A6"/>
              <w:right w:val="single" w:sz="8" w:color="0063A6"/>
            </w:tcBorders>
          </w:tcPr>
          <w:p>
            <w:pPr>
              <w:spacing w:after="0"/>
              <w:rPr>
                <w:sz w:val="6"/>
                <w:szCs w:val="6"/>
                <w:color w:val="auto"/>
              </w:rPr>
            </w:pPr>
          </w:p>
        </w:tc>
        <w:tc>
          <w:tcPr>
            <w:tcW w:w="40" w:type="dxa"/>
            <w:vAlign w:val="bottom"/>
          </w:tcPr>
          <w:p>
            <w:pPr>
              <w:spacing w:after="0"/>
              <w:rPr>
                <w:sz w:val="6"/>
                <w:szCs w:val="6"/>
                <w:color w:val="auto"/>
              </w:rPr>
            </w:pPr>
          </w:p>
        </w:tc>
        <w:tc>
          <w:tcPr>
            <w:tcW w:w="8120" w:type="dxa"/>
            <w:vAlign w:val="bottom"/>
            <w:tcBorders>
              <w:right w:val="single" w:sz="8" w:color="0063A6"/>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100" w:type="dxa"/>
            <w:vAlign w:val="bottom"/>
            <w:tcBorders>
              <w:left w:val="single" w:sz="8" w:color="0063A6"/>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following the effective date of the policy, an annual award of RSUs, each of which we refer to as an Annual</w:t>
            </w:r>
          </w:p>
        </w:tc>
        <w:tc>
          <w:tcPr>
            <w:tcW w:w="0" w:type="dxa"/>
            <w:vAlign w:val="bottom"/>
          </w:tcPr>
          <w:p>
            <w:pPr>
              <w:spacing w:after="0"/>
              <w:rPr>
                <w:sz w:val="1"/>
                <w:szCs w:val="1"/>
                <w:color w:val="auto"/>
              </w:rPr>
            </w:pPr>
          </w:p>
        </w:tc>
      </w:tr>
      <w:tr>
        <w:trPr>
          <w:trHeight w:val="215"/>
        </w:trPr>
        <w:tc>
          <w:tcPr>
            <w:tcW w:w="3100" w:type="dxa"/>
            <w:vAlign w:val="bottom"/>
            <w:tcBorders>
              <w:left w:val="single" w:sz="8" w:color="0063A6"/>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Award.</w:t>
            </w:r>
          </w:p>
        </w:tc>
        <w:tc>
          <w:tcPr>
            <w:tcW w:w="0" w:type="dxa"/>
            <w:vAlign w:val="bottom"/>
          </w:tcPr>
          <w:p>
            <w:pPr>
              <w:spacing w:after="0"/>
              <w:rPr>
                <w:sz w:val="1"/>
                <w:szCs w:val="1"/>
                <w:color w:val="auto"/>
              </w:rPr>
            </w:pPr>
          </w:p>
        </w:tc>
      </w:tr>
      <w:tr>
        <w:trPr>
          <w:trHeight w:val="258"/>
        </w:trPr>
        <w:tc>
          <w:tcPr>
            <w:tcW w:w="3100" w:type="dxa"/>
            <w:vAlign w:val="bottom"/>
            <w:tcBorders>
              <w:left w:val="single" w:sz="8" w:color="0063A6"/>
              <w:right w:val="single" w:sz="8" w:color="0063A6"/>
            </w:tcBorders>
          </w:tcPr>
          <w:p>
            <w:pPr>
              <w:spacing w:after="0"/>
              <w:rPr>
                <w:sz w:val="22"/>
                <w:szCs w:val="22"/>
                <w:color w:val="auto"/>
              </w:rPr>
            </w:pPr>
          </w:p>
        </w:tc>
        <w:tc>
          <w:tcPr>
            <w:tcW w:w="40" w:type="dxa"/>
            <w:vAlign w:val="bottom"/>
          </w:tcPr>
          <w:p>
            <w:pPr>
              <w:spacing w:after="0"/>
              <w:rPr>
                <w:sz w:val="22"/>
                <w:szCs w:val="22"/>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i w:val="1"/>
                <w:iCs w:val="1"/>
                <w:color w:val="auto"/>
              </w:rPr>
              <w:t>Number of Shares</w:t>
            </w:r>
          </w:p>
        </w:tc>
        <w:tc>
          <w:tcPr>
            <w:tcW w:w="0" w:type="dxa"/>
            <w:vAlign w:val="bottom"/>
          </w:tcPr>
          <w:p>
            <w:pPr>
              <w:spacing w:after="0"/>
              <w:rPr>
                <w:sz w:val="1"/>
                <w:szCs w:val="1"/>
                <w:color w:val="auto"/>
              </w:rPr>
            </w:pPr>
          </w:p>
        </w:tc>
      </w:tr>
      <w:tr>
        <w:trPr>
          <w:trHeight w:val="20"/>
        </w:trPr>
        <w:tc>
          <w:tcPr>
            <w:tcW w:w="3100" w:type="dxa"/>
            <w:vAlign w:val="bottom"/>
            <w:tcBorders>
              <w:left w:val="single" w:sz="8" w:color="0063A6"/>
              <w:right w:val="single" w:sz="8" w:color="0063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0" w:type="dxa"/>
            <w:vAlign w:val="bottom"/>
            <w:tcBorders>
              <w:right w:val="single" w:sz="8" w:color="0063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100" w:type="dxa"/>
            <w:vAlign w:val="bottom"/>
            <w:tcBorders>
              <w:left w:val="single" w:sz="8" w:color="0063A6"/>
              <w:right w:val="single" w:sz="8" w:color="0063A6"/>
            </w:tcBorders>
          </w:tcPr>
          <w:p>
            <w:pPr>
              <w:spacing w:after="0"/>
              <w:rPr>
                <w:sz w:val="24"/>
                <w:szCs w:val="24"/>
                <w:color w:val="auto"/>
              </w:rPr>
            </w:pPr>
          </w:p>
        </w:tc>
        <w:tc>
          <w:tcPr>
            <w:tcW w:w="40" w:type="dxa"/>
            <w:vAlign w:val="bottom"/>
          </w:tcPr>
          <w:p>
            <w:pPr>
              <w:spacing w:after="0"/>
              <w:rPr>
                <w:sz w:val="24"/>
                <w:szCs w:val="24"/>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Each Annual Award covers a number of shares of our Class A common stock having a grant date fair value</w:t>
            </w:r>
          </w:p>
        </w:tc>
        <w:tc>
          <w:tcPr>
            <w:tcW w:w="0" w:type="dxa"/>
            <w:vAlign w:val="bottom"/>
          </w:tcPr>
          <w:p>
            <w:pPr>
              <w:spacing w:after="0"/>
              <w:rPr>
                <w:sz w:val="1"/>
                <w:szCs w:val="1"/>
                <w:color w:val="auto"/>
              </w:rPr>
            </w:pPr>
          </w:p>
        </w:tc>
      </w:tr>
      <w:tr>
        <w:trPr>
          <w:trHeight w:val="215"/>
        </w:trPr>
        <w:tc>
          <w:tcPr>
            <w:tcW w:w="3100" w:type="dxa"/>
            <w:vAlign w:val="bottom"/>
            <w:tcBorders>
              <w:left w:val="single" w:sz="8" w:color="0063A6"/>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(determined in accordance with GAAP) of $250,000, rounded to the nearest whole share.</w:t>
            </w:r>
          </w:p>
        </w:tc>
        <w:tc>
          <w:tcPr>
            <w:tcW w:w="0" w:type="dxa"/>
            <w:vAlign w:val="bottom"/>
          </w:tcPr>
          <w:p>
            <w:pPr>
              <w:spacing w:after="0"/>
              <w:rPr>
                <w:sz w:val="1"/>
                <w:szCs w:val="1"/>
                <w:color w:val="auto"/>
              </w:rPr>
            </w:pPr>
          </w:p>
        </w:tc>
      </w:tr>
      <w:tr>
        <w:trPr>
          <w:trHeight w:val="259"/>
        </w:trPr>
        <w:tc>
          <w:tcPr>
            <w:tcW w:w="3100" w:type="dxa"/>
            <w:vAlign w:val="bottom"/>
            <w:tcBorders>
              <w:left w:val="single" w:sz="8" w:color="0063A6"/>
              <w:right w:val="single" w:sz="8" w:color="0063A6"/>
            </w:tcBorders>
          </w:tcPr>
          <w:p>
            <w:pPr>
              <w:spacing w:after="0"/>
              <w:rPr>
                <w:sz w:val="22"/>
                <w:szCs w:val="22"/>
                <w:color w:val="auto"/>
              </w:rPr>
            </w:pPr>
          </w:p>
        </w:tc>
        <w:tc>
          <w:tcPr>
            <w:tcW w:w="40" w:type="dxa"/>
            <w:vAlign w:val="bottom"/>
          </w:tcPr>
          <w:p>
            <w:pPr>
              <w:spacing w:after="0"/>
              <w:rPr>
                <w:sz w:val="22"/>
                <w:szCs w:val="22"/>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i w:val="1"/>
                <w:iCs w:val="1"/>
                <w:color w:val="auto"/>
              </w:rPr>
              <w:t>Vesting of Award</w:t>
            </w:r>
          </w:p>
        </w:tc>
        <w:tc>
          <w:tcPr>
            <w:tcW w:w="0" w:type="dxa"/>
            <w:vAlign w:val="bottom"/>
          </w:tcPr>
          <w:p>
            <w:pPr>
              <w:spacing w:after="0"/>
              <w:rPr>
                <w:sz w:val="1"/>
                <w:szCs w:val="1"/>
                <w:color w:val="auto"/>
              </w:rPr>
            </w:pPr>
          </w:p>
        </w:tc>
      </w:tr>
      <w:tr>
        <w:trPr>
          <w:trHeight w:val="20"/>
        </w:trPr>
        <w:tc>
          <w:tcPr>
            <w:tcW w:w="3100" w:type="dxa"/>
            <w:vAlign w:val="bottom"/>
            <w:tcBorders>
              <w:left w:val="single" w:sz="8" w:color="0063A6"/>
              <w:right w:val="single" w:sz="8" w:color="0063A6"/>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900" w:type="dxa"/>
            <w:vAlign w:val="bottom"/>
            <w:tcBorders>
              <w:right w:val="single" w:sz="8" w:color="0063A6"/>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100" w:type="dxa"/>
            <w:vAlign w:val="bottom"/>
            <w:tcBorders>
              <w:left w:val="single" w:sz="8" w:color="0063A6"/>
              <w:right w:val="single" w:sz="8" w:color="0063A6"/>
            </w:tcBorders>
          </w:tcPr>
          <w:p>
            <w:pPr>
              <w:spacing w:after="0"/>
              <w:rPr>
                <w:sz w:val="24"/>
                <w:szCs w:val="24"/>
                <w:color w:val="auto"/>
              </w:rPr>
            </w:pPr>
          </w:p>
        </w:tc>
        <w:tc>
          <w:tcPr>
            <w:tcW w:w="40" w:type="dxa"/>
            <w:vAlign w:val="bottom"/>
          </w:tcPr>
          <w:p>
            <w:pPr>
              <w:spacing w:after="0"/>
              <w:rPr>
                <w:sz w:val="24"/>
                <w:szCs w:val="24"/>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The Annual Award will vest on the one-year anniversary of the grant date of the Annual Award or, if earlier, the</w:t>
            </w:r>
          </w:p>
        </w:tc>
        <w:tc>
          <w:tcPr>
            <w:tcW w:w="0" w:type="dxa"/>
            <w:vAlign w:val="bottom"/>
          </w:tcPr>
          <w:p>
            <w:pPr>
              <w:spacing w:after="0"/>
              <w:rPr>
                <w:sz w:val="1"/>
                <w:szCs w:val="1"/>
                <w:color w:val="auto"/>
              </w:rPr>
            </w:pPr>
          </w:p>
        </w:tc>
      </w:tr>
      <w:tr>
        <w:trPr>
          <w:trHeight w:val="189"/>
        </w:trPr>
        <w:tc>
          <w:tcPr>
            <w:tcW w:w="3100" w:type="dxa"/>
            <w:vAlign w:val="bottom"/>
            <w:tcBorders>
              <w:left w:val="single" w:sz="8" w:color="0063A6"/>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day before our annual meeting of stockholders that follows the grant date of the Annual Award, subject to the</w:t>
            </w:r>
          </w:p>
        </w:tc>
        <w:tc>
          <w:tcPr>
            <w:tcW w:w="0" w:type="dxa"/>
            <w:vAlign w:val="bottom"/>
          </w:tcPr>
          <w:p>
            <w:pPr>
              <w:spacing w:after="0"/>
              <w:rPr>
                <w:sz w:val="1"/>
                <w:szCs w:val="1"/>
                <w:color w:val="auto"/>
              </w:rPr>
            </w:pPr>
          </w:p>
        </w:tc>
      </w:tr>
      <w:tr>
        <w:trPr>
          <w:trHeight w:val="215"/>
        </w:trPr>
        <w:tc>
          <w:tcPr>
            <w:tcW w:w="3100" w:type="dxa"/>
            <w:vAlign w:val="bottom"/>
            <w:tcBorders>
              <w:left w:val="single" w:sz="8" w:color="0063A6"/>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non-employee director continuing to provide services to us through the applicable vesting date.</w:t>
            </w:r>
          </w:p>
        </w:tc>
        <w:tc>
          <w:tcPr>
            <w:tcW w:w="0" w:type="dxa"/>
            <w:vAlign w:val="bottom"/>
          </w:tcPr>
          <w:p>
            <w:pPr>
              <w:spacing w:after="0"/>
              <w:rPr>
                <w:sz w:val="1"/>
                <w:szCs w:val="1"/>
                <w:color w:val="auto"/>
              </w:rPr>
            </w:pPr>
          </w:p>
        </w:tc>
      </w:tr>
      <w:tr>
        <w:trPr>
          <w:trHeight w:val="70"/>
        </w:trPr>
        <w:tc>
          <w:tcPr>
            <w:tcW w:w="3100" w:type="dxa"/>
            <w:vAlign w:val="bottom"/>
            <w:tcBorders>
              <w:left w:val="single" w:sz="8" w:color="0063A6"/>
              <w:bottom w:val="single" w:sz="8" w:color="0063A6"/>
              <w:right w:val="single" w:sz="8" w:color="0063A6"/>
            </w:tcBorders>
          </w:tcPr>
          <w:p>
            <w:pPr>
              <w:spacing w:after="0"/>
              <w:rPr>
                <w:sz w:val="6"/>
                <w:szCs w:val="6"/>
                <w:color w:val="auto"/>
              </w:rPr>
            </w:pPr>
          </w:p>
        </w:tc>
        <w:tc>
          <w:tcPr>
            <w:tcW w:w="40" w:type="dxa"/>
            <w:vAlign w:val="bottom"/>
            <w:tcBorders>
              <w:bottom w:val="single" w:sz="8" w:color="0063A6"/>
            </w:tcBorders>
          </w:tcPr>
          <w:p>
            <w:pPr>
              <w:spacing w:after="0"/>
              <w:rPr>
                <w:sz w:val="6"/>
                <w:szCs w:val="6"/>
                <w:color w:val="auto"/>
              </w:rPr>
            </w:pPr>
          </w:p>
        </w:tc>
        <w:tc>
          <w:tcPr>
            <w:tcW w:w="1220" w:type="dxa"/>
            <w:vAlign w:val="bottom"/>
            <w:tcBorders>
              <w:bottom w:val="single" w:sz="8" w:color="0063A6"/>
            </w:tcBorders>
          </w:tcPr>
          <w:p>
            <w:pPr>
              <w:spacing w:after="0"/>
              <w:rPr>
                <w:sz w:val="6"/>
                <w:szCs w:val="6"/>
                <w:color w:val="auto"/>
              </w:rPr>
            </w:pPr>
          </w:p>
        </w:tc>
        <w:tc>
          <w:tcPr>
            <w:tcW w:w="100" w:type="dxa"/>
            <w:vAlign w:val="bottom"/>
            <w:tcBorders>
              <w:bottom w:val="single" w:sz="8" w:color="0063A6"/>
            </w:tcBorders>
          </w:tcPr>
          <w:p>
            <w:pPr>
              <w:spacing w:after="0"/>
              <w:rPr>
                <w:sz w:val="6"/>
                <w:szCs w:val="6"/>
                <w:color w:val="auto"/>
              </w:rPr>
            </w:pPr>
          </w:p>
        </w:tc>
        <w:tc>
          <w:tcPr>
            <w:tcW w:w="6800" w:type="dxa"/>
            <w:vAlign w:val="bottom"/>
            <w:tcBorders>
              <w:bottom w:val="single" w:sz="8" w:color="0063A6"/>
              <w:right w:val="single" w:sz="8" w:color="0063A6"/>
            </w:tcBorders>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10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Deferral of Awards</w:t>
            </w:r>
          </w:p>
        </w:tc>
        <w:tc>
          <w:tcPr>
            <w:tcW w:w="40" w:type="dxa"/>
            <w:vAlign w:val="bottom"/>
          </w:tcPr>
          <w:p>
            <w:pPr>
              <w:spacing w:after="0"/>
              <w:rPr>
                <w:sz w:val="19"/>
                <w:szCs w:val="19"/>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Each non-employee director may elect to defer the delivery of the settlement of any Initial Award or Annual</w:t>
            </w:r>
          </w:p>
        </w:tc>
        <w:tc>
          <w:tcPr>
            <w:tcW w:w="0" w:type="dxa"/>
            <w:vAlign w:val="bottom"/>
          </w:tcPr>
          <w:p>
            <w:pPr>
              <w:spacing w:after="0"/>
              <w:rPr>
                <w:sz w:val="1"/>
                <w:szCs w:val="1"/>
                <w:color w:val="auto"/>
              </w:rPr>
            </w:pPr>
          </w:p>
        </w:tc>
      </w:tr>
      <w:tr>
        <w:trPr>
          <w:trHeight w:val="189"/>
        </w:trPr>
        <w:tc>
          <w:tcPr>
            <w:tcW w:w="3100" w:type="dxa"/>
            <w:vAlign w:val="bottom"/>
            <w:tcBorders>
              <w:left w:val="single" w:sz="8" w:color="0063A6"/>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Award that would otherwise be delivered to such non-employee director on or following the date such award</w:t>
            </w:r>
          </w:p>
        </w:tc>
        <w:tc>
          <w:tcPr>
            <w:tcW w:w="0" w:type="dxa"/>
            <w:vAlign w:val="bottom"/>
          </w:tcPr>
          <w:p>
            <w:pPr>
              <w:spacing w:after="0"/>
              <w:rPr>
                <w:sz w:val="1"/>
                <w:szCs w:val="1"/>
                <w:color w:val="auto"/>
              </w:rPr>
            </w:pPr>
          </w:p>
        </w:tc>
      </w:tr>
      <w:tr>
        <w:trPr>
          <w:trHeight w:val="176"/>
        </w:trPr>
        <w:tc>
          <w:tcPr>
            <w:tcW w:w="3100" w:type="dxa"/>
            <w:vAlign w:val="bottom"/>
            <w:tcBorders>
              <w:left w:val="single" w:sz="8" w:color="0063A6"/>
              <w:right w:val="single" w:sz="8" w:color="0063A6"/>
            </w:tcBorders>
          </w:tcPr>
          <w:p>
            <w:pPr>
              <w:spacing w:after="0"/>
              <w:rPr>
                <w:sz w:val="15"/>
                <w:szCs w:val="15"/>
                <w:color w:val="auto"/>
              </w:rPr>
            </w:pPr>
          </w:p>
        </w:tc>
        <w:tc>
          <w:tcPr>
            <w:tcW w:w="40" w:type="dxa"/>
            <w:vAlign w:val="bottom"/>
          </w:tcPr>
          <w:p>
            <w:pPr>
              <w:spacing w:after="0"/>
              <w:rPr>
                <w:sz w:val="15"/>
                <w:szCs w:val="15"/>
                <w:color w:val="auto"/>
              </w:rPr>
            </w:pPr>
          </w:p>
        </w:tc>
        <w:tc>
          <w:tcPr>
            <w:tcW w:w="8120" w:type="dxa"/>
            <w:vAlign w:val="bottom"/>
            <w:tcBorders>
              <w:right w:val="single" w:sz="8" w:color="0063A6"/>
            </w:tcBorders>
            <w:gridSpan w:val="3"/>
          </w:tcPr>
          <w:p>
            <w:pPr>
              <w:spacing w:after="0" w:line="175" w:lineRule="exact"/>
              <w:rPr>
                <w:sz w:val="20"/>
                <w:szCs w:val="20"/>
                <w:color w:val="auto"/>
              </w:rPr>
            </w:pPr>
            <w:r>
              <w:rPr>
                <w:rFonts w:ascii="Arial" w:cs="Arial" w:eastAsia="Arial" w:hAnsi="Arial"/>
                <w:sz w:val="16"/>
                <w:szCs w:val="16"/>
                <w:color w:val="auto"/>
              </w:rPr>
              <w:t>vests pursuant to the terms of a deferral election such non-employee director makes in accordance with the</w:t>
            </w:r>
          </w:p>
        </w:tc>
        <w:tc>
          <w:tcPr>
            <w:tcW w:w="0" w:type="dxa"/>
            <w:vAlign w:val="bottom"/>
          </w:tcPr>
          <w:p>
            <w:pPr>
              <w:spacing w:after="0"/>
              <w:rPr>
                <w:sz w:val="1"/>
                <w:szCs w:val="1"/>
                <w:color w:val="auto"/>
              </w:rPr>
            </w:pPr>
          </w:p>
        </w:tc>
      </w:tr>
      <w:tr>
        <w:trPr>
          <w:trHeight w:val="215"/>
        </w:trPr>
        <w:tc>
          <w:tcPr>
            <w:tcW w:w="3100" w:type="dxa"/>
            <w:vAlign w:val="bottom"/>
            <w:tcBorders>
              <w:left w:val="single" w:sz="8" w:color="0063A6"/>
              <w:right w:val="single" w:sz="8" w:color="0063A6"/>
            </w:tcBorders>
          </w:tcPr>
          <w:p>
            <w:pPr>
              <w:spacing w:after="0"/>
              <w:rPr>
                <w:sz w:val="18"/>
                <w:szCs w:val="18"/>
                <w:color w:val="auto"/>
              </w:rPr>
            </w:pPr>
          </w:p>
        </w:tc>
        <w:tc>
          <w:tcPr>
            <w:tcW w:w="40" w:type="dxa"/>
            <w:vAlign w:val="bottom"/>
          </w:tcPr>
          <w:p>
            <w:pPr>
              <w:spacing w:after="0"/>
              <w:rPr>
                <w:sz w:val="18"/>
                <w:szCs w:val="18"/>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policy.</w:t>
            </w:r>
          </w:p>
        </w:tc>
        <w:tc>
          <w:tcPr>
            <w:tcW w:w="0" w:type="dxa"/>
            <w:vAlign w:val="bottom"/>
          </w:tcPr>
          <w:p>
            <w:pPr>
              <w:spacing w:after="0"/>
              <w:rPr>
                <w:sz w:val="1"/>
                <w:szCs w:val="1"/>
                <w:color w:val="auto"/>
              </w:rPr>
            </w:pPr>
          </w:p>
        </w:tc>
      </w:tr>
      <w:tr>
        <w:trPr>
          <w:trHeight w:val="83"/>
        </w:trPr>
        <w:tc>
          <w:tcPr>
            <w:tcW w:w="3100" w:type="dxa"/>
            <w:vAlign w:val="bottom"/>
            <w:tcBorders>
              <w:left w:val="single" w:sz="8" w:color="0063A6"/>
              <w:bottom w:val="single" w:sz="8" w:color="0063A6"/>
              <w:right w:val="single" w:sz="8" w:color="0063A6"/>
            </w:tcBorders>
          </w:tcPr>
          <w:p>
            <w:pPr>
              <w:spacing w:after="0"/>
              <w:rPr>
                <w:sz w:val="7"/>
                <w:szCs w:val="7"/>
                <w:color w:val="auto"/>
              </w:rPr>
            </w:pPr>
          </w:p>
        </w:tc>
        <w:tc>
          <w:tcPr>
            <w:tcW w:w="40" w:type="dxa"/>
            <w:vAlign w:val="bottom"/>
            <w:tcBorders>
              <w:bottom w:val="single" w:sz="8" w:color="0063A6"/>
            </w:tcBorders>
          </w:tcPr>
          <w:p>
            <w:pPr>
              <w:spacing w:after="0"/>
              <w:rPr>
                <w:sz w:val="7"/>
                <w:szCs w:val="7"/>
                <w:color w:val="auto"/>
              </w:rPr>
            </w:pPr>
          </w:p>
        </w:tc>
        <w:tc>
          <w:tcPr>
            <w:tcW w:w="1220" w:type="dxa"/>
            <w:vAlign w:val="bottom"/>
            <w:tcBorders>
              <w:bottom w:val="single" w:sz="8" w:color="0063A6"/>
            </w:tcBorders>
          </w:tcPr>
          <w:p>
            <w:pPr>
              <w:spacing w:after="0"/>
              <w:rPr>
                <w:sz w:val="7"/>
                <w:szCs w:val="7"/>
                <w:color w:val="auto"/>
              </w:rPr>
            </w:pPr>
          </w:p>
        </w:tc>
        <w:tc>
          <w:tcPr>
            <w:tcW w:w="100" w:type="dxa"/>
            <w:vAlign w:val="bottom"/>
            <w:tcBorders>
              <w:bottom w:val="single" w:sz="8" w:color="0063A6"/>
            </w:tcBorders>
          </w:tcPr>
          <w:p>
            <w:pPr>
              <w:spacing w:after="0"/>
              <w:rPr>
                <w:sz w:val="7"/>
                <w:szCs w:val="7"/>
                <w:color w:val="auto"/>
              </w:rPr>
            </w:pPr>
          </w:p>
        </w:tc>
        <w:tc>
          <w:tcPr>
            <w:tcW w:w="6800" w:type="dxa"/>
            <w:vAlign w:val="bottom"/>
            <w:tcBorders>
              <w:bottom w:val="single" w:sz="8" w:color="0063A6"/>
              <w:right w:val="single" w:sz="8" w:color="0063A6"/>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100" w:type="dxa"/>
            <w:vAlign w:val="bottom"/>
            <w:tcBorders>
              <w:left w:val="single" w:sz="8" w:color="0063A6"/>
              <w:right w:val="single" w:sz="8" w:color="0063A6"/>
            </w:tcBorders>
          </w:tcPr>
          <w:p>
            <w:pPr>
              <w:ind w:left="80"/>
              <w:spacing w:after="0"/>
              <w:rPr>
                <w:sz w:val="20"/>
                <w:szCs w:val="20"/>
                <w:color w:val="auto"/>
              </w:rPr>
            </w:pPr>
            <w:r>
              <w:rPr>
                <w:rFonts w:ascii="Arial" w:cs="Arial" w:eastAsia="Arial" w:hAnsi="Arial"/>
                <w:sz w:val="16"/>
                <w:szCs w:val="16"/>
                <w:b w:val="1"/>
                <w:bCs w:val="1"/>
                <w:color w:val="auto"/>
              </w:rPr>
              <w:t>Change in Control</w:t>
            </w:r>
          </w:p>
        </w:tc>
        <w:tc>
          <w:tcPr>
            <w:tcW w:w="40" w:type="dxa"/>
            <w:vAlign w:val="bottom"/>
          </w:tcPr>
          <w:p>
            <w:pPr>
              <w:spacing w:after="0"/>
              <w:rPr>
                <w:sz w:val="19"/>
                <w:szCs w:val="19"/>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In the event of a “change in control” (as defined in our 2018 Equity Incentive Plan), each non-employee director</w:t>
            </w:r>
          </w:p>
        </w:tc>
        <w:tc>
          <w:tcPr>
            <w:tcW w:w="0" w:type="dxa"/>
            <w:vAlign w:val="bottom"/>
          </w:tcPr>
          <w:p>
            <w:pPr>
              <w:spacing w:after="0"/>
              <w:rPr>
                <w:sz w:val="1"/>
                <w:szCs w:val="1"/>
                <w:color w:val="auto"/>
              </w:rPr>
            </w:pPr>
          </w:p>
        </w:tc>
      </w:tr>
      <w:tr>
        <w:trPr>
          <w:trHeight w:val="189"/>
        </w:trPr>
        <w:tc>
          <w:tcPr>
            <w:tcW w:w="3100" w:type="dxa"/>
            <w:vAlign w:val="bottom"/>
            <w:tcBorders>
              <w:left w:val="single" w:sz="8" w:color="0063A6"/>
              <w:right w:val="single" w:sz="8" w:color="0063A6"/>
            </w:tcBorders>
          </w:tcPr>
          <w:p>
            <w:pPr>
              <w:spacing w:after="0"/>
              <w:rPr>
                <w:sz w:val="16"/>
                <w:szCs w:val="16"/>
                <w:color w:val="auto"/>
              </w:rPr>
            </w:pPr>
          </w:p>
        </w:tc>
        <w:tc>
          <w:tcPr>
            <w:tcW w:w="40" w:type="dxa"/>
            <w:vAlign w:val="bottom"/>
          </w:tcPr>
          <w:p>
            <w:pPr>
              <w:spacing w:after="0"/>
              <w:rPr>
                <w:sz w:val="16"/>
                <w:szCs w:val="16"/>
                <w:color w:val="auto"/>
              </w:rPr>
            </w:pPr>
          </w:p>
        </w:tc>
        <w:tc>
          <w:tcPr>
            <w:tcW w:w="8120" w:type="dxa"/>
            <w:vAlign w:val="bottom"/>
            <w:tcBorders>
              <w:right w:val="single" w:sz="8" w:color="0063A6"/>
            </w:tcBorders>
            <w:gridSpan w:val="3"/>
          </w:tcPr>
          <w:p>
            <w:pPr>
              <w:spacing w:after="0"/>
              <w:rPr>
                <w:sz w:val="20"/>
                <w:szCs w:val="20"/>
                <w:color w:val="auto"/>
              </w:rPr>
            </w:pPr>
            <w:r>
              <w:rPr>
                <w:rFonts w:ascii="Arial" w:cs="Arial" w:eastAsia="Arial" w:hAnsi="Arial"/>
                <w:sz w:val="16"/>
                <w:szCs w:val="16"/>
                <w:color w:val="auto"/>
              </w:rPr>
              <w:t>will fully vest in his or her outstanding company equity awards, including any Initial Award or Annual Award,</w:t>
            </w:r>
          </w:p>
        </w:tc>
        <w:tc>
          <w:tcPr>
            <w:tcW w:w="0" w:type="dxa"/>
            <w:vAlign w:val="bottom"/>
          </w:tcPr>
          <w:p>
            <w:pPr>
              <w:spacing w:after="0"/>
              <w:rPr>
                <w:sz w:val="1"/>
                <w:szCs w:val="1"/>
                <w:color w:val="auto"/>
              </w:rPr>
            </w:pPr>
          </w:p>
        </w:tc>
      </w:tr>
      <w:tr>
        <w:trPr>
          <w:trHeight w:val="224"/>
        </w:trPr>
        <w:tc>
          <w:tcPr>
            <w:tcW w:w="3100" w:type="dxa"/>
            <w:vAlign w:val="bottom"/>
            <w:tcBorders>
              <w:left w:val="single" w:sz="8" w:color="0063A6"/>
              <w:bottom w:val="single" w:sz="8" w:color="0063A6"/>
              <w:right w:val="single" w:sz="8" w:color="0063A6"/>
            </w:tcBorders>
          </w:tcPr>
          <w:p>
            <w:pPr>
              <w:spacing w:after="0"/>
              <w:rPr>
                <w:sz w:val="19"/>
                <w:szCs w:val="19"/>
                <w:color w:val="auto"/>
              </w:rPr>
            </w:pPr>
          </w:p>
        </w:tc>
        <w:tc>
          <w:tcPr>
            <w:tcW w:w="40" w:type="dxa"/>
            <w:vAlign w:val="bottom"/>
            <w:tcBorders>
              <w:bottom w:val="single" w:sz="8" w:color="0063A6"/>
            </w:tcBorders>
          </w:tcPr>
          <w:p>
            <w:pPr>
              <w:spacing w:after="0"/>
              <w:rPr>
                <w:sz w:val="19"/>
                <w:szCs w:val="19"/>
                <w:color w:val="auto"/>
              </w:rPr>
            </w:pPr>
          </w:p>
        </w:tc>
        <w:tc>
          <w:tcPr>
            <w:tcW w:w="8120" w:type="dxa"/>
            <w:vAlign w:val="bottom"/>
            <w:tcBorders>
              <w:bottom w:val="single" w:sz="8" w:color="0063A6"/>
              <w:right w:val="single" w:sz="8" w:color="0063A6"/>
            </w:tcBorders>
            <w:gridSpan w:val="3"/>
          </w:tcPr>
          <w:p>
            <w:pPr>
              <w:spacing w:after="0"/>
              <w:rPr>
                <w:sz w:val="20"/>
                <w:szCs w:val="20"/>
                <w:color w:val="auto"/>
              </w:rPr>
            </w:pPr>
            <w:r>
              <w:rPr>
                <w:rFonts w:ascii="Arial" w:cs="Arial" w:eastAsia="Arial" w:hAnsi="Arial"/>
                <w:sz w:val="16"/>
                <w:szCs w:val="16"/>
                <w:color w:val="auto"/>
              </w:rPr>
              <w:t>provided that the non-employee director continues to be a non-employee director through such date.</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2023 Compensation</w:t>
      </w:r>
    </w:p>
    <w:p>
      <w:pPr>
        <w:spacing w:after="0" w:line="86"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following table provides information regarding compensation of our non-employee directors for their service as directors, for the fiscal year ended December 31, 2023. Directors who are also our employees receive no additional compensation for their service as directors. During 2023, Mr. Houston was an employee and executive officer of the company and therefore, did not receive compensation as a director. See “</w:t>
      </w:r>
      <w:r>
        <w:rPr>
          <w:rFonts w:ascii="Arial" w:cs="Arial" w:eastAsia="Arial" w:hAnsi="Arial"/>
          <w:sz w:val="16"/>
          <w:szCs w:val="16"/>
          <w:i w:val="1"/>
          <w:iCs w:val="1"/>
          <w:color w:val="auto"/>
        </w:rPr>
        <w:t>Executive Compensation</w:t>
      </w:r>
      <w:r>
        <w:rPr>
          <w:rFonts w:ascii="Arial" w:cs="Arial" w:eastAsia="Arial" w:hAnsi="Arial"/>
          <w:sz w:val="16"/>
          <w:szCs w:val="16"/>
          <w:color w:val="auto"/>
        </w:rPr>
        <w:t>” for additional information regarding Mr. Houston’s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685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shd w:val="clear" w:color="auto" w:fill="0063A6"/>
          </w:tcPr>
          <w:p>
            <w:pPr>
              <w:spacing w:after="0"/>
              <w:rPr>
                <w:sz w:val="20"/>
                <w:szCs w:val="20"/>
                <w:color w:val="auto"/>
              </w:rPr>
            </w:pPr>
          </w:p>
        </w:tc>
        <w:tc>
          <w:tcPr>
            <w:tcW w:w="18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Fees Paid</w:t>
            </w:r>
          </w:p>
        </w:tc>
        <w:tc>
          <w:tcPr>
            <w:tcW w:w="1760" w:type="dxa"/>
            <w:vAlign w:val="bottom"/>
            <w:shd w:val="clear" w:color="auto" w:fill="0063A6"/>
          </w:tcPr>
          <w:p>
            <w:pPr>
              <w:spacing w:after="0"/>
              <w:rPr>
                <w:sz w:val="20"/>
                <w:szCs w:val="20"/>
                <w:color w:val="auto"/>
              </w:rPr>
            </w:pPr>
          </w:p>
        </w:tc>
        <w:tc>
          <w:tcPr>
            <w:tcW w:w="2160" w:type="dxa"/>
            <w:vAlign w:val="bottom"/>
            <w:shd w:val="clear" w:color="auto" w:fill="0063A6"/>
          </w:tcPr>
          <w:p>
            <w:pPr>
              <w:spacing w:after="0"/>
              <w:rPr>
                <w:sz w:val="20"/>
                <w:szCs w:val="20"/>
                <w:color w:val="auto"/>
              </w:rPr>
            </w:pPr>
          </w:p>
        </w:tc>
        <w:tc>
          <w:tcPr>
            <w:tcW w:w="1660" w:type="dxa"/>
            <w:vAlign w:val="bottom"/>
            <w:shd w:val="clear" w:color="auto" w:fill="0063A6"/>
          </w:tcPr>
          <w:p>
            <w:pPr>
              <w:spacing w:after="0"/>
              <w:rPr>
                <w:sz w:val="20"/>
                <w:szCs w:val="20"/>
                <w:color w:val="auto"/>
              </w:rPr>
            </w:pPr>
          </w:p>
        </w:tc>
      </w:tr>
      <w:tr>
        <w:trPr>
          <w:trHeight w:val="162"/>
        </w:trPr>
        <w:tc>
          <w:tcPr>
            <w:tcW w:w="3820" w:type="dxa"/>
            <w:vAlign w:val="bottom"/>
            <w:shd w:val="clear" w:color="auto" w:fill="0063A6"/>
          </w:tcPr>
          <w:p>
            <w:pPr>
              <w:spacing w:after="0"/>
              <w:rPr>
                <w:sz w:val="14"/>
                <w:szCs w:val="14"/>
                <w:color w:val="auto"/>
              </w:rPr>
            </w:pPr>
          </w:p>
        </w:tc>
        <w:tc>
          <w:tcPr>
            <w:tcW w:w="18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or</w:t>
            </w:r>
          </w:p>
        </w:tc>
        <w:tc>
          <w:tcPr>
            <w:tcW w:w="1760" w:type="dxa"/>
            <w:vAlign w:val="bottom"/>
            <w:shd w:val="clear" w:color="auto" w:fill="0063A6"/>
          </w:tcPr>
          <w:p>
            <w:pPr>
              <w:spacing w:after="0"/>
              <w:rPr>
                <w:sz w:val="14"/>
                <w:szCs w:val="14"/>
                <w:color w:val="auto"/>
              </w:rPr>
            </w:pPr>
          </w:p>
        </w:tc>
        <w:tc>
          <w:tcPr>
            <w:tcW w:w="2160" w:type="dxa"/>
            <w:vAlign w:val="bottom"/>
            <w:shd w:val="clear" w:color="auto" w:fill="0063A6"/>
          </w:tcPr>
          <w:p>
            <w:pPr>
              <w:spacing w:after="0"/>
              <w:rPr>
                <w:sz w:val="14"/>
                <w:szCs w:val="14"/>
                <w:color w:val="auto"/>
              </w:rPr>
            </w:pPr>
          </w:p>
        </w:tc>
        <w:tc>
          <w:tcPr>
            <w:tcW w:w="1660" w:type="dxa"/>
            <w:vAlign w:val="bottom"/>
            <w:shd w:val="clear" w:color="auto" w:fill="0063A6"/>
          </w:tcPr>
          <w:p>
            <w:pPr>
              <w:spacing w:after="0"/>
              <w:rPr>
                <w:sz w:val="14"/>
                <w:szCs w:val="14"/>
                <w:color w:val="auto"/>
              </w:rPr>
            </w:pPr>
          </w:p>
        </w:tc>
      </w:tr>
      <w:tr>
        <w:trPr>
          <w:trHeight w:val="160"/>
        </w:trPr>
        <w:tc>
          <w:tcPr>
            <w:tcW w:w="3820" w:type="dxa"/>
            <w:vAlign w:val="bottom"/>
            <w:shd w:val="clear" w:color="auto" w:fill="0063A6"/>
          </w:tcPr>
          <w:p>
            <w:pPr>
              <w:spacing w:after="0"/>
              <w:rPr>
                <w:sz w:val="13"/>
                <w:szCs w:val="13"/>
                <w:color w:val="auto"/>
              </w:rPr>
            </w:pPr>
          </w:p>
        </w:tc>
        <w:tc>
          <w:tcPr>
            <w:tcW w:w="1840" w:type="dxa"/>
            <w:vAlign w:val="bottom"/>
            <w:shd w:val="clear" w:color="auto" w:fill="0063A6"/>
          </w:tcPr>
          <w:p>
            <w:pPr>
              <w:jc w:val="center"/>
              <w:spacing w:after="0" w:line="159" w:lineRule="exact"/>
              <w:rPr>
                <w:sz w:val="20"/>
                <w:szCs w:val="20"/>
                <w:color w:val="auto"/>
              </w:rPr>
            </w:pPr>
            <w:r>
              <w:rPr>
                <w:rFonts w:ascii="Arial" w:cs="Arial" w:eastAsia="Arial" w:hAnsi="Arial"/>
                <w:sz w:val="14"/>
                <w:szCs w:val="14"/>
                <w:b w:val="1"/>
                <w:bCs w:val="1"/>
                <w:color w:val="FFFFFF"/>
              </w:rPr>
              <w:t>Earned in</w:t>
            </w:r>
          </w:p>
        </w:tc>
        <w:tc>
          <w:tcPr>
            <w:tcW w:w="1760" w:type="dxa"/>
            <w:vAlign w:val="bottom"/>
            <w:shd w:val="clear" w:color="auto" w:fill="0063A6"/>
          </w:tcPr>
          <w:p>
            <w:pPr>
              <w:jc w:val="center"/>
              <w:ind w:right="88"/>
              <w:spacing w:after="0" w:line="159" w:lineRule="exact"/>
              <w:rPr>
                <w:sz w:val="20"/>
                <w:szCs w:val="20"/>
                <w:color w:val="auto"/>
              </w:rPr>
            </w:pPr>
            <w:r>
              <w:rPr>
                <w:rFonts w:ascii="Arial" w:cs="Arial" w:eastAsia="Arial" w:hAnsi="Arial"/>
                <w:sz w:val="14"/>
                <w:szCs w:val="14"/>
                <w:b w:val="1"/>
                <w:bCs w:val="1"/>
                <w:color w:val="FFFFFF"/>
              </w:rPr>
              <w:t>Stock</w:t>
            </w:r>
          </w:p>
        </w:tc>
        <w:tc>
          <w:tcPr>
            <w:tcW w:w="2160" w:type="dxa"/>
            <w:vAlign w:val="bottom"/>
            <w:shd w:val="clear" w:color="auto" w:fill="0063A6"/>
          </w:tcPr>
          <w:p>
            <w:pPr>
              <w:jc w:val="center"/>
              <w:spacing w:after="0" w:line="159" w:lineRule="exact"/>
              <w:rPr>
                <w:sz w:val="20"/>
                <w:szCs w:val="20"/>
                <w:color w:val="auto"/>
              </w:rPr>
            </w:pPr>
            <w:r>
              <w:rPr>
                <w:rFonts w:ascii="Arial" w:cs="Arial" w:eastAsia="Arial" w:hAnsi="Arial"/>
                <w:sz w:val="14"/>
                <w:szCs w:val="14"/>
                <w:b w:val="1"/>
                <w:bCs w:val="1"/>
                <w:color w:val="FFFFFF"/>
              </w:rPr>
              <w:t>All Other</w:t>
            </w:r>
          </w:p>
        </w:tc>
        <w:tc>
          <w:tcPr>
            <w:tcW w:w="1660" w:type="dxa"/>
            <w:vAlign w:val="bottom"/>
            <w:shd w:val="clear" w:color="auto" w:fill="0063A6"/>
          </w:tcPr>
          <w:p>
            <w:pPr>
              <w:spacing w:after="0"/>
              <w:rPr>
                <w:sz w:val="13"/>
                <w:szCs w:val="13"/>
                <w:color w:val="auto"/>
              </w:rPr>
            </w:pPr>
          </w:p>
        </w:tc>
      </w:tr>
      <w:tr>
        <w:trPr>
          <w:trHeight w:val="214"/>
        </w:trPr>
        <w:tc>
          <w:tcPr>
            <w:tcW w:w="382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p>
        </w:tc>
        <w:tc>
          <w:tcPr>
            <w:tcW w:w="18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Cash ($)</w:t>
            </w:r>
          </w:p>
        </w:tc>
        <w:tc>
          <w:tcPr>
            <w:tcW w:w="1760" w:type="dxa"/>
            <w:vAlign w:val="bottom"/>
            <w:shd w:val="clear" w:color="auto" w:fill="0063A6"/>
          </w:tcPr>
          <w:p>
            <w:pPr>
              <w:jc w:val="center"/>
              <w:ind w:right="88"/>
              <w:spacing w:after="0"/>
              <w:rPr>
                <w:sz w:val="20"/>
                <w:szCs w:val="20"/>
                <w:color w:val="auto"/>
              </w:rPr>
            </w:pPr>
            <w:r>
              <w:rPr>
                <w:rFonts w:ascii="Arial" w:cs="Arial" w:eastAsia="Arial" w:hAnsi="Arial"/>
                <w:sz w:val="14"/>
                <w:szCs w:val="14"/>
                <w:b w:val="1"/>
                <w:bCs w:val="1"/>
                <w:color w:val="FFFFFF"/>
                <w:w w:val="95"/>
              </w:rPr>
              <w:t>Awards ($)</w:t>
            </w:r>
            <w:r>
              <w:rPr>
                <w:rFonts w:ascii="Arial" w:cs="Arial" w:eastAsia="Arial" w:hAnsi="Arial"/>
                <w:sz w:val="18"/>
                <w:szCs w:val="18"/>
                <w:b w:val="1"/>
                <w:bCs w:val="1"/>
                <w:color w:val="FFFFFF"/>
                <w:w w:val="95"/>
                <w:vertAlign w:val="superscript"/>
              </w:rPr>
              <w:t>(1)(2)</w:t>
            </w:r>
          </w:p>
        </w:tc>
        <w:tc>
          <w:tcPr>
            <w:tcW w:w="2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Compensation ($)</w:t>
            </w:r>
          </w:p>
        </w:tc>
        <w:tc>
          <w:tcPr>
            <w:tcW w:w="1660" w:type="dxa"/>
            <w:vAlign w:val="bottom"/>
            <w:shd w:val="clear" w:color="auto" w:fill="0063A6"/>
          </w:tcPr>
          <w:p>
            <w:pPr>
              <w:ind w:left="480"/>
              <w:spacing w:after="0"/>
              <w:rPr>
                <w:sz w:val="20"/>
                <w:szCs w:val="20"/>
                <w:color w:val="auto"/>
              </w:rPr>
            </w:pPr>
            <w:r>
              <w:rPr>
                <w:rFonts w:ascii="Arial" w:cs="Arial" w:eastAsia="Arial" w:hAnsi="Arial"/>
                <w:sz w:val="14"/>
                <w:szCs w:val="14"/>
                <w:b w:val="1"/>
                <w:bCs w:val="1"/>
                <w:color w:val="FFFFFF"/>
              </w:rPr>
              <w:t>Total ($)</w:t>
            </w:r>
          </w:p>
        </w:tc>
      </w:tr>
      <w:tr>
        <w:trPr>
          <w:trHeight w:val="54"/>
        </w:trPr>
        <w:tc>
          <w:tcPr>
            <w:tcW w:w="3820" w:type="dxa"/>
            <w:vAlign w:val="bottom"/>
            <w:shd w:val="clear" w:color="auto" w:fill="0063A6"/>
          </w:tcPr>
          <w:p>
            <w:pPr>
              <w:spacing w:after="0"/>
              <w:rPr>
                <w:sz w:val="4"/>
                <w:szCs w:val="4"/>
                <w:color w:val="auto"/>
              </w:rPr>
            </w:pPr>
          </w:p>
        </w:tc>
        <w:tc>
          <w:tcPr>
            <w:tcW w:w="1840" w:type="dxa"/>
            <w:vAlign w:val="bottom"/>
            <w:shd w:val="clear" w:color="auto" w:fill="0063A6"/>
          </w:tcPr>
          <w:p>
            <w:pPr>
              <w:spacing w:after="0"/>
              <w:rPr>
                <w:sz w:val="4"/>
                <w:szCs w:val="4"/>
                <w:color w:val="auto"/>
              </w:rPr>
            </w:pPr>
          </w:p>
        </w:tc>
        <w:tc>
          <w:tcPr>
            <w:tcW w:w="1760" w:type="dxa"/>
            <w:vAlign w:val="bottom"/>
            <w:shd w:val="clear" w:color="auto" w:fill="0063A6"/>
          </w:tcPr>
          <w:p>
            <w:pPr>
              <w:spacing w:after="0"/>
              <w:rPr>
                <w:sz w:val="4"/>
                <w:szCs w:val="4"/>
                <w:color w:val="auto"/>
              </w:rPr>
            </w:pPr>
          </w:p>
        </w:tc>
        <w:tc>
          <w:tcPr>
            <w:tcW w:w="2160" w:type="dxa"/>
            <w:vAlign w:val="bottom"/>
            <w:shd w:val="clear" w:color="auto" w:fill="0063A6"/>
          </w:tcPr>
          <w:p>
            <w:pPr>
              <w:spacing w:after="0"/>
              <w:rPr>
                <w:sz w:val="4"/>
                <w:szCs w:val="4"/>
                <w:color w:val="auto"/>
              </w:rPr>
            </w:pPr>
          </w:p>
        </w:tc>
        <w:tc>
          <w:tcPr>
            <w:tcW w:w="1660" w:type="dxa"/>
            <w:vAlign w:val="bottom"/>
            <w:shd w:val="clear" w:color="auto" w:fill="0063A6"/>
          </w:tcPr>
          <w:p>
            <w:pPr>
              <w:spacing w:after="0"/>
              <w:rPr>
                <w:sz w:val="4"/>
                <w:szCs w:val="4"/>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20" w:type="dxa"/>
            <w:vAlign w:val="bottom"/>
            <w:shd w:val="clear" w:color="auto" w:fill="F2F2F2"/>
          </w:tcPr>
          <w:p>
            <w:pPr>
              <w:ind w:left="60"/>
              <w:spacing w:after="0"/>
              <w:rPr>
                <w:sz w:val="20"/>
                <w:szCs w:val="20"/>
                <w:color w:val="auto"/>
              </w:rPr>
            </w:pPr>
            <w:r>
              <w:rPr>
                <w:rFonts w:ascii="Arial" w:cs="Arial" w:eastAsia="Arial" w:hAnsi="Arial"/>
                <w:sz w:val="16"/>
                <w:szCs w:val="16"/>
                <w:color w:val="auto"/>
              </w:rPr>
              <w:t>Donald W. Blair</w:t>
            </w:r>
          </w:p>
        </w:tc>
        <w:tc>
          <w:tcPr>
            <w:tcW w:w="2780" w:type="dxa"/>
            <w:vAlign w:val="bottom"/>
            <w:shd w:val="clear" w:color="auto" w:fill="F2F2F2"/>
          </w:tcPr>
          <w:p>
            <w:pPr>
              <w:jc w:val="center"/>
              <w:ind w:left="979"/>
              <w:spacing w:after="0"/>
              <w:rPr>
                <w:sz w:val="20"/>
                <w:szCs w:val="20"/>
                <w:color w:val="auto"/>
              </w:rPr>
            </w:pPr>
            <w:r>
              <w:rPr>
                <w:rFonts w:ascii="Arial" w:cs="Arial" w:eastAsia="Arial" w:hAnsi="Arial"/>
                <w:sz w:val="16"/>
                <w:szCs w:val="16"/>
                <w:color w:val="auto"/>
                <w:w w:val="96"/>
              </w:rPr>
              <w:t>115,000</w:t>
            </w:r>
          </w:p>
        </w:tc>
        <w:tc>
          <w:tcPr>
            <w:tcW w:w="1440" w:type="dxa"/>
            <w:vAlign w:val="bottom"/>
            <w:shd w:val="clear" w:color="auto" w:fill="F2F2F2"/>
          </w:tcPr>
          <w:p>
            <w:pPr>
              <w:jc w:val="right"/>
              <w:ind w:right="219"/>
              <w:spacing w:after="0"/>
              <w:rPr>
                <w:sz w:val="20"/>
                <w:szCs w:val="20"/>
                <w:color w:val="auto"/>
              </w:rPr>
            </w:pPr>
            <w:r>
              <w:rPr>
                <w:rFonts w:ascii="Arial" w:cs="Arial" w:eastAsia="Arial" w:hAnsi="Arial"/>
                <w:sz w:val="16"/>
                <w:szCs w:val="16"/>
                <w:color w:val="auto"/>
              </w:rPr>
              <w:t>247,349</w:t>
            </w:r>
          </w:p>
        </w:tc>
        <w:tc>
          <w:tcPr>
            <w:tcW w:w="920" w:type="dxa"/>
            <w:vAlign w:val="bottom"/>
            <w:shd w:val="clear" w:color="auto" w:fill="F2F2F2"/>
          </w:tcPr>
          <w:p>
            <w:pPr>
              <w:spacing w:after="0"/>
              <w:rPr>
                <w:sz w:val="20"/>
                <w:szCs w:val="20"/>
                <w:color w:val="auto"/>
              </w:rPr>
            </w:pPr>
          </w:p>
        </w:tc>
        <w:tc>
          <w:tcPr>
            <w:tcW w:w="1360" w:type="dxa"/>
            <w:vAlign w:val="bottom"/>
            <w:shd w:val="clear" w:color="auto" w:fill="F2F2F2"/>
          </w:tcPr>
          <w:p>
            <w:pPr>
              <w:ind w:left="460"/>
              <w:spacing w:after="0"/>
              <w:rPr>
                <w:sz w:val="20"/>
                <w:szCs w:val="20"/>
                <w:color w:val="auto"/>
              </w:rPr>
            </w:pPr>
            <w:r>
              <w:rPr>
                <w:rFonts w:ascii="Arial" w:cs="Arial" w:eastAsia="Arial" w:hAnsi="Arial"/>
                <w:sz w:val="16"/>
                <w:szCs w:val="16"/>
                <w:color w:val="auto"/>
              </w:rPr>
              <w:t>—</w:t>
            </w:r>
          </w:p>
        </w:tc>
        <w:tc>
          <w:tcPr>
            <w:tcW w:w="1920" w:type="dxa"/>
            <w:vAlign w:val="bottom"/>
            <w:shd w:val="clear" w:color="auto" w:fill="F2F2F2"/>
          </w:tcPr>
          <w:p>
            <w:pPr>
              <w:jc w:val="right"/>
              <w:ind w:right="539"/>
              <w:spacing w:after="0"/>
              <w:rPr>
                <w:sz w:val="20"/>
                <w:szCs w:val="20"/>
                <w:color w:val="auto"/>
              </w:rPr>
            </w:pPr>
            <w:r>
              <w:rPr>
                <w:rFonts w:ascii="Arial" w:cs="Arial" w:eastAsia="Arial" w:hAnsi="Arial"/>
                <w:sz w:val="16"/>
                <w:szCs w:val="16"/>
                <w:color w:val="auto"/>
              </w:rPr>
              <w:t>362,349</w:t>
            </w:r>
          </w:p>
        </w:tc>
        <w:tc>
          <w:tcPr>
            <w:tcW w:w="0" w:type="dxa"/>
            <w:vAlign w:val="bottom"/>
          </w:tcPr>
          <w:p>
            <w:pPr>
              <w:spacing w:after="0"/>
              <w:rPr>
                <w:sz w:val="1"/>
                <w:szCs w:val="1"/>
                <w:color w:val="auto"/>
              </w:rPr>
            </w:pPr>
          </w:p>
        </w:tc>
      </w:tr>
      <w:tr>
        <w:trPr>
          <w:trHeight w:val="215"/>
        </w:trPr>
        <w:tc>
          <w:tcPr>
            <w:tcW w:w="2820" w:type="dxa"/>
            <w:vAlign w:val="bottom"/>
          </w:tcPr>
          <w:p>
            <w:pPr>
              <w:ind w:left="60"/>
              <w:spacing w:after="0"/>
              <w:rPr>
                <w:sz w:val="20"/>
                <w:szCs w:val="20"/>
                <w:color w:val="auto"/>
              </w:rPr>
            </w:pPr>
            <w:r>
              <w:rPr>
                <w:rFonts w:ascii="Arial" w:cs="Arial" w:eastAsia="Arial" w:hAnsi="Arial"/>
                <w:sz w:val="16"/>
                <w:szCs w:val="16"/>
                <w:color w:val="auto"/>
              </w:rPr>
              <w:t>Lisa Campbell</w:t>
            </w:r>
          </w:p>
        </w:tc>
        <w:tc>
          <w:tcPr>
            <w:tcW w:w="2780" w:type="dxa"/>
            <w:vAlign w:val="bottom"/>
          </w:tcPr>
          <w:p>
            <w:pPr>
              <w:jc w:val="center"/>
              <w:ind w:left="979"/>
              <w:spacing w:after="0"/>
              <w:rPr>
                <w:sz w:val="20"/>
                <w:szCs w:val="20"/>
                <w:color w:val="auto"/>
              </w:rPr>
            </w:pPr>
            <w:r>
              <w:rPr>
                <w:rFonts w:ascii="Arial" w:cs="Arial" w:eastAsia="Arial" w:hAnsi="Arial"/>
                <w:sz w:val="16"/>
                <w:szCs w:val="16"/>
                <w:color w:val="auto"/>
                <w:w w:val="98"/>
              </w:rPr>
              <w:t>67,500</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247,349</w:t>
            </w:r>
          </w:p>
        </w:tc>
        <w:tc>
          <w:tcPr>
            <w:tcW w:w="920" w:type="dxa"/>
            <w:vAlign w:val="bottom"/>
          </w:tcPr>
          <w:p>
            <w:pPr>
              <w:spacing w:after="0"/>
              <w:rPr>
                <w:sz w:val="18"/>
                <w:szCs w:val="18"/>
                <w:color w:val="auto"/>
              </w:rPr>
            </w:pPr>
          </w:p>
        </w:tc>
        <w:tc>
          <w:tcPr>
            <w:tcW w:w="1360" w:type="dxa"/>
            <w:vAlign w:val="bottom"/>
          </w:tcPr>
          <w:p>
            <w:pPr>
              <w:ind w:left="46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539"/>
              <w:spacing w:after="0"/>
              <w:rPr>
                <w:sz w:val="20"/>
                <w:szCs w:val="20"/>
                <w:color w:val="auto"/>
              </w:rPr>
            </w:pPr>
            <w:r>
              <w:rPr>
                <w:rFonts w:ascii="Arial" w:cs="Arial" w:eastAsia="Arial" w:hAnsi="Arial"/>
                <w:sz w:val="16"/>
                <w:szCs w:val="16"/>
                <w:color w:val="auto"/>
              </w:rPr>
              <w:t>314,849</w:t>
            </w:r>
          </w:p>
        </w:tc>
        <w:tc>
          <w:tcPr>
            <w:tcW w:w="0" w:type="dxa"/>
            <w:vAlign w:val="bottom"/>
          </w:tcPr>
          <w:p>
            <w:pPr>
              <w:spacing w:after="0"/>
              <w:rPr>
                <w:sz w:val="1"/>
                <w:szCs w:val="1"/>
                <w:color w:val="auto"/>
              </w:rPr>
            </w:pPr>
          </w:p>
        </w:tc>
      </w:tr>
      <w:tr>
        <w:trPr>
          <w:trHeight w:val="28"/>
        </w:trPr>
        <w:tc>
          <w:tcPr>
            <w:tcW w:w="28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Paul E. Jacobs</w:t>
            </w:r>
          </w:p>
        </w:tc>
        <w:tc>
          <w:tcPr>
            <w:tcW w:w="2780" w:type="dxa"/>
            <w:vAlign w:val="bottom"/>
            <w:tcBorders>
              <w:bottom w:val="single" w:sz="8" w:color="F2F2F2"/>
            </w:tcBorders>
            <w:shd w:val="clear" w:color="auto" w:fill="F2F2F2"/>
          </w:tcPr>
          <w:p>
            <w:pPr>
              <w:jc w:val="center"/>
              <w:ind w:left="979"/>
              <w:spacing w:after="0"/>
              <w:rPr>
                <w:sz w:val="20"/>
                <w:szCs w:val="20"/>
                <w:color w:val="auto"/>
              </w:rPr>
            </w:pPr>
            <w:r>
              <w:rPr>
                <w:rFonts w:ascii="Arial" w:cs="Arial" w:eastAsia="Arial" w:hAnsi="Arial"/>
                <w:sz w:val="16"/>
                <w:szCs w:val="16"/>
                <w:color w:val="auto"/>
                <w:w w:val="98"/>
              </w:rPr>
              <w:t>65,000</w:t>
            </w:r>
          </w:p>
        </w:tc>
        <w:tc>
          <w:tcPr>
            <w:tcW w:w="1440" w:type="dxa"/>
            <w:vAlign w:val="bottom"/>
            <w:tcBorders>
              <w:bottom w:val="single" w:sz="8" w:color="F2F2F2"/>
            </w:tcBorders>
            <w:shd w:val="clear" w:color="auto" w:fill="F2F2F2"/>
          </w:tcPr>
          <w:p>
            <w:pPr>
              <w:jc w:val="right"/>
              <w:ind w:right="219"/>
              <w:spacing w:after="0"/>
              <w:rPr>
                <w:sz w:val="20"/>
                <w:szCs w:val="20"/>
                <w:color w:val="auto"/>
              </w:rPr>
            </w:pPr>
            <w:r>
              <w:rPr>
                <w:rFonts w:ascii="Arial" w:cs="Arial" w:eastAsia="Arial" w:hAnsi="Arial"/>
                <w:sz w:val="16"/>
                <w:szCs w:val="16"/>
                <w:color w:val="auto"/>
              </w:rPr>
              <w:t>247,349</w:t>
            </w:r>
          </w:p>
        </w:tc>
        <w:tc>
          <w:tcPr>
            <w:tcW w:w="920" w:type="dxa"/>
            <w:vAlign w:val="bottom"/>
            <w:tcBorders>
              <w:bottom w:val="single" w:sz="8" w:color="F2F2F2"/>
            </w:tcBorders>
            <w:shd w:val="clear" w:color="auto" w:fill="F2F2F2"/>
          </w:tcPr>
          <w:p>
            <w:pPr>
              <w:spacing w:after="0"/>
              <w:rPr>
                <w:sz w:val="19"/>
                <w:szCs w:val="19"/>
                <w:color w:val="auto"/>
              </w:rPr>
            </w:pPr>
          </w:p>
        </w:tc>
        <w:tc>
          <w:tcPr>
            <w:tcW w:w="1360" w:type="dxa"/>
            <w:vAlign w:val="bottom"/>
            <w:tcBorders>
              <w:bottom w:val="single" w:sz="8" w:color="F2F2F2"/>
            </w:tcBorders>
            <w:shd w:val="clear" w:color="auto" w:fill="F2F2F2"/>
          </w:tcPr>
          <w:p>
            <w:pPr>
              <w:ind w:left="46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F2F2F2"/>
            </w:tcBorders>
            <w:shd w:val="clear" w:color="auto" w:fill="F2F2F2"/>
          </w:tcPr>
          <w:p>
            <w:pPr>
              <w:jc w:val="right"/>
              <w:ind w:right="539"/>
              <w:spacing w:after="0"/>
              <w:rPr>
                <w:sz w:val="20"/>
                <w:szCs w:val="20"/>
                <w:color w:val="auto"/>
              </w:rPr>
            </w:pPr>
            <w:r>
              <w:rPr>
                <w:rFonts w:ascii="Arial" w:cs="Arial" w:eastAsia="Arial" w:hAnsi="Arial"/>
                <w:sz w:val="16"/>
                <w:szCs w:val="16"/>
                <w:color w:val="auto"/>
              </w:rPr>
              <w:t>312,349</w:t>
            </w:r>
          </w:p>
        </w:tc>
        <w:tc>
          <w:tcPr>
            <w:tcW w:w="0" w:type="dxa"/>
            <w:vAlign w:val="bottom"/>
          </w:tcPr>
          <w:p>
            <w:pPr>
              <w:spacing w:after="0"/>
              <w:rPr>
                <w:sz w:val="1"/>
                <w:szCs w:val="1"/>
                <w:color w:val="auto"/>
              </w:rPr>
            </w:pPr>
          </w:p>
        </w:tc>
      </w:tr>
      <w:tr>
        <w:trPr>
          <w:trHeight w:val="215"/>
        </w:trPr>
        <w:tc>
          <w:tcPr>
            <w:tcW w:w="2820" w:type="dxa"/>
            <w:vAlign w:val="bottom"/>
          </w:tcPr>
          <w:p>
            <w:pPr>
              <w:ind w:left="60"/>
              <w:spacing w:after="0"/>
              <w:rPr>
                <w:sz w:val="20"/>
                <w:szCs w:val="20"/>
                <w:color w:val="auto"/>
              </w:rPr>
            </w:pPr>
            <w:r>
              <w:rPr>
                <w:rFonts w:ascii="Arial" w:cs="Arial" w:eastAsia="Arial" w:hAnsi="Arial"/>
                <w:sz w:val="16"/>
                <w:szCs w:val="16"/>
                <w:color w:val="auto"/>
              </w:rPr>
              <w:t>Sara Mathew</w:t>
            </w:r>
          </w:p>
        </w:tc>
        <w:tc>
          <w:tcPr>
            <w:tcW w:w="2780" w:type="dxa"/>
            <w:vAlign w:val="bottom"/>
          </w:tcPr>
          <w:p>
            <w:pPr>
              <w:jc w:val="center"/>
              <w:ind w:left="979"/>
              <w:spacing w:after="0"/>
              <w:rPr>
                <w:sz w:val="20"/>
                <w:szCs w:val="20"/>
                <w:color w:val="auto"/>
              </w:rPr>
            </w:pPr>
            <w:r>
              <w:rPr>
                <w:rFonts w:ascii="Arial" w:cs="Arial" w:eastAsia="Arial" w:hAnsi="Arial"/>
                <w:sz w:val="16"/>
                <w:szCs w:val="16"/>
                <w:color w:val="auto"/>
                <w:w w:val="98"/>
              </w:rPr>
              <w:t>86,192</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247,349</w:t>
            </w:r>
          </w:p>
        </w:tc>
        <w:tc>
          <w:tcPr>
            <w:tcW w:w="920" w:type="dxa"/>
            <w:vAlign w:val="bottom"/>
          </w:tcPr>
          <w:p>
            <w:pPr>
              <w:spacing w:after="0"/>
              <w:rPr>
                <w:sz w:val="18"/>
                <w:szCs w:val="18"/>
                <w:color w:val="auto"/>
              </w:rPr>
            </w:pPr>
          </w:p>
        </w:tc>
        <w:tc>
          <w:tcPr>
            <w:tcW w:w="1360" w:type="dxa"/>
            <w:vAlign w:val="bottom"/>
          </w:tcPr>
          <w:p>
            <w:pPr>
              <w:ind w:left="46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539"/>
              <w:spacing w:after="0"/>
              <w:rPr>
                <w:sz w:val="20"/>
                <w:szCs w:val="20"/>
                <w:color w:val="auto"/>
              </w:rPr>
            </w:pPr>
            <w:r>
              <w:rPr>
                <w:rFonts w:ascii="Arial" w:cs="Arial" w:eastAsia="Arial" w:hAnsi="Arial"/>
                <w:sz w:val="16"/>
                <w:szCs w:val="16"/>
                <w:color w:val="auto"/>
              </w:rPr>
              <w:t>333,541</w:t>
            </w:r>
          </w:p>
        </w:tc>
        <w:tc>
          <w:tcPr>
            <w:tcW w:w="0" w:type="dxa"/>
            <w:vAlign w:val="bottom"/>
          </w:tcPr>
          <w:p>
            <w:pPr>
              <w:spacing w:after="0"/>
              <w:rPr>
                <w:sz w:val="1"/>
                <w:szCs w:val="1"/>
                <w:color w:val="auto"/>
              </w:rPr>
            </w:pPr>
          </w:p>
        </w:tc>
      </w:tr>
      <w:tr>
        <w:trPr>
          <w:trHeight w:val="28"/>
        </w:trPr>
        <w:tc>
          <w:tcPr>
            <w:tcW w:w="28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2820" w:type="dxa"/>
            <w:vAlign w:val="bottom"/>
            <w:vMerge w:val="restart"/>
            <w:shd w:val="clear" w:color="auto" w:fill="F2F2F2"/>
          </w:tcPr>
          <w:p>
            <w:pPr>
              <w:ind w:left="60"/>
              <w:spacing w:after="0"/>
              <w:rPr>
                <w:sz w:val="20"/>
                <w:szCs w:val="20"/>
                <w:color w:val="auto"/>
              </w:rPr>
            </w:pPr>
            <w:r>
              <w:rPr>
                <w:rFonts w:ascii="Arial" w:cs="Arial" w:eastAsia="Arial" w:hAnsi="Arial"/>
                <w:sz w:val="16"/>
                <w:szCs w:val="16"/>
                <w:color w:val="auto"/>
              </w:rPr>
              <w:t>Andrew Moore</w:t>
            </w:r>
          </w:p>
        </w:tc>
        <w:tc>
          <w:tcPr>
            <w:tcW w:w="2780" w:type="dxa"/>
            <w:vAlign w:val="bottom"/>
            <w:vMerge w:val="restart"/>
            <w:shd w:val="clear" w:color="auto" w:fill="F2F2F2"/>
          </w:tcPr>
          <w:p>
            <w:pPr>
              <w:jc w:val="center"/>
              <w:ind w:left="979"/>
              <w:spacing w:after="0"/>
              <w:rPr>
                <w:sz w:val="20"/>
                <w:szCs w:val="20"/>
                <w:color w:val="auto"/>
              </w:rPr>
            </w:pPr>
            <w:r>
              <w:rPr>
                <w:rFonts w:ascii="Arial" w:cs="Arial" w:eastAsia="Arial" w:hAnsi="Arial"/>
                <w:sz w:val="16"/>
                <w:szCs w:val="16"/>
                <w:color w:val="auto"/>
                <w:w w:val="99"/>
              </w:rPr>
              <w:t>—</w:t>
            </w:r>
          </w:p>
        </w:tc>
        <w:tc>
          <w:tcPr>
            <w:tcW w:w="1440" w:type="dxa"/>
            <w:vAlign w:val="bottom"/>
            <w:vMerge w:val="restart"/>
            <w:shd w:val="clear" w:color="auto" w:fill="F2F2F2"/>
          </w:tcPr>
          <w:p>
            <w:pPr>
              <w:jc w:val="right"/>
              <w:ind w:right="219"/>
              <w:spacing w:after="0"/>
              <w:rPr>
                <w:sz w:val="20"/>
                <w:szCs w:val="20"/>
                <w:color w:val="auto"/>
              </w:rPr>
            </w:pPr>
            <w:r>
              <w:rPr>
                <w:rFonts w:ascii="Arial" w:cs="Arial" w:eastAsia="Arial" w:hAnsi="Arial"/>
                <w:sz w:val="16"/>
                <w:szCs w:val="16"/>
                <w:color w:val="auto"/>
              </w:rPr>
              <w:t>104,167</w:t>
            </w:r>
          </w:p>
        </w:tc>
        <w:tc>
          <w:tcPr>
            <w:tcW w:w="920" w:type="dxa"/>
            <w:vAlign w:val="bottom"/>
            <w:shd w:val="clear" w:color="auto" w:fill="F2F2F2"/>
          </w:tcPr>
          <w:p>
            <w:pPr>
              <w:jc w:val="right"/>
              <w:ind w:right="427"/>
              <w:spacing w:after="0"/>
              <w:rPr>
                <w:sz w:val="20"/>
                <w:szCs w:val="20"/>
                <w:color w:val="auto"/>
              </w:rPr>
            </w:pPr>
            <w:r>
              <w:rPr>
                <w:rFonts w:ascii="Arial" w:cs="Arial" w:eastAsia="Arial" w:hAnsi="Arial"/>
                <w:sz w:val="11"/>
                <w:szCs w:val="11"/>
                <w:color w:val="auto"/>
              </w:rPr>
              <w:t>(3)</w:t>
            </w:r>
          </w:p>
        </w:tc>
        <w:tc>
          <w:tcPr>
            <w:tcW w:w="1360" w:type="dxa"/>
            <w:vAlign w:val="bottom"/>
            <w:vMerge w:val="restart"/>
            <w:shd w:val="clear" w:color="auto" w:fill="F2F2F2"/>
          </w:tcPr>
          <w:p>
            <w:pPr>
              <w:ind w:left="460"/>
              <w:spacing w:after="0"/>
              <w:rPr>
                <w:sz w:val="20"/>
                <w:szCs w:val="20"/>
                <w:color w:val="auto"/>
              </w:rPr>
            </w:pPr>
            <w:r>
              <w:rPr>
                <w:rFonts w:ascii="Arial" w:cs="Arial" w:eastAsia="Arial" w:hAnsi="Arial"/>
                <w:sz w:val="16"/>
                <w:szCs w:val="16"/>
                <w:color w:val="auto"/>
              </w:rPr>
              <w:t>—</w:t>
            </w:r>
          </w:p>
        </w:tc>
        <w:tc>
          <w:tcPr>
            <w:tcW w:w="1920" w:type="dxa"/>
            <w:vAlign w:val="bottom"/>
            <w:vMerge w:val="restart"/>
            <w:shd w:val="clear" w:color="auto" w:fill="F2F2F2"/>
          </w:tcPr>
          <w:p>
            <w:pPr>
              <w:jc w:val="right"/>
              <w:ind w:right="539"/>
              <w:spacing w:after="0"/>
              <w:rPr>
                <w:sz w:val="20"/>
                <w:szCs w:val="20"/>
                <w:color w:val="auto"/>
              </w:rPr>
            </w:pPr>
            <w:r>
              <w:rPr>
                <w:rFonts w:ascii="Arial" w:cs="Arial" w:eastAsia="Arial" w:hAnsi="Arial"/>
                <w:sz w:val="16"/>
                <w:szCs w:val="16"/>
                <w:color w:val="auto"/>
              </w:rPr>
              <w:t>104,167</w:t>
            </w:r>
          </w:p>
        </w:tc>
        <w:tc>
          <w:tcPr>
            <w:tcW w:w="0" w:type="dxa"/>
            <w:vAlign w:val="bottom"/>
          </w:tcPr>
          <w:p>
            <w:pPr>
              <w:spacing w:after="0"/>
              <w:rPr>
                <w:sz w:val="1"/>
                <w:szCs w:val="1"/>
                <w:color w:val="auto"/>
              </w:rPr>
            </w:pPr>
          </w:p>
        </w:tc>
      </w:tr>
      <w:tr>
        <w:trPr>
          <w:trHeight w:val="84"/>
        </w:trPr>
        <w:tc>
          <w:tcPr>
            <w:tcW w:w="2820" w:type="dxa"/>
            <w:vAlign w:val="bottom"/>
            <w:tcBorders>
              <w:bottom w:val="single" w:sz="8" w:color="F2F2F2"/>
            </w:tcBorders>
            <w:vMerge w:val="continue"/>
            <w:shd w:val="clear" w:color="auto" w:fill="F2F2F2"/>
          </w:tcPr>
          <w:p>
            <w:pPr>
              <w:spacing w:after="0"/>
              <w:rPr>
                <w:sz w:val="7"/>
                <w:szCs w:val="7"/>
                <w:color w:val="auto"/>
              </w:rPr>
            </w:pPr>
          </w:p>
        </w:tc>
        <w:tc>
          <w:tcPr>
            <w:tcW w:w="2780" w:type="dxa"/>
            <w:vAlign w:val="bottom"/>
            <w:tcBorders>
              <w:bottom w:val="single" w:sz="8" w:color="F2F2F2"/>
            </w:tcBorders>
            <w:vMerge w:val="continue"/>
            <w:shd w:val="clear" w:color="auto" w:fill="F2F2F2"/>
          </w:tcPr>
          <w:p>
            <w:pPr>
              <w:spacing w:after="0"/>
              <w:rPr>
                <w:sz w:val="7"/>
                <w:szCs w:val="7"/>
                <w:color w:val="auto"/>
              </w:rPr>
            </w:pPr>
          </w:p>
        </w:tc>
        <w:tc>
          <w:tcPr>
            <w:tcW w:w="1440" w:type="dxa"/>
            <w:vAlign w:val="bottom"/>
            <w:tcBorders>
              <w:bottom w:val="single" w:sz="8" w:color="F2F2F2"/>
            </w:tcBorders>
            <w:vMerge w:val="continue"/>
            <w:shd w:val="clear" w:color="auto" w:fill="F2F2F2"/>
          </w:tcPr>
          <w:p>
            <w:pPr>
              <w:spacing w:after="0"/>
              <w:rPr>
                <w:sz w:val="7"/>
                <w:szCs w:val="7"/>
                <w:color w:val="auto"/>
              </w:rPr>
            </w:pPr>
          </w:p>
        </w:tc>
        <w:tc>
          <w:tcPr>
            <w:tcW w:w="920" w:type="dxa"/>
            <w:vAlign w:val="bottom"/>
            <w:tcBorders>
              <w:bottom w:val="single" w:sz="8" w:color="F2F2F2"/>
            </w:tcBorders>
            <w:shd w:val="clear" w:color="auto" w:fill="F2F2F2"/>
          </w:tcPr>
          <w:p>
            <w:pPr>
              <w:spacing w:after="0"/>
              <w:rPr>
                <w:sz w:val="7"/>
                <w:szCs w:val="7"/>
                <w:color w:val="auto"/>
              </w:rPr>
            </w:pPr>
          </w:p>
        </w:tc>
        <w:tc>
          <w:tcPr>
            <w:tcW w:w="1360" w:type="dxa"/>
            <w:vAlign w:val="bottom"/>
            <w:tcBorders>
              <w:bottom w:val="single" w:sz="8" w:color="F2F2F2"/>
            </w:tcBorders>
            <w:vMerge w:val="continue"/>
            <w:shd w:val="clear" w:color="auto" w:fill="F2F2F2"/>
          </w:tcPr>
          <w:p>
            <w:pPr>
              <w:spacing w:after="0"/>
              <w:rPr>
                <w:sz w:val="7"/>
                <w:szCs w:val="7"/>
                <w:color w:val="auto"/>
              </w:rPr>
            </w:pPr>
          </w:p>
        </w:tc>
        <w:tc>
          <w:tcPr>
            <w:tcW w:w="1920" w:type="dxa"/>
            <w:vAlign w:val="bottom"/>
            <w:tcBorders>
              <w:bottom w:val="single" w:sz="8" w:color="F2F2F2"/>
            </w:tcBorders>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60"/>
              <w:spacing w:after="0"/>
              <w:rPr>
                <w:sz w:val="20"/>
                <w:szCs w:val="20"/>
                <w:color w:val="auto"/>
              </w:rPr>
            </w:pPr>
            <w:r>
              <w:rPr>
                <w:rFonts w:ascii="Arial" w:cs="Arial" w:eastAsia="Arial" w:hAnsi="Arial"/>
                <w:sz w:val="16"/>
                <w:szCs w:val="16"/>
                <w:color w:val="auto"/>
              </w:rPr>
              <w:t>Abhay Parasnis</w:t>
            </w:r>
          </w:p>
        </w:tc>
        <w:tc>
          <w:tcPr>
            <w:tcW w:w="2780" w:type="dxa"/>
            <w:vAlign w:val="bottom"/>
          </w:tcPr>
          <w:p>
            <w:pPr>
              <w:jc w:val="center"/>
              <w:ind w:left="979"/>
              <w:spacing w:after="0"/>
              <w:rPr>
                <w:sz w:val="20"/>
                <w:szCs w:val="20"/>
                <w:color w:val="auto"/>
              </w:rPr>
            </w:pPr>
            <w:r>
              <w:rPr>
                <w:rFonts w:ascii="Arial" w:cs="Arial" w:eastAsia="Arial" w:hAnsi="Arial"/>
                <w:sz w:val="16"/>
                <w:szCs w:val="16"/>
                <w:color w:val="auto"/>
                <w:w w:val="98"/>
              </w:rPr>
              <w:t>60,000</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247,349</w:t>
            </w:r>
          </w:p>
        </w:tc>
        <w:tc>
          <w:tcPr>
            <w:tcW w:w="920" w:type="dxa"/>
            <w:vAlign w:val="bottom"/>
          </w:tcPr>
          <w:p>
            <w:pPr>
              <w:spacing w:after="0"/>
              <w:rPr>
                <w:sz w:val="18"/>
                <w:szCs w:val="18"/>
                <w:color w:val="auto"/>
              </w:rPr>
            </w:pPr>
          </w:p>
        </w:tc>
        <w:tc>
          <w:tcPr>
            <w:tcW w:w="1360" w:type="dxa"/>
            <w:vAlign w:val="bottom"/>
          </w:tcPr>
          <w:p>
            <w:pPr>
              <w:ind w:left="46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539"/>
              <w:spacing w:after="0"/>
              <w:rPr>
                <w:sz w:val="20"/>
                <w:szCs w:val="20"/>
                <w:color w:val="auto"/>
              </w:rPr>
            </w:pPr>
            <w:r>
              <w:rPr>
                <w:rFonts w:ascii="Arial" w:cs="Arial" w:eastAsia="Arial" w:hAnsi="Arial"/>
                <w:sz w:val="16"/>
                <w:szCs w:val="16"/>
                <w:color w:val="auto"/>
              </w:rPr>
              <w:t>307,349</w:t>
            </w:r>
          </w:p>
        </w:tc>
        <w:tc>
          <w:tcPr>
            <w:tcW w:w="0" w:type="dxa"/>
            <w:vAlign w:val="bottom"/>
          </w:tcPr>
          <w:p>
            <w:pPr>
              <w:spacing w:after="0"/>
              <w:rPr>
                <w:sz w:val="1"/>
                <w:szCs w:val="1"/>
                <w:color w:val="auto"/>
              </w:rPr>
            </w:pPr>
          </w:p>
        </w:tc>
      </w:tr>
      <w:tr>
        <w:trPr>
          <w:trHeight w:val="28"/>
        </w:trPr>
        <w:tc>
          <w:tcPr>
            <w:tcW w:w="28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Karen Peacock</w:t>
            </w:r>
          </w:p>
        </w:tc>
        <w:tc>
          <w:tcPr>
            <w:tcW w:w="2780" w:type="dxa"/>
            <w:vAlign w:val="bottom"/>
            <w:tcBorders>
              <w:bottom w:val="single" w:sz="8" w:color="F2F2F2"/>
            </w:tcBorders>
            <w:shd w:val="clear" w:color="auto" w:fill="F2F2F2"/>
          </w:tcPr>
          <w:p>
            <w:pPr>
              <w:jc w:val="center"/>
              <w:ind w:left="979"/>
              <w:spacing w:after="0"/>
              <w:rPr>
                <w:sz w:val="20"/>
                <w:szCs w:val="20"/>
                <w:color w:val="auto"/>
              </w:rPr>
            </w:pPr>
            <w:r>
              <w:rPr>
                <w:rFonts w:ascii="Arial" w:cs="Arial" w:eastAsia="Arial" w:hAnsi="Arial"/>
                <w:sz w:val="16"/>
                <w:szCs w:val="16"/>
                <w:color w:val="auto"/>
                <w:w w:val="98"/>
              </w:rPr>
              <w:t>62,500</w:t>
            </w:r>
          </w:p>
        </w:tc>
        <w:tc>
          <w:tcPr>
            <w:tcW w:w="1440" w:type="dxa"/>
            <w:vAlign w:val="bottom"/>
            <w:tcBorders>
              <w:bottom w:val="single" w:sz="8" w:color="F2F2F2"/>
            </w:tcBorders>
            <w:shd w:val="clear" w:color="auto" w:fill="F2F2F2"/>
          </w:tcPr>
          <w:p>
            <w:pPr>
              <w:jc w:val="right"/>
              <w:ind w:right="219"/>
              <w:spacing w:after="0"/>
              <w:rPr>
                <w:sz w:val="20"/>
                <w:szCs w:val="20"/>
                <w:color w:val="auto"/>
              </w:rPr>
            </w:pPr>
            <w:r>
              <w:rPr>
                <w:rFonts w:ascii="Arial" w:cs="Arial" w:eastAsia="Arial" w:hAnsi="Arial"/>
                <w:sz w:val="16"/>
                <w:szCs w:val="16"/>
                <w:color w:val="auto"/>
              </w:rPr>
              <w:t>247,349</w:t>
            </w:r>
          </w:p>
        </w:tc>
        <w:tc>
          <w:tcPr>
            <w:tcW w:w="920" w:type="dxa"/>
            <w:vAlign w:val="bottom"/>
            <w:tcBorders>
              <w:bottom w:val="single" w:sz="8" w:color="F2F2F2"/>
            </w:tcBorders>
            <w:shd w:val="clear" w:color="auto" w:fill="F2F2F2"/>
          </w:tcPr>
          <w:p>
            <w:pPr>
              <w:spacing w:after="0"/>
              <w:rPr>
                <w:sz w:val="19"/>
                <w:szCs w:val="19"/>
                <w:color w:val="auto"/>
              </w:rPr>
            </w:pPr>
          </w:p>
        </w:tc>
        <w:tc>
          <w:tcPr>
            <w:tcW w:w="1360" w:type="dxa"/>
            <w:vAlign w:val="bottom"/>
            <w:tcBorders>
              <w:bottom w:val="single" w:sz="8" w:color="F2F2F2"/>
            </w:tcBorders>
            <w:shd w:val="clear" w:color="auto" w:fill="F2F2F2"/>
          </w:tcPr>
          <w:p>
            <w:pPr>
              <w:ind w:left="460"/>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F2F2F2"/>
            </w:tcBorders>
            <w:shd w:val="clear" w:color="auto" w:fill="F2F2F2"/>
          </w:tcPr>
          <w:p>
            <w:pPr>
              <w:jc w:val="right"/>
              <w:ind w:right="539"/>
              <w:spacing w:after="0"/>
              <w:rPr>
                <w:sz w:val="20"/>
                <w:szCs w:val="20"/>
                <w:color w:val="auto"/>
              </w:rPr>
            </w:pPr>
            <w:r>
              <w:rPr>
                <w:rFonts w:ascii="Arial" w:cs="Arial" w:eastAsia="Arial" w:hAnsi="Arial"/>
                <w:sz w:val="16"/>
                <w:szCs w:val="16"/>
                <w:color w:val="auto"/>
              </w:rPr>
              <w:t>309,849</w:t>
            </w:r>
          </w:p>
        </w:tc>
        <w:tc>
          <w:tcPr>
            <w:tcW w:w="0" w:type="dxa"/>
            <w:vAlign w:val="bottom"/>
          </w:tcPr>
          <w:p>
            <w:pPr>
              <w:spacing w:after="0"/>
              <w:rPr>
                <w:sz w:val="1"/>
                <w:szCs w:val="1"/>
                <w:color w:val="auto"/>
              </w:rPr>
            </w:pPr>
          </w:p>
        </w:tc>
      </w:tr>
      <w:tr>
        <w:trPr>
          <w:trHeight w:val="215"/>
        </w:trPr>
        <w:tc>
          <w:tcPr>
            <w:tcW w:w="2820" w:type="dxa"/>
            <w:vAlign w:val="bottom"/>
          </w:tcPr>
          <w:p>
            <w:pPr>
              <w:ind w:left="60"/>
              <w:spacing w:after="0"/>
              <w:rPr>
                <w:sz w:val="20"/>
                <w:szCs w:val="20"/>
                <w:color w:val="auto"/>
              </w:rPr>
            </w:pPr>
            <w:r>
              <w:rPr>
                <w:rFonts w:ascii="Arial" w:cs="Arial" w:eastAsia="Arial" w:hAnsi="Arial"/>
                <w:sz w:val="16"/>
                <w:szCs w:val="16"/>
                <w:color w:val="auto"/>
              </w:rPr>
              <w:t>Michael Seibel</w:t>
            </w:r>
          </w:p>
        </w:tc>
        <w:tc>
          <w:tcPr>
            <w:tcW w:w="2780" w:type="dxa"/>
            <w:vAlign w:val="bottom"/>
          </w:tcPr>
          <w:p>
            <w:pPr>
              <w:jc w:val="center"/>
              <w:ind w:left="979"/>
              <w:spacing w:after="0"/>
              <w:rPr>
                <w:sz w:val="20"/>
                <w:szCs w:val="20"/>
                <w:color w:val="auto"/>
              </w:rPr>
            </w:pPr>
            <w:r>
              <w:rPr>
                <w:rFonts w:ascii="Arial" w:cs="Arial" w:eastAsia="Arial" w:hAnsi="Arial"/>
                <w:sz w:val="16"/>
                <w:szCs w:val="16"/>
                <w:color w:val="auto"/>
                <w:w w:val="98"/>
              </w:rPr>
              <w:t>60,000</w:t>
            </w:r>
          </w:p>
        </w:tc>
        <w:tc>
          <w:tcPr>
            <w:tcW w:w="1440" w:type="dxa"/>
            <w:vAlign w:val="bottom"/>
          </w:tcPr>
          <w:p>
            <w:pPr>
              <w:jc w:val="right"/>
              <w:ind w:right="219"/>
              <w:spacing w:after="0"/>
              <w:rPr>
                <w:sz w:val="20"/>
                <w:szCs w:val="20"/>
                <w:color w:val="auto"/>
              </w:rPr>
            </w:pPr>
            <w:r>
              <w:rPr>
                <w:rFonts w:ascii="Arial" w:cs="Arial" w:eastAsia="Arial" w:hAnsi="Arial"/>
                <w:sz w:val="16"/>
                <w:szCs w:val="16"/>
                <w:color w:val="auto"/>
              </w:rPr>
              <w:t>247,349</w:t>
            </w:r>
          </w:p>
        </w:tc>
        <w:tc>
          <w:tcPr>
            <w:tcW w:w="920" w:type="dxa"/>
            <w:vAlign w:val="bottom"/>
          </w:tcPr>
          <w:p>
            <w:pPr>
              <w:spacing w:after="0"/>
              <w:rPr>
                <w:sz w:val="18"/>
                <w:szCs w:val="18"/>
                <w:color w:val="auto"/>
              </w:rPr>
            </w:pPr>
          </w:p>
        </w:tc>
        <w:tc>
          <w:tcPr>
            <w:tcW w:w="1360" w:type="dxa"/>
            <w:vAlign w:val="bottom"/>
          </w:tcPr>
          <w:p>
            <w:pPr>
              <w:ind w:left="46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539"/>
              <w:spacing w:after="0"/>
              <w:rPr>
                <w:sz w:val="20"/>
                <w:szCs w:val="20"/>
                <w:color w:val="auto"/>
              </w:rPr>
            </w:pPr>
            <w:r>
              <w:rPr>
                <w:rFonts w:ascii="Arial" w:cs="Arial" w:eastAsia="Arial" w:hAnsi="Arial"/>
                <w:sz w:val="16"/>
                <w:szCs w:val="16"/>
                <w:color w:val="auto"/>
              </w:rPr>
              <w:t>307,349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-290195</wp:posOffset>
            </wp:positionV>
            <wp:extent cx="1714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-290195</wp:posOffset>
            </wp:positionV>
            <wp:extent cx="17145"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-290195</wp:posOffset>
            </wp:positionV>
            <wp:extent cx="1714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-290195</wp:posOffset>
            </wp:positionV>
            <wp:extent cx="1714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-598805</wp:posOffset>
            </wp:positionV>
            <wp:extent cx="1714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-598805</wp:posOffset>
            </wp:positionV>
            <wp:extent cx="1714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-598805</wp:posOffset>
            </wp:positionV>
            <wp:extent cx="1714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-598805</wp:posOffset>
            </wp:positionV>
            <wp:extent cx="1714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-907415</wp:posOffset>
            </wp:positionV>
            <wp:extent cx="17145"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-907415</wp:posOffset>
            </wp:positionV>
            <wp:extent cx="17145"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-907415</wp:posOffset>
            </wp:positionV>
            <wp:extent cx="17145"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-907415</wp:posOffset>
            </wp:positionV>
            <wp:extent cx="17145"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51"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Amounts shown do not reflect compensation actually received by the director, and there can be no assurance that these amounts will ever be realized by the non-employee</w:t>
      </w:r>
    </w:p>
    <w:p>
      <w:pPr>
        <w:ind w:left="340"/>
        <w:spacing w:after="0" w:line="221" w:lineRule="auto"/>
        <w:rPr>
          <w:sz w:val="20"/>
          <w:szCs w:val="20"/>
          <w:color w:val="auto"/>
        </w:rPr>
      </w:pPr>
      <w:r>
        <w:rPr>
          <w:rFonts w:ascii="Arial" w:cs="Arial" w:eastAsia="Arial" w:hAnsi="Arial"/>
          <w:sz w:val="14"/>
          <w:szCs w:val="14"/>
          <w:color w:val="auto"/>
        </w:rPr>
        <w:t>directors. Instead, the amount shown is the grant date fair value of the RSU awards granted in fiscal 2023 computed in accordance with ASC Topic 718 — Compensation</w:t>
      </w:r>
    </w:p>
    <w:p>
      <w:pPr>
        <w:ind w:left="340" w:right="120"/>
        <w:spacing w:after="0" w:line="248" w:lineRule="auto"/>
        <w:rPr>
          <w:sz w:val="20"/>
          <w:szCs w:val="20"/>
          <w:color w:val="auto"/>
        </w:rPr>
      </w:pPr>
      <w:r>
        <w:rPr>
          <w:rFonts w:ascii="Arial" w:cs="Arial" w:eastAsia="Arial" w:hAnsi="Arial"/>
          <w:sz w:val="14"/>
          <w:szCs w:val="14"/>
          <w:color w:val="auto"/>
        </w:rPr>
        <w:t>— Stock Compensation (“</w:t>
      </w:r>
      <w:r>
        <w:rPr>
          <w:rFonts w:ascii="Arial" w:cs="Arial" w:eastAsia="Arial" w:hAnsi="Arial"/>
          <w:sz w:val="14"/>
          <w:szCs w:val="14"/>
          <w:b w:val="1"/>
          <w:bCs w:val="1"/>
          <w:i w:val="1"/>
          <w:iCs w:val="1"/>
          <w:color w:val="auto"/>
        </w:rPr>
        <w:t>ASC Topic 718</w:t>
      </w:r>
      <w:r>
        <w:rPr>
          <w:rFonts w:ascii="Arial" w:cs="Arial" w:eastAsia="Arial" w:hAnsi="Arial"/>
          <w:sz w:val="14"/>
          <w:szCs w:val="14"/>
          <w:color w:val="auto"/>
        </w:rPr>
        <w:t>”), disregarding forfeiture assumptions. The grant date fair value of the RSU awards is based on the closing price for a share of our Class A common stock as reported by Nasdaq on the day immediately preceding the grant date. Unless otherwise described in the footnotes below, the grant date fair value of the RSU awards is $22.33, which represents the closing price for a share of our Class A common stock as reported by Nasdaq on May 17, 2023.</w:t>
      </w:r>
    </w:p>
    <w:p>
      <w:pPr>
        <w:spacing w:after="0" w:line="1" w:lineRule="exact"/>
        <w:rPr>
          <w:sz w:val="20"/>
          <w:szCs w:val="20"/>
          <w:color w:val="auto"/>
        </w:rPr>
      </w:pPr>
    </w:p>
    <w:p>
      <w:pPr>
        <w:ind w:left="340" w:right="420" w:hanging="332"/>
        <w:spacing w:after="0" w:line="221" w:lineRule="auto"/>
        <w:tabs>
          <w:tab w:leader="none" w:pos="333"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100% of the shares of our Class A common stock underlying the RSUs vest on May 18, 2024 or the day before the next annual meeting of our stockholders, if earlier, subject to the director’s continued service with us. See “</w:t>
      </w:r>
      <w:r>
        <w:rPr>
          <w:rFonts w:ascii="Arial" w:cs="Arial" w:eastAsia="Arial" w:hAnsi="Arial"/>
          <w:sz w:val="14"/>
          <w:szCs w:val="14"/>
          <w:i w:val="1"/>
          <w:iCs w:val="1"/>
          <w:color w:val="auto"/>
        </w:rPr>
        <w:t>Director Compensation</w:t>
      </w:r>
      <w:r>
        <w:rPr>
          <w:rFonts w:ascii="Arial" w:cs="Arial" w:eastAsia="Arial" w:hAnsi="Arial"/>
          <w:sz w:val="14"/>
          <w:szCs w:val="14"/>
          <w:color w:val="auto"/>
        </w:rPr>
        <w:t>” above.</w:t>
      </w:r>
    </w:p>
    <w:p>
      <w:pPr>
        <w:ind w:left="340" w:right="80" w:hanging="332"/>
        <w:spacing w:after="0" w:line="213" w:lineRule="auto"/>
        <w:tabs>
          <w:tab w:leader="none" w:pos="333"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Dr. Moore's Initial Award was granted on December 13, 2023. The grant date fair value of his Initial Award is based on a price of $28.72, which represents the closing price for a share of our Class A common stock as reported by Nasdaq on December 12, 2023.</w:t>
      </w:r>
    </w:p>
    <w:p>
      <w:pPr>
        <w:spacing w:after="0" w:line="200" w:lineRule="exact"/>
        <w:rPr>
          <w:sz w:val="20"/>
          <w:szCs w:val="20"/>
          <w:color w:val="auto"/>
        </w:rPr>
      </w:pPr>
    </w:p>
    <w:p>
      <w:pPr>
        <w:spacing w:after="0" w:line="313" w:lineRule="exact"/>
        <w:rPr>
          <w:sz w:val="20"/>
          <w:szCs w:val="20"/>
          <w:color w:val="auto"/>
        </w:rPr>
      </w:pPr>
    </w:p>
    <w:p>
      <w:pPr>
        <w:ind w:left="580" w:hanging="554"/>
        <w:spacing w:after="0"/>
        <w:tabs>
          <w:tab w:leader="none" w:pos="58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0" w:lineRule="exact"/>
        <w:rPr>
          <w:sz w:val="20"/>
          <w:szCs w:val="20"/>
          <w:color w:val="auto"/>
        </w:rPr>
      </w:pPr>
    </w:p>
    <w:p>
      <w:pPr>
        <w:ind w:right="2760"/>
        <w:spacing w:after="0" w:line="268" w:lineRule="auto"/>
        <w:rPr>
          <w:sz w:val="20"/>
          <w:szCs w:val="20"/>
          <w:color w:val="auto"/>
        </w:rPr>
      </w:pPr>
      <w:r>
        <w:rPr>
          <w:rFonts w:ascii="Arial" w:cs="Arial" w:eastAsia="Arial" w:hAnsi="Arial"/>
          <w:sz w:val="31"/>
          <w:szCs w:val="31"/>
          <w:color w:val="0063A6"/>
        </w:rPr>
        <w:t>BOARD OF DIRECTORS AND CORPORATE GOVERNANCE (continued)</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all outstanding equity awards held by non-employee directors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5829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shd w:val="clear" w:color="auto" w:fill="0063A6"/>
          </w:tcPr>
          <w:p>
            <w:pPr>
              <w:spacing w:after="0"/>
              <w:rPr>
                <w:sz w:val="20"/>
                <w:szCs w:val="20"/>
                <w:color w:val="auto"/>
              </w:rPr>
            </w:pPr>
          </w:p>
        </w:tc>
        <w:tc>
          <w:tcPr>
            <w:tcW w:w="2520" w:type="dxa"/>
            <w:vAlign w:val="bottom"/>
            <w:shd w:val="clear" w:color="auto" w:fill="0063A6"/>
          </w:tcPr>
          <w:p>
            <w:pPr>
              <w:spacing w:after="0"/>
              <w:rPr>
                <w:sz w:val="20"/>
                <w:szCs w:val="20"/>
                <w:color w:val="auto"/>
              </w:rPr>
            </w:pPr>
          </w:p>
        </w:tc>
        <w:tc>
          <w:tcPr>
            <w:tcW w:w="2860" w:type="dxa"/>
            <w:vAlign w:val="bottom"/>
            <w:shd w:val="clear" w:color="auto" w:fill="0063A6"/>
          </w:tcPr>
          <w:p>
            <w:pPr>
              <w:jc w:val="center"/>
              <w:ind w:right="308"/>
              <w:spacing w:after="0"/>
              <w:rPr>
                <w:sz w:val="20"/>
                <w:szCs w:val="20"/>
                <w:color w:val="auto"/>
              </w:rPr>
            </w:pPr>
            <w:r>
              <w:rPr>
                <w:rFonts w:ascii="Arial" w:cs="Arial" w:eastAsia="Arial" w:hAnsi="Arial"/>
                <w:sz w:val="14"/>
                <w:szCs w:val="14"/>
                <w:b w:val="1"/>
                <w:bCs w:val="1"/>
                <w:color w:val="FFFFFF"/>
              </w:rPr>
              <w:t>Number of Shares</w:t>
            </w:r>
          </w:p>
        </w:tc>
      </w:tr>
      <w:tr>
        <w:trPr>
          <w:trHeight w:val="162"/>
        </w:trPr>
        <w:tc>
          <w:tcPr>
            <w:tcW w:w="5860" w:type="dxa"/>
            <w:vAlign w:val="bottom"/>
            <w:shd w:val="clear" w:color="auto" w:fill="0063A6"/>
          </w:tcPr>
          <w:p>
            <w:pPr>
              <w:spacing w:after="0"/>
              <w:rPr>
                <w:sz w:val="14"/>
                <w:szCs w:val="14"/>
                <w:color w:val="auto"/>
              </w:rPr>
            </w:pPr>
          </w:p>
        </w:tc>
        <w:tc>
          <w:tcPr>
            <w:tcW w:w="2520" w:type="dxa"/>
            <w:vAlign w:val="bottom"/>
            <w:shd w:val="clear" w:color="auto" w:fill="0063A6"/>
          </w:tcPr>
          <w:p>
            <w:pPr>
              <w:ind w:left="1020"/>
              <w:spacing w:after="0"/>
              <w:rPr>
                <w:sz w:val="20"/>
                <w:szCs w:val="20"/>
                <w:color w:val="auto"/>
              </w:rPr>
            </w:pPr>
            <w:r>
              <w:rPr>
                <w:rFonts w:ascii="Arial" w:cs="Arial" w:eastAsia="Arial" w:hAnsi="Arial"/>
                <w:sz w:val="14"/>
                <w:szCs w:val="14"/>
                <w:b w:val="1"/>
                <w:bCs w:val="1"/>
                <w:color w:val="FFFFFF"/>
              </w:rPr>
              <w:t>Date of</w:t>
            </w:r>
          </w:p>
        </w:tc>
        <w:tc>
          <w:tcPr>
            <w:tcW w:w="2860" w:type="dxa"/>
            <w:vAlign w:val="bottom"/>
            <w:shd w:val="clear" w:color="auto" w:fill="0063A6"/>
          </w:tcPr>
          <w:p>
            <w:pPr>
              <w:jc w:val="center"/>
              <w:ind w:right="308"/>
              <w:spacing w:after="0"/>
              <w:rPr>
                <w:sz w:val="20"/>
                <w:szCs w:val="20"/>
                <w:color w:val="auto"/>
              </w:rPr>
            </w:pPr>
            <w:r>
              <w:rPr>
                <w:rFonts w:ascii="Arial" w:cs="Arial" w:eastAsia="Arial" w:hAnsi="Arial"/>
                <w:sz w:val="14"/>
                <w:szCs w:val="14"/>
                <w:b w:val="1"/>
                <w:bCs w:val="1"/>
                <w:color w:val="FFFFFF"/>
              </w:rPr>
              <w:t>Underlying</w:t>
            </w:r>
          </w:p>
        </w:tc>
      </w:tr>
      <w:tr>
        <w:trPr>
          <w:trHeight w:val="210"/>
        </w:trPr>
        <w:tc>
          <w:tcPr>
            <w:tcW w:w="5860" w:type="dxa"/>
            <w:vAlign w:val="bottom"/>
            <w:shd w:val="clear" w:color="auto" w:fill="0063A6"/>
          </w:tcPr>
          <w:p>
            <w:pPr>
              <w:ind w:left="20"/>
              <w:spacing w:after="0"/>
              <w:rPr>
                <w:sz w:val="20"/>
                <w:szCs w:val="20"/>
                <w:color w:val="auto"/>
              </w:rPr>
            </w:pPr>
            <w:r>
              <w:rPr>
                <w:rFonts w:ascii="Arial" w:cs="Arial" w:eastAsia="Arial" w:hAnsi="Arial"/>
                <w:sz w:val="14"/>
                <w:szCs w:val="14"/>
                <w:b w:val="1"/>
                <w:bCs w:val="1"/>
                <w:color w:val="FFFFFF"/>
              </w:rPr>
              <w:t>Name</w:t>
            </w:r>
          </w:p>
        </w:tc>
        <w:tc>
          <w:tcPr>
            <w:tcW w:w="2520" w:type="dxa"/>
            <w:vAlign w:val="bottom"/>
            <w:shd w:val="clear" w:color="auto" w:fill="0063A6"/>
          </w:tcPr>
          <w:p>
            <w:pPr>
              <w:ind w:left="1020"/>
              <w:spacing w:after="0"/>
              <w:rPr>
                <w:sz w:val="20"/>
                <w:szCs w:val="20"/>
                <w:color w:val="auto"/>
              </w:rPr>
            </w:pPr>
            <w:r>
              <w:rPr>
                <w:rFonts w:ascii="Arial" w:cs="Arial" w:eastAsia="Arial" w:hAnsi="Arial"/>
                <w:sz w:val="14"/>
                <w:szCs w:val="14"/>
                <w:b w:val="1"/>
                <w:bCs w:val="1"/>
                <w:color w:val="FFFFFF"/>
              </w:rPr>
              <w:t>Grant</w:t>
            </w:r>
            <w:r>
              <w:rPr>
                <w:rFonts w:ascii="Arial" w:cs="Arial" w:eastAsia="Arial" w:hAnsi="Arial"/>
                <w:sz w:val="9"/>
                <w:szCs w:val="9"/>
                <w:b w:val="1"/>
                <w:bCs w:val="1"/>
                <w:color w:val="FFFFFF"/>
              </w:rPr>
              <w:t>(1)</w:t>
            </w:r>
          </w:p>
        </w:tc>
        <w:tc>
          <w:tcPr>
            <w:tcW w:w="2860" w:type="dxa"/>
            <w:vAlign w:val="bottom"/>
            <w:shd w:val="clear" w:color="auto" w:fill="0063A6"/>
          </w:tcPr>
          <w:p>
            <w:pPr>
              <w:jc w:val="center"/>
              <w:ind w:right="268"/>
              <w:spacing w:after="0"/>
              <w:rPr>
                <w:sz w:val="20"/>
                <w:szCs w:val="20"/>
                <w:color w:val="auto"/>
              </w:rPr>
            </w:pPr>
            <w:r>
              <w:rPr>
                <w:rFonts w:ascii="Arial" w:cs="Arial" w:eastAsia="Arial" w:hAnsi="Arial"/>
                <w:sz w:val="14"/>
                <w:szCs w:val="14"/>
                <w:b w:val="1"/>
                <w:bCs w:val="1"/>
                <w:color w:val="FFFFFF"/>
              </w:rPr>
              <w:t>Unvested Stock Awards (#)</w:t>
            </w:r>
          </w:p>
        </w:tc>
      </w:tr>
      <w:tr>
        <w:trPr>
          <w:trHeight w:val="56"/>
        </w:trPr>
        <w:tc>
          <w:tcPr>
            <w:tcW w:w="5860" w:type="dxa"/>
            <w:vAlign w:val="bottom"/>
            <w:shd w:val="clear" w:color="auto" w:fill="0063A6"/>
          </w:tcPr>
          <w:p>
            <w:pPr>
              <w:spacing w:after="0"/>
              <w:rPr>
                <w:sz w:val="4"/>
                <w:szCs w:val="4"/>
                <w:color w:val="auto"/>
              </w:rPr>
            </w:pPr>
          </w:p>
        </w:tc>
        <w:tc>
          <w:tcPr>
            <w:tcW w:w="2520" w:type="dxa"/>
            <w:vAlign w:val="bottom"/>
            <w:shd w:val="clear" w:color="auto" w:fill="0063A6"/>
          </w:tcPr>
          <w:p>
            <w:pPr>
              <w:spacing w:after="0"/>
              <w:rPr>
                <w:sz w:val="4"/>
                <w:szCs w:val="4"/>
                <w:color w:val="auto"/>
              </w:rPr>
            </w:pPr>
          </w:p>
        </w:tc>
        <w:tc>
          <w:tcPr>
            <w:tcW w:w="2860" w:type="dxa"/>
            <w:vAlign w:val="bottom"/>
            <w:shd w:val="clear" w:color="auto" w:fill="0063A6"/>
          </w:tcPr>
          <w:p>
            <w:pPr>
              <w:spacing w:after="0"/>
              <w:rPr>
                <w:sz w:val="4"/>
                <w:szCs w:val="4"/>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40" w:type="dxa"/>
            <w:vAlign w:val="bottom"/>
            <w:shd w:val="clear" w:color="auto" w:fill="F2F2F2"/>
          </w:tcPr>
          <w:p>
            <w:pPr>
              <w:ind w:left="20"/>
              <w:spacing w:after="0"/>
              <w:rPr>
                <w:sz w:val="20"/>
                <w:szCs w:val="20"/>
                <w:color w:val="auto"/>
              </w:rPr>
            </w:pPr>
            <w:r>
              <w:rPr>
                <w:rFonts w:ascii="Arial" w:cs="Arial" w:eastAsia="Arial" w:hAnsi="Arial"/>
                <w:sz w:val="16"/>
                <w:szCs w:val="16"/>
                <w:color w:val="auto"/>
              </w:rPr>
              <w:t>Donald W. Blair</w:t>
            </w:r>
          </w:p>
        </w:tc>
        <w:tc>
          <w:tcPr>
            <w:tcW w:w="4520" w:type="dxa"/>
            <w:vAlign w:val="bottom"/>
            <w:shd w:val="clear" w:color="auto" w:fill="F2F2F2"/>
          </w:tcPr>
          <w:p>
            <w:pPr>
              <w:jc w:val="center"/>
              <w:ind w:left="1759"/>
              <w:spacing w:after="0"/>
              <w:rPr>
                <w:sz w:val="20"/>
                <w:szCs w:val="20"/>
                <w:color w:val="auto"/>
              </w:rPr>
            </w:pPr>
            <w:r>
              <w:rPr>
                <w:rFonts w:ascii="Arial" w:cs="Arial" w:eastAsia="Arial" w:hAnsi="Arial"/>
                <w:sz w:val="16"/>
                <w:szCs w:val="16"/>
                <w:color w:val="auto"/>
              </w:rPr>
              <w:t>5/18/2023</w:t>
            </w:r>
          </w:p>
        </w:tc>
        <w:tc>
          <w:tcPr>
            <w:tcW w:w="1940" w:type="dxa"/>
            <w:vAlign w:val="bottom"/>
            <w:shd w:val="clear" w:color="auto" w:fill="F2F2F2"/>
          </w:tcPr>
          <w:p>
            <w:pPr>
              <w:jc w:val="center"/>
              <w:ind w:left="339"/>
              <w:spacing w:after="0"/>
              <w:rPr>
                <w:sz w:val="20"/>
                <w:szCs w:val="20"/>
                <w:color w:val="auto"/>
              </w:rPr>
            </w:pPr>
            <w:r>
              <w:rPr>
                <w:rFonts w:ascii="Arial" w:cs="Arial" w:eastAsia="Arial" w:hAnsi="Arial"/>
                <w:sz w:val="16"/>
                <w:szCs w:val="16"/>
                <w:color w:val="auto"/>
                <w:w w:val="98"/>
              </w:rPr>
              <w:t>11,077</w:t>
            </w:r>
          </w:p>
        </w:tc>
        <w:tc>
          <w:tcPr>
            <w:tcW w:w="84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Lisa Campbell</w:t>
            </w:r>
          </w:p>
        </w:tc>
        <w:tc>
          <w:tcPr>
            <w:tcW w:w="4520" w:type="dxa"/>
            <w:vAlign w:val="bottom"/>
          </w:tcPr>
          <w:p>
            <w:pPr>
              <w:jc w:val="center"/>
              <w:ind w:left="1759"/>
              <w:spacing w:after="0"/>
              <w:rPr>
                <w:sz w:val="20"/>
                <w:szCs w:val="20"/>
                <w:color w:val="auto"/>
              </w:rPr>
            </w:pPr>
            <w:r>
              <w:rPr>
                <w:rFonts w:ascii="Arial" w:cs="Arial" w:eastAsia="Arial" w:hAnsi="Arial"/>
                <w:sz w:val="16"/>
                <w:szCs w:val="16"/>
                <w:color w:val="auto"/>
              </w:rPr>
              <w:t>5/18/2023</w:t>
            </w:r>
          </w:p>
        </w:tc>
        <w:tc>
          <w:tcPr>
            <w:tcW w:w="1940" w:type="dxa"/>
            <w:vAlign w:val="bottom"/>
          </w:tcPr>
          <w:p>
            <w:pPr>
              <w:jc w:val="center"/>
              <w:ind w:left="339"/>
              <w:spacing w:after="0"/>
              <w:rPr>
                <w:sz w:val="20"/>
                <w:szCs w:val="20"/>
                <w:color w:val="auto"/>
              </w:rPr>
            </w:pPr>
            <w:r>
              <w:rPr>
                <w:rFonts w:ascii="Arial" w:cs="Arial" w:eastAsia="Arial" w:hAnsi="Arial"/>
                <w:sz w:val="16"/>
                <w:szCs w:val="16"/>
                <w:color w:val="auto"/>
                <w:w w:val="98"/>
              </w:rPr>
              <w:t>11,077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Paul E. Jacobs</w:t>
            </w:r>
          </w:p>
        </w:tc>
        <w:tc>
          <w:tcPr>
            <w:tcW w:w="4520" w:type="dxa"/>
            <w:vAlign w:val="bottom"/>
            <w:tcBorders>
              <w:bottom w:val="single" w:sz="8" w:color="F2F2F2"/>
            </w:tcBorders>
            <w:shd w:val="clear" w:color="auto" w:fill="F2F2F2"/>
          </w:tcPr>
          <w:p>
            <w:pPr>
              <w:jc w:val="center"/>
              <w:ind w:left="1759"/>
              <w:spacing w:after="0"/>
              <w:rPr>
                <w:sz w:val="20"/>
                <w:szCs w:val="20"/>
                <w:color w:val="auto"/>
              </w:rPr>
            </w:pPr>
            <w:r>
              <w:rPr>
                <w:rFonts w:ascii="Arial" w:cs="Arial" w:eastAsia="Arial" w:hAnsi="Arial"/>
                <w:sz w:val="16"/>
                <w:szCs w:val="16"/>
                <w:color w:val="auto"/>
              </w:rPr>
              <w:t>5/18/2023</w:t>
            </w:r>
          </w:p>
        </w:tc>
        <w:tc>
          <w:tcPr>
            <w:tcW w:w="1940" w:type="dxa"/>
            <w:vAlign w:val="bottom"/>
            <w:tcBorders>
              <w:bottom w:val="single" w:sz="8" w:color="F2F2F2"/>
            </w:tcBorders>
            <w:shd w:val="clear" w:color="auto" w:fill="F2F2F2"/>
          </w:tcPr>
          <w:p>
            <w:pPr>
              <w:jc w:val="center"/>
              <w:ind w:left="339"/>
              <w:spacing w:after="0"/>
              <w:rPr>
                <w:sz w:val="20"/>
                <w:szCs w:val="20"/>
                <w:color w:val="auto"/>
              </w:rPr>
            </w:pPr>
            <w:r>
              <w:rPr>
                <w:rFonts w:ascii="Arial" w:cs="Arial" w:eastAsia="Arial" w:hAnsi="Arial"/>
                <w:sz w:val="16"/>
                <w:szCs w:val="16"/>
                <w:color w:val="auto"/>
                <w:w w:val="98"/>
              </w:rPr>
              <w:t>11,077</w:t>
            </w:r>
          </w:p>
        </w:tc>
        <w:tc>
          <w:tcPr>
            <w:tcW w:w="84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3940" w:type="dxa"/>
            <w:vAlign w:val="bottom"/>
            <w:vMerge w:val="restart"/>
          </w:tcPr>
          <w:p>
            <w:pPr>
              <w:ind w:left="20"/>
              <w:spacing w:after="0"/>
              <w:rPr>
                <w:sz w:val="20"/>
                <w:szCs w:val="20"/>
                <w:color w:val="auto"/>
              </w:rPr>
            </w:pPr>
            <w:r>
              <w:rPr>
                <w:rFonts w:ascii="Arial" w:cs="Arial" w:eastAsia="Arial" w:hAnsi="Arial"/>
                <w:sz w:val="16"/>
                <w:szCs w:val="16"/>
                <w:color w:val="auto"/>
              </w:rPr>
              <w:t>Sara Mathew</w:t>
            </w:r>
          </w:p>
        </w:tc>
        <w:tc>
          <w:tcPr>
            <w:tcW w:w="4520" w:type="dxa"/>
            <w:vAlign w:val="bottom"/>
            <w:vMerge w:val="restart"/>
          </w:tcPr>
          <w:p>
            <w:pPr>
              <w:jc w:val="center"/>
              <w:ind w:left="1759"/>
              <w:spacing w:after="0"/>
              <w:rPr>
                <w:sz w:val="20"/>
                <w:szCs w:val="20"/>
                <w:color w:val="auto"/>
              </w:rPr>
            </w:pPr>
            <w:r>
              <w:rPr>
                <w:rFonts w:ascii="Arial" w:cs="Arial" w:eastAsia="Arial" w:hAnsi="Arial"/>
                <w:sz w:val="16"/>
                <w:szCs w:val="16"/>
                <w:color w:val="auto"/>
              </w:rPr>
              <w:t>5/18/2023</w:t>
            </w:r>
          </w:p>
        </w:tc>
        <w:tc>
          <w:tcPr>
            <w:tcW w:w="1940" w:type="dxa"/>
            <w:vAlign w:val="bottom"/>
            <w:vMerge w:val="restart"/>
          </w:tcPr>
          <w:p>
            <w:pPr>
              <w:jc w:val="center"/>
              <w:ind w:left="339"/>
              <w:spacing w:after="0"/>
              <w:rPr>
                <w:sz w:val="20"/>
                <w:szCs w:val="20"/>
                <w:color w:val="auto"/>
              </w:rPr>
            </w:pPr>
            <w:r>
              <w:rPr>
                <w:rFonts w:ascii="Arial" w:cs="Arial" w:eastAsia="Arial" w:hAnsi="Arial"/>
                <w:sz w:val="16"/>
                <w:szCs w:val="16"/>
                <w:color w:val="auto"/>
                <w:w w:val="98"/>
              </w:rPr>
              <w:t>17,657</w:t>
            </w:r>
          </w:p>
        </w:tc>
        <w:tc>
          <w:tcPr>
            <w:tcW w:w="840" w:type="dxa"/>
            <w:vAlign w:val="bottom"/>
          </w:tcPr>
          <w:p>
            <w:pPr>
              <w:jc w:val="right"/>
              <w:ind w:right="147"/>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5"/>
        </w:trPr>
        <w:tc>
          <w:tcPr>
            <w:tcW w:w="3940" w:type="dxa"/>
            <w:vAlign w:val="bottom"/>
            <w:vMerge w:val="continue"/>
          </w:tcPr>
          <w:p>
            <w:pPr>
              <w:spacing w:after="0"/>
              <w:rPr>
                <w:sz w:val="6"/>
                <w:szCs w:val="6"/>
                <w:color w:val="auto"/>
              </w:rPr>
            </w:pPr>
          </w:p>
        </w:tc>
        <w:tc>
          <w:tcPr>
            <w:tcW w:w="452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Andrew Moore</w:t>
            </w:r>
          </w:p>
        </w:tc>
        <w:tc>
          <w:tcPr>
            <w:tcW w:w="4520" w:type="dxa"/>
            <w:vAlign w:val="bottom"/>
            <w:tcBorders>
              <w:bottom w:val="single" w:sz="8" w:color="F2F2F2"/>
            </w:tcBorders>
            <w:shd w:val="clear" w:color="auto" w:fill="F2F2F2"/>
          </w:tcPr>
          <w:p>
            <w:pPr>
              <w:jc w:val="center"/>
              <w:ind w:left="1759"/>
              <w:spacing w:after="0"/>
              <w:rPr>
                <w:sz w:val="20"/>
                <w:szCs w:val="20"/>
                <w:color w:val="auto"/>
              </w:rPr>
            </w:pPr>
            <w:r>
              <w:rPr>
                <w:rFonts w:ascii="Arial" w:cs="Arial" w:eastAsia="Arial" w:hAnsi="Arial"/>
                <w:sz w:val="16"/>
                <w:szCs w:val="16"/>
                <w:color w:val="auto"/>
                <w:w w:val="99"/>
              </w:rPr>
              <w:t>12/13/2023</w:t>
            </w:r>
          </w:p>
        </w:tc>
        <w:tc>
          <w:tcPr>
            <w:tcW w:w="1940" w:type="dxa"/>
            <w:vAlign w:val="bottom"/>
            <w:tcBorders>
              <w:bottom w:val="single" w:sz="8" w:color="F2F2F2"/>
            </w:tcBorders>
            <w:shd w:val="clear" w:color="auto" w:fill="F2F2F2"/>
          </w:tcPr>
          <w:p>
            <w:pPr>
              <w:jc w:val="center"/>
              <w:ind w:left="339"/>
              <w:spacing w:after="0"/>
              <w:rPr>
                <w:sz w:val="20"/>
                <w:szCs w:val="20"/>
                <w:color w:val="auto"/>
              </w:rPr>
            </w:pPr>
            <w:r>
              <w:rPr>
                <w:rFonts w:ascii="Arial" w:cs="Arial" w:eastAsia="Arial" w:hAnsi="Arial"/>
                <w:sz w:val="16"/>
                <w:szCs w:val="16"/>
                <w:color w:val="auto"/>
                <w:w w:val="99"/>
              </w:rPr>
              <w:t>3,627</w:t>
            </w:r>
          </w:p>
        </w:tc>
        <w:tc>
          <w:tcPr>
            <w:tcW w:w="84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Abhay Parasnis</w:t>
            </w:r>
          </w:p>
        </w:tc>
        <w:tc>
          <w:tcPr>
            <w:tcW w:w="4520" w:type="dxa"/>
            <w:vAlign w:val="bottom"/>
          </w:tcPr>
          <w:p>
            <w:pPr>
              <w:jc w:val="center"/>
              <w:ind w:left="1759"/>
              <w:spacing w:after="0"/>
              <w:rPr>
                <w:sz w:val="20"/>
                <w:szCs w:val="20"/>
                <w:color w:val="auto"/>
              </w:rPr>
            </w:pPr>
            <w:r>
              <w:rPr>
                <w:rFonts w:ascii="Arial" w:cs="Arial" w:eastAsia="Arial" w:hAnsi="Arial"/>
                <w:sz w:val="16"/>
                <w:szCs w:val="16"/>
                <w:color w:val="auto"/>
              </w:rPr>
              <w:t>5/18/2023</w:t>
            </w:r>
          </w:p>
        </w:tc>
        <w:tc>
          <w:tcPr>
            <w:tcW w:w="1940" w:type="dxa"/>
            <w:vAlign w:val="bottom"/>
          </w:tcPr>
          <w:p>
            <w:pPr>
              <w:jc w:val="center"/>
              <w:ind w:left="339"/>
              <w:spacing w:after="0"/>
              <w:rPr>
                <w:sz w:val="20"/>
                <w:szCs w:val="20"/>
                <w:color w:val="auto"/>
              </w:rPr>
            </w:pPr>
            <w:r>
              <w:rPr>
                <w:rFonts w:ascii="Arial" w:cs="Arial" w:eastAsia="Arial" w:hAnsi="Arial"/>
                <w:sz w:val="16"/>
                <w:szCs w:val="16"/>
                <w:color w:val="auto"/>
                <w:w w:val="98"/>
              </w:rPr>
              <w:t>11,077</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Karen Peacock</w:t>
            </w:r>
          </w:p>
        </w:tc>
        <w:tc>
          <w:tcPr>
            <w:tcW w:w="4520" w:type="dxa"/>
            <w:vAlign w:val="bottom"/>
            <w:tcBorders>
              <w:bottom w:val="single" w:sz="8" w:color="F2F2F2"/>
            </w:tcBorders>
            <w:shd w:val="clear" w:color="auto" w:fill="F2F2F2"/>
          </w:tcPr>
          <w:p>
            <w:pPr>
              <w:jc w:val="center"/>
              <w:ind w:left="1759"/>
              <w:spacing w:after="0"/>
              <w:rPr>
                <w:sz w:val="20"/>
                <w:szCs w:val="20"/>
                <w:color w:val="auto"/>
              </w:rPr>
            </w:pPr>
            <w:r>
              <w:rPr>
                <w:rFonts w:ascii="Arial" w:cs="Arial" w:eastAsia="Arial" w:hAnsi="Arial"/>
                <w:sz w:val="16"/>
                <w:szCs w:val="16"/>
                <w:color w:val="auto"/>
              </w:rPr>
              <w:t>5/18/2023</w:t>
            </w:r>
          </w:p>
        </w:tc>
        <w:tc>
          <w:tcPr>
            <w:tcW w:w="1940" w:type="dxa"/>
            <w:vAlign w:val="bottom"/>
            <w:tcBorders>
              <w:bottom w:val="single" w:sz="8" w:color="F2F2F2"/>
            </w:tcBorders>
            <w:shd w:val="clear" w:color="auto" w:fill="F2F2F2"/>
          </w:tcPr>
          <w:p>
            <w:pPr>
              <w:jc w:val="center"/>
              <w:ind w:left="339"/>
              <w:spacing w:after="0"/>
              <w:rPr>
                <w:sz w:val="20"/>
                <w:szCs w:val="20"/>
                <w:color w:val="auto"/>
              </w:rPr>
            </w:pPr>
            <w:r>
              <w:rPr>
                <w:rFonts w:ascii="Arial" w:cs="Arial" w:eastAsia="Arial" w:hAnsi="Arial"/>
                <w:sz w:val="16"/>
                <w:szCs w:val="16"/>
                <w:color w:val="auto"/>
                <w:w w:val="98"/>
              </w:rPr>
              <w:t>11,077</w:t>
            </w:r>
          </w:p>
        </w:tc>
        <w:tc>
          <w:tcPr>
            <w:tcW w:w="840" w:type="dxa"/>
            <w:vAlign w:val="bottom"/>
            <w:tcBorders>
              <w:bottom w:val="single" w:sz="8" w:color="F2F2F2"/>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3940" w:type="dxa"/>
            <w:vAlign w:val="bottom"/>
            <w:vMerge w:val="restart"/>
          </w:tcPr>
          <w:p>
            <w:pPr>
              <w:ind w:left="20"/>
              <w:spacing w:after="0"/>
              <w:rPr>
                <w:sz w:val="20"/>
                <w:szCs w:val="20"/>
                <w:color w:val="auto"/>
              </w:rPr>
            </w:pPr>
            <w:r>
              <w:rPr>
                <w:rFonts w:ascii="Arial" w:cs="Arial" w:eastAsia="Arial" w:hAnsi="Arial"/>
                <w:sz w:val="16"/>
                <w:szCs w:val="16"/>
                <w:color w:val="auto"/>
              </w:rPr>
              <w:t>Michael Seibel</w:t>
            </w:r>
          </w:p>
        </w:tc>
        <w:tc>
          <w:tcPr>
            <w:tcW w:w="4520" w:type="dxa"/>
            <w:vAlign w:val="bottom"/>
            <w:vMerge w:val="restart"/>
          </w:tcPr>
          <w:p>
            <w:pPr>
              <w:jc w:val="center"/>
              <w:ind w:left="1759"/>
              <w:spacing w:after="0"/>
              <w:rPr>
                <w:sz w:val="20"/>
                <w:szCs w:val="20"/>
                <w:color w:val="auto"/>
              </w:rPr>
            </w:pPr>
            <w:r>
              <w:rPr>
                <w:rFonts w:ascii="Arial" w:cs="Arial" w:eastAsia="Arial" w:hAnsi="Arial"/>
                <w:sz w:val="16"/>
                <w:szCs w:val="16"/>
                <w:color w:val="auto"/>
              </w:rPr>
              <w:t>5/18/2023</w:t>
            </w:r>
          </w:p>
        </w:tc>
        <w:tc>
          <w:tcPr>
            <w:tcW w:w="1940" w:type="dxa"/>
            <w:vAlign w:val="bottom"/>
            <w:vMerge w:val="restart"/>
          </w:tcPr>
          <w:p>
            <w:pPr>
              <w:jc w:val="center"/>
              <w:ind w:left="339"/>
              <w:spacing w:after="0"/>
              <w:rPr>
                <w:sz w:val="20"/>
                <w:szCs w:val="20"/>
                <w:color w:val="auto"/>
              </w:rPr>
            </w:pPr>
            <w:r>
              <w:rPr>
                <w:rFonts w:ascii="Arial" w:cs="Arial" w:eastAsia="Arial" w:hAnsi="Arial"/>
                <w:sz w:val="16"/>
                <w:szCs w:val="16"/>
                <w:color w:val="auto"/>
                <w:w w:val="98"/>
              </w:rPr>
              <w:t>25,044</w:t>
            </w:r>
          </w:p>
        </w:tc>
        <w:tc>
          <w:tcPr>
            <w:tcW w:w="840" w:type="dxa"/>
            <w:vAlign w:val="bottom"/>
          </w:tcPr>
          <w:p>
            <w:pPr>
              <w:jc w:val="right"/>
              <w:ind w:right="147"/>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75"/>
        </w:trPr>
        <w:tc>
          <w:tcPr>
            <w:tcW w:w="3940" w:type="dxa"/>
            <w:vAlign w:val="bottom"/>
            <w:vMerge w:val="continue"/>
          </w:tcPr>
          <w:p>
            <w:pPr>
              <w:spacing w:after="0"/>
              <w:rPr>
                <w:sz w:val="6"/>
                <w:szCs w:val="6"/>
                <w:color w:val="auto"/>
              </w:rPr>
            </w:pPr>
          </w:p>
        </w:tc>
        <w:tc>
          <w:tcPr>
            <w:tcW w:w="452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-290195</wp:posOffset>
            </wp:positionV>
            <wp:extent cx="1714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-290195</wp:posOffset>
            </wp:positionV>
            <wp:extent cx="1714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-598805</wp:posOffset>
            </wp:positionV>
            <wp:extent cx="17145"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-598805</wp:posOffset>
            </wp:positionV>
            <wp:extent cx="1714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-907415</wp:posOffset>
            </wp:positionV>
            <wp:extent cx="1714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-907415</wp:posOffset>
            </wp:positionV>
            <wp:extent cx="17145"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94" w:lineRule="exact"/>
        <w:rPr>
          <w:sz w:val="20"/>
          <w:szCs w:val="20"/>
          <w:color w:val="auto"/>
        </w:rPr>
      </w:pPr>
    </w:p>
    <w:p>
      <w:pPr>
        <w:ind w:left="340" w:right="400" w:hanging="332"/>
        <w:spacing w:after="0" w:line="222" w:lineRule="auto"/>
        <w:tabs>
          <w:tab w:leader="none" w:pos="333"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100% of the shares of our Class A common stock underlying the RSUs vest on May 18, 2024 or the day before the next annual meeting of our stockholders, if earlier, subject to the director’s continued service with us. See “</w:t>
      </w:r>
      <w:r>
        <w:rPr>
          <w:rFonts w:ascii="Arial" w:cs="Arial" w:eastAsia="Arial" w:hAnsi="Arial"/>
          <w:sz w:val="14"/>
          <w:szCs w:val="14"/>
          <w:i w:val="1"/>
          <w:iCs w:val="1"/>
          <w:color w:val="auto"/>
        </w:rPr>
        <w:t>Director Compensation</w:t>
      </w:r>
      <w:r>
        <w:rPr>
          <w:rFonts w:ascii="Arial" w:cs="Arial" w:eastAsia="Arial" w:hAnsi="Arial"/>
          <w:sz w:val="14"/>
          <w:szCs w:val="14"/>
          <w:color w:val="auto"/>
        </w:rPr>
        <w:t>” above.</w:t>
      </w:r>
    </w:p>
    <w:p>
      <w:pPr>
        <w:ind w:left="340" w:right="180" w:hanging="332"/>
        <w:spacing w:after="0" w:line="252" w:lineRule="auto"/>
        <w:tabs>
          <w:tab w:leader="none" w:pos="333" w:val="left"/>
        </w:tabs>
        <w:numPr>
          <w:ilvl w:val="0"/>
          <w:numId w:val="45"/>
        </w:numPr>
        <w:rPr>
          <w:rFonts w:ascii="Arial" w:cs="Arial" w:eastAsia="Arial" w:hAnsi="Arial"/>
          <w:sz w:val="9"/>
          <w:szCs w:val="9"/>
          <w:color w:val="auto"/>
        </w:rPr>
      </w:pPr>
      <w:r>
        <w:rPr>
          <w:rFonts w:ascii="Arial" w:cs="Arial" w:eastAsia="Arial" w:hAnsi="Arial"/>
          <w:sz w:val="14"/>
          <w:szCs w:val="14"/>
          <w:color w:val="auto"/>
        </w:rPr>
        <w:t>Includes 6,580 vested RSUs granted on July 28, 2021 that were deferred at time of grant. These vested RSUs will be settled upon the earlier of (a) immediately prior to a Change in Control or (b) within 60 days of Ms. Mathew's separation from the board or death.</w:t>
      </w:r>
    </w:p>
    <w:p>
      <w:pPr>
        <w:ind w:left="340" w:right="80" w:hanging="332"/>
        <w:spacing w:after="0" w:line="213" w:lineRule="auto"/>
        <w:tabs>
          <w:tab w:leader="none" w:pos="333"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Includes 4,632 vested RSUs granted on December 11, 2020 and 9,335 vested RSUs granted on May 20, 2021 that were deferred at time of grant. These vested RSUs will be settled upon the earlier of (a) immediately prior to a Change in Control or (b) within 60 days of Mr. Seibel’s separation from the board or death.</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PROPOSAL NO. 1—ELECTION OF DIRECTORS</w:t>
      </w:r>
    </w:p>
    <w:p>
      <w:pPr>
        <w:spacing w:after="0" w:line="200" w:lineRule="exact"/>
        <w:rPr>
          <w:sz w:val="20"/>
          <w:szCs w:val="20"/>
          <w:color w:val="auto"/>
        </w:rPr>
      </w:pPr>
    </w:p>
    <w:p>
      <w:pPr>
        <w:spacing w:after="0" w:line="270"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As of March 21, 2024, our board of directors consisted of nine directors. Until the outstanding shares of our Class B common stock represent less than a majority of the combined voting power of our common stock, we will have a single class of directors with each director elected for a one-year term and until their successor is duly elected and qualified, or until their earlier resignation or removal.</w:t>
      </w:r>
    </w:p>
    <w:p>
      <w:pPr>
        <w:spacing w:after="0" w:line="342" w:lineRule="exact"/>
        <w:rPr>
          <w:sz w:val="20"/>
          <w:szCs w:val="20"/>
          <w:color w:val="auto"/>
        </w:rPr>
      </w:pPr>
    </w:p>
    <w:p>
      <w:pPr>
        <w:spacing w:after="0"/>
        <w:rPr>
          <w:sz w:val="20"/>
          <w:szCs w:val="20"/>
          <w:color w:val="auto"/>
        </w:rPr>
      </w:pPr>
      <w:r>
        <w:rPr>
          <w:rFonts w:ascii="Arial" w:cs="Arial" w:eastAsia="Arial" w:hAnsi="Arial"/>
          <w:sz w:val="26"/>
          <w:szCs w:val="26"/>
          <w:color w:val="0063A6"/>
        </w:rPr>
        <w:t>Nominees</w:t>
      </w:r>
    </w:p>
    <w:p>
      <w:pPr>
        <w:spacing w:after="0" w:line="16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Our nominating and corporate governance committee has recommended, and our board of directors has approved, Andrew W. Houston, Donald W. Blair, Lisa Campbell, Paul E. Jacobs, Sara Mathew, Andrew Moore, Abhay Parasnis, Karen Peacock and Michael Seibel as nominees for election as directors at the Annual Meeting. Each of the nominees is an incumbent director. If elected, each of the nominees will serve as directors until the 2025 annual meeting of stockholders and until their successors are duly elected and qualified. For information concerning the nominees, please see “</w:t>
      </w:r>
      <w:r>
        <w:rPr>
          <w:rFonts w:ascii="Arial" w:cs="Arial" w:eastAsia="Arial" w:hAnsi="Arial"/>
          <w:sz w:val="16"/>
          <w:szCs w:val="16"/>
          <w:i w:val="1"/>
          <w:iCs w:val="1"/>
          <w:color w:val="auto"/>
        </w:rPr>
        <w:t>Board of Directors and</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Corporate Governance</w:t>
      </w:r>
      <w:r>
        <w:rPr>
          <w:rFonts w:ascii="Arial" w:cs="Arial" w:eastAsia="Arial" w:hAnsi="Arial"/>
          <w:sz w:val="16"/>
          <w:szCs w:val="16"/>
          <w:color w:val="auto"/>
        </w:rPr>
        <w:t>.” We expect that each of Drs. Jacobs and Moore, Messrs. Houston, Blair, Parasnis and Seibel, and Mss. Campbell, Mathew and</w:t>
      </w:r>
      <w:r>
        <w:rPr>
          <w:rFonts w:ascii="Arial" w:cs="Arial" w:eastAsia="Arial" w:hAnsi="Arial"/>
          <w:sz w:val="16"/>
          <w:szCs w:val="16"/>
          <w:i w:val="1"/>
          <w:iCs w:val="1"/>
          <w:color w:val="auto"/>
        </w:rPr>
        <w:t xml:space="preserve"> </w:t>
      </w:r>
      <w:r>
        <w:rPr>
          <w:rFonts w:ascii="Arial" w:cs="Arial" w:eastAsia="Arial" w:hAnsi="Arial"/>
          <w:sz w:val="16"/>
          <w:szCs w:val="16"/>
          <w:color w:val="auto"/>
        </w:rPr>
        <w:t>Peacock will accept such nomination; however, in the event that a director nominee is unable or declines to serve as a director at the time of the Annual Meeting, the proxies will be voted for any nominee designated by our board of directors to fill such vacancy.</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If you are a stockholder of record and you sign your proxy card or vote by telephone or over the Internet but do not give instructions with respect to the voting of directors, your shares will be voted “FOR” the election of Drs. Jacobs and Moore, Messrs. Houston, Blair, Parasnis and Seibel, and Mss. Campbell, Mathew and Peacock. If you are a street name stockholder and you do not give voting instructions to your broker or nominee, your broker will leave your shares unvoted on this matter.</w:t>
      </w:r>
    </w:p>
    <w:p>
      <w:pPr>
        <w:spacing w:after="0" w:line="353" w:lineRule="exact"/>
        <w:rPr>
          <w:sz w:val="20"/>
          <w:szCs w:val="20"/>
          <w:color w:val="auto"/>
        </w:rPr>
      </w:pPr>
    </w:p>
    <w:p>
      <w:pPr>
        <w:spacing w:after="0"/>
        <w:rPr>
          <w:sz w:val="20"/>
          <w:szCs w:val="20"/>
          <w:color w:val="auto"/>
        </w:rPr>
      </w:pPr>
      <w:r>
        <w:rPr>
          <w:rFonts w:ascii="Arial" w:cs="Arial" w:eastAsia="Arial" w:hAnsi="Arial"/>
          <w:sz w:val="26"/>
          <w:szCs w:val="26"/>
          <w:color w:val="0063A6"/>
        </w:rPr>
        <w:t>Vote Required</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Each director is elected by a plurality of the votes of the shares present virtually or represented by proxy at the meeting and entitled to vote on the election of directors at the Annual Meeting. “Plurality” means that the nine nominees who receive the largest number of votes cast “For” such nominees are elected as directors. As a result, any shares not voted “For” a particular nominee (whether as a result of a withhold vote or a broker non-vote) will not be counted in such nominee’s favor and will have no effect on the outcome of the election.</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THE BOARD OF DIRECTORS RECOMMENDS A VOTE “FOR” EACH OF THE NOMINEES NAMED ABOVE.</w:t>
      </w:r>
    </w:p>
    <w:p>
      <w:pPr>
        <w:spacing w:after="0" w:line="200" w:lineRule="exact"/>
        <w:rPr>
          <w:sz w:val="20"/>
          <w:szCs w:val="20"/>
          <w:color w:val="auto"/>
        </w:rPr>
      </w:pPr>
    </w:p>
    <w:p>
      <w:pPr>
        <w:spacing w:after="0" w:line="350" w:lineRule="exact"/>
        <w:rPr>
          <w:sz w:val="20"/>
          <w:szCs w:val="20"/>
          <w:color w:val="auto"/>
        </w:rPr>
      </w:pPr>
    </w:p>
    <w:p>
      <w:pPr>
        <w:ind w:left="580" w:hanging="554"/>
        <w:spacing w:after="0"/>
        <w:tabs>
          <w:tab w:leader="none" w:pos="58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4" w:lineRule="exact"/>
        <w:rPr>
          <w:sz w:val="20"/>
          <w:szCs w:val="20"/>
          <w:color w:val="auto"/>
        </w:rPr>
      </w:pPr>
    </w:p>
    <w:p>
      <w:pPr>
        <w:ind w:right="60"/>
        <w:spacing w:after="0" w:line="286" w:lineRule="auto"/>
        <w:rPr>
          <w:sz w:val="20"/>
          <w:szCs w:val="20"/>
          <w:color w:val="auto"/>
        </w:rPr>
      </w:pPr>
      <w:r>
        <w:rPr>
          <w:rFonts w:ascii="Arial" w:cs="Arial" w:eastAsia="Arial" w:hAnsi="Arial"/>
          <w:sz w:val="32"/>
          <w:szCs w:val="32"/>
          <w:color w:val="0063A6"/>
        </w:rPr>
        <w:t>PROPOSAL NO. 2—RATIFICATION OF APPOINTMENT OF INDEPENDENT REGISTERED PUBLIC ACCOUNTING FIRM</w:t>
      </w:r>
    </w:p>
    <w:p>
      <w:pPr>
        <w:spacing w:after="0" w:line="20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Our audit committee has appointed Ernst &amp; Young LLP, an independent registered public accounting firm, to audit our consolidated financial statements for our fiscal year ending December 31, 2024. Ernst &amp; Young LLP has served as our independent registered public accounting firm since 2013.</w:t>
      </w:r>
    </w:p>
    <w:p>
      <w:pPr>
        <w:spacing w:after="0" w:line="102"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At the Annual Meeting, our stockholders are being asked to ratify the appointment of Ernst &amp; Young LLP as our independent registered public accounting firm for our fiscal year ending December 31, 2024.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our board of directors may reconsider the appointment. Representatives of Ernst &amp; Young LLP will be present at the Annual Meeting, and they will have an opportunity to make a statement and will be available to respond to appropriate questions from our stockholders.</w:t>
      </w:r>
    </w:p>
    <w:p>
      <w:pPr>
        <w:spacing w:after="0" w:line="357" w:lineRule="exact"/>
        <w:rPr>
          <w:sz w:val="20"/>
          <w:szCs w:val="20"/>
          <w:color w:val="auto"/>
        </w:rPr>
      </w:pPr>
    </w:p>
    <w:p>
      <w:pPr>
        <w:spacing w:after="0"/>
        <w:rPr>
          <w:sz w:val="20"/>
          <w:szCs w:val="20"/>
          <w:color w:val="auto"/>
        </w:rPr>
      </w:pPr>
      <w:r>
        <w:rPr>
          <w:rFonts w:ascii="Arial" w:cs="Arial" w:eastAsia="Arial" w:hAnsi="Arial"/>
          <w:sz w:val="26"/>
          <w:szCs w:val="26"/>
          <w:color w:val="0063A6"/>
        </w:rPr>
        <w:t>Fees Paid to the Independent Registered Public Accounting Firm</w:t>
      </w:r>
    </w:p>
    <w:p>
      <w:pPr>
        <w:spacing w:after="0" w:line="179" w:lineRule="exact"/>
        <w:rPr>
          <w:sz w:val="20"/>
          <w:szCs w:val="20"/>
          <w:color w:val="auto"/>
        </w:rPr>
      </w:pPr>
    </w:p>
    <w:p>
      <w:pPr>
        <w:ind w:right="460"/>
        <w:spacing w:after="0" w:line="268" w:lineRule="auto"/>
        <w:rPr>
          <w:sz w:val="20"/>
          <w:szCs w:val="20"/>
          <w:color w:val="auto"/>
        </w:rPr>
      </w:pPr>
      <w:r>
        <w:rPr>
          <w:rFonts w:ascii="Arial" w:cs="Arial" w:eastAsia="Arial" w:hAnsi="Arial"/>
          <w:sz w:val="16"/>
          <w:szCs w:val="16"/>
          <w:color w:val="auto"/>
        </w:rPr>
        <w:t>The following table presents fees for professional audit services and other services rendered to our company by Ernst &amp; Young LLP for our fiscal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48260</wp:posOffset>
            </wp:positionV>
            <wp:extent cx="17145" cy="9772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 cy="97726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48260</wp:posOffset>
            </wp:positionV>
            <wp:extent cx="17145" cy="9772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 cy="97726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520" w:type="dxa"/>
            <w:vAlign w:val="bottom"/>
            <w:tcBorders>
              <w:bottom w:val="single" w:sz="8" w:color="0063A6"/>
            </w:tcBorders>
            <w:shd w:val="clear" w:color="auto" w:fill="0063A6"/>
          </w:tcPr>
          <w:p>
            <w:pPr>
              <w:spacing w:after="0"/>
              <w:rPr>
                <w:sz w:val="24"/>
                <w:szCs w:val="24"/>
                <w:color w:val="auto"/>
              </w:rPr>
            </w:pPr>
          </w:p>
        </w:tc>
        <w:tc>
          <w:tcPr>
            <w:tcW w:w="440" w:type="dxa"/>
            <w:vAlign w:val="bottom"/>
            <w:tcBorders>
              <w:bottom w:val="single" w:sz="8" w:color="0063A6"/>
            </w:tcBorders>
            <w:shd w:val="clear" w:color="auto" w:fill="0063A6"/>
          </w:tcPr>
          <w:p>
            <w:pPr>
              <w:spacing w:after="0"/>
              <w:rPr>
                <w:sz w:val="24"/>
                <w:szCs w:val="24"/>
                <w:color w:val="auto"/>
              </w:rPr>
            </w:pPr>
          </w:p>
        </w:tc>
        <w:tc>
          <w:tcPr>
            <w:tcW w:w="1420" w:type="dxa"/>
            <w:vAlign w:val="bottom"/>
            <w:tcBorders>
              <w:bottom w:val="single" w:sz="8" w:color="0063A6"/>
            </w:tcBorders>
            <w:shd w:val="clear" w:color="auto" w:fill="0063A6"/>
          </w:tcPr>
          <w:p>
            <w:pPr>
              <w:jc w:val="right"/>
              <w:ind w:right="701"/>
              <w:spacing w:after="0"/>
              <w:rPr>
                <w:sz w:val="20"/>
                <w:szCs w:val="20"/>
                <w:color w:val="auto"/>
              </w:rPr>
            </w:pPr>
            <w:r>
              <w:rPr>
                <w:rFonts w:ascii="Arial" w:cs="Arial" w:eastAsia="Arial" w:hAnsi="Arial"/>
                <w:sz w:val="14"/>
                <w:szCs w:val="14"/>
                <w:b w:val="1"/>
                <w:bCs w:val="1"/>
                <w:color w:val="FFFFFF"/>
              </w:rPr>
              <w:t>2023</w:t>
            </w:r>
          </w:p>
        </w:tc>
        <w:tc>
          <w:tcPr>
            <w:tcW w:w="440" w:type="dxa"/>
            <w:vAlign w:val="bottom"/>
            <w:tcBorders>
              <w:bottom w:val="single" w:sz="8" w:color="0063A6"/>
            </w:tcBorders>
            <w:shd w:val="clear" w:color="auto" w:fill="0063A6"/>
          </w:tcPr>
          <w:p>
            <w:pPr>
              <w:spacing w:after="0"/>
              <w:rPr>
                <w:sz w:val="24"/>
                <w:szCs w:val="24"/>
                <w:color w:val="auto"/>
              </w:rPr>
            </w:pPr>
          </w:p>
        </w:tc>
        <w:tc>
          <w:tcPr>
            <w:tcW w:w="1420" w:type="dxa"/>
            <w:vAlign w:val="bottom"/>
            <w:tcBorders>
              <w:bottom w:val="single" w:sz="8" w:color="0063A6"/>
            </w:tcBorders>
            <w:shd w:val="clear" w:color="auto" w:fill="0063A6"/>
          </w:tcPr>
          <w:p>
            <w:pPr>
              <w:jc w:val="right"/>
              <w:ind w:right="681"/>
              <w:spacing w:after="0"/>
              <w:rPr>
                <w:sz w:val="20"/>
                <w:szCs w:val="20"/>
                <w:color w:val="auto"/>
              </w:rPr>
            </w:pPr>
            <w:r>
              <w:rPr>
                <w:rFonts w:ascii="Arial" w:cs="Arial" w:eastAsia="Arial" w:hAnsi="Arial"/>
                <w:sz w:val="14"/>
                <w:szCs w:val="14"/>
                <w:b w:val="1"/>
                <w:bCs w:val="1"/>
                <w:color w:val="FFFFFF"/>
              </w:rPr>
              <w:t>2022</w:t>
            </w:r>
          </w:p>
        </w:tc>
      </w:tr>
      <w:tr>
        <w:trPr>
          <w:trHeight w:val="243"/>
        </w:trPr>
        <w:tc>
          <w:tcPr>
            <w:tcW w:w="7520" w:type="dxa"/>
            <w:vAlign w:val="bottom"/>
            <w:shd w:val="clear" w:color="auto" w:fill="F2F2F2"/>
          </w:tcPr>
          <w:p>
            <w:pPr>
              <w:ind w:left="6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3,900,000</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3,879,000</w:t>
            </w:r>
          </w:p>
        </w:tc>
      </w:tr>
      <w:tr>
        <w:trPr>
          <w:trHeight w:val="243"/>
        </w:trPr>
        <w:tc>
          <w:tcPr>
            <w:tcW w:w="7520" w:type="dxa"/>
            <w:vAlign w:val="bottom"/>
          </w:tcPr>
          <w:p>
            <w:pPr>
              <w:ind w:left="6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1,950,000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1,183,000</w:t>
            </w:r>
          </w:p>
        </w:tc>
      </w:tr>
      <w:tr>
        <w:trPr>
          <w:trHeight w:val="243"/>
        </w:trPr>
        <w:tc>
          <w:tcPr>
            <w:tcW w:w="7520" w:type="dxa"/>
            <w:vAlign w:val="bottom"/>
            <w:shd w:val="clear" w:color="auto" w:fill="F2F2F2"/>
          </w:tcPr>
          <w:p>
            <w:pPr>
              <w:ind w:left="60"/>
              <w:spacing w:after="0"/>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260,000</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426,000</w:t>
            </w:r>
          </w:p>
        </w:tc>
      </w:tr>
      <w:tr>
        <w:trPr>
          <w:trHeight w:val="243"/>
        </w:trPr>
        <w:tc>
          <w:tcPr>
            <w:tcW w:w="7520" w:type="dxa"/>
            <w:vAlign w:val="bottom"/>
          </w:tcPr>
          <w:p>
            <w:pPr>
              <w:ind w:left="60"/>
              <w:spacing w:after="0"/>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7,000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6,000</w:t>
            </w:r>
          </w:p>
        </w:tc>
      </w:tr>
      <w:tr>
        <w:trPr>
          <w:trHeight w:val="223"/>
        </w:trPr>
        <w:tc>
          <w:tcPr>
            <w:tcW w:w="752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auto"/>
              </w:rPr>
              <w:t>Total Fees</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b w:val="1"/>
                <w:bCs w:val="1"/>
                <w:color w:val="auto"/>
              </w:rPr>
              <w:t>6,117,000</w:t>
            </w:r>
          </w:p>
        </w:tc>
        <w:tc>
          <w:tcPr>
            <w:tcW w:w="440" w:type="dxa"/>
            <w:vAlign w:val="bottom"/>
            <w:shd w:val="clear" w:color="auto" w:fill="F2F2F2"/>
          </w:tcPr>
          <w:p>
            <w:pPr>
              <w:jc w:val="right"/>
              <w:ind w:right="239"/>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F2F2F2"/>
          </w:tcPr>
          <w:p>
            <w:pPr>
              <w:jc w:val="right"/>
              <w:ind w:right="1"/>
              <w:spacing w:after="0"/>
              <w:rPr>
                <w:sz w:val="20"/>
                <w:szCs w:val="20"/>
                <w:color w:val="auto"/>
              </w:rPr>
            </w:pPr>
            <w:r>
              <w:rPr>
                <w:rFonts w:ascii="Arial" w:cs="Arial" w:eastAsia="Arial" w:hAnsi="Arial"/>
                <w:sz w:val="16"/>
                <w:szCs w:val="16"/>
                <w:b w:val="1"/>
                <w:bCs w:val="1"/>
                <w:color w:val="auto"/>
              </w:rPr>
              <w:t>5,494,000</w:t>
            </w:r>
          </w:p>
        </w:tc>
      </w:tr>
      <w:tr>
        <w:trPr>
          <w:trHeight w:val="20"/>
        </w:trPr>
        <w:tc>
          <w:tcPr>
            <w:tcW w:w="7520" w:type="dxa"/>
            <w:vAlign w:val="bottom"/>
            <w:shd w:val="clear" w:color="auto" w:fill="F2F2F2"/>
          </w:tcPr>
          <w:p>
            <w:pPr>
              <w:spacing w:after="0" w:line="20" w:lineRule="exact"/>
              <w:rPr>
                <w:sz w:val="1"/>
                <w:szCs w:val="1"/>
                <w:color w:val="auto"/>
              </w:rPr>
            </w:pPr>
          </w:p>
        </w:tc>
        <w:tc>
          <w:tcPr>
            <w:tcW w:w="440" w:type="dxa"/>
            <w:vAlign w:val="bottom"/>
            <w:shd w:val="clear" w:color="auto" w:fill="F2F2F2"/>
          </w:tcPr>
          <w:p>
            <w:pPr>
              <w:spacing w:after="0" w:line="20" w:lineRule="exact"/>
              <w:rPr>
                <w:sz w:val="1"/>
                <w:szCs w:val="1"/>
                <w:color w:val="auto"/>
              </w:rPr>
            </w:pPr>
          </w:p>
        </w:tc>
        <w:tc>
          <w:tcPr>
            <w:tcW w:w="1420" w:type="dxa"/>
            <w:vAlign w:val="bottom"/>
            <w:shd w:val="clear" w:color="auto" w:fill="F2F2F2"/>
          </w:tcPr>
          <w:p>
            <w:pPr>
              <w:spacing w:after="0" w:line="20" w:lineRule="exact"/>
              <w:rPr>
                <w:sz w:val="1"/>
                <w:szCs w:val="1"/>
                <w:color w:val="auto"/>
              </w:rPr>
            </w:pPr>
          </w:p>
        </w:tc>
        <w:tc>
          <w:tcPr>
            <w:tcW w:w="440" w:type="dxa"/>
            <w:vAlign w:val="bottom"/>
            <w:shd w:val="clear" w:color="auto" w:fill="F2F2F2"/>
          </w:tcPr>
          <w:p>
            <w:pPr>
              <w:spacing w:after="0" w:line="20" w:lineRule="exact"/>
              <w:rPr>
                <w:sz w:val="1"/>
                <w:szCs w:val="1"/>
                <w:color w:val="auto"/>
              </w:rPr>
            </w:pPr>
          </w:p>
        </w:tc>
        <w:tc>
          <w:tcPr>
            <w:tcW w:w="1420" w:type="dxa"/>
            <w:vAlign w:val="bottom"/>
            <w:shd w:val="clear" w:color="auto" w:fill="F2F2F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-153670</wp:posOffset>
            </wp:positionV>
            <wp:extent cx="1714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-770890</wp:posOffset>
            </wp:positionV>
            <wp:extent cx="17145" cy="4629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 cy="462915"/>
                    </a:xfrm>
                    <a:prstGeom prst="rect">
                      <a:avLst/>
                    </a:prstGeom>
                    <a:noFill/>
                  </pic:spPr>
                </pic:pic>
              </a:graphicData>
            </a:graphic>
          </wp:anchor>
        </w:drawing>
      </w:r>
    </w:p>
    <w:p>
      <w:pPr>
        <w:spacing w:after="0" w:line="65" w:lineRule="exact"/>
        <w:rPr>
          <w:sz w:val="20"/>
          <w:szCs w:val="20"/>
          <w:color w:val="auto"/>
        </w:rPr>
      </w:pPr>
    </w:p>
    <w:p>
      <w:pPr>
        <w:ind w:left="340" w:right="220" w:hanging="332"/>
        <w:spacing w:after="0" w:line="262" w:lineRule="auto"/>
        <w:tabs>
          <w:tab w:leader="none" w:pos="333" w:val="left"/>
        </w:tabs>
        <w:numPr>
          <w:ilvl w:val="0"/>
          <w:numId w:val="47"/>
        </w:numPr>
        <w:rPr>
          <w:rFonts w:ascii="Arial" w:cs="Arial" w:eastAsia="Arial" w:hAnsi="Arial"/>
          <w:sz w:val="9"/>
          <w:szCs w:val="9"/>
          <w:color w:val="auto"/>
        </w:rPr>
      </w:pPr>
      <w:r>
        <w:rPr>
          <w:rFonts w:ascii="Arial" w:cs="Arial" w:eastAsia="Arial" w:hAnsi="Arial"/>
          <w:sz w:val="14"/>
          <w:szCs w:val="14"/>
          <w:color w:val="auto"/>
        </w:rPr>
        <w:t>Consists of fees billed for professional services rendered in connection with the audit of our consolidated financial statements, audit of our internal controls over financial reporting, reviews of our quarterly consolidated financial statements, related accounting consultations, and statutory audits of our international subsidiaries.</w:t>
      </w:r>
    </w:p>
    <w:p>
      <w:pPr>
        <w:jc w:val="both"/>
        <w:ind w:left="340" w:right="300" w:hanging="332"/>
        <w:spacing w:after="0" w:line="226" w:lineRule="auto"/>
        <w:tabs>
          <w:tab w:leader="none" w:pos="333"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Consists of fees billed for assurance and related services that are reasonably related to the performance of the audit or review of our consolidated financial statements, audit of our internal controls over financial reporting, and not reported under “</w:t>
      </w:r>
      <w:r>
        <w:rPr>
          <w:rFonts w:ascii="Arial" w:cs="Arial" w:eastAsia="Arial" w:hAnsi="Arial"/>
          <w:sz w:val="14"/>
          <w:szCs w:val="14"/>
          <w:i w:val="1"/>
          <w:iCs w:val="1"/>
          <w:color w:val="auto"/>
        </w:rPr>
        <w:t>Audit Fees</w:t>
      </w:r>
      <w:r>
        <w:rPr>
          <w:rFonts w:ascii="Arial" w:cs="Arial" w:eastAsia="Arial" w:hAnsi="Arial"/>
          <w:sz w:val="14"/>
          <w:szCs w:val="14"/>
          <w:color w:val="auto"/>
        </w:rPr>
        <w:t>”. This includes fees for professional services with respect to the Statement on Standards for Attestation Engagements (SSAE) No. 18 and other service organization control related examinations, certifications, and assessments, and for fiscal year 2022, due diligence services related to mergers and acquisitions.</w:t>
      </w:r>
    </w:p>
    <w:p>
      <w:pPr>
        <w:ind w:left="320" w:hanging="312"/>
        <w:spacing w:after="0" w:line="206" w:lineRule="auto"/>
        <w:tabs>
          <w:tab w:leader="none" w:pos="320"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Tax Fees consist of fees for professional services for domestic and international tax advisory services.</w:t>
      </w:r>
    </w:p>
    <w:p>
      <w:pPr>
        <w:ind w:left="340" w:right="60" w:hanging="332"/>
        <w:spacing w:after="0" w:line="213" w:lineRule="auto"/>
        <w:tabs>
          <w:tab w:leader="none" w:pos="333"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Consists of aggregate fees billed for products and services provided by the independent registered public accounting firm other than those disclosed above, which relate to subscription fees paid for access to online accounting research software applications.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212"/>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4" w:lineRule="exact"/>
        <w:rPr>
          <w:sz w:val="20"/>
          <w:szCs w:val="20"/>
          <w:color w:val="auto"/>
        </w:rPr>
      </w:pPr>
    </w:p>
    <w:p>
      <w:pPr>
        <w:ind w:right="20"/>
        <w:spacing w:after="0" w:line="252" w:lineRule="auto"/>
        <w:rPr>
          <w:sz w:val="20"/>
          <w:szCs w:val="20"/>
          <w:color w:val="auto"/>
        </w:rPr>
      </w:pPr>
      <w:r>
        <w:rPr>
          <w:rFonts w:ascii="Arial" w:cs="Arial" w:eastAsia="Arial" w:hAnsi="Arial"/>
          <w:sz w:val="32"/>
          <w:szCs w:val="32"/>
          <w:color w:val="0063A6"/>
        </w:rPr>
        <w:t>PROPOSAL NO. 2—RATIFICATION OF APPOINTMENT OF INDEPENDENT REGISTERED PUBLIC ACCOUNTING FIRM</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color w:val="0063A6"/>
        </w:rPr>
        <w:t>(continued)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6"/>
          <w:szCs w:val="26"/>
          <w:color w:val="0063A6"/>
        </w:rPr>
        <w:t>Auditor Independence</w:t>
      </w:r>
    </w:p>
    <w:p>
      <w:pPr>
        <w:spacing w:after="0" w:line="16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 our fiscal year ended December 31, 2023, there were no other professional services provided by Ernst &amp; Young LLP, other than those listed above, that would have required our audit committee to consider their compatibility with maintaining the independence of Ernst &amp; Young LLP.</w:t>
      </w:r>
    </w:p>
    <w:p>
      <w:pPr>
        <w:spacing w:after="0" w:line="150" w:lineRule="exact"/>
        <w:rPr>
          <w:sz w:val="20"/>
          <w:szCs w:val="20"/>
          <w:color w:val="auto"/>
        </w:rPr>
      </w:pPr>
    </w:p>
    <w:p>
      <w:pPr>
        <w:ind w:right="1060"/>
        <w:spacing w:after="0" w:line="276" w:lineRule="auto"/>
        <w:rPr>
          <w:sz w:val="20"/>
          <w:szCs w:val="20"/>
          <w:color w:val="auto"/>
        </w:rPr>
      </w:pPr>
      <w:r>
        <w:rPr>
          <w:rFonts w:ascii="Arial" w:cs="Arial" w:eastAsia="Arial" w:hAnsi="Arial"/>
          <w:sz w:val="26"/>
          <w:szCs w:val="26"/>
          <w:color w:val="0063A6"/>
        </w:rPr>
        <w:t>Audit Committee Policy on Pre-Approval of Audit and Permissible Non-Audit Services of Independent Registered Public Accounting Firm</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audit committee has established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the public accountants’ independence. All services provided by Ernst &amp; Young LLP for our fiscal years ended December 31, 2022 and 2023 were pre-approved by our audit committee.</w:t>
      </w:r>
    </w:p>
    <w:p>
      <w:pPr>
        <w:spacing w:after="0" w:line="348" w:lineRule="exact"/>
        <w:rPr>
          <w:sz w:val="20"/>
          <w:szCs w:val="20"/>
          <w:color w:val="auto"/>
        </w:rPr>
      </w:pPr>
    </w:p>
    <w:p>
      <w:pPr>
        <w:spacing w:after="0"/>
        <w:rPr>
          <w:sz w:val="20"/>
          <w:szCs w:val="20"/>
          <w:color w:val="auto"/>
        </w:rPr>
      </w:pPr>
      <w:r>
        <w:rPr>
          <w:rFonts w:ascii="Arial" w:cs="Arial" w:eastAsia="Arial" w:hAnsi="Arial"/>
          <w:sz w:val="26"/>
          <w:szCs w:val="26"/>
          <w:color w:val="0063A6"/>
        </w:rPr>
        <w:t>Vote Required</w:t>
      </w:r>
    </w:p>
    <w:p>
      <w:pPr>
        <w:spacing w:after="0" w:line="165"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ratification of the appointment of Ernst &amp; Young LLP as our independent registered public accounting firm for our fiscal year ending December 31, 2024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spacing w:after="0" w:line="347" w:lineRule="exact"/>
        <w:rPr>
          <w:sz w:val="20"/>
          <w:szCs w:val="20"/>
          <w:color w:val="auto"/>
        </w:rPr>
      </w:pPr>
    </w:p>
    <w:p>
      <w:pPr>
        <w:ind w:right="440"/>
        <w:spacing w:after="0" w:line="296" w:lineRule="auto"/>
        <w:rPr>
          <w:sz w:val="20"/>
          <w:szCs w:val="20"/>
          <w:color w:val="auto"/>
        </w:rPr>
      </w:pPr>
      <w:r>
        <w:rPr>
          <w:rFonts w:ascii="Arial" w:cs="Arial" w:eastAsia="Arial" w:hAnsi="Arial"/>
          <w:sz w:val="16"/>
          <w:szCs w:val="16"/>
          <w:b w:val="1"/>
          <w:bCs w:val="1"/>
          <w:color w:val="0063A6"/>
        </w:rPr>
        <w:t>THE BOARD OF DIRECTORS RECOMMENDS A VOTE “FOR” THE RATIFICATION OF THE APPOINTMENT OF ERNST &amp; YOUNG LLP AS OUR INDEPENDENT REGISTERED PUBLIC ACCOUNTING FIRM.</w:t>
      </w:r>
    </w:p>
    <w:p>
      <w:pPr>
        <w:spacing w:after="0" w:line="200" w:lineRule="exact"/>
        <w:rPr>
          <w:sz w:val="20"/>
          <w:szCs w:val="20"/>
          <w:color w:val="auto"/>
        </w:rPr>
      </w:pPr>
    </w:p>
    <w:p>
      <w:pPr>
        <w:spacing w:after="0" w:line="269" w:lineRule="exact"/>
        <w:rPr>
          <w:sz w:val="20"/>
          <w:szCs w:val="20"/>
          <w:color w:val="auto"/>
        </w:rPr>
      </w:pPr>
    </w:p>
    <w:p>
      <w:pPr>
        <w:ind w:left="580" w:hanging="554"/>
        <w:spacing w:after="0"/>
        <w:tabs>
          <w:tab w:leader="none" w:pos="580" w:val="left"/>
        </w:tabs>
        <w:numPr>
          <w:ilvl w:val="0"/>
          <w:numId w:val="4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4" w:lineRule="exact"/>
        <w:rPr>
          <w:sz w:val="20"/>
          <w:szCs w:val="20"/>
          <w:color w:val="auto"/>
        </w:rPr>
      </w:pPr>
    </w:p>
    <w:p>
      <w:pPr>
        <w:spacing w:after="0"/>
        <w:rPr>
          <w:sz w:val="20"/>
          <w:szCs w:val="20"/>
          <w:color w:val="auto"/>
        </w:rPr>
      </w:pPr>
      <w:r>
        <w:rPr>
          <w:rFonts w:ascii="Arial" w:cs="Arial" w:eastAsia="Arial" w:hAnsi="Arial"/>
          <w:sz w:val="32"/>
          <w:szCs w:val="32"/>
          <w:color w:val="0063A6"/>
        </w:rPr>
        <w:t>REPORT OF THE AUDIT COMMITTEE</w:t>
      </w:r>
    </w:p>
    <w:p>
      <w:pPr>
        <w:spacing w:after="0" w:line="200" w:lineRule="exact"/>
        <w:rPr>
          <w:sz w:val="20"/>
          <w:szCs w:val="20"/>
          <w:color w:val="auto"/>
        </w:rPr>
      </w:pPr>
    </w:p>
    <w:p>
      <w:pPr>
        <w:spacing w:after="0" w:line="35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audit committee is a committee of the board of directors comprised solely of independent directors as required by Nasdaq listing standards and SEC rules and regulations. The composition of the audit committee, the attributes of its members and the responsibilities of the audit committee, as reflected in its charter, are intended to be in accordance with applicable requirements for corporate audit committees. With respect to Dropbox’s financial reporting process, Dropbox’s management is responsible for (1) establishing and maintaining internal controls and (2) preparing Dropbox’s consolidated financial statements. Dropbox’s independent registered public accounting firm, Ernst &amp; Young LLP (“</w:t>
      </w:r>
      <w:r>
        <w:rPr>
          <w:rFonts w:ascii="Arial" w:cs="Arial" w:eastAsia="Arial" w:hAnsi="Arial"/>
          <w:sz w:val="16"/>
          <w:szCs w:val="16"/>
          <w:b w:val="1"/>
          <w:bCs w:val="1"/>
          <w:i w:val="1"/>
          <w:iCs w:val="1"/>
          <w:color w:val="auto"/>
        </w:rPr>
        <w:t>Ernst &amp; Young</w:t>
      </w:r>
      <w:r>
        <w:rPr>
          <w:rFonts w:ascii="Arial" w:cs="Arial" w:eastAsia="Arial" w:hAnsi="Arial"/>
          <w:sz w:val="16"/>
          <w:szCs w:val="16"/>
          <w:color w:val="auto"/>
        </w:rPr>
        <w:t>”), is responsible for performing an independent audit of Dropbox’s consolidated financial statements and the effectiveness of the company’s internal control over financial reporting. It is the responsibility of the audit committee to oversee these activities. It is not the responsibility of the audit committee to prepare Dropbox’s financial statements. These are the fundamental responsibilities of management. In the performance of its oversight function, the audit committee has:</w:t>
      </w:r>
    </w:p>
    <w:p>
      <w:pPr>
        <w:spacing w:after="0" w:line="132" w:lineRule="exact"/>
        <w:rPr>
          <w:sz w:val="20"/>
          <w:szCs w:val="20"/>
          <w:color w:val="auto"/>
        </w:rPr>
      </w:pPr>
    </w:p>
    <w:p>
      <w:pPr>
        <w:ind w:left="720" w:hanging="307"/>
        <w:spacing w:after="0"/>
        <w:tabs>
          <w:tab w:leader="none" w:pos="720" w:val="left"/>
        </w:tabs>
        <w:numPr>
          <w:ilvl w:val="0"/>
          <w:numId w:val="49"/>
        </w:numPr>
        <w:rPr>
          <w:rFonts w:ascii="Arial" w:cs="Arial" w:eastAsia="Arial" w:hAnsi="Arial"/>
          <w:sz w:val="16"/>
          <w:szCs w:val="16"/>
          <w:color w:val="0063A6"/>
        </w:rPr>
      </w:pPr>
      <w:r>
        <w:rPr>
          <w:rFonts w:ascii="Arial" w:cs="Arial" w:eastAsia="Arial" w:hAnsi="Arial"/>
          <w:sz w:val="16"/>
          <w:szCs w:val="16"/>
          <w:color w:val="auto"/>
        </w:rPr>
        <w:t>reviewed and discussed the audited consolidated financial statements with management, internal audit and Ernst &amp; Young;</w:t>
      </w:r>
    </w:p>
    <w:p>
      <w:pPr>
        <w:spacing w:after="0" w:line="167" w:lineRule="exact"/>
        <w:rPr>
          <w:rFonts w:ascii="Arial" w:cs="Arial" w:eastAsia="Arial" w:hAnsi="Arial"/>
          <w:sz w:val="16"/>
          <w:szCs w:val="16"/>
          <w:color w:val="0063A6"/>
        </w:rPr>
      </w:pPr>
    </w:p>
    <w:p>
      <w:pPr>
        <w:ind w:left="740" w:right="220" w:hanging="327"/>
        <w:spacing w:after="0" w:line="296" w:lineRule="auto"/>
        <w:tabs>
          <w:tab w:leader="none" w:pos="729" w:val="left"/>
        </w:tabs>
        <w:numPr>
          <w:ilvl w:val="0"/>
          <w:numId w:val="49"/>
        </w:numPr>
        <w:rPr>
          <w:rFonts w:ascii="Arial" w:cs="Arial" w:eastAsia="Arial" w:hAnsi="Arial"/>
          <w:sz w:val="16"/>
          <w:szCs w:val="16"/>
          <w:color w:val="0063A6"/>
        </w:rPr>
      </w:pPr>
      <w:r>
        <w:rPr>
          <w:rFonts w:ascii="Arial" w:cs="Arial" w:eastAsia="Arial" w:hAnsi="Arial"/>
          <w:sz w:val="16"/>
          <w:szCs w:val="16"/>
          <w:color w:val="auto"/>
        </w:rPr>
        <w:t>discussed with Ernst &amp; Young the matters required to be discussed by the applicable requirements of the Public Company Accounting Oversight Board (“</w:t>
      </w:r>
      <w:r>
        <w:rPr>
          <w:rFonts w:ascii="Arial" w:cs="Arial" w:eastAsia="Arial" w:hAnsi="Arial"/>
          <w:sz w:val="16"/>
          <w:szCs w:val="16"/>
          <w:b w:val="1"/>
          <w:bCs w:val="1"/>
          <w:i w:val="1"/>
          <w:iCs w:val="1"/>
          <w:color w:val="auto"/>
        </w:rPr>
        <w:t>PCAOB</w:t>
      </w:r>
      <w:r>
        <w:rPr>
          <w:rFonts w:ascii="Arial" w:cs="Arial" w:eastAsia="Arial" w:hAnsi="Arial"/>
          <w:sz w:val="16"/>
          <w:szCs w:val="16"/>
          <w:color w:val="auto"/>
        </w:rPr>
        <w:t>”); and</w:t>
      </w:r>
    </w:p>
    <w:p>
      <w:pPr>
        <w:spacing w:after="0" w:line="86" w:lineRule="exact"/>
        <w:rPr>
          <w:rFonts w:ascii="Arial" w:cs="Arial" w:eastAsia="Arial" w:hAnsi="Arial"/>
          <w:sz w:val="16"/>
          <w:szCs w:val="16"/>
          <w:color w:val="0063A6"/>
        </w:rPr>
      </w:pPr>
    </w:p>
    <w:p>
      <w:pPr>
        <w:ind w:left="740" w:right="200" w:hanging="327"/>
        <w:spacing w:after="0" w:line="268" w:lineRule="auto"/>
        <w:tabs>
          <w:tab w:leader="none" w:pos="729" w:val="left"/>
        </w:tabs>
        <w:numPr>
          <w:ilvl w:val="0"/>
          <w:numId w:val="49"/>
        </w:numPr>
        <w:rPr>
          <w:rFonts w:ascii="Arial" w:cs="Arial" w:eastAsia="Arial" w:hAnsi="Arial"/>
          <w:sz w:val="16"/>
          <w:szCs w:val="16"/>
          <w:color w:val="0063A6"/>
        </w:rPr>
      </w:pPr>
      <w:r>
        <w:rPr>
          <w:rFonts w:ascii="Arial" w:cs="Arial" w:eastAsia="Arial" w:hAnsi="Arial"/>
          <w:sz w:val="16"/>
          <w:szCs w:val="16"/>
          <w:color w:val="auto"/>
        </w:rPr>
        <w:t>received the written disclosures and the letter from Ernst &amp; Young required by applicable requirements of the PCAOB regarding the independent accountant’s communications with the audit committee concerning independence, and has discussed with Ernst &amp; Young its independence.</w:t>
      </w:r>
    </w:p>
    <w:p>
      <w:pPr>
        <w:spacing w:after="0" w:line="116"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Based on the audit committee’s review and discussions with management and Ernst &amp; Young, the audit committee recommended to the board of directors that the audited financial statements be included in the Annual Report on Form 10-K for the fiscal year ended December 31, 2023 for filing with the SEC.</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audit committee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Donald W. Blair (Chair)</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Lisa Campbell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Sara Mathew</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Andrew Moore</w:t>
      </w:r>
    </w:p>
    <w:p>
      <w:pPr>
        <w:spacing w:after="0" w:line="15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or under the Exchange Act, except to the extent that we specifically incorporate this information by reference, and will not otherwise be deemed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“soliciting material” or “filed” under either the Securities Act or the Exchange Act.</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12"/>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4" w:lineRule="exact"/>
        <w:rPr>
          <w:sz w:val="20"/>
          <w:szCs w:val="20"/>
          <w:color w:val="auto"/>
        </w:rPr>
      </w:pPr>
    </w:p>
    <w:p>
      <w:pPr>
        <w:ind w:right="180"/>
        <w:spacing w:after="0" w:line="286" w:lineRule="auto"/>
        <w:rPr>
          <w:sz w:val="20"/>
          <w:szCs w:val="20"/>
          <w:color w:val="auto"/>
        </w:rPr>
      </w:pPr>
      <w:r>
        <w:rPr>
          <w:rFonts w:ascii="Arial" w:cs="Arial" w:eastAsia="Arial" w:hAnsi="Arial"/>
          <w:sz w:val="32"/>
          <w:szCs w:val="32"/>
          <w:color w:val="0063A6"/>
        </w:rPr>
        <w:t>PROPOSAL NO. 3—ADVISORY VOTE ON THE COMPENSATION OF OUR NAMED EXECUTIVE OFFICERS</w:t>
      </w:r>
    </w:p>
    <w:p>
      <w:pPr>
        <w:spacing w:after="0" w:line="36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In accordance with the Dodd-Frank Wall Street Reform and Consumer Protection Act of 2010 (the “</w:t>
      </w:r>
      <w:r>
        <w:rPr>
          <w:rFonts w:ascii="Arial" w:cs="Arial" w:eastAsia="Arial" w:hAnsi="Arial"/>
          <w:sz w:val="16"/>
          <w:szCs w:val="16"/>
          <w:b w:val="1"/>
          <w:bCs w:val="1"/>
          <w:i w:val="1"/>
          <w:iCs w:val="1"/>
          <w:color w:val="auto"/>
        </w:rPr>
        <w:t>Dodd-Frank Act</w:t>
      </w:r>
      <w:r>
        <w:rPr>
          <w:rFonts w:ascii="Arial" w:cs="Arial" w:eastAsia="Arial" w:hAnsi="Arial"/>
          <w:sz w:val="16"/>
          <w:szCs w:val="16"/>
          <w:color w:val="auto"/>
        </w:rPr>
        <w:t>”) and SEC rules, we are providing our stockholders with the opportunity to vote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2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Say-on-Pay vote is advisory, and therefore is not binding on us, our talent and compensation committee, or our board of directors. The Say-on-Pay vote will, however, provide information to us regarding investor sentiment about our executive compensation philosophy, policies and practices, which our talent and compensation committee will be able to consider when determining executive compensation for the remainder of the current fiscal year and beyond. Our board of directors and our talent and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talent and compensation committee will evaluate whether any actions are necessary to address those concerns.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information provided in the section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in particular the information discussed in the section titled</w:t>
      </w:r>
    </w:p>
    <w:p>
      <w:pPr>
        <w:spacing w:after="0" w:line="2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Executive Compensation—Compensation Philosophy</w:t>
      </w:r>
      <w:r>
        <w:rPr>
          <w:rFonts w:ascii="Arial" w:cs="Arial" w:eastAsia="Arial" w:hAnsi="Arial"/>
          <w:sz w:val="16"/>
          <w:szCs w:val="16"/>
          <w:color w:val="auto"/>
        </w:rPr>
        <w:t>,”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124" w:lineRule="exact"/>
        <w:rPr>
          <w:sz w:val="20"/>
          <w:szCs w:val="20"/>
          <w:color w:val="auto"/>
        </w:rPr>
      </w:pPr>
    </w:p>
    <w:p>
      <w:pPr>
        <w:ind w:right="640"/>
        <w:spacing w:after="0" w:line="257" w:lineRule="auto"/>
        <w:rPr>
          <w:sz w:val="20"/>
          <w:szCs w:val="20"/>
          <w:color w:val="auto"/>
        </w:rPr>
      </w:pPr>
      <w:r>
        <w:rPr>
          <w:rFonts w:ascii="Arial" w:cs="Arial" w:eastAsia="Arial" w:hAnsi="Arial"/>
          <w:sz w:val="16"/>
          <w:szCs w:val="16"/>
          <w:color w:val="auto"/>
        </w:rPr>
        <w:t>“RESOLVED, that the stockholders approve, on an advisory basis, the compensation paid to our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349" w:lineRule="exact"/>
        <w:rPr>
          <w:sz w:val="20"/>
          <w:szCs w:val="20"/>
          <w:color w:val="auto"/>
        </w:rPr>
      </w:pPr>
    </w:p>
    <w:p>
      <w:pPr>
        <w:spacing w:after="0"/>
        <w:rPr>
          <w:sz w:val="20"/>
          <w:szCs w:val="20"/>
          <w:color w:val="auto"/>
        </w:rPr>
      </w:pPr>
      <w:r>
        <w:rPr>
          <w:rFonts w:ascii="Arial" w:cs="Arial" w:eastAsia="Arial" w:hAnsi="Arial"/>
          <w:sz w:val="26"/>
          <w:szCs w:val="26"/>
          <w:color w:val="0063A6"/>
        </w:rPr>
        <w:t>Vote Required</w:t>
      </w:r>
    </w:p>
    <w:p>
      <w:pPr>
        <w:spacing w:after="0" w:line="16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approval, on an advisory basis, of the compensation of our named executive officers, requires the affirmative vote of a majority of the voting power of the shares of our common stock present virtually or by proxy at the Annual Meeting and entitled to vote thereon. Abstentions will have the effect of a vote against this proposal, and broker non-votes will have no effect.</w:t>
      </w:r>
    </w:p>
    <w:p>
      <w:pPr>
        <w:spacing w:after="0" w:line="117" w:lineRule="exact"/>
        <w:rPr>
          <w:sz w:val="20"/>
          <w:szCs w:val="20"/>
          <w:color w:val="auto"/>
        </w:rPr>
      </w:pPr>
    </w:p>
    <w:p>
      <w:pPr>
        <w:jc w:val="both"/>
        <w:ind w:right="420"/>
        <w:spacing w:after="0" w:line="257" w:lineRule="auto"/>
        <w:rPr>
          <w:sz w:val="20"/>
          <w:szCs w:val="20"/>
          <w:color w:val="auto"/>
        </w:rPr>
      </w:pPr>
      <w:r>
        <w:rPr>
          <w:rFonts w:ascii="Arial" w:cs="Arial" w:eastAsia="Arial" w:hAnsi="Arial"/>
          <w:sz w:val="16"/>
          <w:szCs w:val="16"/>
          <w:color w:val="auto"/>
        </w:rPr>
        <w:t>As an advisory vote, the result of this proposal is non-binding. Although the vote is non-binding, our board of directors and our talent and compensation committee value the opinions of our stockholders and will consider the outcome of the vote when making future compensation decisions for our named executive officers.</w:t>
      </w:r>
    </w:p>
    <w:p>
      <w:pPr>
        <w:spacing w:after="0" w:line="12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currently hold our advisory vote on executive compensation annually. Accordingly, the next advisory vote on executive compensation will be held at our 2025 annual meeting of stockholders.</w:t>
      </w:r>
    </w:p>
    <w:p>
      <w:pPr>
        <w:spacing w:after="0" w:line="331" w:lineRule="exact"/>
        <w:rPr>
          <w:sz w:val="20"/>
          <w:szCs w:val="20"/>
          <w:color w:val="auto"/>
        </w:rPr>
      </w:pPr>
    </w:p>
    <w:p>
      <w:pPr>
        <w:ind w:right="520"/>
        <w:spacing w:after="0" w:line="296" w:lineRule="auto"/>
        <w:rPr>
          <w:sz w:val="20"/>
          <w:szCs w:val="20"/>
          <w:color w:val="auto"/>
        </w:rPr>
      </w:pPr>
      <w:r>
        <w:rPr>
          <w:rFonts w:ascii="Arial" w:cs="Arial" w:eastAsia="Arial" w:hAnsi="Arial"/>
          <w:sz w:val="16"/>
          <w:szCs w:val="16"/>
          <w:b w:val="1"/>
          <w:bCs w:val="1"/>
          <w:color w:val="0063A6"/>
        </w:rPr>
        <w:t>THE BOARD OF DIRECTORS RECOMMENDS A VOTE “FOR” THE APPROVAL, ON AN ADVISORY BASIS, OF THE COMPENSATION OF OUR NAMED EXECUTIVE OFFICERS.</w:t>
      </w:r>
    </w:p>
    <w:p>
      <w:pPr>
        <w:spacing w:after="0" w:line="200" w:lineRule="exact"/>
        <w:rPr>
          <w:sz w:val="20"/>
          <w:szCs w:val="20"/>
          <w:color w:val="auto"/>
        </w:rPr>
      </w:pPr>
    </w:p>
    <w:p>
      <w:pPr>
        <w:spacing w:after="0" w:line="269" w:lineRule="exact"/>
        <w:rPr>
          <w:sz w:val="20"/>
          <w:szCs w:val="20"/>
          <w:color w:val="auto"/>
        </w:rPr>
      </w:pPr>
    </w:p>
    <w:p>
      <w:pPr>
        <w:ind w:left="580" w:hanging="554"/>
        <w:spacing w:after="0"/>
        <w:tabs>
          <w:tab w:leader="none" w:pos="58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OFFICERS</w:t>
      </w:r>
    </w:p>
    <w:p>
      <w:pPr>
        <w:spacing w:after="0" w:line="200" w:lineRule="exact"/>
        <w:rPr>
          <w:sz w:val="20"/>
          <w:szCs w:val="20"/>
          <w:color w:val="auto"/>
        </w:rPr>
      </w:pPr>
    </w:p>
    <w:p>
      <w:pPr>
        <w:spacing w:after="0" w:line="35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table identifies certain information about our executive officers as of March 21, 2024. Our executive officers are appointed by, and serve at the discretion of, our board of directors. 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7118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71183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56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Age</w:t>
            </w:r>
          </w:p>
        </w:tc>
        <w:tc>
          <w:tcPr>
            <w:tcW w:w="5980" w:type="dxa"/>
            <w:vAlign w:val="bottom"/>
            <w:tcBorders>
              <w:bottom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Position</w:t>
            </w:r>
          </w:p>
        </w:tc>
      </w:tr>
      <w:tr>
        <w:trPr>
          <w:trHeight w:val="250"/>
        </w:trPr>
        <w:tc>
          <w:tcPr>
            <w:tcW w:w="35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41</w:t>
            </w:r>
          </w:p>
        </w:tc>
        <w:tc>
          <w:tcPr>
            <w:tcW w:w="59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6"/>
                <w:szCs w:val="16"/>
                <w:color w:val="auto"/>
              </w:rPr>
              <w:t>Chief Executive Officer, Co-Founder, and Chair</w:t>
            </w:r>
          </w:p>
        </w:tc>
      </w:tr>
      <w:tr>
        <w:trPr>
          <w:trHeight w:val="228"/>
        </w:trPr>
        <w:tc>
          <w:tcPr>
            <w:tcW w:w="356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1700" w:type="dxa"/>
            <w:vAlign w:val="bottom"/>
          </w:tcPr>
          <w:p>
            <w:pPr>
              <w:jc w:val="center"/>
              <w:spacing w:after="0"/>
              <w:rPr>
                <w:sz w:val="20"/>
                <w:szCs w:val="20"/>
                <w:color w:val="auto"/>
              </w:rPr>
            </w:pPr>
            <w:r>
              <w:rPr>
                <w:rFonts w:ascii="Arial" w:cs="Arial" w:eastAsia="Arial" w:hAnsi="Arial"/>
                <w:sz w:val="16"/>
                <w:szCs w:val="16"/>
                <w:color w:val="auto"/>
              </w:rPr>
              <w:t>47</w:t>
            </w:r>
          </w:p>
        </w:tc>
        <w:tc>
          <w:tcPr>
            <w:tcW w:w="5980" w:type="dxa"/>
            <w:vAlign w:val="bottom"/>
          </w:tcPr>
          <w:p>
            <w:pPr>
              <w:ind w:left="80"/>
              <w:spacing w:after="0"/>
              <w:rPr>
                <w:sz w:val="20"/>
                <w:szCs w:val="20"/>
                <w:color w:val="auto"/>
              </w:rPr>
            </w:pPr>
            <w:r>
              <w:rPr>
                <w:rFonts w:ascii="Arial" w:cs="Arial" w:eastAsia="Arial" w:hAnsi="Arial"/>
                <w:sz w:val="16"/>
                <w:szCs w:val="16"/>
                <w:color w:val="auto"/>
              </w:rPr>
              <w:t>Chief Financial Officer</w:t>
            </w:r>
          </w:p>
        </w:tc>
      </w:tr>
      <w:tr>
        <w:trPr>
          <w:trHeight w:val="43"/>
        </w:trPr>
        <w:tc>
          <w:tcPr>
            <w:tcW w:w="35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5980" w:type="dxa"/>
            <w:vAlign w:val="bottom"/>
          </w:tcPr>
          <w:p>
            <w:pPr>
              <w:spacing w:after="0"/>
              <w:rPr>
                <w:sz w:val="3"/>
                <w:szCs w:val="3"/>
                <w:color w:val="auto"/>
              </w:rPr>
            </w:pPr>
          </w:p>
        </w:tc>
      </w:tr>
      <w:tr>
        <w:trPr>
          <w:trHeight w:val="237"/>
        </w:trPr>
        <w:tc>
          <w:tcPr>
            <w:tcW w:w="35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Bart E. Volkmer</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49</w:t>
            </w:r>
          </w:p>
        </w:tc>
        <w:tc>
          <w:tcPr>
            <w:tcW w:w="59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6"/>
                <w:szCs w:val="16"/>
                <w:color w:val="auto"/>
              </w:rPr>
              <w:t>Chief Legal Officer</w:t>
            </w:r>
          </w:p>
        </w:tc>
      </w:tr>
      <w:tr>
        <w:trPr>
          <w:trHeight w:val="285"/>
        </w:trPr>
        <w:tc>
          <w:tcPr>
            <w:tcW w:w="3560" w:type="dxa"/>
            <w:vAlign w:val="bottom"/>
          </w:tcPr>
          <w:p>
            <w:pPr>
              <w:ind w:left="60"/>
              <w:spacing w:after="0"/>
              <w:rPr>
                <w:sz w:val="20"/>
                <w:szCs w:val="20"/>
                <w:color w:val="auto"/>
              </w:rPr>
            </w:pPr>
            <w:r>
              <w:rPr>
                <w:rFonts w:ascii="Arial" w:cs="Arial" w:eastAsia="Arial" w:hAnsi="Arial"/>
                <w:sz w:val="16"/>
                <w:szCs w:val="16"/>
                <w:color w:val="auto"/>
              </w:rPr>
              <w:t>Eric Cox</w:t>
            </w:r>
            <w:r>
              <w:rPr>
                <w:rFonts w:ascii="Arial" w:cs="Arial" w:eastAsia="Arial" w:hAnsi="Arial"/>
                <w:sz w:val="21"/>
                <w:szCs w:val="21"/>
                <w:color w:val="auto"/>
                <w:vertAlign w:val="superscript"/>
              </w:rPr>
              <w:t>(1)</w:t>
            </w:r>
          </w:p>
        </w:tc>
        <w:tc>
          <w:tcPr>
            <w:tcW w:w="1700" w:type="dxa"/>
            <w:vAlign w:val="bottom"/>
          </w:tcPr>
          <w:p>
            <w:pPr>
              <w:jc w:val="center"/>
              <w:spacing w:after="0"/>
              <w:rPr>
                <w:sz w:val="20"/>
                <w:szCs w:val="20"/>
                <w:color w:val="auto"/>
              </w:rPr>
            </w:pPr>
            <w:r>
              <w:rPr>
                <w:rFonts w:ascii="Arial" w:cs="Arial" w:eastAsia="Arial" w:hAnsi="Arial"/>
                <w:sz w:val="16"/>
                <w:szCs w:val="16"/>
                <w:color w:val="auto"/>
              </w:rPr>
              <w:t>53</w:t>
            </w:r>
          </w:p>
        </w:tc>
        <w:tc>
          <w:tcPr>
            <w:tcW w:w="5980" w:type="dxa"/>
            <w:vAlign w:val="bottom"/>
          </w:tcPr>
          <w:p>
            <w:pPr>
              <w:ind w:left="60"/>
              <w:spacing w:after="0"/>
              <w:rPr>
                <w:sz w:val="20"/>
                <w:szCs w:val="20"/>
                <w:color w:val="auto"/>
              </w:rPr>
            </w:pPr>
            <w:r>
              <w:rPr>
                <w:rFonts w:ascii="Arial" w:cs="Arial" w:eastAsia="Arial" w:hAnsi="Arial"/>
                <w:sz w:val="16"/>
                <w:szCs w:val="16"/>
                <w:color w:val="auto"/>
              </w:rPr>
              <w:t>Chief Customer Officer</w:t>
            </w:r>
          </w:p>
        </w:tc>
      </w:tr>
    </w:tbl>
    <w:p>
      <w:pPr>
        <w:spacing w:after="0" w:line="70"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9"/>
          <w:szCs w:val="9"/>
          <w:color w:val="auto"/>
        </w:rPr>
      </w:pPr>
      <w:r>
        <w:rPr>
          <w:rFonts w:ascii="Arial" w:cs="Arial" w:eastAsia="Arial" w:hAnsi="Arial"/>
          <w:sz w:val="14"/>
          <w:szCs w:val="14"/>
          <w:color w:val="auto"/>
        </w:rPr>
        <w:t>Mr. Cox has served as our Chief Customer Officer since December 2023.</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For Mr. Houston’s biography, see “</w:t>
      </w:r>
      <w:r>
        <w:rPr>
          <w:rFonts w:ascii="Arial" w:cs="Arial" w:eastAsia="Arial" w:hAnsi="Arial"/>
          <w:sz w:val="16"/>
          <w:szCs w:val="16"/>
          <w:i w:val="1"/>
          <w:iCs w:val="1"/>
          <w:color w:val="auto"/>
        </w:rPr>
        <w:t>Nominees for Director</w:t>
      </w:r>
      <w:r>
        <w:rPr>
          <w:rFonts w:ascii="Arial" w:cs="Arial" w:eastAsia="Arial" w:hAnsi="Arial"/>
          <w:sz w:val="16"/>
          <w:szCs w:val="16"/>
          <w:color w:val="auto"/>
        </w:rPr>
        <w:t>.”</w:t>
      </w:r>
    </w:p>
    <w:p>
      <w:pPr>
        <w:spacing w:after="0" w:line="16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b w:val="1"/>
          <w:bCs w:val="1"/>
          <w:color w:val="0063A6"/>
        </w:rPr>
        <w:t>Timothy Regan</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Timothy Regan, CPA, has served as Dropbox’s Chief Financial Officer since September 2020. Previously, he served as Dropbox’s Chief</w:t>
      </w:r>
      <w:r>
        <w:rPr>
          <w:rFonts w:ascii="Arial" w:cs="Arial" w:eastAsia="Arial" w:hAnsi="Arial"/>
          <w:sz w:val="16"/>
          <w:szCs w:val="16"/>
          <w:b w:val="1"/>
          <w:bCs w:val="1"/>
          <w:color w:val="0063A6"/>
        </w:rPr>
        <w:t xml:space="preserve"> </w:t>
      </w:r>
      <w:r>
        <w:rPr>
          <w:rFonts w:ascii="Arial" w:cs="Arial" w:eastAsia="Arial" w:hAnsi="Arial"/>
          <w:sz w:val="16"/>
          <w:szCs w:val="16"/>
          <w:color w:val="000000"/>
        </w:rPr>
        <w:t>Accounting Officer from December 2016 to September 2020. From January 2011 to December 2016, he served as VP Finance Controller at Pandora Media, Inc., or Pandora. Prior to joining Pandora, he held senior positions at Dolby Laboratories, Inc., and Ernst and Young LLP. Mr. Regan received his Bachelor of Arts in Accounting from Georgetown University in 1999 and his Master of Business Administration from the University of California, Berkeley Haas School of Business, in 2011.</w:t>
      </w:r>
    </w:p>
    <w:p>
      <w:pPr>
        <w:spacing w:after="0" w:line="128"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b w:val="1"/>
          <w:bCs w:val="1"/>
          <w:color w:val="0063A6"/>
        </w:rPr>
        <w:t>Bart E. Volkmer</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Bart Volkmer has served as our Chief Legal Officer since January 2020. From June 2016 to January 2020, Mr. Volkmer served as our</w:t>
      </w:r>
      <w:r>
        <w:rPr>
          <w:rFonts w:ascii="Arial" w:cs="Arial" w:eastAsia="Arial" w:hAnsi="Arial"/>
          <w:sz w:val="16"/>
          <w:szCs w:val="16"/>
          <w:b w:val="1"/>
          <w:bCs w:val="1"/>
          <w:color w:val="0063A6"/>
        </w:rPr>
        <w:t xml:space="preserve"> </w:t>
      </w:r>
      <w:r>
        <w:rPr>
          <w:rFonts w:ascii="Arial" w:cs="Arial" w:eastAsia="Arial" w:hAnsi="Arial"/>
          <w:sz w:val="16"/>
          <w:szCs w:val="16"/>
          <w:color w:val="000000"/>
        </w:rPr>
        <w:t>General Counsel and from August 2011 to June 2016, Mr. Volkmer served as our Head of Litigation &amp; Regulatory. Prior to joining Dropbox, Mr. Volkmer practiced law at Wilson Sonsini Goodrich &amp; Rosati, a law firm, from 2003 to 2011, where he counseled early-stage and established technology companies. Mr. Volkmer holds a J.D. from Santa Clara University School of Law and a B.A. in English from Creighton University.</w:t>
      </w:r>
    </w:p>
    <w:p>
      <w:pPr>
        <w:spacing w:after="0" w:line="129"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b w:val="1"/>
          <w:bCs w:val="1"/>
          <w:color w:val="0063A6"/>
        </w:rPr>
        <w:t>Eric Cox</w:t>
      </w:r>
      <w:r>
        <w:rPr>
          <w:rFonts w:ascii="Arial" w:cs="Arial" w:eastAsia="Arial" w:hAnsi="Arial"/>
          <w:sz w:val="16"/>
          <w:szCs w:val="16"/>
          <w:color w:val="0063A6"/>
        </w:rPr>
        <w:t>.</w:t>
      </w:r>
      <w:r>
        <w:rPr>
          <w:rFonts w:ascii="Arial" w:cs="Arial" w:eastAsia="Arial" w:hAnsi="Arial"/>
          <w:sz w:val="16"/>
          <w:szCs w:val="16"/>
          <w:b w:val="1"/>
          <w:bCs w:val="1"/>
          <w:color w:val="0063A6"/>
        </w:rPr>
        <w:t xml:space="preserve"> </w:t>
      </w:r>
      <w:r>
        <w:rPr>
          <w:rFonts w:ascii="Arial" w:cs="Arial" w:eastAsia="Arial" w:hAnsi="Arial"/>
          <w:sz w:val="16"/>
          <w:szCs w:val="16"/>
          <w:color w:val="000000"/>
        </w:rPr>
        <w:t>Eric Cox has served as our Chief Customer Officer since December 2023. Prior to joining Dropbox, he served as the Chief Operating Officer at</w:t>
      </w:r>
      <w:r>
        <w:rPr>
          <w:rFonts w:ascii="Arial" w:cs="Arial" w:eastAsia="Arial" w:hAnsi="Arial"/>
          <w:sz w:val="16"/>
          <w:szCs w:val="16"/>
          <w:b w:val="1"/>
          <w:bCs w:val="1"/>
          <w:color w:val="0063A6"/>
        </w:rPr>
        <w:t xml:space="preserve"> </w:t>
      </w:r>
      <w:r>
        <w:rPr>
          <w:rFonts w:ascii="Arial" w:cs="Arial" w:eastAsia="Arial" w:hAnsi="Arial"/>
          <w:sz w:val="16"/>
          <w:szCs w:val="16"/>
          <w:color w:val="000000"/>
        </w:rPr>
        <w:t>Vimeo, Inc., or Vimeo, from March 2023 to November 2023, and from December 2021 to February 2023, served as Vimeo’s Chief Revenue Officer. Prior to joining Vimeo, Mr. Cox held various senior positions at Adobe, Inc., including Vice President of Digital Media for Business from January 2021 to December 2021, Vice President, Digital Media GTM &amp; Sales – Americas from April 2019 to January 2021, Vice President, Digital Media GTM Strategy &amp; Operations from January 2017 to March 2019, and Senior Director, Consumer and Business WW Strategy &amp; Sales Operations from August 2012 to January 2017. Mr. Cox received his Bachelor’s of Science degree in Business Management from Bryant University in 1992.</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6"/>
          <w:szCs w:val="26"/>
          <w:color w:val="0063A6"/>
        </w:rPr>
        <w:t>Compensation Discussion and Analysis</w:t>
      </w:r>
    </w:p>
    <w:p>
      <w:pPr>
        <w:spacing w:after="0" w:line="179"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2023. It also provides an overview of our executive compensation philosophy, including our principal compensation policies and practices. Finally, it analyzes how and why our talent and compensation committee arrived at the specific compensation decisions for our executive officers, including our named executive officers in 2023, and discusses the key factors that our talent and compensation committee considered in determining their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for 2023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1061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10617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22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8020" w:type="dxa"/>
            <w:vAlign w:val="bottom"/>
            <w:tcBorders>
              <w:bottom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Title</w:t>
            </w:r>
          </w:p>
        </w:tc>
      </w:tr>
      <w:tr>
        <w:trPr>
          <w:trHeight w:val="237"/>
        </w:trPr>
        <w:tc>
          <w:tcPr>
            <w:tcW w:w="32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auto"/>
              </w:rPr>
              <w:t>Andrew W. Houston</w:t>
            </w:r>
          </w:p>
        </w:tc>
        <w:tc>
          <w:tcPr>
            <w:tcW w:w="802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6"/>
                <w:szCs w:val="16"/>
                <w:color w:val="auto"/>
              </w:rPr>
              <w:t>Chief Executive Officer</w:t>
            </w:r>
          </w:p>
        </w:tc>
      </w:tr>
      <w:tr>
        <w:trPr>
          <w:trHeight w:val="223"/>
        </w:trPr>
        <w:tc>
          <w:tcPr>
            <w:tcW w:w="3220" w:type="dxa"/>
            <w:vAlign w:val="bottom"/>
          </w:tcPr>
          <w:p>
            <w:pPr>
              <w:ind w:left="60"/>
              <w:spacing w:after="0"/>
              <w:rPr>
                <w:sz w:val="20"/>
                <w:szCs w:val="20"/>
                <w:color w:val="auto"/>
              </w:rPr>
            </w:pPr>
            <w:r>
              <w:rPr>
                <w:rFonts w:ascii="Arial" w:cs="Arial" w:eastAsia="Arial" w:hAnsi="Arial"/>
                <w:sz w:val="16"/>
                <w:szCs w:val="16"/>
                <w:b w:val="1"/>
                <w:bCs w:val="1"/>
                <w:color w:val="auto"/>
              </w:rPr>
              <w:t>Timothy Regan</w:t>
            </w:r>
          </w:p>
        </w:tc>
        <w:tc>
          <w:tcPr>
            <w:tcW w:w="8020" w:type="dxa"/>
            <w:vAlign w:val="bottom"/>
          </w:tcPr>
          <w:p>
            <w:pPr>
              <w:ind w:left="80"/>
              <w:spacing w:after="0"/>
              <w:rPr>
                <w:sz w:val="20"/>
                <w:szCs w:val="20"/>
                <w:color w:val="auto"/>
              </w:rPr>
            </w:pPr>
            <w:r>
              <w:rPr>
                <w:rFonts w:ascii="Arial" w:cs="Arial" w:eastAsia="Arial" w:hAnsi="Arial"/>
                <w:sz w:val="16"/>
                <w:szCs w:val="16"/>
                <w:color w:val="auto"/>
              </w:rPr>
              <w:t>Chief Financial Officer</w:t>
            </w:r>
          </w:p>
        </w:tc>
      </w:tr>
      <w:tr>
        <w:trPr>
          <w:trHeight w:val="20"/>
        </w:trPr>
        <w:tc>
          <w:tcPr>
            <w:tcW w:w="32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385"/>
        </w:trPr>
        <w:tc>
          <w:tcPr>
            <w:tcW w:w="32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auto"/>
              </w:rPr>
              <w:t>Timothy Young</w:t>
            </w:r>
            <w:r>
              <w:rPr>
                <w:rFonts w:ascii="Arial" w:cs="Arial" w:eastAsia="Arial" w:hAnsi="Arial"/>
                <w:sz w:val="21"/>
                <w:szCs w:val="21"/>
                <w:b w:val="1"/>
                <w:bCs w:val="1"/>
                <w:color w:val="auto"/>
                <w:vertAlign w:val="superscript"/>
              </w:rPr>
              <w:t>(1)</w:t>
            </w:r>
          </w:p>
        </w:tc>
        <w:tc>
          <w:tcPr>
            <w:tcW w:w="802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6"/>
                <w:szCs w:val="16"/>
                <w:color w:val="auto"/>
              </w:rPr>
              <w:t>Former President</w:t>
            </w:r>
          </w:p>
        </w:tc>
      </w:tr>
      <w:tr>
        <w:trPr>
          <w:trHeight w:val="223"/>
        </w:trPr>
        <w:tc>
          <w:tcPr>
            <w:tcW w:w="3220" w:type="dxa"/>
            <w:vAlign w:val="bottom"/>
          </w:tcPr>
          <w:p>
            <w:pPr>
              <w:ind w:left="60"/>
              <w:spacing w:after="0"/>
              <w:rPr>
                <w:sz w:val="20"/>
                <w:szCs w:val="20"/>
                <w:color w:val="auto"/>
              </w:rPr>
            </w:pPr>
            <w:r>
              <w:rPr>
                <w:rFonts w:ascii="Arial" w:cs="Arial" w:eastAsia="Arial" w:hAnsi="Arial"/>
                <w:sz w:val="16"/>
                <w:szCs w:val="16"/>
                <w:b w:val="1"/>
                <w:bCs w:val="1"/>
                <w:color w:val="auto"/>
              </w:rPr>
              <w:t>Bart E. Volkmer</w:t>
            </w:r>
          </w:p>
        </w:tc>
        <w:tc>
          <w:tcPr>
            <w:tcW w:w="8020" w:type="dxa"/>
            <w:vAlign w:val="bottom"/>
          </w:tcPr>
          <w:p>
            <w:pPr>
              <w:ind w:left="80"/>
              <w:spacing w:after="0"/>
              <w:rPr>
                <w:sz w:val="20"/>
                <w:szCs w:val="20"/>
                <w:color w:val="auto"/>
              </w:rPr>
            </w:pPr>
            <w:r>
              <w:rPr>
                <w:rFonts w:ascii="Arial" w:cs="Arial" w:eastAsia="Arial" w:hAnsi="Arial"/>
                <w:sz w:val="16"/>
                <w:szCs w:val="16"/>
                <w:color w:val="auto"/>
              </w:rPr>
              <w:t>Chief Legal Officer</w:t>
            </w:r>
          </w:p>
        </w:tc>
      </w:tr>
      <w:tr>
        <w:trPr>
          <w:trHeight w:val="34"/>
        </w:trPr>
        <w:tc>
          <w:tcPr>
            <w:tcW w:w="3220" w:type="dxa"/>
            <w:vAlign w:val="bottom"/>
          </w:tcPr>
          <w:p>
            <w:pPr>
              <w:spacing w:after="0"/>
              <w:rPr>
                <w:sz w:val="2"/>
                <w:szCs w:val="2"/>
                <w:color w:val="auto"/>
              </w:rPr>
            </w:pPr>
          </w:p>
        </w:tc>
        <w:tc>
          <w:tcPr>
            <w:tcW w:w="8020" w:type="dxa"/>
            <w:vAlign w:val="bottom"/>
          </w:tcPr>
          <w:p>
            <w:pPr>
              <w:spacing w:after="0"/>
              <w:rPr>
                <w:sz w:val="2"/>
                <w:szCs w:val="2"/>
                <w:color w:val="auto"/>
              </w:rPr>
            </w:pPr>
          </w:p>
        </w:tc>
      </w:tr>
      <w:tr>
        <w:trPr>
          <w:trHeight w:val="257"/>
        </w:trPr>
        <w:tc>
          <w:tcPr>
            <w:tcW w:w="322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auto"/>
              </w:rPr>
              <w:t>Eric Cox</w:t>
            </w:r>
            <w:r>
              <w:rPr>
                <w:rFonts w:ascii="Arial" w:cs="Arial" w:eastAsia="Arial" w:hAnsi="Arial"/>
                <w:sz w:val="21"/>
                <w:szCs w:val="21"/>
                <w:b w:val="1"/>
                <w:bCs w:val="1"/>
                <w:color w:val="auto"/>
                <w:vertAlign w:val="superscript"/>
              </w:rPr>
              <w:t>(2)</w:t>
            </w:r>
          </w:p>
        </w:tc>
        <w:tc>
          <w:tcPr>
            <w:tcW w:w="8020" w:type="dxa"/>
            <w:vAlign w:val="bottom"/>
            <w:shd w:val="clear" w:color="auto" w:fill="F2F2F2"/>
          </w:tcPr>
          <w:p>
            <w:pPr>
              <w:ind w:left="80"/>
              <w:spacing w:after="0"/>
              <w:rPr>
                <w:sz w:val="20"/>
                <w:szCs w:val="20"/>
                <w:color w:val="auto"/>
              </w:rPr>
            </w:pPr>
            <w:r>
              <w:rPr>
                <w:rFonts w:ascii="Arial" w:cs="Arial" w:eastAsia="Arial" w:hAnsi="Arial"/>
                <w:sz w:val="16"/>
                <w:szCs w:val="16"/>
                <w:color w:val="auto"/>
              </w:rPr>
              <w:t>Chief Customer Officer</w:t>
            </w:r>
          </w:p>
        </w:tc>
      </w:tr>
    </w:tbl>
    <w:p>
      <w:pPr>
        <w:spacing w:after="0" w:line="112"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7"/>
          <w:szCs w:val="7"/>
          <w:color w:val="auto"/>
        </w:rPr>
      </w:pPr>
      <w:r>
        <w:rPr>
          <w:rFonts w:ascii="Arial" w:cs="Arial" w:eastAsia="Arial" w:hAnsi="Arial"/>
          <w:sz w:val="14"/>
          <w:szCs w:val="14"/>
          <w:color w:val="auto"/>
        </w:rPr>
        <w:t>Mr. Young resigned as President of the company effective February 1, 2023 and remained employed with the company as a non-executive employee until March 15, 2023.</w:t>
      </w:r>
    </w:p>
    <w:p>
      <w:pPr>
        <w:spacing w:after="0" w:line="41" w:lineRule="exact"/>
        <w:rPr>
          <w:rFonts w:ascii="Arial" w:cs="Arial" w:eastAsia="Arial" w:hAnsi="Arial"/>
          <w:sz w:val="7"/>
          <w:szCs w:val="7"/>
          <w:color w:val="auto"/>
        </w:rPr>
      </w:pPr>
    </w:p>
    <w:p>
      <w:pPr>
        <w:ind w:left="320" w:hanging="312"/>
        <w:spacing w:after="0"/>
        <w:tabs>
          <w:tab w:leader="none" w:pos="320" w:val="left"/>
        </w:tabs>
        <w:numPr>
          <w:ilvl w:val="0"/>
          <w:numId w:val="52"/>
        </w:numPr>
        <w:rPr>
          <w:rFonts w:ascii="Arial" w:cs="Arial" w:eastAsia="Arial" w:hAnsi="Arial"/>
          <w:sz w:val="7"/>
          <w:szCs w:val="7"/>
          <w:color w:val="auto"/>
        </w:rPr>
      </w:pPr>
      <w:r>
        <w:rPr>
          <w:rFonts w:ascii="Arial" w:cs="Arial" w:eastAsia="Arial" w:hAnsi="Arial"/>
          <w:sz w:val="14"/>
          <w:szCs w:val="14"/>
          <w:color w:val="auto"/>
        </w:rPr>
        <w:t>Mr. Cox has served as our Chief Customer Officer since December 2023.</w:t>
      </w:r>
    </w:p>
    <w:p>
      <w:pPr>
        <w:spacing w:after="0" w:line="302" w:lineRule="exact"/>
        <w:rPr>
          <w:sz w:val="20"/>
          <w:szCs w:val="20"/>
          <w:color w:val="auto"/>
        </w:rPr>
      </w:pPr>
    </w:p>
    <w:p>
      <w:pPr>
        <w:spacing w:after="0"/>
        <w:rPr>
          <w:sz w:val="20"/>
          <w:szCs w:val="20"/>
          <w:color w:val="auto"/>
        </w:rPr>
      </w:pPr>
      <w:r>
        <w:rPr>
          <w:rFonts w:ascii="Arial" w:cs="Arial" w:eastAsia="Arial" w:hAnsi="Arial"/>
          <w:sz w:val="26"/>
          <w:szCs w:val="26"/>
          <w:color w:val="0063A6"/>
        </w:rPr>
        <w:t>Executive Summary</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Who We Are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Dropbox is the one place to keep life organized and keep work moving.</w:t>
      </w:r>
    </w:p>
    <w:p>
      <w:pPr>
        <w:spacing w:after="0" w:line="15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were founded in 2007 with a simple idea: Life would be a lot better if everyone could access their most important information anytime from any device. Over the past decade, we’ve largely accomplished that mission by building tools to help people work from anywhere—and along the way we recognized that for most of our users, sharing and collaborating on the Dropbox platform was even more valuable than storing files.</w:t>
      </w:r>
    </w:p>
    <w:p>
      <w:pPr>
        <w:spacing w:after="0" w:line="11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market opportunity grew as we’ve expanded from keeping files in sync to keeping teams in sync. Today, we are well-positioned to reimagine the way work gets done. We're focusing on reducing the inordinate amount of time and energy the world spends on “work about work”—tedious tasks like searching for content, switching between applications, and managing workflows. We believe the need for our platform will continue to grow as teams become more fluid and global, and content is increasingly fragmented across incompatible tools and devices. The Dropbox platform breaks down silos by centralizing the flow of information between the products and services our users prefer, even if they’re not our own. In a world where using technology at work can be fragmented and distracting, the Dropbox platform makes it easy to focus on the work that matters.</w:t>
      </w:r>
    </w:p>
    <w:p>
      <w:pPr>
        <w:spacing w:after="0" w:line="128"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The popularity of our platform allows us to scale rapidly and efficiently. We’ve built a thriving global business with 18.12 million paying users as of December 31, 2023.</w:t>
      </w:r>
    </w:p>
    <w:p>
      <w:pPr>
        <w:spacing w:after="0" w:line="200" w:lineRule="exact"/>
        <w:rPr>
          <w:sz w:val="20"/>
          <w:szCs w:val="20"/>
          <w:color w:val="auto"/>
        </w:rPr>
      </w:pPr>
    </w:p>
    <w:p>
      <w:pPr>
        <w:spacing w:after="0" w:line="312" w:lineRule="exact"/>
        <w:rPr>
          <w:sz w:val="20"/>
          <w:szCs w:val="20"/>
          <w:color w:val="auto"/>
        </w:rPr>
      </w:pPr>
    </w:p>
    <w:p>
      <w:pPr>
        <w:ind w:left="580" w:hanging="554"/>
        <w:spacing w:after="0"/>
        <w:tabs>
          <w:tab w:leader="none" w:pos="580"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2023 Business Results and Business Strategy</w:t>
      </w:r>
    </w:p>
    <w:p>
      <w:pPr>
        <w:spacing w:after="0" w:line="356" w:lineRule="exact"/>
        <w:rPr>
          <w:sz w:val="20"/>
          <w:szCs w:val="20"/>
          <w:color w:val="auto"/>
        </w:rPr>
      </w:pPr>
    </w:p>
    <w:p>
      <w:pPr>
        <w:jc w:val="right"/>
        <w:ind w:right="1840"/>
        <w:spacing w:after="0"/>
        <w:tabs>
          <w:tab w:leader="none" w:pos="1840" w:val="left"/>
        </w:tabs>
        <w:rPr>
          <w:sz w:val="20"/>
          <w:szCs w:val="20"/>
          <w:color w:val="auto"/>
        </w:rPr>
      </w:pPr>
      <w:r>
        <w:rPr>
          <w:rFonts w:ascii="Calibri" w:cs="Calibri" w:eastAsia="Calibri" w:hAnsi="Calibri"/>
          <w:sz w:val="25"/>
          <w:szCs w:val="25"/>
          <w:b w:val="1"/>
          <w:bCs w:val="1"/>
          <w:u w:val="single" w:color="auto"/>
          <w:color w:val="auto"/>
        </w:rPr>
        <w:t>Business Results</w:t>
      </w:r>
      <w:r>
        <w:rPr>
          <w:sz w:val="20"/>
          <w:szCs w:val="20"/>
          <w:color w:val="auto"/>
        </w:rPr>
        <w:tab/>
      </w:r>
      <w:r>
        <w:rPr>
          <w:rFonts w:ascii="Calibri" w:cs="Calibri" w:eastAsia="Calibri" w:hAnsi="Calibri"/>
          <w:sz w:val="25"/>
          <w:szCs w:val="25"/>
          <w:b w:val="1"/>
          <w:bCs w:val="1"/>
          <w:u w:val="single" w:color="auto"/>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40575" cy="44405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0575" cy="44405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Revenue ($M)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Paying</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Users (M)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left="840"/>
        <w:spacing w:after="0" w:line="261" w:lineRule="auto"/>
        <w:rPr>
          <w:sz w:val="20"/>
          <w:szCs w:val="20"/>
          <w:color w:val="auto"/>
        </w:rPr>
      </w:pPr>
      <w:r>
        <w:rPr>
          <w:rFonts w:ascii="Arial" w:cs="Arial" w:eastAsia="Arial" w:hAnsi="Arial"/>
          <w:sz w:val="16"/>
          <w:szCs w:val="16"/>
          <w:b w:val="1"/>
          <w:bCs w:val="1"/>
          <w:color w:val="auto"/>
        </w:rPr>
        <w:t>Average Revenue per Paying User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Non-GAAP</w:t>
      </w:r>
    </w:p>
    <w:p>
      <w:pPr>
        <w:ind w:left="900"/>
        <w:spacing w:after="0"/>
        <w:rPr>
          <w:sz w:val="20"/>
          <w:szCs w:val="20"/>
          <w:color w:val="auto"/>
        </w:rPr>
      </w:pPr>
      <w:r>
        <w:rPr>
          <w:rFonts w:ascii="Arial" w:cs="Arial" w:eastAsia="Arial" w:hAnsi="Arial"/>
          <w:sz w:val="16"/>
          <w:szCs w:val="16"/>
          <w:b w:val="1"/>
          <w:bCs w:val="1"/>
          <w:color w:val="auto"/>
        </w:rPr>
        <w:t>Operating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Free Cash</w:t>
      </w:r>
    </w:p>
    <w:p>
      <w:pPr>
        <w:jc w:val="right"/>
        <w:spacing w:after="0"/>
        <w:rPr>
          <w:sz w:val="20"/>
          <w:szCs w:val="20"/>
          <w:color w:val="auto"/>
        </w:rPr>
      </w:pPr>
      <w:r>
        <w:rPr>
          <w:rFonts w:ascii="Arial" w:cs="Arial" w:eastAsia="Arial" w:hAnsi="Arial"/>
          <w:sz w:val="16"/>
          <w:szCs w:val="16"/>
          <w:b w:val="1"/>
          <w:bCs w:val="1"/>
          <w:color w:val="auto"/>
        </w:rPr>
        <w:t>Flow ($M)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$2,324.9</w:t>
      </w: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2022</w:t>
      </w:r>
    </w:p>
    <w:p>
      <w:pPr>
        <w:spacing w:after="0" w:line="200" w:lineRule="exact"/>
        <w:rPr>
          <w:sz w:val="20"/>
          <w:szCs w:val="20"/>
          <w:color w:val="auto"/>
        </w:rPr>
      </w:pPr>
    </w:p>
    <w:p>
      <w:pPr>
        <w:spacing w:after="0" w:line="35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17.77</w:t>
      </w: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2022</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$134.51</w:t>
      </w: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2022</w:t>
      </w:r>
    </w:p>
    <w:p>
      <w:pPr>
        <w:spacing w:after="0" w:line="200" w:lineRule="exact"/>
        <w:rPr>
          <w:sz w:val="20"/>
          <w:szCs w:val="20"/>
          <w:color w:val="auto"/>
        </w:rPr>
      </w:pPr>
    </w:p>
    <w:p>
      <w:pPr>
        <w:spacing w:after="0" w:line="25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30.9%</w:t>
      </w:r>
    </w:p>
    <w:p>
      <w:pPr>
        <w:spacing w:after="0" w:line="36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2022</w:t>
      </w: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$763.5</w:t>
      </w: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2022</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8"/>
        </w:trPr>
        <w:tc>
          <w:tcPr>
            <w:tcW w:w="1360" w:type="dxa"/>
            <w:vAlign w:val="bottom"/>
            <w:vMerge w:val="restart"/>
            <w:shd w:val="clear" w:color="auto" w:fill="0063A6"/>
          </w:tcPr>
          <w:p>
            <w:pPr>
              <w:jc w:val="center"/>
              <w:spacing w:after="0"/>
              <w:rPr>
                <w:sz w:val="20"/>
                <w:szCs w:val="20"/>
                <w:color w:val="auto"/>
              </w:rPr>
            </w:pPr>
            <w:r>
              <w:rPr>
                <w:rFonts w:ascii="Arial" w:cs="Arial" w:eastAsia="Arial" w:hAnsi="Arial"/>
                <w:sz w:val="16"/>
                <w:szCs w:val="16"/>
                <w:b w:val="1"/>
                <w:bCs w:val="1"/>
                <w:color w:val="FFFFFF"/>
              </w:rPr>
              <w:t>$2,501.6</w:t>
            </w:r>
          </w:p>
        </w:tc>
        <w:tc>
          <w:tcPr>
            <w:tcW w:w="640" w:type="dxa"/>
            <w:vAlign w:val="bottom"/>
            <w:shd w:val="clear" w:color="auto" w:fill="F9F9F7"/>
          </w:tcPr>
          <w:p>
            <w:pPr>
              <w:spacing w:after="0"/>
              <w:rPr>
                <w:sz w:val="9"/>
                <w:szCs w:val="9"/>
                <w:color w:val="auto"/>
              </w:rPr>
            </w:pPr>
          </w:p>
        </w:tc>
        <w:tc>
          <w:tcPr>
            <w:tcW w:w="5260" w:type="dxa"/>
            <w:vAlign w:val="bottom"/>
            <w:shd w:val="clear" w:color="auto" w:fill="F9F9F7"/>
          </w:tcPr>
          <w:p>
            <w:pPr>
              <w:spacing w:after="0"/>
              <w:rPr>
                <w:sz w:val="9"/>
                <w:szCs w:val="9"/>
                <w:color w:val="auto"/>
              </w:rPr>
            </w:pPr>
          </w:p>
        </w:tc>
        <w:tc>
          <w:tcPr>
            <w:tcW w:w="0" w:type="dxa"/>
            <w:vAlign w:val="bottom"/>
          </w:tcPr>
          <w:p>
            <w:pPr>
              <w:spacing w:after="0"/>
              <w:rPr>
                <w:sz w:val="1"/>
                <w:szCs w:val="1"/>
                <w:color w:val="auto"/>
              </w:rPr>
            </w:pPr>
          </w:p>
        </w:tc>
      </w:tr>
      <w:tr>
        <w:trPr>
          <w:trHeight w:val="404"/>
        </w:trPr>
        <w:tc>
          <w:tcPr>
            <w:tcW w:w="1360" w:type="dxa"/>
            <w:vAlign w:val="bottom"/>
            <w:vMerge w:val="continue"/>
            <w:shd w:val="clear" w:color="auto" w:fill="0063A6"/>
          </w:tcPr>
          <w:p>
            <w:pPr>
              <w:spacing w:after="0"/>
              <w:rPr>
                <w:sz w:val="24"/>
                <w:szCs w:val="24"/>
                <w:color w:val="auto"/>
              </w:rPr>
            </w:pPr>
          </w:p>
        </w:tc>
        <w:tc>
          <w:tcPr>
            <w:tcW w:w="640" w:type="dxa"/>
            <w:vAlign w:val="bottom"/>
          </w:tcPr>
          <w:p>
            <w:pPr>
              <w:ind w:left="540"/>
              <w:spacing w:after="0"/>
              <w:rPr>
                <w:sz w:val="20"/>
                <w:szCs w:val="20"/>
                <w:color w:val="auto"/>
              </w:rPr>
            </w:pPr>
            <w:r>
              <w:rPr>
                <w:rFonts w:ascii="Arial" w:cs="Arial" w:eastAsia="Arial" w:hAnsi="Arial"/>
                <w:sz w:val="16"/>
                <w:szCs w:val="16"/>
                <w:color w:val="0063A6"/>
              </w:rPr>
              <w:t>•</w:t>
            </w:r>
          </w:p>
        </w:tc>
        <w:tc>
          <w:tcPr>
            <w:tcW w:w="5260" w:type="dxa"/>
            <w:vAlign w:val="bottom"/>
          </w:tcPr>
          <w:p>
            <w:pPr>
              <w:ind w:left="40"/>
              <w:spacing w:after="0"/>
              <w:rPr>
                <w:sz w:val="20"/>
                <w:szCs w:val="20"/>
                <w:color w:val="auto"/>
              </w:rPr>
            </w:pPr>
            <w:r>
              <w:rPr>
                <w:rFonts w:ascii="Arial" w:cs="Arial" w:eastAsia="Arial" w:hAnsi="Arial"/>
                <w:sz w:val="16"/>
                <w:szCs w:val="16"/>
                <w:color w:val="auto"/>
              </w:rPr>
              <w:t>From our founding, we've focused on simplifying the lives of our users.</w:t>
            </w:r>
          </w:p>
        </w:tc>
        <w:tc>
          <w:tcPr>
            <w:tcW w:w="0" w:type="dxa"/>
            <w:vAlign w:val="bottom"/>
          </w:tcPr>
          <w:p>
            <w:pPr>
              <w:spacing w:after="0"/>
              <w:rPr>
                <w:sz w:val="1"/>
                <w:szCs w:val="1"/>
                <w:color w:val="auto"/>
              </w:rPr>
            </w:pPr>
          </w:p>
        </w:tc>
      </w:tr>
      <w:tr>
        <w:trPr>
          <w:trHeight w:val="197"/>
        </w:trPr>
        <w:tc>
          <w:tcPr>
            <w:tcW w:w="1360" w:type="dxa"/>
            <w:vAlign w:val="bottom"/>
            <w:tcBorders>
              <w:bottom w:val="single" w:sz="8" w:color="0063A6"/>
            </w:tcBorders>
            <w:shd w:val="clear" w:color="auto" w:fill="0063A6"/>
          </w:tcPr>
          <w:p>
            <w:pPr>
              <w:spacing w:after="0"/>
              <w:rPr>
                <w:sz w:val="17"/>
                <w:szCs w:val="17"/>
                <w:color w:val="auto"/>
              </w:rPr>
            </w:pPr>
          </w:p>
        </w:tc>
        <w:tc>
          <w:tcPr>
            <w:tcW w:w="640" w:type="dxa"/>
            <w:vAlign w:val="bottom"/>
          </w:tcPr>
          <w:p>
            <w:pPr>
              <w:spacing w:after="0"/>
              <w:rPr>
                <w:sz w:val="17"/>
                <w:szCs w:val="17"/>
                <w:color w:val="auto"/>
              </w:rPr>
            </w:pPr>
          </w:p>
        </w:tc>
        <w:tc>
          <w:tcPr>
            <w:tcW w:w="5260" w:type="dxa"/>
            <w:vAlign w:val="bottom"/>
          </w:tcPr>
          <w:p>
            <w:pPr>
              <w:ind w:left="60"/>
              <w:spacing w:after="0" w:line="175" w:lineRule="exact"/>
              <w:rPr>
                <w:sz w:val="20"/>
                <w:szCs w:val="20"/>
                <w:color w:val="auto"/>
              </w:rPr>
            </w:pPr>
            <w:r>
              <w:rPr>
                <w:rFonts w:ascii="Arial" w:cs="Arial" w:eastAsia="Arial" w:hAnsi="Arial"/>
                <w:sz w:val="16"/>
                <w:szCs w:val="16"/>
                <w:color w:val="auto"/>
              </w:rPr>
              <w:t>In a world where business software can be frustrating to use,</w:t>
            </w:r>
          </w:p>
        </w:tc>
        <w:tc>
          <w:tcPr>
            <w:tcW w:w="0" w:type="dxa"/>
            <w:vAlign w:val="bottom"/>
          </w:tcPr>
          <w:p>
            <w:pPr>
              <w:spacing w:after="0"/>
              <w:rPr>
                <w:sz w:val="1"/>
                <w:szCs w:val="1"/>
                <w:color w:val="auto"/>
              </w:rPr>
            </w:pPr>
          </w:p>
        </w:tc>
      </w:tr>
      <w:tr>
        <w:trPr>
          <w:trHeight w:val="148"/>
        </w:trPr>
        <w:tc>
          <w:tcPr>
            <w:tcW w:w="1360" w:type="dxa"/>
            <w:vAlign w:val="bottom"/>
            <w:shd w:val="clear" w:color="auto" w:fill="F9F9F7"/>
          </w:tcPr>
          <w:p>
            <w:pPr>
              <w:spacing w:after="0"/>
              <w:rPr>
                <w:sz w:val="12"/>
                <w:szCs w:val="12"/>
                <w:color w:val="auto"/>
              </w:rPr>
            </w:pPr>
          </w:p>
        </w:tc>
        <w:tc>
          <w:tcPr>
            <w:tcW w:w="640" w:type="dxa"/>
            <w:vAlign w:val="bottom"/>
          </w:tcPr>
          <w:p>
            <w:pPr>
              <w:spacing w:after="0"/>
              <w:rPr>
                <w:sz w:val="12"/>
                <w:szCs w:val="12"/>
                <w:color w:val="auto"/>
              </w:rPr>
            </w:pPr>
          </w:p>
        </w:tc>
        <w:tc>
          <w:tcPr>
            <w:tcW w:w="5260" w:type="dxa"/>
            <w:vAlign w:val="bottom"/>
          </w:tcPr>
          <w:p>
            <w:pPr>
              <w:ind w:left="60"/>
              <w:spacing w:after="0" w:line="148" w:lineRule="exact"/>
              <w:rPr>
                <w:sz w:val="20"/>
                <w:szCs w:val="20"/>
                <w:color w:val="auto"/>
              </w:rPr>
            </w:pPr>
            <w:r>
              <w:rPr>
                <w:rFonts w:ascii="Arial" w:cs="Arial" w:eastAsia="Arial" w:hAnsi="Arial"/>
                <w:sz w:val="16"/>
                <w:szCs w:val="16"/>
                <w:color w:val="auto"/>
              </w:rPr>
              <w:t>challenging to integrate, and expensive to sell, we take a different</w:t>
            </w:r>
          </w:p>
        </w:tc>
        <w:tc>
          <w:tcPr>
            <w:tcW w:w="0" w:type="dxa"/>
            <w:vAlign w:val="bottom"/>
          </w:tcPr>
          <w:p>
            <w:pPr>
              <w:spacing w:after="0"/>
              <w:rPr>
                <w:sz w:val="1"/>
                <w:szCs w:val="1"/>
                <w:color w:val="auto"/>
              </w:rPr>
            </w:pPr>
          </w:p>
        </w:tc>
      </w:tr>
      <w:tr>
        <w:trPr>
          <w:trHeight w:val="215"/>
        </w:trPr>
        <w:tc>
          <w:tcPr>
            <w:tcW w:w="1360" w:type="dxa"/>
            <w:vAlign w:val="bottom"/>
            <w:shd w:val="clear" w:color="auto" w:fill="F9F9F7"/>
          </w:tcPr>
          <w:p>
            <w:pPr>
              <w:jc w:val="center"/>
              <w:spacing w:after="0"/>
              <w:rPr>
                <w:sz w:val="20"/>
                <w:szCs w:val="20"/>
                <w:color w:val="auto"/>
              </w:rPr>
            </w:pPr>
            <w:r>
              <w:rPr>
                <w:rFonts w:ascii="Arial" w:cs="Arial" w:eastAsia="Arial" w:hAnsi="Arial"/>
                <w:sz w:val="14"/>
                <w:szCs w:val="14"/>
                <w:color w:val="auto"/>
              </w:rPr>
              <w:t>2023</w:t>
            </w:r>
          </w:p>
        </w:tc>
        <w:tc>
          <w:tcPr>
            <w:tcW w:w="640" w:type="dxa"/>
            <w:vAlign w:val="bottom"/>
          </w:tcPr>
          <w:p>
            <w:pPr>
              <w:spacing w:after="0"/>
              <w:rPr>
                <w:sz w:val="18"/>
                <w:szCs w:val="18"/>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approach.</w:t>
            </w:r>
          </w:p>
        </w:tc>
        <w:tc>
          <w:tcPr>
            <w:tcW w:w="0" w:type="dxa"/>
            <w:vAlign w:val="bottom"/>
          </w:tcPr>
          <w:p>
            <w:pPr>
              <w:spacing w:after="0"/>
              <w:rPr>
                <w:sz w:val="1"/>
                <w:szCs w:val="1"/>
                <w:color w:val="auto"/>
              </w:rPr>
            </w:pPr>
          </w:p>
        </w:tc>
      </w:tr>
      <w:tr>
        <w:trPr>
          <w:trHeight w:val="164"/>
        </w:trPr>
        <w:tc>
          <w:tcPr>
            <w:tcW w:w="1360" w:type="dxa"/>
            <w:vAlign w:val="bottom"/>
            <w:shd w:val="clear" w:color="auto" w:fill="F9F9F7"/>
          </w:tcPr>
          <w:p>
            <w:pPr>
              <w:spacing w:after="0"/>
              <w:rPr>
                <w:sz w:val="14"/>
                <w:szCs w:val="14"/>
                <w:color w:val="auto"/>
              </w:rPr>
            </w:pPr>
          </w:p>
        </w:tc>
        <w:tc>
          <w:tcPr>
            <w:tcW w:w="640" w:type="dxa"/>
            <w:vAlign w:val="bottom"/>
            <w:vMerge w:val="restart"/>
          </w:tcPr>
          <w:p>
            <w:pPr>
              <w:ind w:left="540"/>
              <w:spacing w:after="0"/>
              <w:rPr>
                <w:sz w:val="20"/>
                <w:szCs w:val="20"/>
                <w:color w:val="auto"/>
              </w:rPr>
            </w:pPr>
            <w:r>
              <w:rPr>
                <w:rFonts w:ascii="Arial" w:cs="Arial" w:eastAsia="Arial" w:hAnsi="Arial"/>
                <w:sz w:val="16"/>
                <w:szCs w:val="16"/>
                <w:color w:val="0063A6"/>
              </w:rPr>
              <w:t>•</w:t>
            </w:r>
          </w:p>
        </w:tc>
        <w:tc>
          <w:tcPr>
            <w:tcW w:w="5260" w:type="dxa"/>
            <w:vAlign w:val="bottom"/>
            <w:vMerge w:val="restart"/>
          </w:tcPr>
          <w:p>
            <w:pPr>
              <w:ind w:left="40"/>
              <w:spacing w:after="0"/>
              <w:rPr>
                <w:sz w:val="20"/>
                <w:szCs w:val="20"/>
                <w:color w:val="auto"/>
              </w:rPr>
            </w:pPr>
            <w:r>
              <w:rPr>
                <w:rFonts w:ascii="Arial" w:cs="Arial" w:eastAsia="Arial" w:hAnsi="Arial"/>
                <w:sz w:val="16"/>
                <w:szCs w:val="16"/>
                <w:color w:val="auto"/>
              </w:rPr>
              <w:t>While traditional tools developed in the desktop age have struggled to</w:t>
            </w:r>
          </w:p>
        </w:tc>
        <w:tc>
          <w:tcPr>
            <w:tcW w:w="0" w:type="dxa"/>
            <w:vAlign w:val="bottom"/>
          </w:tcPr>
          <w:p>
            <w:pPr>
              <w:spacing w:after="0"/>
              <w:rPr>
                <w:sz w:val="1"/>
                <w:szCs w:val="1"/>
                <w:color w:val="auto"/>
              </w:rPr>
            </w:pPr>
          </w:p>
        </w:tc>
      </w:tr>
      <w:tr>
        <w:trPr>
          <w:trHeight w:val="215"/>
        </w:trPr>
        <w:tc>
          <w:tcPr>
            <w:tcW w:w="1360" w:type="dxa"/>
            <w:vAlign w:val="bottom"/>
            <w:shd w:val="clear" w:color="auto" w:fill="0063A6"/>
          </w:tcPr>
          <w:p>
            <w:pPr>
              <w:spacing w:after="0"/>
              <w:rPr>
                <w:sz w:val="18"/>
                <w:szCs w:val="18"/>
                <w:color w:val="auto"/>
              </w:rPr>
            </w:pPr>
          </w:p>
        </w:tc>
        <w:tc>
          <w:tcPr>
            <w:tcW w:w="640" w:type="dxa"/>
            <w:vAlign w:val="bottom"/>
            <w:vMerge w:val="continue"/>
          </w:tcPr>
          <w:p>
            <w:pPr>
              <w:spacing w:after="0"/>
              <w:rPr>
                <w:sz w:val="18"/>
                <w:szCs w:val="18"/>
                <w:color w:val="auto"/>
              </w:rPr>
            </w:pPr>
          </w:p>
        </w:tc>
        <w:tc>
          <w:tcPr>
            <w:tcW w:w="5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360" w:type="dxa"/>
            <w:vAlign w:val="bottom"/>
            <w:vMerge w:val="restart"/>
            <w:shd w:val="clear" w:color="auto" w:fill="0063A6"/>
          </w:tcPr>
          <w:p>
            <w:pPr>
              <w:jc w:val="center"/>
              <w:spacing w:after="0"/>
              <w:rPr>
                <w:sz w:val="20"/>
                <w:szCs w:val="20"/>
                <w:color w:val="auto"/>
              </w:rPr>
            </w:pPr>
            <w:r>
              <w:rPr>
                <w:rFonts w:ascii="Arial" w:cs="Arial" w:eastAsia="Arial" w:hAnsi="Arial"/>
                <w:sz w:val="16"/>
                <w:szCs w:val="16"/>
                <w:b w:val="1"/>
                <w:bCs w:val="1"/>
                <w:color w:val="FFFFFF"/>
                <w:w w:val="99"/>
              </w:rPr>
              <w:t>18.12</w:t>
            </w:r>
          </w:p>
        </w:tc>
        <w:tc>
          <w:tcPr>
            <w:tcW w:w="640" w:type="dxa"/>
            <w:vAlign w:val="bottom"/>
          </w:tcPr>
          <w:p>
            <w:pPr>
              <w:spacing w:after="0"/>
              <w:rPr>
                <w:sz w:val="16"/>
                <w:szCs w:val="16"/>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keep up with evolving user demands, Dropbox was designed for the</w:t>
            </w:r>
          </w:p>
        </w:tc>
        <w:tc>
          <w:tcPr>
            <w:tcW w:w="0" w:type="dxa"/>
            <w:vAlign w:val="bottom"/>
          </w:tcPr>
          <w:p>
            <w:pPr>
              <w:spacing w:after="0"/>
              <w:rPr>
                <w:sz w:val="1"/>
                <w:szCs w:val="1"/>
                <w:color w:val="auto"/>
              </w:rPr>
            </w:pPr>
          </w:p>
        </w:tc>
      </w:tr>
      <w:tr>
        <w:trPr>
          <w:trHeight w:val="128"/>
        </w:trPr>
        <w:tc>
          <w:tcPr>
            <w:tcW w:w="1360" w:type="dxa"/>
            <w:vAlign w:val="bottom"/>
            <w:vMerge w:val="continue"/>
            <w:shd w:val="clear" w:color="auto" w:fill="0063A6"/>
          </w:tcPr>
          <w:p>
            <w:pPr>
              <w:spacing w:after="0"/>
              <w:rPr>
                <w:sz w:val="11"/>
                <w:szCs w:val="11"/>
                <w:color w:val="auto"/>
              </w:rPr>
            </w:pPr>
          </w:p>
        </w:tc>
        <w:tc>
          <w:tcPr>
            <w:tcW w:w="640" w:type="dxa"/>
            <w:vAlign w:val="bottom"/>
          </w:tcPr>
          <w:p>
            <w:pPr>
              <w:spacing w:after="0"/>
              <w:rPr>
                <w:sz w:val="11"/>
                <w:szCs w:val="11"/>
                <w:color w:val="auto"/>
              </w:rPr>
            </w:pPr>
          </w:p>
        </w:tc>
        <w:tc>
          <w:tcPr>
            <w:tcW w:w="5260" w:type="dxa"/>
            <w:vAlign w:val="bottom"/>
            <w:vMerge w:val="restart"/>
          </w:tcPr>
          <w:p>
            <w:pPr>
              <w:ind w:left="60"/>
              <w:spacing w:after="0" w:line="175" w:lineRule="exact"/>
              <w:rPr>
                <w:sz w:val="20"/>
                <w:szCs w:val="20"/>
                <w:color w:val="auto"/>
              </w:rPr>
            </w:pPr>
            <w:r>
              <w:rPr>
                <w:rFonts w:ascii="Arial" w:cs="Arial" w:eastAsia="Arial" w:hAnsi="Arial"/>
                <w:sz w:val="16"/>
                <w:szCs w:val="16"/>
                <w:color w:val="auto"/>
              </w:rPr>
              <w:t>cloud era. We build simple, beautiful products that bring joy to our users</w:t>
            </w:r>
          </w:p>
        </w:tc>
        <w:tc>
          <w:tcPr>
            <w:tcW w:w="0" w:type="dxa"/>
            <w:vAlign w:val="bottom"/>
          </w:tcPr>
          <w:p>
            <w:pPr>
              <w:spacing w:after="0"/>
              <w:rPr>
                <w:sz w:val="1"/>
                <w:szCs w:val="1"/>
                <w:color w:val="auto"/>
              </w:rPr>
            </w:pPr>
          </w:p>
        </w:tc>
      </w:tr>
      <w:tr>
        <w:trPr>
          <w:trHeight w:val="47"/>
        </w:trPr>
        <w:tc>
          <w:tcPr>
            <w:tcW w:w="1360" w:type="dxa"/>
            <w:vAlign w:val="bottom"/>
            <w:shd w:val="clear" w:color="auto" w:fill="0063A6"/>
          </w:tcPr>
          <w:p>
            <w:pPr>
              <w:spacing w:after="0"/>
              <w:rPr>
                <w:sz w:val="4"/>
                <w:szCs w:val="4"/>
                <w:color w:val="auto"/>
              </w:rPr>
            </w:pPr>
          </w:p>
        </w:tc>
        <w:tc>
          <w:tcPr>
            <w:tcW w:w="640" w:type="dxa"/>
            <w:vAlign w:val="bottom"/>
          </w:tcPr>
          <w:p>
            <w:pPr>
              <w:spacing w:after="0"/>
              <w:rPr>
                <w:sz w:val="4"/>
                <w:szCs w:val="4"/>
                <w:color w:val="auto"/>
              </w:rPr>
            </w:pPr>
          </w:p>
        </w:tc>
        <w:tc>
          <w:tcPr>
            <w:tcW w:w="5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360" w:type="dxa"/>
            <w:vAlign w:val="bottom"/>
            <w:tcBorders>
              <w:bottom w:val="single" w:sz="8" w:color="0063A6"/>
            </w:tcBorders>
            <w:shd w:val="clear" w:color="auto" w:fill="0063A6"/>
          </w:tcPr>
          <w:p>
            <w:pPr>
              <w:spacing w:after="0"/>
              <w:rPr>
                <w:sz w:val="20"/>
                <w:szCs w:val="20"/>
                <w:color w:val="auto"/>
              </w:rPr>
            </w:pPr>
          </w:p>
        </w:tc>
        <w:tc>
          <w:tcPr>
            <w:tcW w:w="640" w:type="dxa"/>
            <w:vAlign w:val="bottom"/>
          </w:tcPr>
          <w:p>
            <w:pPr>
              <w:spacing w:after="0"/>
              <w:rPr>
                <w:sz w:val="20"/>
                <w:szCs w:val="20"/>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and make it easier for them to do their best work.</w:t>
            </w:r>
          </w:p>
        </w:tc>
        <w:tc>
          <w:tcPr>
            <w:tcW w:w="0" w:type="dxa"/>
            <w:vAlign w:val="bottom"/>
          </w:tcPr>
          <w:p>
            <w:pPr>
              <w:spacing w:after="0"/>
              <w:rPr>
                <w:sz w:val="1"/>
                <w:szCs w:val="1"/>
                <w:color w:val="auto"/>
              </w:rPr>
            </w:pPr>
          </w:p>
        </w:tc>
      </w:tr>
      <w:tr>
        <w:trPr>
          <w:trHeight w:val="337"/>
        </w:trPr>
        <w:tc>
          <w:tcPr>
            <w:tcW w:w="1360" w:type="dxa"/>
            <w:vAlign w:val="bottom"/>
            <w:shd w:val="clear" w:color="auto" w:fill="F9F9F7"/>
          </w:tcPr>
          <w:p>
            <w:pPr>
              <w:jc w:val="center"/>
              <w:spacing w:after="0"/>
              <w:rPr>
                <w:sz w:val="20"/>
                <w:szCs w:val="20"/>
                <w:color w:val="auto"/>
              </w:rPr>
            </w:pPr>
            <w:r>
              <w:rPr>
                <w:rFonts w:ascii="Arial" w:cs="Arial" w:eastAsia="Arial" w:hAnsi="Arial"/>
                <w:sz w:val="14"/>
                <w:szCs w:val="14"/>
                <w:color w:val="auto"/>
              </w:rPr>
              <w:t>2023</w:t>
            </w:r>
          </w:p>
        </w:tc>
        <w:tc>
          <w:tcPr>
            <w:tcW w:w="640" w:type="dxa"/>
            <w:vAlign w:val="bottom"/>
          </w:tcPr>
          <w:p>
            <w:pPr>
              <w:ind w:left="540"/>
              <w:spacing w:after="0"/>
              <w:rPr>
                <w:sz w:val="20"/>
                <w:szCs w:val="20"/>
                <w:color w:val="auto"/>
              </w:rPr>
            </w:pPr>
            <w:r>
              <w:rPr>
                <w:rFonts w:ascii="Arial" w:cs="Arial" w:eastAsia="Arial" w:hAnsi="Arial"/>
                <w:sz w:val="16"/>
                <w:szCs w:val="16"/>
                <w:color w:val="0063A6"/>
              </w:rPr>
              <w:t>•</w:t>
            </w:r>
          </w:p>
        </w:tc>
        <w:tc>
          <w:tcPr>
            <w:tcW w:w="5260" w:type="dxa"/>
            <w:vAlign w:val="bottom"/>
          </w:tcPr>
          <w:p>
            <w:pPr>
              <w:ind w:left="40"/>
              <w:spacing w:after="0"/>
              <w:rPr>
                <w:sz w:val="20"/>
                <w:szCs w:val="20"/>
                <w:color w:val="auto"/>
              </w:rPr>
            </w:pPr>
            <w:r>
              <w:rPr>
                <w:rFonts w:ascii="Arial" w:cs="Arial" w:eastAsia="Arial" w:hAnsi="Arial"/>
                <w:sz w:val="16"/>
                <w:szCs w:val="16"/>
                <w:color w:val="auto"/>
              </w:rPr>
              <w:t>Every year, millions of users sign up for Dropbox. Bottom-up adoption</w:t>
            </w:r>
          </w:p>
        </w:tc>
        <w:tc>
          <w:tcPr>
            <w:tcW w:w="0" w:type="dxa"/>
            <w:vAlign w:val="bottom"/>
          </w:tcPr>
          <w:p>
            <w:pPr>
              <w:spacing w:after="0"/>
              <w:rPr>
                <w:sz w:val="1"/>
                <w:szCs w:val="1"/>
                <w:color w:val="auto"/>
              </w:rPr>
            </w:pPr>
          </w:p>
        </w:tc>
      </w:tr>
      <w:tr>
        <w:trPr>
          <w:trHeight w:val="169"/>
        </w:trPr>
        <w:tc>
          <w:tcPr>
            <w:tcW w:w="1360" w:type="dxa"/>
            <w:vAlign w:val="bottom"/>
            <w:tcBorders>
              <w:bottom w:val="single" w:sz="8" w:color="0063A6"/>
            </w:tcBorders>
            <w:shd w:val="clear" w:color="auto" w:fill="F9F9F7"/>
          </w:tcPr>
          <w:p>
            <w:pPr>
              <w:spacing w:after="0"/>
              <w:rPr>
                <w:sz w:val="14"/>
                <w:szCs w:val="14"/>
                <w:color w:val="auto"/>
              </w:rPr>
            </w:pPr>
          </w:p>
        </w:tc>
        <w:tc>
          <w:tcPr>
            <w:tcW w:w="640" w:type="dxa"/>
            <w:vAlign w:val="bottom"/>
          </w:tcPr>
          <w:p>
            <w:pPr>
              <w:spacing w:after="0"/>
              <w:rPr>
                <w:sz w:val="14"/>
                <w:szCs w:val="14"/>
                <w:color w:val="auto"/>
              </w:rPr>
            </w:pPr>
          </w:p>
        </w:tc>
        <w:tc>
          <w:tcPr>
            <w:tcW w:w="5260" w:type="dxa"/>
            <w:vAlign w:val="bottom"/>
          </w:tcPr>
          <w:p>
            <w:pPr>
              <w:ind w:left="60"/>
              <w:spacing w:after="0" w:line="169" w:lineRule="exact"/>
              <w:rPr>
                <w:sz w:val="20"/>
                <w:szCs w:val="20"/>
                <w:color w:val="auto"/>
              </w:rPr>
            </w:pPr>
            <w:r>
              <w:rPr>
                <w:rFonts w:ascii="Arial" w:cs="Arial" w:eastAsia="Arial" w:hAnsi="Arial"/>
                <w:sz w:val="16"/>
                <w:szCs w:val="16"/>
                <w:color w:val="auto"/>
              </w:rPr>
              <w:t>within organizations has been critical to our strategy and success as</w:t>
            </w:r>
          </w:p>
        </w:tc>
        <w:tc>
          <w:tcPr>
            <w:tcW w:w="0" w:type="dxa"/>
            <w:vAlign w:val="bottom"/>
          </w:tcPr>
          <w:p>
            <w:pPr>
              <w:spacing w:after="0"/>
              <w:rPr>
                <w:sz w:val="1"/>
                <w:szCs w:val="1"/>
                <w:color w:val="auto"/>
              </w:rPr>
            </w:pPr>
          </w:p>
        </w:tc>
      </w:tr>
      <w:tr>
        <w:trPr>
          <w:trHeight w:val="189"/>
        </w:trPr>
        <w:tc>
          <w:tcPr>
            <w:tcW w:w="1360" w:type="dxa"/>
            <w:vAlign w:val="bottom"/>
            <w:shd w:val="clear" w:color="auto" w:fill="0063A6"/>
          </w:tcPr>
          <w:p>
            <w:pPr>
              <w:spacing w:after="0"/>
              <w:rPr>
                <w:sz w:val="16"/>
                <w:szCs w:val="16"/>
                <w:color w:val="auto"/>
              </w:rPr>
            </w:pPr>
          </w:p>
        </w:tc>
        <w:tc>
          <w:tcPr>
            <w:tcW w:w="640" w:type="dxa"/>
            <w:vAlign w:val="bottom"/>
          </w:tcPr>
          <w:p>
            <w:pPr>
              <w:spacing w:after="0"/>
              <w:rPr>
                <w:sz w:val="16"/>
                <w:szCs w:val="16"/>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users increasingly choose their own tools at work. We generate over</w:t>
            </w:r>
          </w:p>
        </w:tc>
        <w:tc>
          <w:tcPr>
            <w:tcW w:w="0" w:type="dxa"/>
            <w:vAlign w:val="bottom"/>
          </w:tcPr>
          <w:p>
            <w:pPr>
              <w:spacing w:after="0"/>
              <w:rPr>
                <w:sz w:val="1"/>
                <w:szCs w:val="1"/>
                <w:color w:val="auto"/>
              </w:rPr>
            </w:pPr>
          </w:p>
        </w:tc>
      </w:tr>
      <w:tr>
        <w:trPr>
          <w:trHeight w:val="203"/>
        </w:trPr>
        <w:tc>
          <w:tcPr>
            <w:tcW w:w="1360" w:type="dxa"/>
            <w:vAlign w:val="bottom"/>
            <w:shd w:val="clear" w:color="auto" w:fill="0063A6"/>
          </w:tcPr>
          <w:p>
            <w:pPr>
              <w:jc w:val="center"/>
              <w:spacing w:after="0"/>
              <w:rPr>
                <w:sz w:val="20"/>
                <w:szCs w:val="20"/>
                <w:color w:val="auto"/>
              </w:rPr>
            </w:pPr>
            <w:r>
              <w:rPr>
                <w:rFonts w:ascii="Arial" w:cs="Arial" w:eastAsia="Arial" w:hAnsi="Arial"/>
                <w:sz w:val="16"/>
                <w:szCs w:val="16"/>
                <w:b w:val="1"/>
                <w:bCs w:val="1"/>
                <w:color w:val="FFFFFF"/>
              </w:rPr>
              <w:t>$139.38</w:t>
            </w:r>
          </w:p>
        </w:tc>
        <w:tc>
          <w:tcPr>
            <w:tcW w:w="640" w:type="dxa"/>
            <w:vAlign w:val="bottom"/>
          </w:tcPr>
          <w:p>
            <w:pPr>
              <w:spacing w:after="0"/>
              <w:rPr>
                <w:sz w:val="17"/>
                <w:szCs w:val="17"/>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90% of our revenue from self-serve channels-users who purchase a</w:t>
            </w:r>
          </w:p>
        </w:tc>
        <w:tc>
          <w:tcPr>
            <w:tcW w:w="0" w:type="dxa"/>
            <w:vAlign w:val="bottom"/>
          </w:tcPr>
          <w:p>
            <w:pPr>
              <w:spacing w:after="0"/>
              <w:rPr>
                <w:sz w:val="1"/>
                <w:szCs w:val="1"/>
                <w:color w:val="auto"/>
              </w:rPr>
            </w:pPr>
          </w:p>
        </w:tc>
      </w:tr>
      <w:tr>
        <w:trPr>
          <w:trHeight w:val="215"/>
        </w:trPr>
        <w:tc>
          <w:tcPr>
            <w:tcW w:w="1360" w:type="dxa"/>
            <w:vAlign w:val="bottom"/>
            <w:shd w:val="clear" w:color="auto" w:fill="0063A6"/>
          </w:tcPr>
          <w:p>
            <w:pPr>
              <w:spacing w:after="0"/>
              <w:rPr>
                <w:sz w:val="18"/>
                <w:szCs w:val="18"/>
                <w:color w:val="auto"/>
              </w:rPr>
            </w:pPr>
          </w:p>
        </w:tc>
        <w:tc>
          <w:tcPr>
            <w:tcW w:w="640" w:type="dxa"/>
            <w:vAlign w:val="bottom"/>
          </w:tcPr>
          <w:p>
            <w:pPr>
              <w:spacing w:after="0"/>
              <w:rPr>
                <w:sz w:val="18"/>
                <w:szCs w:val="18"/>
                <w:color w:val="auto"/>
              </w:rPr>
            </w:pPr>
          </w:p>
        </w:tc>
        <w:tc>
          <w:tcPr>
            <w:tcW w:w="5260" w:type="dxa"/>
            <w:vAlign w:val="bottom"/>
          </w:tcPr>
          <w:p>
            <w:pPr>
              <w:ind w:left="60"/>
              <w:spacing w:after="0"/>
              <w:rPr>
                <w:sz w:val="20"/>
                <w:szCs w:val="20"/>
                <w:color w:val="auto"/>
              </w:rPr>
            </w:pPr>
            <w:r>
              <w:rPr>
                <w:rFonts w:ascii="Arial" w:cs="Arial" w:eastAsia="Arial" w:hAnsi="Arial"/>
                <w:sz w:val="16"/>
                <w:szCs w:val="16"/>
                <w:color w:val="auto"/>
              </w:rPr>
              <w:t>subscription through our app or website.</w:t>
            </w:r>
          </w:p>
        </w:tc>
        <w:tc>
          <w:tcPr>
            <w:tcW w:w="0" w:type="dxa"/>
            <w:vAlign w:val="bottom"/>
          </w:tcPr>
          <w:p>
            <w:pPr>
              <w:spacing w:after="0"/>
              <w:rPr>
                <w:sz w:val="1"/>
                <w:szCs w:val="1"/>
                <w:color w:val="auto"/>
              </w:rPr>
            </w:pPr>
          </w:p>
        </w:tc>
      </w:tr>
      <w:tr>
        <w:trPr>
          <w:trHeight w:val="136"/>
        </w:trPr>
        <w:tc>
          <w:tcPr>
            <w:tcW w:w="1360" w:type="dxa"/>
            <w:vAlign w:val="bottom"/>
            <w:shd w:val="clear" w:color="auto" w:fill="0063A6"/>
          </w:tcPr>
          <w:p>
            <w:pPr>
              <w:spacing w:after="0"/>
              <w:rPr>
                <w:sz w:val="11"/>
                <w:szCs w:val="11"/>
                <w:color w:val="auto"/>
              </w:rPr>
            </w:pPr>
          </w:p>
        </w:tc>
        <w:tc>
          <w:tcPr>
            <w:tcW w:w="640" w:type="dxa"/>
            <w:vAlign w:val="bottom"/>
            <w:vMerge w:val="restart"/>
          </w:tcPr>
          <w:p>
            <w:pPr>
              <w:ind w:left="540"/>
              <w:spacing w:after="0"/>
              <w:rPr>
                <w:sz w:val="20"/>
                <w:szCs w:val="20"/>
                <w:color w:val="auto"/>
              </w:rPr>
            </w:pPr>
            <w:r>
              <w:rPr>
                <w:rFonts w:ascii="Arial" w:cs="Arial" w:eastAsia="Arial" w:hAnsi="Arial"/>
                <w:sz w:val="16"/>
                <w:szCs w:val="16"/>
                <w:color w:val="0063A6"/>
              </w:rPr>
              <w:t>•</w:t>
            </w:r>
          </w:p>
        </w:tc>
        <w:tc>
          <w:tcPr>
            <w:tcW w:w="5260" w:type="dxa"/>
            <w:vAlign w:val="bottom"/>
            <w:vMerge w:val="restart"/>
          </w:tcPr>
          <w:p>
            <w:pPr>
              <w:ind w:left="40"/>
              <w:spacing w:after="0"/>
              <w:rPr>
                <w:sz w:val="20"/>
                <w:szCs w:val="20"/>
                <w:color w:val="auto"/>
              </w:rPr>
            </w:pPr>
            <w:r>
              <w:rPr>
                <w:rFonts w:ascii="Arial" w:cs="Arial" w:eastAsia="Arial" w:hAnsi="Arial"/>
                <w:sz w:val="16"/>
                <w:szCs w:val="16"/>
                <w:color w:val="auto"/>
              </w:rPr>
              <w:t>Dropbox allows individuals, teams, and organizations to collaborate</w:t>
            </w: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5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tcPr>
          <w:p>
            <w:pPr>
              <w:jc w:val="center"/>
              <w:spacing w:after="0"/>
              <w:rPr>
                <w:sz w:val="20"/>
                <w:szCs w:val="20"/>
                <w:color w:val="auto"/>
              </w:rPr>
            </w:pPr>
            <w:r>
              <w:rPr>
                <w:rFonts w:ascii="Arial" w:cs="Arial" w:eastAsia="Arial" w:hAnsi="Arial"/>
                <w:sz w:val="14"/>
                <w:szCs w:val="14"/>
                <w:color w:val="auto"/>
              </w:rPr>
              <w:t>2023</w:t>
            </w:r>
          </w:p>
        </w:tc>
        <w:tc>
          <w:tcPr>
            <w:tcW w:w="5860" w:type="dxa"/>
            <w:vAlign w:val="bottom"/>
            <w:vMerge w:val="restart"/>
          </w:tcPr>
          <w:p>
            <w:pPr>
              <w:ind w:left="700"/>
              <w:spacing w:after="0"/>
              <w:rPr>
                <w:sz w:val="20"/>
                <w:szCs w:val="20"/>
                <w:color w:val="auto"/>
              </w:rPr>
            </w:pPr>
            <w:r>
              <w:rPr>
                <w:rFonts w:ascii="Arial" w:cs="Arial" w:eastAsia="Arial" w:hAnsi="Arial"/>
                <w:sz w:val="16"/>
                <w:szCs w:val="16"/>
                <w:color w:val="auto"/>
              </w:rPr>
              <w:t>more effectively and focus on the work that matters. Anyone can sign up</w:t>
            </w:r>
          </w:p>
        </w:tc>
        <w:tc>
          <w:tcPr>
            <w:tcW w:w="0" w:type="dxa"/>
            <w:vAlign w:val="bottom"/>
          </w:tcPr>
          <w:p>
            <w:pPr>
              <w:spacing w:after="0"/>
              <w:rPr>
                <w:sz w:val="1"/>
                <w:szCs w:val="1"/>
                <w:color w:val="auto"/>
              </w:rPr>
            </w:pPr>
          </w:p>
        </w:tc>
      </w:tr>
      <w:tr>
        <w:trPr>
          <w:trHeight w:val="34"/>
        </w:trPr>
        <w:tc>
          <w:tcPr>
            <w:tcW w:w="1360" w:type="dxa"/>
            <w:vAlign w:val="bottom"/>
          </w:tcPr>
          <w:p>
            <w:pPr>
              <w:spacing w:after="0"/>
              <w:rPr>
                <w:sz w:val="2"/>
                <w:szCs w:val="2"/>
                <w:color w:val="auto"/>
              </w:rPr>
            </w:pPr>
          </w:p>
        </w:tc>
        <w:tc>
          <w:tcPr>
            <w:tcW w:w="5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360" w:type="dxa"/>
            <w:vAlign w:val="bottom"/>
          </w:tcPr>
          <w:p>
            <w:pPr>
              <w:spacing w:after="0"/>
              <w:rPr>
                <w:sz w:val="10"/>
                <w:szCs w:val="10"/>
                <w:color w:val="auto"/>
              </w:rPr>
            </w:pPr>
          </w:p>
        </w:tc>
        <w:tc>
          <w:tcPr>
            <w:tcW w:w="5860" w:type="dxa"/>
            <w:vAlign w:val="bottom"/>
            <w:vMerge w:val="restart"/>
          </w:tcPr>
          <w:p>
            <w:pPr>
              <w:ind w:left="700"/>
              <w:spacing w:after="0"/>
              <w:rPr>
                <w:sz w:val="20"/>
                <w:szCs w:val="20"/>
                <w:color w:val="auto"/>
              </w:rPr>
            </w:pPr>
            <w:r>
              <w:rPr>
                <w:rFonts w:ascii="Arial" w:cs="Arial" w:eastAsia="Arial" w:hAnsi="Arial"/>
                <w:sz w:val="16"/>
                <w:szCs w:val="16"/>
                <w:color w:val="auto"/>
              </w:rPr>
              <w:t>for free through our website or app, and upgrade to a paid subscription</w:t>
            </w:r>
          </w:p>
        </w:tc>
        <w:tc>
          <w:tcPr>
            <w:tcW w:w="0" w:type="dxa"/>
            <w:vAlign w:val="bottom"/>
          </w:tcPr>
          <w:p>
            <w:pPr>
              <w:spacing w:after="0"/>
              <w:rPr>
                <w:sz w:val="1"/>
                <w:szCs w:val="1"/>
                <w:color w:val="auto"/>
              </w:rPr>
            </w:pPr>
          </w:p>
        </w:tc>
      </w:tr>
      <w:tr>
        <w:trPr>
          <w:trHeight w:val="67"/>
        </w:trPr>
        <w:tc>
          <w:tcPr>
            <w:tcW w:w="1360" w:type="dxa"/>
            <w:vAlign w:val="bottom"/>
            <w:shd w:val="clear" w:color="auto" w:fill="0063A6"/>
          </w:tcPr>
          <w:p>
            <w:pPr>
              <w:spacing w:after="0"/>
              <w:rPr>
                <w:sz w:val="5"/>
                <w:szCs w:val="5"/>
                <w:color w:val="auto"/>
              </w:rPr>
            </w:pPr>
          </w:p>
        </w:tc>
        <w:tc>
          <w:tcPr>
            <w:tcW w:w="5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360" w:type="dxa"/>
            <w:vAlign w:val="bottom"/>
            <w:vMerge w:val="restart"/>
            <w:shd w:val="clear" w:color="auto" w:fill="0063A6"/>
          </w:tcPr>
          <w:p>
            <w:pPr>
              <w:jc w:val="center"/>
              <w:spacing w:after="0"/>
              <w:rPr>
                <w:sz w:val="20"/>
                <w:szCs w:val="20"/>
                <w:color w:val="auto"/>
              </w:rPr>
            </w:pPr>
            <w:r>
              <w:rPr>
                <w:rFonts w:ascii="Arial" w:cs="Arial" w:eastAsia="Arial" w:hAnsi="Arial"/>
                <w:sz w:val="16"/>
                <w:szCs w:val="16"/>
                <w:b w:val="1"/>
                <w:bCs w:val="1"/>
                <w:color w:val="FFFFFF"/>
              </w:rPr>
              <w:t>32.8%</w:t>
            </w:r>
          </w:p>
        </w:tc>
        <w:tc>
          <w:tcPr>
            <w:tcW w:w="5860" w:type="dxa"/>
            <w:vAlign w:val="bottom"/>
          </w:tcPr>
          <w:p>
            <w:pPr>
              <w:ind w:left="700"/>
              <w:spacing w:after="0"/>
              <w:rPr>
                <w:sz w:val="20"/>
                <w:szCs w:val="20"/>
                <w:color w:val="auto"/>
              </w:rPr>
            </w:pPr>
            <w:r>
              <w:rPr>
                <w:rFonts w:ascii="Arial" w:cs="Arial" w:eastAsia="Arial" w:hAnsi="Arial"/>
                <w:sz w:val="16"/>
                <w:szCs w:val="16"/>
                <w:color w:val="auto"/>
              </w:rPr>
              <w:t>plan for premium features.</w:t>
            </w:r>
          </w:p>
        </w:tc>
        <w:tc>
          <w:tcPr>
            <w:tcW w:w="0" w:type="dxa"/>
            <w:vAlign w:val="bottom"/>
          </w:tcPr>
          <w:p>
            <w:pPr>
              <w:spacing w:after="0"/>
              <w:rPr>
                <w:sz w:val="1"/>
                <w:szCs w:val="1"/>
                <w:color w:val="auto"/>
              </w:rPr>
            </w:pPr>
          </w:p>
        </w:tc>
      </w:tr>
      <w:tr>
        <w:trPr>
          <w:trHeight w:val="143"/>
        </w:trPr>
        <w:tc>
          <w:tcPr>
            <w:tcW w:w="1360" w:type="dxa"/>
            <w:vAlign w:val="bottom"/>
            <w:vMerge w:val="continue"/>
            <w:shd w:val="clear" w:color="auto" w:fill="0063A6"/>
          </w:tcPr>
          <w:p>
            <w:pPr>
              <w:spacing w:after="0"/>
              <w:rPr>
                <w:sz w:val="12"/>
                <w:szCs w:val="12"/>
                <w:color w:val="auto"/>
              </w:rPr>
            </w:pPr>
          </w:p>
        </w:tc>
        <w:tc>
          <w:tcPr>
            <w:tcW w:w="5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shd w:val="clear" w:color="auto" w:fill="0063A6"/>
          </w:tcPr>
          <w:p>
            <w:pPr>
              <w:spacing w:after="0"/>
              <w:rPr>
                <w:sz w:val="18"/>
                <w:szCs w:val="18"/>
                <w:color w:val="auto"/>
              </w:rPr>
            </w:pPr>
          </w:p>
        </w:tc>
        <w:tc>
          <w:tcPr>
            <w:tcW w:w="5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1360" w:type="dxa"/>
            <w:vAlign w:val="bottom"/>
            <w:shd w:val="clear" w:color="auto" w:fill="F9F9F7"/>
          </w:tcPr>
          <w:p>
            <w:pPr>
              <w:jc w:val="center"/>
              <w:spacing w:after="0"/>
              <w:rPr>
                <w:sz w:val="20"/>
                <w:szCs w:val="20"/>
                <w:color w:val="auto"/>
              </w:rPr>
            </w:pPr>
            <w:r>
              <w:rPr>
                <w:rFonts w:ascii="Arial" w:cs="Arial" w:eastAsia="Arial" w:hAnsi="Arial"/>
                <w:sz w:val="14"/>
                <w:szCs w:val="14"/>
                <w:color w:val="auto"/>
              </w:rPr>
              <w:t>2023</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360" w:type="dxa"/>
            <w:vAlign w:val="bottom"/>
            <w:shd w:val="clear" w:color="auto" w:fill="F9F9F7"/>
          </w:tcPr>
          <w:p>
            <w:pPr>
              <w:spacing w:after="0"/>
              <w:rPr>
                <w:sz w:val="23"/>
                <w:szCs w:val="23"/>
                <w:color w:val="auto"/>
              </w:rPr>
            </w:pPr>
          </w:p>
        </w:tc>
        <w:tc>
          <w:tcPr>
            <w:tcW w:w="5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1360" w:type="dxa"/>
            <w:vAlign w:val="bottom"/>
            <w:shd w:val="clear" w:color="auto" w:fill="0063A6"/>
          </w:tcPr>
          <w:p>
            <w:pPr>
              <w:jc w:val="center"/>
              <w:spacing w:after="0"/>
              <w:rPr>
                <w:sz w:val="20"/>
                <w:szCs w:val="20"/>
                <w:color w:val="auto"/>
              </w:rPr>
            </w:pPr>
            <w:r>
              <w:rPr>
                <w:rFonts w:ascii="Arial" w:cs="Arial" w:eastAsia="Arial" w:hAnsi="Arial"/>
                <w:sz w:val="16"/>
                <w:szCs w:val="16"/>
                <w:b w:val="1"/>
                <w:bCs w:val="1"/>
                <w:color w:val="FFFFFF"/>
                <w:w w:val="98"/>
              </w:rPr>
              <w:t>$759.4</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360" w:type="dxa"/>
            <w:vAlign w:val="bottom"/>
            <w:shd w:val="clear" w:color="auto" w:fill="0063A6"/>
          </w:tcPr>
          <w:p>
            <w:pPr>
              <w:spacing w:after="0"/>
              <w:rPr>
                <w:sz w:val="17"/>
                <w:szCs w:val="17"/>
                <w:color w:val="auto"/>
              </w:rPr>
            </w:pPr>
          </w:p>
        </w:tc>
        <w:tc>
          <w:tcPr>
            <w:tcW w:w="5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1360" w:type="dxa"/>
            <w:vAlign w:val="bottom"/>
            <w:shd w:val="clear" w:color="auto" w:fill="F9F9F7"/>
          </w:tcPr>
          <w:p>
            <w:pPr>
              <w:jc w:val="center"/>
              <w:spacing w:after="0"/>
              <w:rPr>
                <w:sz w:val="20"/>
                <w:szCs w:val="20"/>
                <w:color w:val="auto"/>
              </w:rPr>
            </w:pPr>
            <w:r>
              <w:rPr>
                <w:rFonts w:ascii="Arial" w:cs="Arial" w:eastAsia="Arial" w:hAnsi="Arial"/>
                <w:sz w:val="14"/>
                <w:szCs w:val="14"/>
                <w:color w:val="auto"/>
              </w:rPr>
              <w:t>2023</w:t>
            </w:r>
          </w:p>
        </w:tc>
        <w:tc>
          <w:tcPr>
            <w:tcW w:w="5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3">
            <w:col w:w="2240" w:space="500"/>
            <w:col w:w="620" w:space="620"/>
            <w:col w:w="7260"/>
          </w:cols>
          <w:pgMar w:left="320" w:top="114" w:right="3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 xml:space="preserve">*A reconciliation of GAAP to non-GAAP results is provided in </w:t>
      </w:r>
      <w:r>
        <w:rPr>
          <w:rFonts w:ascii="Arial" w:cs="Arial" w:eastAsia="Arial" w:hAnsi="Arial"/>
          <w:sz w:val="14"/>
          <w:szCs w:val="14"/>
          <w:u w:val="single" w:color="auto"/>
          <w:color w:val="auto"/>
        </w:rPr>
        <w:t>Appendix A</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Executive Compensation Policies and Practices</w:t>
      </w:r>
    </w:p>
    <w:p>
      <w:pPr>
        <w:spacing w:after="0" w:line="8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talent and compensation committee evaluates our executive compensation program on a regular basis to ensure that it is consistent with our short-term and long-term goals given the dynamic nature of our business and the competitive market in which we compete for executive talent. The following summarizes our executive compensation program and related policies and practices:</w:t>
      </w:r>
    </w:p>
    <w:p>
      <w:pPr>
        <w:spacing w:after="0" w:line="174" w:lineRule="exact"/>
        <w:rPr>
          <w:sz w:val="20"/>
          <w:szCs w:val="20"/>
          <w:color w:val="auto"/>
        </w:rPr>
      </w:pPr>
    </w:p>
    <w:p>
      <w:pPr>
        <w:ind w:left="2080"/>
        <w:spacing w:after="0"/>
        <w:tabs>
          <w:tab w:leader="none" w:pos="7400" w:val="left"/>
        </w:tabs>
        <w:rPr>
          <w:sz w:val="20"/>
          <w:szCs w:val="20"/>
          <w:color w:val="auto"/>
        </w:rPr>
      </w:pPr>
      <w:r>
        <w:rPr>
          <w:rFonts w:ascii="Arial" w:cs="Arial" w:eastAsia="Arial" w:hAnsi="Arial"/>
          <w:sz w:val="25"/>
          <w:szCs w:val="25"/>
          <w:b w:val="1"/>
          <w:bCs w:val="1"/>
          <w:color w:val="auto"/>
        </w:rPr>
        <w:t>What we do</w:t>
      </w:r>
      <w:r>
        <w:rPr>
          <w:sz w:val="20"/>
          <w:szCs w:val="20"/>
          <w:color w:val="auto"/>
        </w:rPr>
        <w:tab/>
      </w:r>
      <w:r>
        <w:rPr>
          <w:rFonts w:ascii="Arial" w:cs="Arial" w:eastAsia="Arial" w:hAnsi="Arial"/>
          <w:sz w:val="25"/>
          <w:szCs w:val="25"/>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46545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4654550"/>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380" w:right="100" w:hanging="322"/>
        <w:spacing w:after="0" w:line="257" w:lineRule="auto"/>
        <w:tabs>
          <w:tab w:leader="none" w:pos="380" w:val="left"/>
        </w:tabs>
        <w:numPr>
          <w:ilvl w:val="0"/>
          <w:numId w:val="54"/>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Maintain an Independent Talent and Compensation Committee. </w:t>
      </w:r>
      <w:r>
        <w:rPr>
          <w:rFonts w:ascii="Arial" w:cs="Arial" w:eastAsia="Arial" w:hAnsi="Arial"/>
          <w:sz w:val="16"/>
          <w:szCs w:val="16"/>
          <w:color w:val="auto"/>
          <w:shd w:val="clear" w:color="auto" w:fill="F2F2F2"/>
        </w:rPr>
        <w:t>The talent and compensation committee consists solely of independent directors who establish our compensation practices.</w:t>
      </w:r>
    </w:p>
    <w:p>
      <w:pPr>
        <w:spacing w:after="0" w:line="110" w:lineRule="exact"/>
        <w:rPr>
          <w:rFonts w:ascii="MS PGothic" w:cs="MS PGothic" w:eastAsia="MS PGothic" w:hAnsi="MS PGothic"/>
          <w:sz w:val="16"/>
          <w:szCs w:val="16"/>
          <w:color w:val="auto"/>
        </w:rPr>
      </w:pPr>
    </w:p>
    <w:p>
      <w:pPr>
        <w:ind w:left="380" w:hanging="322"/>
        <w:spacing w:after="0" w:line="252" w:lineRule="auto"/>
        <w:tabs>
          <w:tab w:leader="none" w:pos="380" w:val="left"/>
        </w:tabs>
        <w:numPr>
          <w:ilvl w:val="0"/>
          <w:numId w:val="54"/>
        </w:numPr>
        <w:rPr>
          <w:rFonts w:ascii="MS PGothic" w:cs="MS PGothic" w:eastAsia="MS PGothic" w:hAnsi="MS PGothic"/>
          <w:sz w:val="16"/>
          <w:szCs w:val="16"/>
          <w:color w:val="auto"/>
          <w:shd w:val="clear" w:color="auto" w:fill="F2F2F2"/>
        </w:rPr>
      </w:pPr>
      <w:r>
        <w:rPr>
          <w:rFonts w:ascii="Arial" w:cs="Arial" w:eastAsia="Arial" w:hAnsi="Arial"/>
          <w:sz w:val="16"/>
          <w:szCs w:val="16"/>
          <w:b w:val="1"/>
          <w:bCs w:val="1"/>
          <w:color w:val="auto"/>
          <w:shd w:val="clear" w:color="auto" w:fill="F2F2F2"/>
        </w:rPr>
        <w:t xml:space="preserve">Retain an Independent Compensation Advisor. </w:t>
      </w:r>
      <w:r>
        <w:rPr>
          <w:rFonts w:ascii="Arial" w:cs="Arial" w:eastAsia="Arial" w:hAnsi="Arial"/>
          <w:sz w:val="16"/>
          <w:szCs w:val="16"/>
          <w:color w:val="auto"/>
          <w:shd w:val="clear" w:color="auto" w:fill="F2F2F2"/>
        </w:rPr>
        <w:t>The talent and</w:t>
      </w:r>
      <w:r>
        <w:rPr>
          <w:rFonts w:ascii="Arial" w:cs="Arial" w:eastAsia="Arial" w:hAnsi="Arial"/>
          <w:sz w:val="16"/>
          <w:szCs w:val="16"/>
          <w:b w:val="1"/>
          <w:bCs w:val="1"/>
          <w:color w:val="auto"/>
          <w:shd w:val="clear" w:color="auto" w:fill="F2F2F2"/>
        </w:rPr>
        <w:t xml:space="preserve"> </w:t>
      </w:r>
      <w:r>
        <w:rPr>
          <w:rFonts w:ascii="Arial" w:cs="Arial" w:eastAsia="Arial" w:hAnsi="Arial"/>
          <w:sz w:val="16"/>
          <w:szCs w:val="16"/>
          <w:color w:val="auto"/>
          <w:shd w:val="clear" w:color="auto" w:fill="F2F2F2"/>
        </w:rPr>
        <w:t>compensation committee has engaged its own compensation consultant to provide information, analysis, and other advice on executive compensation independent of management. This consultant performed no other consulting or other services for us in 2023.</w:t>
      </w:r>
    </w:p>
    <w:p>
      <w:pPr>
        <w:spacing w:after="0" w:line="100" w:lineRule="exact"/>
        <w:rPr>
          <w:rFonts w:ascii="MS PGothic" w:cs="MS PGothic" w:eastAsia="MS PGothic" w:hAnsi="MS PGothic"/>
          <w:sz w:val="16"/>
          <w:szCs w:val="16"/>
          <w:color w:val="auto"/>
          <w:shd w:val="clear" w:color="auto" w:fill="F2F2F2"/>
        </w:rPr>
      </w:pPr>
    </w:p>
    <w:p>
      <w:pPr>
        <w:jc w:val="both"/>
        <w:ind w:left="380" w:right="300" w:hanging="322"/>
        <w:spacing w:after="0" w:line="266" w:lineRule="auto"/>
        <w:tabs>
          <w:tab w:leader="none" w:pos="380" w:val="left"/>
        </w:tabs>
        <w:numPr>
          <w:ilvl w:val="0"/>
          <w:numId w:val="54"/>
        </w:numPr>
        <w:rPr>
          <w:rFonts w:ascii="MS PGothic" w:cs="MS PGothic" w:eastAsia="MS PGothic" w:hAnsi="MS PGothic"/>
          <w:sz w:val="16"/>
          <w:szCs w:val="16"/>
          <w:color w:val="auto"/>
          <w:shd w:val="clear" w:color="auto" w:fill="F2F2F2"/>
        </w:rPr>
      </w:pPr>
      <w:r>
        <w:rPr>
          <w:rFonts w:ascii="Arial" w:cs="Arial" w:eastAsia="Arial" w:hAnsi="Arial"/>
          <w:sz w:val="16"/>
          <w:szCs w:val="16"/>
          <w:b w:val="1"/>
          <w:bCs w:val="1"/>
          <w:color w:val="auto"/>
          <w:shd w:val="clear" w:color="auto" w:fill="F2F2F2"/>
        </w:rPr>
        <w:t xml:space="preserve">Stock Ownership Guidelines. </w:t>
      </w:r>
      <w:r>
        <w:rPr>
          <w:rFonts w:ascii="Arial" w:cs="Arial" w:eastAsia="Arial" w:hAnsi="Arial"/>
          <w:sz w:val="16"/>
          <w:szCs w:val="16"/>
          <w:color w:val="auto"/>
          <w:shd w:val="clear" w:color="auto" w:fill="F2F2F2"/>
        </w:rPr>
        <w:t>We maintain robust stock ownership</w:t>
      </w:r>
      <w:r>
        <w:rPr>
          <w:rFonts w:ascii="Arial" w:cs="Arial" w:eastAsia="Arial" w:hAnsi="Arial"/>
          <w:sz w:val="16"/>
          <w:szCs w:val="16"/>
          <w:b w:val="1"/>
          <w:bCs w:val="1"/>
          <w:color w:val="auto"/>
          <w:shd w:val="clear" w:color="auto" w:fill="F2F2F2"/>
        </w:rPr>
        <w:t xml:space="preserve"> </w:t>
      </w:r>
      <w:r>
        <w:rPr>
          <w:rFonts w:ascii="Arial" w:cs="Arial" w:eastAsia="Arial" w:hAnsi="Arial"/>
          <w:sz w:val="16"/>
          <w:szCs w:val="16"/>
          <w:color w:val="auto"/>
          <w:shd w:val="clear" w:color="auto" w:fill="F2F2F2"/>
        </w:rPr>
        <w:t>guidelines for our Chief Executive Officer, our executive officers and independent directors.</w:t>
      </w:r>
    </w:p>
    <w:p>
      <w:pPr>
        <w:spacing w:after="0" w:line="90" w:lineRule="exact"/>
        <w:rPr>
          <w:rFonts w:ascii="MS PGothic" w:cs="MS PGothic" w:eastAsia="MS PGothic" w:hAnsi="MS PGothic"/>
          <w:sz w:val="16"/>
          <w:szCs w:val="16"/>
          <w:color w:val="auto"/>
          <w:shd w:val="clear" w:color="auto" w:fill="F2F2F2"/>
        </w:rPr>
      </w:pPr>
    </w:p>
    <w:p>
      <w:pPr>
        <w:ind w:left="380" w:right="280" w:hanging="322"/>
        <w:spacing w:after="0" w:line="286" w:lineRule="auto"/>
        <w:tabs>
          <w:tab w:leader="none" w:pos="380" w:val="left"/>
        </w:tabs>
        <w:numPr>
          <w:ilvl w:val="0"/>
          <w:numId w:val="54"/>
        </w:numPr>
        <w:rPr>
          <w:rFonts w:ascii="MS PGothic" w:cs="MS PGothic" w:eastAsia="MS PGothic" w:hAnsi="MS PGothic"/>
          <w:sz w:val="16"/>
          <w:szCs w:val="16"/>
          <w:color w:val="auto"/>
          <w:shd w:val="clear" w:color="auto" w:fill="F2F2F2"/>
        </w:rPr>
      </w:pPr>
      <w:r>
        <w:rPr>
          <w:rFonts w:ascii="Arial" w:cs="Arial" w:eastAsia="Arial" w:hAnsi="Arial"/>
          <w:sz w:val="16"/>
          <w:szCs w:val="16"/>
          <w:b w:val="1"/>
          <w:bCs w:val="1"/>
          <w:color w:val="auto"/>
        </w:rPr>
        <w:t xml:space="preserve">Compensation Clawback Policy. </w:t>
      </w:r>
      <w:r>
        <w:rPr>
          <w:rFonts w:ascii="Arial" w:cs="Arial" w:eastAsia="Arial" w:hAnsi="Arial"/>
          <w:sz w:val="16"/>
          <w:szCs w:val="16"/>
          <w:color w:val="auto"/>
        </w:rPr>
        <w:t>We maintain a Nasdaq-compliant</w:t>
      </w:r>
      <w:r>
        <w:rPr>
          <w:rFonts w:ascii="Arial" w:cs="Arial" w:eastAsia="Arial" w:hAnsi="Arial"/>
          <w:sz w:val="16"/>
          <w:szCs w:val="16"/>
          <w:b w:val="1"/>
          <w:bCs w:val="1"/>
          <w:color w:val="auto"/>
        </w:rPr>
        <w:t xml:space="preserve"> </w:t>
      </w:r>
      <w:r>
        <w:rPr>
          <w:rFonts w:ascii="Arial" w:cs="Arial" w:eastAsia="Arial" w:hAnsi="Arial"/>
          <w:sz w:val="16"/>
          <w:szCs w:val="16"/>
          <w:color w:val="auto"/>
          <w:shd w:val="clear" w:color="auto" w:fill="F2F2F2"/>
        </w:rPr>
        <w:t>clawback policy covering both cash and equity compensation.</w:t>
      </w:r>
    </w:p>
    <w:p>
      <w:pPr>
        <w:spacing w:after="0" w:line="74" w:lineRule="exact"/>
        <w:rPr>
          <w:rFonts w:ascii="MS PGothic" w:cs="MS PGothic" w:eastAsia="MS PGothic" w:hAnsi="MS PGothic"/>
          <w:sz w:val="16"/>
          <w:szCs w:val="16"/>
          <w:color w:val="auto"/>
          <w:shd w:val="clear" w:color="auto" w:fill="F2F2F2"/>
        </w:rPr>
      </w:pPr>
    </w:p>
    <w:p>
      <w:pPr>
        <w:ind w:left="380" w:right="220" w:hanging="322"/>
        <w:spacing w:after="0" w:line="256" w:lineRule="auto"/>
        <w:tabs>
          <w:tab w:leader="none" w:pos="380" w:val="left"/>
        </w:tabs>
        <w:numPr>
          <w:ilvl w:val="0"/>
          <w:numId w:val="54"/>
        </w:numPr>
        <w:rPr>
          <w:rFonts w:ascii="MS PGothic" w:cs="MS PGothic" w:eastAsia="MS PGothic" w:hAnsi="MS PGothic"/>
          <w:sz w:val="16"/>
          <w:szCs w:val="16"/>
          <w:color w:val="auto"/>
          <w:shd w:val="clear" w:color="auto" w:fill="F2F2F2"/>
        </w:rPr>
      </w:pPr>
      <w:r>
        <w:rPr>
          <w:rFonts w:ascii="Arial" w:cs="Arial" w:eastAsia="Arial" w:hAnsi="Arial"/>
          <w:sz w:val="16"/>
          <w:szCs w:val="16"/>
          <w:b w:val="1"/>
          <w:bCs w:val="1"/>
          <w:color w:val="auto"/>
          <w:shd w:val="clear" w:color="auto" w:fill="F2F2F2"/>
        </w:rPr>
        <w:t xml:space="preserve">Annual Executive Compensation Review. </w:t>
      </w:r>
      <w:r>
        <w:rPr>
          <w:rFonts w:ascii="Arial" w:cs="Arial" w:eastAsia="Arial" w:hAnsi="Arial"/>
          <w:sz w:val="16"/>
          <w:szCs w:val="16"/>
          <w:color w:val="auto"/>
          <w:shd w:val="clear" w:color="auto" w:fill="F2F2F2"/>
        </w:rPr>
        <w:t>The talent and</w:t>
      </w:r>
      <w:r>
        <w:rPr>
          <w:rFonts w:ascii="Arial" w:cs="Arial" w:eastAsia="Arial" w:hAnsi="Arial"/>
          <w:sz w:val="16"/>
          <w:szCs w:val="16"/>
          <w:b w:val="1"/>
          <w:bCs w:val="1"/>
          <w:color w:val="auto"/>
          <w:shd w:val="clear" w:color="auto" w:fill="F2F2F2"/>
        </w:rPr>
        <w:t xml:space="preserve"> </w:t>
      </w:r>
      <w:r>
        <w:rPr>
          <w:rFonts w:ascii="Arial" w:cs="Arial" w:eastAsia="Arial" w:hAnsi="Arial"/>
          <w:sz w:val="16"/>
          <w:szCs w:val="16"/>
          <w:color w:val="auto"/>
          <w:shd w:val="clear" w:color="auto" w:fill="F2F2F2"/>
        </w:rPr>
        <w:t>compensation committee conducts an annual review of our compensation strategy and a review of our compensation-related risk profile to ensure that our compensation programs do not encourage excessive or inappropriate risk-taking.</w:t>
      </w:r>
    </w:p>
    <w:p>
      <w:pPr>
        <w:spacing w:after="0" w:line="98" w:lineRule="exact"/>
        <w:rPr>
          <w:rFonts w:ascii="MS PGothic" w:cs="MS PGothic" w:eastAsia="MS PGothic" w:hAnsi="MS PGothic"/>
          <w:sz w:val="16"/>
          <w:szCs w:val="16"/>
          <w:color w:val="auto"/>
          <w:shd w:val="clear" w:color="auto" w:fill="F2F2F2"/>
        </w:rPr>
      </w:pPr>
    </w:p>
    <w:p>
      <w:pPr>
        <w:ind w:left="380" w:right="220" w:hanging="322"/>
        <w:spacing w:after="0" w:line="252" w:lineRule="auto"/>
        <w:tabs>
          <w:tab w:leader="none" w:pos="380" w:val="left"/>
        </w:tabs>
        <w:numPr>
          <w:ilvl w:val="0"/>
          <w:numId w:val="54"/>
        </w:numPr>
        <w:rPr>
          <w:rFonts w:ascii="MS PGothic" w:cs="MS PGothic" w:eastAsia="MS PGothic" w:hAnsi="MS PGothic"/>
          <w:sz w:val="16"/>
          <w:szCs w:val="16"/>
          <w:color w:val="auto"/>
          <w:shd w:val="clear" w:color="auto" w:fill="F2F2F2"/>
        </w:rPr>
      </w:pPr>
      <w:r>
        <w:rPr>
          <w:rFonts w:ascii="Arial" w:cs="Arial" w:eastAsia="Arial" w:hAnsi="Arial"/>
          <w:sz w:val="16"/>
          <w:szCs w:val="16"/>
          <w:b w:val="1"/>
          <w:bCs w:val="1"/>
          <w:color w:val="auto"/>
          <w:shd w:val="clear" w:color="auto" w:fill="F2F2F2"/>
        </w:rPr>
        <w:t xml:space="preserve">Compensation At-Risk. </w:t>
      </w:r>
      <w:r>
        <w:rPr>
          <w:rFonts w:ascii="Arial" w:cs="Arial" w:eastAsia="Arial" w:hAnsi="Arial"/>
          <w:sz w:val="16"/>
          <w:szCs w:val="16"/>
          <w:color w:val="auto"/>
          <w:shd w:val="clear" w:color="auto" w:fill="F2F2F2"/>
        </w:rPr>
        <w:t>Our executive compensation program is</w:t>
      </w:r>
      <w:r>
        <w:rPr>
          <w:rFonts w:ascii="Arial" w:cs="Arial" w:eastAsia="Arial" w:hAnsi="Arial"/>
          <w:sz w:val="16"/>
          <w:szCs w:val="16"/>
          <w:b w:val="1"/>
          <w:bCs w:val="1"/>
          <w:color w:val="auto"/>
          <w:shd w:val="clear" w:color="auto" w:fill="F2F2F2"/>
        </w:rPr>
        <w:t xml:space="preserve"> </w:t>
      </w:r>
      <w:r>
        <w:rPr>
          <w:rFonts w:ascii="Arial" w:cs="Arial" w:eastAsia="Arial" w:hAnsi="Arial"/>
          <w:sz w:val="16"/>
          <w:szCs w:val="16"/>
          <w:color w:val="auto"/>
          <w:shd w:val="clear" w:color="auto" w:fill="F2F2F2"/>
        </w:rPr>
        <w:t>designed so that a significant portion of our executive officers' compensation is “at risk” based on corporate performance, as well as equity-based, to align the interests of our executive officers and stockholders.</w:t>
      </w:r>
    </w:p>
    <w:p>
      <w:pPr>
        <w:spacing w:after="0" w:line="114" w:lineRule="exact"/>
        <w:rPr>
          <w:rFonts w:ascii="MS PGothic" w:cs="MS PGothic" w:eastAsia="MS PGothic" w:hAnsi="MS PGothic"/>
          <w:sz w:val="16"/>
          <w:szCs w:val="16"/>
          <w:color w:val="auto"/>
          <w:shd w:val="clear" w:color="auto" w:fill="F2F2F2"/>
        </w:rPr>
      </w:pPr>
    </w:p>
    <w:p>
      <w:pPr>
        <w:ind w:left="380" w:right="20" w:hanging="322"/>
        <w:spacing w:after="0" w:line="251" w:lineRule="auto"/>
        <w:tabs>
          <w:tab w:leader="none" w:pos="380" w:val="left"/>
        </w:tabs>
        <w:numPr>
          <w:ilvl w:val="0"/>
          <w:numId w:val="54"/>
        </w:numPr>
        <w:rPr>
          <w:rFonts w:ascii="MS PGothic" w:cs="MS PGothic" w:eastAsia="MS PGothic" w:hAnsi="MS PGothic"/>
          <w:sz w:val="16"/>
          <w:szCs w:val="16"/>
          <w:color w:val="auto"/>
          <w:shd w:val="clear" w:color="auto" w:fill="F2F2F2"/>
        </w:rPr>
      </w:pPr>
      <w:r>
        <w:rPr>
          <w:rFonts w:ascii="Arial" w:cs="Arial" w:eastAsia="Arial" w:hAnsi="Arial"/>
          <w:sz w:val="16"/>
          <w:szCs w:val="16"/>
          <w:b w:val="1"/>
          <w:bCs w:val="1"/>
          <w:color w:val="auto"/>
          <w:shd w:val="clear" w:color="auto" w:fill="F2F2F2"/>
        </w:rPr>
        <w:t xml:space="preserve">Use a Pay-for-Performance Philosophy. </w:t>
      </w:r>
      <w:r>
        <w:rPr>
          <w:rFonts w:ascii="Arial" w:cs="Arial" w:eastAsia="Arial" w:hAnsi="Arial"/>
          <w:sz w:val="16"/>
          <w:szCs w:val="16"/>
          <w:color w:val="auto"/>
          <w:shd w:val="clear" w:color="auto" w:fill="F2F2F2"/>
        </w:rPr>
        <w:t>The majority of our executive</w:t>
      </w:r>
      <w:r>
        <w:rPr>
          <w:rFonts w:ascii="Arial" w:cs="Arial" w:eastAsia="Arial" w:hAnsi="Arial"/>
          <w:sz w:val="16"/>
          <w:szCs w:val="16"/>
          <w:b w:val="1"/>
          <w:bCs w:val="1"/>
          <w:color w:val="auto"/>
          <w:shd w:val="clear" w:color="auto" w:fill="F2F2F2"/>
        </w:rPr>
        <w:t xml:space="preserve"> </w:t>
      </w:r>
      <w:r>
        <w:rPr>
          <w:rFonts w:ascii="Arial" w:cs="Arial" w:eastAsia="Arial" w:hAnsi="Arial"/>
          <w:sz w:val="16"/>
          <w:szCs w:val="16"/>
          <w:color w:val="auto"/>
          <w:shd w:val="clear" w:color="auto" w:fill="F2F2F2"/>
        </w:rPr>
        <w:t>officers’ compensation is directly linked to corporate performance; we also structure their target total direct compensation opportunities with a significant long-term equity component, thereby making a substantial portion of each executive officer’s target total direct compensation dependent upon our stock price and/or total stockholder return.</w:t>
      </w:r>
    </w:p>
    <w:p>
      <w:pPr>
        <w:spacing w:after="0" w:line="100" w:lineRule="exact"/>
        <w:rPr>
          <w:rFonts w:ascii="MS PGothic" w:cs="MS PGothic" w:eastAsia="MS PGothic" w:hAnsi="MS PGothic"/>
          <w:sz w:val="16"/>
          <w:szCs w:val="16"/>
          <w:color w:val="auto"/>
          <w:shd w:val="clear" w:color="auto" w:fill="F2F2F2"/>
        </w:rPr>
      </w:pPr>
    </w:p>
    <w:p>
      <w:pPr>
        <w:ind w:left="380" w:right="160" w:hanging="322"/>
        <w:spacing w:after="0" w:line="266" w:lineRule="auto"/>
        <w:tabs>
          <w:tab w:leader="none" w:pos="380" w:val="left"/>
        </w:tabs>
        <w:numPr>
          <w:ilvl w:val="0"/>
          <w:numId w:val="54"/>
        </w:numPr>
        <w:rPr>
          <w:rFonts w:ascii="MS PGothic" w:cs="MS PGothic" w:eastAsia="MS PGothic" w:hAnsi="MS PGothic"/>
          <w:sz w:val="16"/>
          <w:szCs w:val="16"/>
          <w:color w:val="auto"/>
          <w:shd w:val="clear" w:color="auto" w:fill="F2F2F2"/>
        </w:rPr>
      </w:pPr>
      <w:r>
        <w:rPr>
          <w:rFonts w:ascii="Arial" w:cs="Arial" w:eastAsia="Arial" w:hAnsi="Arial"/>
          <w:sz w:val="16"/>
          <w:szCs w:val="16"/>
          <w:b w:val="1"/>
          <w:bCs w:val="1"/>
          <w:color w:val="auto"/>
          <w:shd w:val="clear" w:color="auto" w:fill="F2F2F2"/>
        </w:rPr>
        <w:t xml:space="preserve">Succession Planning. </w:t>
      </w:r>
      <w:r>
        <w:rPr>
          <w:rFonts w:ascii="Arial" w:cs="Arial" w:eastAsia="Arial" w:hAnsi="Arial"/>
          <w:sz w:val="16"/>
          <w:szCs w:val="16"/>
          <w:color w:val="auto"/>
          <w:shd w:val="clear" w:color="auto" w:fill="F2F2F2"/>
        </w:rPr>
        <w:t>We review the risks associated with our key</w:t>
      </w:r>
      <w:r>
        <w:rPr>
          <w:rFonts w:ascii="Arial" w:cs="Arial" w:eastAsia="Arial" w:hAnsi="Arial"/>
          <w:sz w:val="16"/>
          <w:szCs w:val="16"/>
          <w:b w:val="1"/>
          <w:bCs w:val="1"/>
          <w:color w:val="auto"/>
          <w:shd w:val="clear" w:color="auto" w:fill="F2F2F2"/>
        </w:rPr>
        <w:t xml:space="preserve"> </w:t>
      </w:r>
      <w:r>
        <w:rPr>
          <w:rFonts w:ascii="Arial" w:cs="Arial" w:eastAsia="Arial" w:hAnsi="Arial"/>
          <w:sz w:val="16"/>
          <w:szCs w:val="16"/>
          <w:color w:val="auto"/>
          <w:shd w:val="clear" w:color="auto" w:fill="F2F2F2"/>
        </w:rPr>
        <w:t>executive officer positions to ensure adequate succession plans are in 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325" w:right="100" w:hanging="325"/>
        <w:spacing w:after="0" w:line="268" w:lineRule="auto"/>
        <w:tabs>
          <w:tab w:leader="none" w:pos="352" w:val="left"/>
        </w:tabs>
        <w:numPr>
          <w:ilvl w:val="0"/>
          <w:numId w:val="55"/>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No Guaranteed Bonuses. </w:t>
      </w:r>
      <w:r>
        <w:rPr>
          <w:rFonts w:ascii="Arial" w:cs="Arial" w:eastAsia="Arial" w:hAnsi="Arial"/>
          <w:sz w:val="16"/>
          <w:szCs w:val="16"/>
          <w:color w:val="auto"/>
        </w:rPr>
        <w:t>We do not provide guaranteed bonuses to</w:t>
      </w:r>
      <w:r>
        <w:rPr>
          <w:rFonts w:ascii="Arial" w:cs="Arial" w:eastAsia="Arial" w:hAnsi="Arial"/>
          <w:sz w:val="16"/>
          <w:szCs w:val="16"/>
          <w:b w:val="1"/>
          <w:bCs w:val="1"/>
          <w:color w:val="auto"/>
        </w:rPr>
        <w:t xml:space="preserve"> </w:t>
      </w:r>
      <w:r>
        <w:rPr>
          <w:rFonts w:ascii="Arial" w:cs="Arial" w:eastAsia="Arial" w:hAnsi="Arial"/>
          <w:sz w:val="16"/>
          <w:szCs w:val="16"/>
          <w:color w:val="auto"/>
          <w:shd w:val="clear" w:color="auto" w:fill="F2F2F2"/>
        </w:rPr>
        <w:t>our executive officers.</w:t>
      </w:r>
    </w:p>
    <w:p>
      <w:pPr>
        <w:spacing w:after="0" w:line="102" w:lineRule="exact"/>
        <w:rPr>
          <w:rFonts w:ascii="MS PGothic" w:cs="MS PGothic" w:eastAsia="MS PGothic" w:hAnsi="MS PGothic"/>
          <w:sz w:val="16"/>
          <w:szCs w:val="16"/>
          <w:color w:val="auto"/>
        </w:rPr>
      </w:pPr>
    </w:p>
    <w:p>
      <w:pPr>
        <w:ind w:left="325" w:right="340" w:hanging="325"/>
        <w:spacing w:after="0" w:line="253" w:lineRule="auto"/>
        <w:tabs>
          <w:tab w:leader="none" w:pos="352" w:val="left"/>
        </w:tabs>
        <w:numPr>
          <w:ilvl w:val="0"/>
          <w:numId w:val="55"/>
        </w:numPr>
        <w:rPr>
          <w:rFonts w:ascii="MS PGothic" w:cs="MS PGothic" w:eastAsia="MS PGothic" w:hAnsi="MS PGothic"/>
          <w:sz w:val="16"/>
          <w:szCs w:val="16"/>
          <w:color w:val="auto"/>
          <w:shd w:val="clear" w:color="auto" w:fill="F2F2F2"/>
        </w:rPr>
      </w:pPr>
      <w:r>
        <w:rPr>
          <w:rFonts w:ascii="Arial" w:cs="Arial" w:eastAsia="Arial" w:hAnsi="Arial"/>
          <w:sz w:val="16"/>
          <w:szCs w:val="16"/>
          <w:b w:val="1"/>
          <w:bCs w:val="1"/>
          <w:color w:val="auto"/>
          <w:shd w:val="clear" w:color="auto" w:fill="F2F2F2"/>
        </w:rPr>
        <w:t xml:space="preserve">No Executive Retirement Plans. </w:t>
      </w:r>
      <w:r>
        <w:rPr>
          <w:rFonts w:ascii="Arial" w:cs="Arial" w:eastAsia="Arial" w:hAnsi="Arial"/>
          <w:sz w:val="16"/>
          <w:szCs w:val="16"/>
          <w:color w:val="auto"/>
          <w:shd w:val="clear" w:color="auto" w:fill="F2F2F2"/>
        </w:rPr>
        <w:t>We do not offer defined benefit</w:t>
      </w:r>
      <w:r>
        <w:rPr>
          <w:rFonts w:ascii="Arial" w:cs="Arial" w:eastAsia="Arial" w:hAnsi="Arial"/>
          <w:sz w:val="16"/>
          <w:szCs w:val="16"/>
          <w:b w:val="1"/>
          <w:bCs w:val="1"/>
          <w:color w:val="auto"/>
          <w:shd w:val="clear" w:color="auto" w:fill="F2F2F2"/>
        </w:rPr>
        <w:t xml:space="preserve"> </w:t>
      </w:r>
      <w:r>
        <w:rPr>
          <w:rFonts w:ascii="Arial" w:cs="Arial" w:eastAsia="Arial" w:hAnsi="Arial"/>
          <w:sz w:val="16"/>
          <w:szCs w:val="16"/>
          <w:color w:val="auto"/>
          <w:shd w:val="clear" w:color="auto" w:fill="F2F2F2"/>
        </w:rPr>
        <w:t>pension plans or any non-qualified deferred compensation plans or arrangements to our executive officers, other than the plans and arrangements that are available to all employees.</w:t>
      </w:r>
    </w:p>
    <w:p>
      <w:pPr>
        <w:spacing w:after="0" w:line="115" w:lineRule="exact"/>
        <w:rPr>
          <w:rFonts w:ascii="MS PGothic" w:cs="MS PGothic" w:eastAsia="MS PGothic" w:hAnsi="MS PGothic"/>
          <w:sz w:val="16"/>
          <w:szCs w:val="16"/>
          <w:color w:val="auto"/>
          <w:shd w:val="clear" w:color="auto" w:fill="F2F2F2"/>
        </w:rPr>
      </w:pPr>
    </w:p>
    <w:p>
      <w:pPr>
        <w:ind w:left="325" w:right="220" w:hanging="325"/>
        <w:spacing w:after="0" w:line="257" w:lineRule="auto"/>
        <w:tabs>
          <w:tab w:leader="none" w:pos="352" w:val="left"/>
        </w:tabs>
        <w:numPr>
          <w:ilvl w:val="0"/>
          <w:numId w:val="55"/>
        </w:numPr>
        <w:rPr>
          <w:rFonts w:ascii="MS PGothic" w:cs="MS PGothic" w:eastAsia="MS PGothic" w:hAnsi="MS PGothic"/>
          <w:sz w:val="16"/>
          <w:szCs w:val="16"/>
          <w:color w:val="auto"/>
          <w:shd w:val="clear" w:color="auto" w:fill="F2F2F2"/>
        </w:rPr>
      </w:pPr>
      <w:r>
        <w:rPr>
          <w:rFonts w:ascii="Arial" w:cs="Arial" w:eastAsia="Arial" w:hAnsi="Arial"/>
          <w:sz w:val="16"/>
          <w:szCs w:val="16"/>
          <w:b w:val="1"/>
          <w:bCs w:val="1"/>
          <w:color w:val="auto"/>
          <w:shd w:val="clear" w:color="auto" w:fill="F2F2F2"/>
        </w:rPr>
        <w:t xml:space="preserve">No Hedging or Pledging. </w:t>
      </w:r>
      <w:r>
        <w:rPr>
          <w:rFonts w:ascii="Arial" w:cs="Arial" w:eastAsia="Arial" w:hAnsi="Arial"/>
          <w:sz w:val="16"/>
          <w:szCs w:val="16"/>
          <w:color w:val="auto"/>
          <w:shd w:val="clear" w:color="auto" w:fill="F2F2F2"/>
        </w:rPr>
        <w:t>We prohibit our employees (including our</w:t>
      </w:r>
      <w:r>
        <w:rPr>
          <w:rFonts w:ascii="Arial" w:cs="Arial" w:eastAsia="Arial" w:hAnsi="Arial"/>
          <w:sz w:val="16"/>
          <w:szCs w:val="16"/>
          <w:b w:val="1"/>
          <w:bCs w:val="1"/>
          <w:color w:val="auto"/>
          <w:shd w:val="clear" w:color="auto" w:fill="F2F2F2"/>
        </w:rPr>
        <w:t xml:space="preserve"> </w:t>
      </w:r>
      <w:r>
        <w:rPr>
          <w:rFonts w:ascii="Arial" w:cs="Arial" w:eastAsia="Arial" w:hAnsi="Arial"/>
          <w:sz w:val="16"/>
          <w:szCs w:val="16"/>
          <w:color w:val="auto"/>
          <w:shd w:val="clear" w:color="auto" w:fill="F2F2F2"/>
        </w:rPr>
        <w:t>executive officers) and the non-employee members of our board of directors from hedging or pledging our securities.</w:t>
      </w:r>
    </w:p>
    <w:p>
      <w:pPr>
        <w:spacing w:after="0" w:line="110" w:lineRule="exact"/>
        <w:rPr>
          <w:rFonts w:ascii="MS PGothic" w:cs="MS PGothic" w:eastAsia="MS PGothic" w:hAnsi="MS PGothic"/>
          <w:sz w:val="16"/>
          <w:szCs w:val="16"/>
          <w:color w:val="auto"/>
          <w:shd w:val="clear" w:color="auto" w:fill="F2F2F2"/>
        </w:rPr>
      </w:pPr>
    </w:p>
    <w:p>
      <w:pPr>
        <w:ind w:left="325" w:right="80" w:hanging="325"/>
        <w:spacing w:after="0" w:line="257" w:lineRule="auto"/>
        <w:tabs>
          <w:tab w:leader="none" w:pos="352" w:val="left"/>
        </w:tabs>
        <w:numPr>
          <w:ilvl w:val="0"/>
          <w:numId w:val="55"/>
        </w:numPr>
        <w:rPr>
          <w:rFonts w:ascii="MS PGothic" w:cs="MS PGothic" w:eastAsia="MS PGothic" w:hAnsi="MS PGothic"/>
          <w:sz w:val="16"/>
          <w:szCs w:val="16"/>
          <w:color w:val="auto"/>
          <w:shd w:val="clear" w:color="auto" w:fill="F2F2F2"/>
        </w:rPr>
      </w:pPr>
      <w:r>
        <w:rPr>
          <w:rFonts w:ascii="Arial" w:cs="Arial" w:eastAsia="Arial" w:hAnsi="Arial"/>
          <w:sz w:val="16"/>
          <w:szCs w:val="16"/>
          <w:b w:val="1"/>
          <w:bCs w:val="1"/>
          <w:color w:val="auto"/>
          <w:shd w:val="clear" w:color="auto" w:fill="F2F2F2"/>
        </w:rPr>
        <w:t xml:space="preserve">No Tax Payments on Perquisites. </w:t>
      </w:r>
      <w:r>
        <w:rPr>
          <w:rFonts w:ascii="Arial" w:cs="Arial" w:eastAsia="Arial" w:hAnsi="Arial"/>
          <w:sz w:val="16"/>
          <w:szCs w:val="16"/>
          <w:color w:val="auto"/>
          <w:shd w:val="clear" w:color="auto" w:fill="F2F2F2"/>
        </w:rPr>
        <w:t>We do not provide any tax</w:t>
      </w:r>
      <w:r>
        <w:rPr>
          <w:rFonts w:ascii="Arial" w:cs="Arial" w:eastAsia="Arial" w:hAnsi="Arial"/>
          <w:sz w:val="16"/>
          <w:szCs w:val="16"/>
          <w:b w:val="1"/>
          <w:bCs w:val="1"/>
          <w:color w:val="auto"/>
          <w:shd w:val="clear" w:color="auto" w:fill="F2F2F2"/>
        </w:rPr>
        <w:t xml:space="preserve"> </w:t>
      </w:r>
      <w:r>
        <w:rPr>
          <w:rFonts w:ascii="Arial" w:cs="Arial" w:eastAsia="Arial" w:hAnsi="Arial"/>
          <w:sz w:val="16"/>
          <w:szCs w:val="16"/>
          <w:color w:val="auto"/>
          <w:shd w:val="clear" w:color="auto" w:fill="F2F2F2"/>
        </w:rPr>
        <w:t>reimbursement payments (including “gross-ups”) on any perquisites or other personal benefits.</w:t>
      </w:r>
    </w:p>
    <w:p>
      <w:pPr>
        <w:spacing w:after="0" w:line="110" w:lineRule="exact"/>
        <w:rPr>
          <w:rFonts w:ascii="MS PGothic" w:cs="MS PGothic" w:eastAsia="MS PGothic" w:hAnsi="MS PGothic"/>
          <w:sz w:val="16"/>
          <w:szCs w:val="16"/>
          <w:color w:val="auto"/>
          <w:shd w:val="clear" w:color="auto" w:fill="F2F2F2"/>
        </w:rPr>
      </w:pPr>
    </w:p>
    <w:p>
      <w:pPr>
        <w:ind w:left="325" w:right="380" w:hanging="325"/>
        <w:spacing w:after="0" w:line="253" w:lineRule="auto"/>
        <w:tabs>
          <w:tab w:leader="none" w:pos="352" w:val="left"/>
        </w:tabs>
        <w:numPr>
          <w:ilvl w:val="0"/>
          <w:numId w:val="55"/>
        </w:numPr>
        <w:rPr>
          <w:rFonts w:ascii="MS PGothic" w:cs="MS PGothic" w:eastAsia="MS PGothic" w:hAnsi="MS PGothic"/>
          <w:sz w:val="16"/>
          <w:szCs w:val="16"/>
          <w:color w:val="auto"/>
          <w:shd w:val="clear" w:color="auto" w:fill="F2F2F2"/>
        </w:rPr>
      </w:pPr>
      <w:r>
        <w:rPr>
          <w:rFonts w:ascii="Arial" w:cs="Arial" w:eastAsia="Arial" w:hAnsi="Arial"/>
          <w:sz w:val="16"/>
          <w:szCs w:val="16"/>
          <w:b w:val="1"/>
          <w:bCs w:val="1"/>
          <w:color w:val="auto"/>
          <w:shd w:val="clear" w:color="auto" w:fill="F2F2F2"/>
        </w:rPr>
        <w:t xml:space="preserve">No Excise Tax Payments on Future Post-Employment Compensation Arrangements. </w:t>
      </w:r>
      <w:r>
        <w:rPr>
          <w:rFonts w:ascii="Arial" w:cs="Arial" w:eastAsia="Arial" w:hAnsi="Arial"/>
          <w:sz w:val="16"/>
          <w:szCs w:val="16"/>
          <w:color w:val="auto"/>
          <w:shd w:val="clear" w:color="auto" w:fill="F2F2F2"/>
        </w:rPr>
        <w:t>We do not provide any excise tax</w:t>
      </w:r>
      <w:r>
        <w:rPr>
          <w:rFonts w:ascii="Arial" w:cs="Arial" w:eastAsia="Arial" w:hAnsi="Arial"/>
          <w:sz w:val="16"/>
          <w:szCs w:val="16"/>
          <w:b w:val="1"/>
          <w:bCs w:val="1"/>
          <w:color w:val="auto"/>
          <w:shd w:val="clear" w:color="auto" w:fill="F2F2F2"/>
        </w:rPr>
        <w:t xml:space="preserve"> </w:t>
      </w:r>
      <w:r>
        <w:rPr>
          <w:rFonts w:ascii="Arial" w:cs="Arial" w:eastAsia="Arial" w:hAnsi="Arial"/>
          <w:sz w:val="16"/>
          <w:szCs w:val="16"/>
          <w:color w:val="auto"/>
          <w:shd w:val="clear" w:color="auto" w:fill="F2F2F2"/>
        </w:rPr>
        <w:t>reimbursement payments (including “gross-ups”) on payments or benefits contingent upon a change in control of the company.</w:t>
      </w:r>
    </w:p>
    <w:p>
      <w:pPr>
        <w:spacing w:after="0" w:line="115" w:lineRule="exact"/>
        <w:rPr>
          <w:rFonts w:ascii="MS PGothic" w:cs="MS PGothic" w:eastAsia="MS PGothic" w:hAnsi="MS PGothic"/>
          <w:sz w:val="16"/>
          <w:szCs w:val="16"/>
          <w:color w:val="auto"/>
          <w:shd w:val="clear" w:color="auto" w:fill="F2F2F2"/>
        </w:rPr>
      </w:pPr>
    </w:p>
    <w:p>
      <w:pPr>
        <w:ind w:left="325" w:right="260" w:hanging="325"/>
        <w:spacing w:after="0" w:line="253" w:lineRule="auto"/>
        <w:tabs>
          <w:tab w:leader="none" w:pos="352" w:val="left"/>
        </w:tabs>
        <w:numPr>
          <w:ilvl w:val="0"/>
          <w:numId w:val="55"/>
        </w:numPr>
        <w:rPr>
          <w:rFonts w:ascii="MS PGothic" w:cs="MS PGothic" w:eastAsia="MS PGothic" w:hAnsi="MS PGothic"/>
          <w:sz w:val="16"/>
          <w:szCs w:val="16"/>
          <w:color w:val="auto"/>
          <w:shd w:val="clear" w:color="auto" w:fill="F2F2F2"/>
        </w:rPr>
      </w:pPr>
      <w:r>
        <w:rPr>
          <w:rFonts w:ascii="Arial" w:cs="Arial" w:eastAsia="Arial" w:hAnsi="Arial"/>
          <w:sz w:val="16"/>
          <w:szCs w:val="16"/>
          <w:b w:val="1"/>
          <w:bCs w:val="1"/>
          <w:color w:val="auto"/>
          <w:shd w:val="clear" w:color="auto" w:fill="F2F2F2"/>
        </w:rPr>
        <w:t xml:space="preserve">No Special Welfare or Health Benefits. </w:t>
      </w:r>
      <w:r>
        <w:rPr>
          <w:rFonts w:ascii="Arial" w:cs="Arial" w:eastAsia="Arial" w:hAnsi="Arial"/>
          <w:sz w:val="16"/>
          <w:szCs w:val="16"/>
          <w:color w:val="auto"/>
          <w:shd w:val="clear" w:color="auto" w:fill="F2F2F2"/>
        </w:rPr>
        <w:t>We do not provide our</w:t>
      </w:r>
      <w:r>
        <w:rPr>
          <w:rFonts w:ascii="Arial" w:cs="Arial" w:eastAsia="Arial" w:hAnsi="Arial"/>
          <w:sz w:val="16"/>
          <w:szCs w:val="16"/>
          <w:b w:val="1"/>
          <w:bCs w:val="1"/>
          <w:color w:val="auto"/>
          <w:shd w:val="clear" w:color="auto" w:fill="F2F2F2"/>
        </w:rPr>
        <w:t xml:space="preserve"> </w:t>
      </w:r>
      <w:r>
        <w:rPr>
          <w:rFonts w:ascii="Arial" w:cs="Arial" w:eastAsia="Arial" w:hAnsi="Arial"/>
          <w:sz w:val="16"/>
          <w:szCs w:val="16"/>
          <w:color w:val="auto"/>
        </w:rPr>
        <w:t xml:space="preserve">executive officers with any welfare or health benefit programs, other than participation in our broad-based employee programs. All highly </w:t>
      </w:r>
      <w:r>
        <w:rPr>
          <w:rFonts w:ascii="Arial" w:cs="Arial" w:eastAsia="Arial" w:hAnsi="Arial"/>
          <w:sz w:val="16"/>
          <w:szCs w:val="16"/>
          <w:color w:val="auto"/>
          <w:shd w:val="clear" w:color="auto" w:fill="F2F2F2"/>
        </w:rPr>
        <w:t>compensated employees are eligible for special long-term disability.</w:t>
      </w:r>
    </w:p>
    <w:p>
      <w:pPr>
        <w:spacing w:after="0" w:line="2735" w:lineRule="exact"/>
        <w:rPr>
          <w:sz w:val="20"/>
          <w:szCs w:val="20"/>
          <w:color w:val="auto"/>
        </w:rPr>
      </w:pPr>
    </w:p>
    <w:p>
      <w:pPr>
        <w:sectPr>
          <w:pgSz w:w="11900" w:h="16838" w:orient="portrait"/>
          <w:cols w:equalWidth="0" w:num="2">
            <w:col w:w="5560" w:space="155"/>
            <w:col w:w="5445"/>
          </w:cols>
          <w:pgMar w:left="320" w:top="114" w:right="41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ind w:left="580" w:hanging="554"/>
        <w:spacing w:after="0"/>
        <w:tabs>
          <w:tab w:leader="none" w:pos="58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6"/>
          <w:szCs w:val="26"/>
          <w:color w:val="0063A6"/>
        </w:rPr>
        <w:t>Executive Compensation Philosophy and Objectives</w:t>
      </w:r>
    </w:p>
    <w:p>
      <w:pPr>
        <w:spacing w:after="0" w:line="179"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Our executive compensation program is guided by our overarching philosophy of paying for demonstrable performance. Consistent with this philosophy, we have designed our executive compensation program to achieve the following primary objectives:</w:t>
      </w:r>
    </w:p>
    <w:p>
      <w:pPr>
        <w:spacing w:after="0" w:line="116" w:lineRule="exact"/>
        <w:rPr>
          <w:sz w:val="20"/>
          <w:szCs w:val="20"/>
          <w:color w:val="auto"/>
        </w:rPr>
      </w:pPr>
    </w:p>
    <w:p>
      <w:pPr>
        <w:ind w:left="340" w:right="300" w:hanging="332"/>
        <w:spacing w:after="0" w:line="286" w:lineRule="auto"/>
        <w:tabs>
          <w:tab w:leader="none" w:pos="329" w:val="left"/>
        </w:tabs>
        <w:numPr>
          <w:ilvl w:val="0"/>
          <w:numId w:val="57"/>
        </w:numPr>
        <w:rPr>
          <w:rFonts w:ascii="Arial" w:cs="Arial" w:eastAsia="Arial" w:hAnsi="Arial"/>
          <w:sz w:val="16"/>
          <w:szCs w:val="16"/>
          <w:color w:val="0063A6"/>
        </w:rPr>
      </w:pPr>
      <w:r>
        <w:rPr>
          <w:rFonts w:ascii="Arial" w:cs="Arial" w:eastAsia="Arial" w:hAnsi="Arial"/>
          <w:sz w:val="16"/>
          <w:szCs w:val="16"/>
          <w:color w:val="auto"/>
        </w:rPr>
        <w:t>Provide market-competitive compensation and benefit levels that will attract, retain, motivate, and reward a highly-talented team of executive officers within the context of responsible cost management;</w:t>
      </w:r>
    </w:p>
    <w:p>
      <w:pPr>
        <w:spacing w:after="0" w:line="101" w:lineRule="exact"/>
        <w:rPr>
          <w:rFonts w:ascii="Arial" w:cs="Arial" w:eastAsia="Arial" w:hAnsi="Arial"/>
          <w:sz w:val="16"/>
          <w:szCs w:val="16"/>
          <w:color w:val="0063A6"/>
        </w:rPr>
      </w:pPr>
    </w:p>
    <w:p>
      <w:pPr>
        <w:ind w:left="340" w:right="580" w:hanging="332"/>
        <w:spacing w:after="0" w:line="286" w:lineRule="auto"/>
        <w:tabs>
          <w:tab w:leader="none" w:pos="329" w:val="left"/>
        </w:tabs>
        <w:numPr>
          <w:ilvl w:val="0"/>
          <w:numId w:val="57"/>
        </w:numPr>
        <w:rPr>
          <w:rFonts w:ascii="Arial" w:cs="Arial" w:eastAsia="Arial" w:hAnsi="Arial"/>
          <w:sz w:val="16"/>
          <w:szCs w:val="16"/>
          <w:color w:val="0063A6"/>
        </w:rPr>
      </w:pPr>
      <w:r>
        <w:rPr>
          <w:rFonts w:ascii="Arial" w:cs="Arial" w:eastAsia="Arial" w:hAnsi="Arial"/>
          <w:sz w:val="16"/>
          <w:szCs w:val="16"/>
          <w:color w:val="auto"/>
        </w:rPr>
        <w:t>Establish a direct link between our financial, operational, and strategic objectives and results, as well as our values, and the compensation of our executive officers; and</w:t>
      </w:r>
    </w:p>
    <w:p>
      <w:pPr>
        <w:spacing w:after="0" w:line="88" w:lineRule="exact"/>
        <w:rPr>
          <w:rFonts w:ascii="Arial" w:cs="Arial" w:eastAsia="Arial" w:hAnsi="Arial"/>
          <w:sz w:val="16"/>
          <w:szCs w:val="16"/>
          <w:color w:val="0063A6"/>
        </w:rPr>
      </w:pPr>
    </w:p>
    <w:p>
      <w:pPr>
        <w:ind w:left="340" w:right="680" w:hanging="332"/>
        <w:spacing w:after="0" w:line="286" w:lineRule="auto"/>
        <w:tabs>
          <w:tab w:leader="none" w:pos="329" w:val="left"/>
        </w:tabs>
        <w:numPr>
          <w:ilvl w:val="0"/>
          <w:numId w:val="57"/>
        </w:numPr>
        <w:rPr>
          <w:rFonts w:ascii="Arial" w:cs="Arial" w:eastAsia="Arial" w:hAnsi="Arial"/>
          <w:sz w:val="16"/>
          <w:szCs w:val="16"/>
          <w:color w:val="0063A6"/>
        </w:rPr>
      </w:pPr>
      <w:r>
        <w:rPr>
          <w:rFonts w:ascii="Arial" w:cs="Arial" w:eastAsia="Arial" w:hAnsi="Arial"/>
          <w:sz w:val="16"/>
          <w:szCs w:val="16"/>
          <w:color w:val="auto"/>
        </w:rPr>
        <w:t>Align the interests and objectives of our executive officers with those of our stockholders by linking the long-term equity incentive compensation opportunities to stockholder value creation and their cash incentives to our annual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Pay-for-Performance</w:t>
      </w:r>
    </w:p>
    <w:p>
      <w:pPr>
        <w:spacing w:after="0" w:line="8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achieve this alignment and to motivate and reward individual initiative and effort, a substantial portion of our executive officers’ target annual total direct compensation opportunity is both variable in nature and “at-risk.”</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We emphasize variable compensation that appropriately rewards our executive officers through two separate compensation elements:</w:t>
      </w:r>
    </w:p>
    <w:p>
      <w:pPr>
        <w:spacing w:after="0" w:line="154" w:lineRule="exact"/>
        <w:rPr>
          <w:sz w:val="20"/>
          <w:szCs w:val="20"/>
          <w:color w:val="auto"/>
        </w:rPr>
      </w:pPr>
    </w:p>
    <w:p>
      <w:pPr>
        <w:ind w:left="340" w:right="420" w:hanging="332"/>
        <w:spacing w:after="0" w:line="286" w:lineRule="auto"/>
        <w:tabs>
          <w:tab w:leader="none" w:pos="329" w:val="left"/>
        </w:tabs>
        <w:numPr>
          <w:ilvl w:val="0"/>
          <w:numId w:val="58"/>
        </w:numPr>
        <w:rPr>
          <w:rFonts w:ascii="Arial" w:cs="Arial" w:eastAsia="Arial" w:hAnsi="Arial"/>
          <w:sz w:val="16"/>
          <w:szCs w:val="16"/>
          <w:color w:val="0063A6"/>
        </w:rPr>
      </w:pPr>
      <w:r>
        <w:rPr>
          <w:rFonts w:ascii="Arial" w:cs="Arial" w:eastAsia="Arial" w:hAnsi="Arial"/>
          <w:sz w:val="16"/>
          <w:szCs w:val="16"/>
          <w:color w:val="auto"/>
        </w:rPr>
        <w:t>Our annual cash bonus plan provides cash payments if our executive officers produce short-term financial, operational, and/or strategic results that meet or exceed the objectives set forth in our annual operating plan.</w:t>
      </w:r>
    </w:p>
    <w:p>
      <w:pPr>
        <w:spacing w:after="0" w:line="101" w:lineRule="exact"/>
        <w:rPr>
          <w:rFonts w:ascii="Arial" w:cs="Arial" w:eastAsia="Arial" w:hAnsi="Arial"/>
          <w:sz w:val="16"/>
          <w:szCs w:val="16"/>
          <w:color w:val="0063A6"/>
        </w:rPr>
      </w:pPr>
    </w:p>
    <w:p>
      <w:pPr>
        <w:ind w:left="340" w:right="300" w:hanging="332"/>
        <w:spacing w:after="0" w:line="286" w:lineRule="auto"/>
        <w:tabs>
          <w:tab w:leader="none" w:pos="329" w:val="left"/>
        </w:tabs>
        <w:numPr>
          <w:ilvl w:val="0"/>
          <w:numId w:val="58"/>
        </w:numPr>
        <w:rPr>
          <w:rFonts w:ascii="Arial" w:cs="Arial" w:eastAsia="Arial" w:hAnsi="Arial"/>
          <w:sz w:val="16"/>
          <w:szCs w:val="16"/>
          <w:color w:val="0063A6"/>
        </w:rPr>
      </w:pPr>
      <w:r>
        <w:rPr>
          <w:rFonts w:ascii="Arial" w:cs="Arial" w:eastAsia="Arial" w:hAnsi="Arial"/>
          <w:sz w:val="16"/>
          <w:szCs w:val="16"/>
          <w:color w:val="auto"/>
        </w:rPr>
        <w:t>Equity-based awards, which represent a majority of our executive officers’ target total direct compensation opportunities, the value of which depends entirely on the value of our common stock, incentivize our executive officers to build sustainable long-term value for the benefit of our stockholders.</w:t>
      </w:r>
    </w:p>
    <w:p>
      <w:pPr>
        <w:spacing w:after="0" w:line="10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These variable pay elements are intended to result in a substantial portion of our executive officers’ annual target total direct compensation being contingent (rather than fixed) in nature, with the amounts ultimately payable subject to variability above or below target levels commensurate with our actual performance.</w:t>
      </w:r>
    </w:p>
    <w:p>
      <w:pPr>
        <w:spacing w:after="0" w:line="124"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We believe that this design provides balanced incentives for our executive officers to drive financial performance and long-term growth. Our talent and compensation committee regularly evaluates the relationship between the reported values of the equity awards granted to our executive officers and the amount of realizable and realized value from such awards in subsequent years.</w:t>
      </w:r>
    </w:p>
    <w:p>
      <w:pPr>
        <w:spacing w:after="0" w:line="193" w:lineRule="exact"/>
        <w:rPr>
          <w:sz w:val="20"/>
          <w:szCs w:val="20"/>
          <w:color w:val="auto"/>
        </w:rPr>
      </w:pPr>
    </w:p>
    <w:p>
      <w:pPr>
        <w:spacing w:after="0"/>
        <w:rPr>
          <w:sz w:val="20"/>
          <w:szCs w:val="20"/>
          <w:color w:val="auto"/>
        </w:rPr>
      </w:pPr>
      <w:r>
        <w:rPr>
          <w:rFonts w:ascii="Arial" w:cs="Arial" w:eastAsia="Arial" w:hAnsi="Arial"/>
          <w:sz w:val="26"/>
          <w:szCs w:val="26"/>
          <w:color w:val="0063A6"/>
        </w:rPr>
        <w:t>Compensation-Setting Process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Role of Talent and Compensation Committee and the Stock Committee</w:t>
      </w:r>
    </w:p>
    <w:p>
      <w:pPr>
        <w:spacing w:after="0" w:line="100" w:lineRule="exact"/>
        <w:rPr>
          <w:sz w:val="20"/>
          <w:szCs w:val="20"/>
          <w:color w:val="auto"/>
        </w:rPr>
      </w:pPr>
    </w:p>
    <w:p>
      <w:pPr>
        <w:jc w:val="both"/>
        <w:ind w:right="100"/>
        <w:spacing w:after="0" w:line="257" w:lineRule="auto"/>
        <w:rPr>
          <w:sz w:val="20"/>
          <w:szCs w:val="20"/>
          <w:color w:val="auto"/>
        </w:rPr>
      </w:pPr>
      <w:r>
        <w:rPr>
          <w:rFonts w:ascii="Arial" w:cs="Arial" w:eastAsia="Arial" w:hAnsi="Arial"/>
          <w:sz w:val="16"/>
          <w:szCs w:val="16"/>
          <w:color w:val="auto"/>
        </w:rPr>
        <w:t>The talent and compensation committee discharges many of the responsibilities of our board of directors relating to the compensation of our executives and non-employee directors. The talent and compensation committee has overall responsibility for overseeing our compensation and benefits policies generally, and overseeing and evaluating the compensation plans, policies and practices applicable to our Chief Executive Officer and other executive officers.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talent and compensation committee makes all final decisions regarding the compensation of our Chief Executive Officer and our other executive officers.</w:t>
      </w:r>
    </w:p>
    <w:p>
      <w:pPr>
        <w:spacing w:after="0" w:line="167"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In carrying out its responsibilities, the talent and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executive compensation practices, and reviews the performance of our executive officers.</w:t>
      </w:r>
    </w:p>
    <w:p>
      <w:pPr>
        <w:spacing w:after="0" w:line="12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talent and compensation committee’s authority, duties, and responsibilities are further described in its charter, which is reviewed annually and revised and updated as warranted. The charter is available on our investor relations website at investors.dropbox.com.</w:t>
      </w:r>
    </w:p>
    <w:p>
      <w:pPr>
        <w:spacing w:after="0" w:line="102" w:lineRule="exact"/>
        <w:rPr>
          <w:sz w:val="20"/>
          <w:szCs w:val="20"/>
          <w:color w:val="auto"/>
        </w:rPr>
      </w:pPr>
    </w:p>
    <w:p>
      <w:pPr>
        <w:ind w:right="360"/>
        <w:spacing w:after="0" w:line="257" w:lineRule="auto"/>
        <w:rPr>
          <w:sz w:val="20"/>
          <w:szCs w:val="20"/>
          <w:color w:val="auto"/>
        </w:rPr>
      </w:pPr>
      <w:r>
        <w:rPr>
          <w:rFonts w:ascii="Arial" w:cs="Arial" w:eastAsia="Arial" w:hAnsi="Arial"/>
          <w:sz w:val="16"/>
          <w:szCs w:val="16"/>
          <w:color w:val="auto"/>
        </w:rPr>
        <w:t>We also formed a stock committee, which is currently composed of our Chief Financial Officer, our Chief People Officer, and a non-employee director appointed by our talent and compensation committee. The stock committee has authority to grant equity awards to (a) employees who are not executive officers and (b) consultants subject to certain limitations established from time to time by the talent and compensation committee.</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Role of Compensation Consultant</w:t>
      </w:r>
    </w:p>
    <w:p>
      <w:pPr>
        <w:spacing w:after="0" w:line="8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talent and compensation committee engages an external compensation consultant to assist the committee by providing information, analysis, and other advice relating to our executive compensation program and the decisions resulting from its annual executive compensation review. The compensation consultant reports directly to the talent and compensation committee and its chair and serves at the discretion of the talent and compensation committee, which reviews the engagement annually.</w:t>
      </w:r>
    </w:p>
    <w:p>
      <w:pPr>
        <w:spacing w:after="0" w:line="110"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color w:val="auto"/>
        </w:rPr>
        <w:t>For 2023, the talent and compensation committee retained Compensia to serve as its compensation advisor to advise on executive and director compensation matters, including competitive market pay practices for our executive officers, and data analysis and selection of the compensation peer group.</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During 2023, Compensia attended talent and compensation committee meetings and provided the following services:</w:t>
      </w:r>
    </w:p>
    <w:p>
      <w:pPr>
        <w:spacing w:after="0" w:line="167"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6"/>
          <w:szCs w:val="16"/>
          <w:color w:val="0063A6"/>
        </w:rPr>
      </w:pPr>
      <w:r>
        <w:rPr>
          <w:rFonts w:ascii="Arial" w:cs="Arial" w:eastAsia="Arial" w:hAnsi="Arial"/>
          <w:sz w:val="16"/>
          <w:szCs w:val="16"/>
          <w:color w:val="auto"/>
        </w:rPr>
        <w:t>Consulted with the talent and compensation committee chair and other members between talent and compensation committee meetings;</w:t>
      </w:r>
    </w:p>
    <w:p>
      <w:pPr>
        <w:spacing w:after="0" w:line="167" w:lineRule="exact"/>
        <w:rPr>
          <w:rFonts w:ascii="Arial" w:cs="Arial" w:eastAsia="Arial" w:hAnsi="Arial"/>
          <w:sz w:val="16"/>
          <w:szCs w:val="16"/>
          <w:color w:val="0063A6"/>
        </w:rPr>
      </w:pPr>
    </w:p>
    <w:p>
      <w:pPr>
        <w:ind w:left="340" w:right="220" w:hanging="332"/>
        <w:spacing w:after="0" w:line="266" w:lineRule="auto"/>
        <w:tabs>
          <w:tab w:leader="none" w:pos="329" w:val="left"/>
        </w:tabs>
        <w:numPr>
          <w:ilvl w:val="0"/>
          <w:numId w:val="59"/>
        </w:numPr>
        <w:rPr>
          <w:rFonts w:ascii="Arial" w:cs="Arial" w:eastAsia="Arial" w:hAnsi="Arial"/>
          <w:sz w:val="16"/>
          <w:szCs w:val="16"/>
          <w:color w:val="0063A6"/>
        </w:rPr>
      </w:pPr>
      <w:r>
        <w:rPr>
          <w:rFonts w:ascii="Arial" w:cs="Arial" w:eastAsia="Arial" w:hAnsi="Arial"/>
          <w:sz w:val="16"/>
          <w:szCs w:val="16"/>
          <w:color w:val="auto"/>
        </w:rPr>
        <w:t>Provided competitive market data based on the compensation peer group for our executive officer positions, and evaluation of how the compensation we pay our executive officers compares both to our performance and to how the companies in our compensation peer group compensate their executives;</w:t>
      </w:r>
    </w:p>
    <w:p>
      <w:pPr>
        <w:spacing w:after="0" w:line="103" w:lineRule="exact"/>
        <w:rPr>
          <w:rFonts w:ascii="Arial" w:cs="Arial" w:eastAsia="Arial" w:hAnsi="Arial"/>
          <w:sz w:val="16"/>
          <w:szCs w:val="16"/>
          <w:color w:val="0063A6"/>
        </w:rPr>
      </w:pPr>
    </w:p>
    <w:p>
      <w:pPr>
        <w:ind w:left="340" w:right="100" w:hanging="332"/>
        <w:spacing w:after="0" w:line="286" w:lineRule="auto"/>
        <w:tabs>
          <w:tab w:leader="none" w:pos="329" w:val="left"/>
        </w:tabs>
        <w:numPr>
          <w:ilvl w:val="0"/>
          <w:numId w:val="59"/>
        </w:numPr>
        <w:rPr>
          <w:rFonts w:ascii="Arial" w:cs="Arial" w:eastAsia="Arial" w:hAnsi="Arial"/>
          <w:sz w:val="16"/>
          <w:szCs w:val="16"/>
          <w:color w:val="0063A6"/>
        </w:rPr>
      </w:pPr>
      <w:r>
        <w:rPr>
          <w:rFonts w:ascii="Arial" w:cs="Arial" w:eastAsia="Arial" w:hAnsi="Arial"/>
          <w:sz w:val="16"/>
          <w:szCs w:val="16"/>
          <w:color w:val="auto"/>
        </w:rPr>
        <w:t>Provided competitive market data based on the compensation peer group for non-employee directors, and evaluation of how the compensation we pay our non-employee directors compares to companies in our compensation peer group;</w:t>
      </w:r>
    </w:p>
    <w:p>
      <w:pPr>
        <w:spacing w:after="0" w:line="101" w:lineRule="exact"/>
        <w:rPr>
          <w:rFonts w:ascii="Arial" w:cs="Arial" w:eastAsia="Arial" w:hAnsi="Arial"/>
          <w:sz w:val="16"/>
          <w:szCs w:val="16"/>
          <w:color w:val="0063A6"/>
        </w:rPr>
      </w:pPr>
    </w:p>
    <w:p>
      <w:pPr>
        <w:ind w:left="340" w:right="380" w:hanging="332"/>
        <w:spacing w:after="0" w:line="286" w:lineRule="auto"/>
        <w:tabs>
          <w:tab w:leader="none" w:pos="329" w:val="left"/>
        </w:tabs>
        <w:numPr>
          <w:ilvl w:val="0"/>
          <w:numId w:val="59"/>
        </w:numPr>
        <w:rPr>
          <w:rFonts w:ascii="Arial" w:cs="Arial" w:eastAsia="Arial" w:hAnsi="Arial"/>
          <w:sz w:val="16"/>
          <w:szCs w:val="16"/>
          <w:color w:val="0063A6"/>
        </w:rPr>
      </w:pPr>
      <w:r>
        <w:rPr>
          <w:rFonts w:ascii="Arial" w:cs="Arial" w:eastAsia="Arial" w:hAnsi="Arial"/>
          <w:sz w:val="16"/>
          <w:szCs w:val="16"/>
          <w:color w:val="auto"/>
        </w:rPr>
        <w:t>Reviewed and analyzed base salary levels, annual incentive bonus opportunities, and long-term equity incentive compensation opportunities of our executive officers;</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59"/>
        </w:numPr>
        <w:rPr>
          <w:rFonts w:ascii="Arial" w:cs="Arial" w:eastAsia="Arial" w:hAnsi="Arial"/>
          <w:sz w:val="16"/>
          <w:szCs w:val="16"/>
          <w:color w:val="0063A6"/>
        </w:rPr>
      </w:pPr>
      <w:r>
        <w:rPr>
          <w:rFonts w:ascii="Arial" w:cs="Arial" w:eastAsia="Arial" w:hAnsi="Arial"/>
          <w:sz w:val="16"/>
          <w:szCs w:val="16"/>
          <w:color w:val="auto"/>
        </w:rPr>
        <w:t>Assessed executive compensation trends within our industry, and updates on corporate governance and regulatory issues and developments;</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59"/>
        </w:numPr>
        <w:rPr>
          <w:rFonts w:ascii="Arial" w:cs="Arial" w:eastAsia="Arial" w:hAnsi="Arial"/>
          <w:sz w:val="16"/>
          <w:szCs w:val="16"/>
          <w:color w:val="0063A6"/>
        </w:rPr>
      </w:pPr>
      <w:r>
        <w:rPr>
          <w:rFonts w:ascii="Arial" w:cs="Arial" w:eastAsia="Arial" w:hAnsi="Arial"/>
          <w:sz w:val="16"/>
          <w:szCs w:val="16"/>
          <w:color w:val="auto"/>
        </w:rPr>
        <w:t>Reviewed our executive compensation disclosure;</w:t>
      </w:r>
    </w:p>
    <w:p>
      <w:pPr>
        <w:spacing w:after="0" w:line="167" w:lineRule="exact"/>
        <w:rPr>
          <w:rFonts w:ascii="Arial" w:cs="Arial" w:eastAsia="Arial" w:hAnsi="Arial"/>
          <w:sz w:val="16"/>
          <w:szCs w:val="16"/>
          <w:color w:val="0063A6"/>
        </w:rPr>
      </w:pPr>
    </w:p>
    <w:p>
      <w:pPr>
        <w:ind w:left="340" w:right="120" w:hanging="332"/>
        <w:spacing w:after="0" w:line="286" w:lineRule="auto"/>
        <w:tabs>
          <w:tab w:leader="none" w:pos="329" w:val="left"/>
        </w:tabs>
        <w:numPr>
          <w:ilvl w:val="0"/>
          <w:numId w:val="59"/>
        </w:numPr>
        <w:rPr>
          <w:rFonts w:ascii="Arial" w:cs="Arial" w:eastAsia="Arial" w:hAnsi="Arial"/>
          <w:sz w:val="16"/>
          <w:szCs w:val="16"/>
          <w:color w:val="0063A6"/>
        </w:rPr>
      </w:pPr>
      <w:r>
        <w:rPr>
          <w:rFonts w:ascii="Arial" w:cs="Arial" w:eastAsia="Arial" w:hAnsi="Arial"/>
          <w:sz w:val="16"/>
          <w:szCs w:val="16"/>
          <w:color w:val="auto"/>
        </w:rPr>
        <w:t>Assessed compensation risk to determine whether our compensation policies and practices are reasonably likely to have a material adverse impact on the company; and</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59"/>
        </w:numPr>
        <w:rPr>
          <w:rFonts w:ascii="Arial" w:cs="Arial" w:eastAsia="Arial" w:hAnsi="Arial"/>
          <w:sz w:val="16"/>
          <w:szCs w:val="16"/>
          <w:color w:val="0063A6"/>
        </w:rPr>
      </w:pPr>
      <w:r>
        <w:rPr>
          <w:rFonts w:ascii="Arial" w:cs="Arial" w:eastAsia="Arial" w:hAnsi="Arial"/>
          <w:sz w:val="16"/>
          <w:szCs w:val="16"/>
          <w:color w:val="auto"/>
        </w:rPr>
        <w:t xml:space="preserve">Supported on other </w:t>
      </w:r>
      <w:r>
        <w:rPr>
          <w:rFonts w:ascii="Arial" w:cs="Arial" w:eastAsia="Arial" w:hAnsi="Arial"/>
          <w:sz w:val="16"/>
          <w:szCs w:val="16"/>
          <w:i w:val="1"/>
          <w:iCs w:val="1"/>
          <w:color w:val="auto"/>
        </w:rPr>
        <w:t>ad hoc</w:t>
      </w:r>
      <w:r>
        <w:rPr>
          <w:rFonts w:ascii="Arial" w:cs="Arial" w:eastAsia="Arial" w:hAnsi="Arial"/>
          <w:sz w:val="16"/>
          <w:szCs w:val="16"/>
          <w:color w:val="auto"/>
        </w:rPr>
        <w:t xml:space="preserve"> matters throughout the year.</w:t>
      </w:r>
    </w:p>
    <w:p>
      <w:pPr>
        <w:spacing w:after="0" w:line="16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Compensia did not provide any services to us other than the consulting services to the talent and compensation committee. The talent and compensation committee regularly reviews the objectivity and independence of the advice provided by its compensation consultant on executive compensation matters. The talent and compensation committee has evaluated Compensia’s engagement, and based on the six factors for assessing independence and identifying potential conflicts of interest that are set forth in Rule 10C-1(b)(4) of the Exchange Act, Rule 5605(d)(3)(D) of the Nasdaq Marketplace Rules, and such other factors as were deemed relevant under the circumstances, has determined that its relationship with Compensia and the work of Compensia on behalf of the talent and compensation committee did not raise any conflict of interest, and that Compensia is independent as defined in Rule 5605(a)(2) of the Nasdaq Marketplace Rules.</w:t>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Role of Management</w:t>
      </w:r>
    </w:p>
    <w:p>
      <w:pPr>
        <w:spacing w:after="0" w:line="100" w:lineRule="exact"/>
        <w:rPr>
          <w:sz w:val="20"/>
          <w:szCs w:val="20"/>
          <w:color w:val="auto"/>
        </w:rPr>
      </w:pPr>
    </w:p>
    <w:p>
      <w:pPr>
        <w:ind w:right="340"/>
        <w:spacing w:after="0" w:line="257" w:lineRule="auto"/>
        <w:rPr>
          <w:sz w:val="20"/>
          <w:szCs w:val="20"/>
          <w:color w:val="auto"/>
        </w:rPr>
      </w:pPr>
      <w:r>
        <w:rPr>
          <w:rFonts w:ascii="Arial" w:cs="Arial" w:eastAsia="Arial" w:hAnsi="Arial"/>
          <w:sz w:val="16"/>
          <w:szCs w:val="16"/>
          <w:color w:val="auto"/>
        </w:rPr>
        <w:t>In discharging its responsibilities, the talent and compensation committee also works with members of our management, including our Chief Executive Officer. Our management assists the talent and compensation committee by providing information on corporate and individual performance, competitive market data, and management’s perspective and recommendations on compensation matters.</w:t>
      </w:r>
    </w:p>
    <w:p>
      <w:pPr>
        <w:spacing w:after="0" w:line="12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Typically, our Chief Executive Officer makes recommendations to the talent and compensation committee regarding compensation matters, including adjustments to annual cash compensation, long-term equity incentive compensation opportunities, and program structures, for our executive officers, except with respect to his own compensation. At the beginning of each year, our Chief Executive Officer reviews the performance of our other executive officers, including our other named executive officers, based on such individual’s level of success in accomplishing the business objectives established for him or her for the prior year and their overall performance during that year, and then shares these evaluations with, and makes recommendations to, the talent and compensation committee for each element of compensation as described above.</w:t>
      </w:r>
    </w:p>
    <w:p>
      <w:pPr>
        <w:spacing w:after="0" w:line="12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talent and compensation committee reviews and discusses these recommendations and proposals with our Chief Executive Officer and uses them as one factor in determining and approving the compensation for our executive officers.</w:t>
      </w:r>
    </w:p>
    <w:p>
      <w:pPr>
        <w:spacing w:after="0" w:line="102"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Our Chief Executive Officer also attends meetings of our board of directors and the talent and compensation committee at which executive compensation matters are addressed, except with respect to discussions involving his own compensation.</w:t>
      </w:r>
    </w:p>
    <w:p>
      <w:pPr>
        <w:spacing w:after="0" w:line="200" w:lineRule="exact"/>
        <w:rPr>
          <w:sz w:val="20"/>
          <w:szCs w:val="20"/>
          <w:color w:val="auto"/>
        </w:rPr>
      </w:pPr>
    </w:p>
    <w:p>
      <w:pPr>
        <w:spacing w:after="0" w:line="312" w:lineRule="exact"/>
        <w:rPr>
          <w:sz w:val="20"/>
          <w:szCs w:val="20"/>
          <w:color w:val="auto"/>
        </w:rPr>
      </w:pPr>
    </w:p>
    <w:p>
      <w:pPr>
        <w:ind w:left="580" w:hanging="554"/>
        <w:spacing w:after="0"/>
        <w:tabs>
          <w:tab w:leader="none" w:pos="58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70"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Decisions with respect to our Chief Executive Officer’s compensation are made by our talent and compensation committee, which is comprised entirely of independent members of our board of directors.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Competitive Positioning</w:t>
      </w:r>
    </w:p>
    <w:p>
      <w:pPr>
        <w:spacing w:after="0" w:line="86"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For purposes of assessing our executive compensation against the competitive market, the talent and compensation committee reviews and considers the compensation levels and practices of a select group of peer companies. This compensation peer group consists of technology companies that are similar to us in terms of revenue, market capitalization, geographical location, and industry sector.</w:t>
      </w:r>
    </w:p>
    <w:p>
      <w:pPr>
        <w:spacing w:after="0" w:line="117"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companies in the compensation peer group for 2023 were approved in August 2022 on the basis of their similarity to us, as determined using the following criteria, each as of July 2022:</w:t>
      </w:r>
    </w:p>
    <w:p>
      <w:pPr>
        <w:spacing w:after="0" w:line="88" w:lineRule="exact"/>
        <w:rPr>
          <w:sz w:val="20"/>
          <w:szCs w:val="20"/>
          <w:color w:val="auto"/>
        </w:rPr>
      </w:pPr>
    </w:p>
    <w:p>
      <w:pPr>
        <w:ind w:left="340" w:right="60" w:hanging="332"/>
        <w:spacing w:after="0" w:line="286" w:lineRule="auto"/>
        <w:tabs>
          <w:tab w:leader="none" w:pos="329" w:val="left"/>
        </w:tabs>
        <w:numPr>
          <w:ilvl w:val="0"/>
          <w:numId w:val="61"/>
        </w:numPr>
        <w:rPr>
          <w:rFonts w:ascii="Arial" w:cs="Arial" w:eastAsia="Arial" w:hAnsi="Arial"/>
          <w:sz w:val="16"/>
          <w:szCs w:val="16"/>
          <w:color w:val="0063A6"/>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 approximately 0.4x to approximately 2.5x our last four fiscal quarter revenue of approximately $2.2 billion (approximately $883 million to $5.5</w:t>
      </w:r>
      <w:r>
        <w:rPr>
          <w:rFonts w:ascii="Arial" w:cs="Arial" w:eastAsia="Arial" w:hAnsi="Arial"/>
          <w:sz w:val="16"/>
          <w:szCs w:val="16"/>
          <w:b w:val="1"/>
          <w:bCs w:val="1"/>
          <w:color w:val="auto"/>
        </w:rPr>
        <w:t xml:space="preserve"> </w:t>
      </w:r>
      <w:r>
        <w:rPr>
          <w:rFonts w:ascii="Arial" w:cs="Arial" w:eastAsia="Arial" w:hAnsi="Arial"/>
          <w:sz w:val="16"/>
          <w:szCs w:val="16"/>
          <w:color w:val="auto"/>
        </w:rPr>
        <w:t>billion);</w:t>
      </w:r>
    </w:p>
    <w:p>
      <w:pPr>
        <w:spacing w:after="0" w:line="101" w:lineRule="exact"/>
        <w:rPr>
          <w:rFonts w:ascii="Arial" w:cs="Arial" w:eastAsia="Arial" w:hAnsi="Arial"/>
          <w:sz w:val="16"/>
          <w:szCs w:val="16"/>
          <w:color w:val="0063A6"/>
        </w:rPr>
      </w:pPr>
    </w:p>
    <w:p>
      <w:pPr>
        <w:ind w:left="340" w:right="140" w:hanging="332"/>
        <w:spacing w:after="0" w:line="286" w:lineRule="auto"/>
        <w:tabs>
          <w:tab w:leader="none" w:pos="329" w:val="left"/>
        </w:tabs>
        <w:numPr>
          <w:ilvl w:val="0"/>
          <w:numId w:val="61"/>
        </w:numPr>
        <w:rPr>
          <w:rFonts w:ascii="Arial" w:cs="Arial" w:eastAsia="Arial" w:hAnsi="Arial"/>
          <w:sz w:val="16"/>
          <w:szCs w:val="16"/>
          <w:color w:val="0063A6"/>
        </w:rPr>
      </w:pPr>
      <w:r>
        <w:rPr>
          <w:rFonts w:ascii="Arial" w:cs="Arial" w:eastAsia="Arial" w:hAnsi="Arial"/>
          <w:sz w:val="16"/>
          <w:szCs w:val="16"/>
          <w:b w:val="1"/>
          <w:bCs w:val="1"/>
          <w:color w:val="auto"/>
        </w:rPr>
        <w:t xml:space="preserve">market capitalization </w:t>
      </w:r>
      <w:r>
        <w:rPr>
          <w:rFonts w:ascii="Arial" w:cs="Arial" w:eastAsia="Arial" w:hAnsi="Arial"/>
          <w:sz w:val="16"/>
          <w:szCs w:val="16"/>
          <w:color w:val="auto"/>
        </w:rPr>
        <w:t>– approximately 0.25x to approximately 4.0x our market capitalization of approximately $8.2 billion (approximately $2.0 billion to</w:t>
      </w:r>
      <w:r>
        <w:rPr>
          <w:rFonts w:ascii="Arial" w:cs="Arial" w:eastAsia="Arial" w:hAnsi="Arial"/>
          <w:sz w:val="16"/>
          <w:szCs w:val="16"/>
          <w:b w:val="1"/>
          <w:bCs w:val="1"/>
          <w:color w:val="auto"/>
        </w:rPr>
        <w:t xml:space="preserve"> </w:t>
      </w:r>
      <w:r>
        <w:rPr>
          <w:rFonts w:ascii="Arial" w:cs="Arial" w:eastAsia="Arial" w:hAnsi="Arial"/>
          <w:sz w:val="16"/>
          <w:szCs w:val="16"/>
          <w:color w:val="auto"/>
        </w:rPr>
        <w:t>$32.6 billion);</w:t>
      </w:r>
    </w:p>
    <w:p>
      <w:pPr>
        <w:spacing w:after="0" w:line="101" w:lineRule="exact"/>
        <w:rPr>
          <w:rFonts w:ascii="Arial" w:cs="Arial" w:eastAsia="Arial" w:hAnsi="Arial"/>
          <w:sz w:val="16"/>
          <w:szCs w:val="16"/>
          <w:color w:val="0063A6"/>
        </w:rPr>
      </w:pPr>
    </w:p>
    <w:p>
      <w:pPr>
        <w:ind w:left="320" w:hanging="312"/>
        <w:spacing w:after="0"/>
        <w:tabs>
          <w:tab w:leader="none" w:pos="320" w:val="left"/>
        </w:tabs>
        <w:numPr>
          <w:ilvl w:val="0"/>
          <w:numId w:val="61"/>
        </w:numPr>
        <w:rPr>
          <w:rFonts w:ascii="Arial" w:cs="Arial" w:eastAsia="Arial" w:hAnsi="Arial"/>
          <w:sz w:val="16"/>
          <w:szCs w:val="16"/>
          <w:color w:val="0063A6"/>
        </w:rPr>
      </w:pPr>
      <w:r>
        <w:rPr>
          <w:rFonts w:ascii="Arial" w:cs="Arial" w:eastAsia="Arial" w:hAnsi="Arial"/>
          <w:sz w:val="16"/>
          <w:szCs w:val="16"/>
          <w:b w:val="1"/>
          <w:bCs w:val="1"/>
          <w:color w:val="auto"/>
        </w:rPr>
        <w:t xml:space="preserve">industry sector </w:t>
      </w:r>
      <w:r>
        <w:rPr>
          <w:rFonts w:ascii="Arial" w:cs="Arial" w:eastAsia="Arial" w:hAnsi="Arial"/>
          <w:sz w:val="16"/>
          <w:szCs w:val="16"/>
          <w:color w:val="auto"/>
        </w:rPr>
        <w:t>– internet software and services, software, communication equipment, and certain SaaS companies not classified as such; and</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61"/>
        </w:numPr>
        <w:rPr>
          <w:rFonts w:ascii="Arial" w:cs="Arial" w:eastAsia="Arial" w:hAnsi="Arial"/>
          <w:sz w:val="16"/>
          <w:szCs w:val="16"/>
          <w:color w:val="0063A6"/>
        </w:rPr>
      </w:pPr>
      <w:r>
        <w:rPr>
          <w:rFonts w:ascii="Arial" w:cs="Arial" w:eastAsia="Arial" w:hAnsi="Arial"/>
          <w:sz w:val="16"/>
          <w:szCs w:val="16"/>
          <w:b w:val="1"/>
          <w:bCs w:val="1"/>
          <w:color w:val="auto"/>
        </w:rPr>
        <w:t xml:space="preserve">relevance </w:t>
      </w:r>
      <w:r>
        <w:rPr>
          <w:rFonts w:ascii="Arial" w:cs="Arial" w:eastAsia="Arial" w:hAnsi="Arial"/>
          <w:sz w:val="16"/>
          <w:szCs w:val="16"/>
          <w:color w:val="auto"/>
        </w:rPr>
        <w:t>– software-as-a-service model or product similarity.</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selecting the 2023 compensation peer group, we chose companies that resulted in us being near the median of the group as of July 2022, in terms of both revenue and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99060</wp:posOffset>
            </wp:positionV>
            <wp:extent cx="2391410" cy="3689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91410" cy="3689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2374265" cy="3689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374265" cy="36893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37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2022 Compensation Peer Group</w:t>
            </w:r>
          </w:p>
        </w:tc>
        <w:tc>
          <w:tcPr>
            <w:tcW w:w="37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Changes to Peer Group</w:t>
            </w:r>
          </w:p>
        </w:tc>
        <w:tc>
          <w:tcPr>
            <w:tcW w:w="37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2023 Compensation Peer Group</w:t>
            </w:r>
          </w:p>
        </w:tc>
      </w:tr>
      <w:tr>
        <w:trPr>
          <w:trHeight w:val="237"/>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Box</w:t>
            </w:r>
          </w:p>
        </w:tc>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b w:val="1"/>
                <w:bCs w:val="1"/>
                <w:color w:val="auto"/>
                <w:w w:val="99"/>
              </w:rPr>
              <w:t>Added</w:t>
            </w:r>
            <w:r>
              <w:rPr>
                <w:rFonts w:ascii="Arial" w:cs="Arial" w:eastAsia="Arial" w:hAnsi="Arial"/>
                <w:sz w:val="16"/>
                <w:szCs w:val="16"/>
                <w:color w:val="auto"/>
                <w:w w:val="99"/>
              </w:rPr>
              <w:t>:</w:t>
            </w: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Affirm Holdings</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rPr>
              <w:t>Citrix Systems</w:t>
            </w:r>
          </w:p>
        </w:tc>
        <w:tc>
          <w:tcPr>
            <w:tcW w:w="3740" w:type="dxa"/>
            <w:vAlign w:val="bottom"/>
          </w:tcPr>
          <w:p>
            <w:pPr>
              <w:jc w:val="center"/>
              <w:spacing w:after="0"/>
              <w:rPr>
                <w:sz w:val="20"/>
                <w:szCs w:val="20"/>
                <w:color w:val="auto"/>
              </w:rPr>
            </w:pPr>
            <w:r>
              <w:rPr>
                <w:rFonts w:ascii="Arial" w:cs="Arial" w:eastAsia="Arial" w:hAnsi="Arial"/>
                <w:sz w:val="16"/>
                <w:szCs w:val="16"/>
                <w:color w:val="auto"/>
              </w:rPr>
              <w:t>Affirm Holdings</w:t>
            </w:r>
          </w:p>
        </w:tc>
        <w:tc>
          <w:tcPr>
            <w:tcW w:w="3760" w:type="dxa"/>
            <w:vAlign w:val="bottom"/>
          </w:tcPr>
          <w:p>
            <w:pPr>
              <w:jc w:val="center"/>
              <w:spacing w:after="0"/>
              <w:rPr>
                <w:sz w:val="20"/>
                <w:szCs w:val="20"/>
                <w:color w:val="auto"/>
              </w:rPr>
            </w:pPr>
            <w:r>
              <w:rPr>
                <w:rFonts w:ascii="Arial" w:cs="Arial" w:eastAsia="Arial" w:hAnsi="Arial"/>
                <w:sz w:val="16"/>
                <w:szCs w:val="16"/>
                <w:color w:val="auto"/>
                <w:w w:val="98"/>
              </w:rPr>
              <w:t>AppLovin</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Cloudera</w:t>
            </w:r>
          </w:p>
        </w:tc>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8"/>
              </w:rPr>
              <w:t>AppLovin</w:t>
            </w: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4"/>
              </w:rPr>
              <w:t>Box</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rPr>
              <w:t>DocuSign</w:t>
            </w:r>
          </w:p>
        </w:tc>
        <w:tc>
          <w:tcPr>
            <w:tcW w:w="3740" w:type="dxa"/>
            <w:vAlign w:val="bottom"/>
          </w:tcPr>
          <w:p>
            <w:pPr>
              <w:jc w:val="center"/>
              <w:spacing w:after="0"/>
              <w:rPr>
                <w:sz w:val="20"/>
                <w:szCs w:val="20"/>
                <w:color w:val="auto"/>
              </w:rPr>
            </w:pPr>
            <w:r>
              <w:rPr>
                <w:rFonts w:ascii="Arial" w:cs="Arial" w:eastAsia="Arial" w:hAnsi="Arial"/>
                <w:sz w:val="16"/>
                <w:szCs w:val="16"/>
                <w:color w:val="auto"/>
              </w:rPr>
              <w:t>Dolby Laboratories</w:t>
            </w:r>
          </w:p>
        </w:tc>
        <w:tc>
          <w:tcPr>
            <w:tcW w:w="3760" w:type="dxa"/>
            <w:vAlign w:val="bottom"/>
          </w:tcPr>
          <w:p>
            <w:pPr>
              <w:jc w:val="center"/>
              <w:spacing w:after="0"/>
              <w:rPr>
                <w:sz w:val="20"/>
                <w:szCs w:val="20"/>
                <w:color w:val="auto"/>
              </w:rPr>
            </w:pPr>
            <w:r>
              <w:rPr>
                <w:rFonts w:ascii="Arial" w:cs="Arial" w:eastAsia="Arial" w:hAnsi="Arial"/>
                <w:sz w:val="16"/>
                <w:szCs w:val="16"/>
                <w:color w:val="auto"/>
                <w:w w:val="99"/>
              </w:rPr>
              <w:t>Citrix Systems</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43"/>
        </w:trPr>
        <w:tc>
          <w:tcPr>
            <w:tcW w:w="37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Fortinet</w:t>
            </w:r>
          </w:p>
        </w:tc>
        <w:tc>
          <w:tcPr>
            <w:tcW w:w="37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6"/>
              </w:rPr>
              <w:t>Etsy</w:t>
            </w:r>
          </w:p>
        </w:tc>
        <w:tc>
          <w:tcPr>
            <w:tcW w:w="37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DocuSign</w:t>
            </w:r>
          </w:p>
        </w:tc>
      </w:tr>
      <w:tr>
        <w:trPr>
          <w:trHeight w:val="235"/>
        </w:trPr>
        <w:tc>
          <w:tcPr>
            <w:tcW w:w="3740" w:type="dxa"/>
            <w:vAlign w:val="bottom"/>
          </w:tcPr>
          <w:p>
            <w:pPr>
              <w:jc w:val="center"/>
              <w:spacing w:after="0"/>
              <w:rPr>
                <w:sz w:val="20"/>
                <w:szCs w:val="20"/>
                <w:color w:val="auto"/>
              </w:rPr>
            </w:pPr>
            <w:r>
              <w:rPr>
                <w:rFonts w:ascii="Arial" w:cs="Arial" w:eastAsia="Arial" w:hAnsi="Arial"/>
                <w:sz w:val="16"/>
                <w:szCs w:val="16"/>
                <w:color w:val="auto"/>
              </w:rPr>
              <w:t>GoDaddy</w:t>
            </w:r>
          </w:p>
        </w:tc>
        <w:tc>
          <w:tcPr>
            <w:tcW w:w="3740" w:type="dxa"/>
            <w:vAlign w:val="bottom"/>
          </w:tcPr>
          <w:p>
            <w:pPr>
              <w:jc w:val="center"/>
              <w:spacing w:after="0"/>
              <w:rPr>
                <w:sz w:val="20"/>
                <w:szCs w:val="20"/>
                <w:color w:val="auto"/>
              </w:rPr>
            </w:pPr>
            <w:r>
              <w:rPr>
                <w:rFonts w:ascii="Arial" w:cs="Arial" w:eastAsia="Arial" w:hAnsi="Arial"/>
                <w:sz w:val="16"/>
                <w:szCs w:val="16"/>
                <w:color w:val="auto"/>
                <w:w w:val="96"/>
              </w:rPr>
              <w:t>F5</w:t>
            </w:r>
          </w:p>
        </w:tc>
        <w:tc>
          <w:tcPr>
            <w:tcW w:w="3760" w:type="dxa"/>
            <w:vAlign w:val="bottom"/>
          </w:tcPr>
          <w:p>
            <w:pPr>
              <w:jc w:val="center"/>
              <w:spacing w:after="0"/>
              <w:rPr>
                <w:sz w:val="20"/>
                <w:szCs w:val="20"/>
                <w:color w:val="auto"/>
              </w:rPr>
            </w:pPr>
            <w:r>
              <w:rPr>
                <w:rFonts w:ascii="Arial" w:cs="Arial" w:eastAsia="Arial" w:hAnsi="Arial"/>
                <w:sz w:val="16"/>
                <w:szCs w:val="16"/>
                <w:color w:val="auto"/>
              </w:rPr>
              <w:t>Dolby Laboratories</w:t>
            </w:r>
          </w:p>
        </w:tc>
      </w:tr>
      <w:tr>
        <w:trPr>
          <w:trHeight w:val="251"/>
        </w:trPr>
        <w:tc>
          <w:tcPr>
            <w:tcW w:w="37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Nutanix</w:t>
            </w:r>
          </w:p>
        </w:tc>
        <w:tc>
          <w:tcPr>
            <w:tcW w:w="37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HubSpot</w:t>
            </w:r>
          </w:p>
        </w:tc>
        <w:tc>
          <w:tcPr>
            <w:tcW w:w="3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6"/>
              </w:rPr>
              <w:t>Etsy</w:t>
            </w:r>
          </w:p>
        </w:tc>
      </w:tr>
      <w:tr>
        <w:trPr>
          <w:trHeight w:val="235"/>
        </w:trPr>
        <w:tc>
          <w:tcPr>
            <w:tcW w:w="3740" w:type="dxa"/>
            <w:vAlign w:val="bottom"/>
          </w:tcPr>
          <w:p>
            <w:pPr>
              <w:jc w:val="center"/>
              <w:spacing w:after="0"/>
              <w:rPr>
                <w:sz w:val="20"/>
                <w:szCs w:val="20"/>
                <w:color w:val="auto"/>
              </w:rPr>
            </w:pPr>
            <w:r>
              <w:rPr>
                <w:rFonts w:ascii="Arial" w:cs="Arial" w:eastAsia="Arial" w:hAnsi="Arial"/>
                <w:sz w:val="16"/>
                <w:szCs w:val="16"/>
                <w:color w:val="auto"/>
              </w:rPr>
              <w:t>Okta</w:t>
            </w:r>
          </w:p>
        </w:tc>
        <w:tc>
          <w:tcPr>
            <w:tcW w:w="3740" w:type="dxa"/>
            <w:vAlign w:val="bottom"/>
          </w:tcPr>
          <w:p>
            <w:pPr>
              <w:jc w:val="center"/>
              <w:spacing w:after="0"/>
              <w:rPr>
                <w:sz w:val="20"/>
                <w:szCs w:val="20"/>
                <w:color w:val="auto"/>
              </w:rPr>
            </w:pPr>
            <w:r>
              <w:rPr>
                <w:rFonts w:ascii="Arial" w:cs="Arial" w:eastAsia="Arial" w:hAnsi="Arial"/>
                <w:sz w:val="16"/>
                <w:szCs w:val="16"/>
                <w:color w:val="auto"/>
              </w:rPr>
              <w:t>Paycom Software</w:t>
            </w:r>
          </w:p>
        </w:tc>
        <w:tc>
          <w:tcPr>
            <w:tcW w:w="3760" w:type="dxa"/>
            <w:vAlign w:val="bottom"/>
          </w:tcPr>
          <w:p>
            <w:pPr>
              <w:jc w:val="center"/>
              <w:spacing w:after="0"/>
              <w:rPr>
                <w:sz w:val="20"/>
                <w:szCs w:val="20"/>
                <w:color w:val="auto"/>
              </w:rPr>
            </w:pPr>
            <w:r>
              <w:rPr>
                <w:rFonts w:ascii="Arial" w:cs="Arial" w:eastAsia="Arial" w:hAnsi="Arial"/>
                <w:sz w:val="16"/>
                <w:szCs w:val="16"/>
                <w:color w:val="auto"/>
                <w:w w:val="96"/>
              </w:rPr>
              <w:t>F5</w:t>
            </w:r>
          </w:p>
        </w:tc>
      </w:tr>
      <w:tr>
        <w:trPr>
          <w:trHeight w:val="231"/>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Palo Alto Networks</w:t>
            </w:r>
          </w:p>
        </w:tc>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Roku</w:t>
            </w: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GoDaddy</w:t>
            </w:r>
          </w:p>
        </w:tc>
      </w:tr>
      <w:tr>
        <w:trPr>
          <w:trHeight w:val="215"/>
        </w:trPr>
        <w:tc>
          <w:tcPr>
            <w:tcW w:w="3740" w:type="dxa"/>
            <w:vAlign w:val="bottom"/>
          </w:tcPr>
          <w:p>
            <w:pPr>
              <w:jc w:val="center"/>
              <w:spacing w:after="0"/>
              <w:rPr>
                <w:sz w:val="20"/>
                <w:szCs w:val="20"/>
                <w:color w:val="auto"/>
              </w:rPr>
            </w:pPr>
            <w:r>
              <w:rPr>
                <w:rFonts w:ascii="Arial" w:cs="Arial" w:eastAsia="Arial" w:hAnsi="Arial"/>
                <w:sz w:val="16"/>
                <w:szCs w:val="16"/>
                <w:color w:val="auto"/>
              </w:rPr>
              <w:t>Pinterest</w:t>
            </w:r>
          </w:p>
        </w:tc>
        <w:tc>
          <w:tcPr>
            <w:tcW w:w="3740" w:type="dxa"/>
            <w:vAlign w:val="bottom"/>
          </w:tcPr>
          <w:p>
            <w:pPr>
              <w:jc w:val="center"/>
              <w:spacing w:after="0"/>
              <w:rPr>
                <w:sz w:val="20"/>
                <w:szCs w:val="20"/>
                <w:color w:val="auto"/>
              </w:rPr>
            </w:pPr>
            <w:r>
              <w:rPr>
                <w:rFonts w:ascii="Arial" w:cs="Arial" w:eastAsia="Arial" w:hAnsi="Arial"/>
                <w:sz w:val="16"/>
                <w:szCs w:val="16"/>
                <w:color w:val="auto"/>
                <w:w w:val="96"/>
              </w:rPr>
              <w:t>Teradata</w:t>
            </w:r>
          </w:p>
        </w:tc>
        <w:tc>
          <w:tcPr>
            <w:tcW w:w="3760" w:type="dxa"/>
            <w:vAlign w:val="bottom"/>
          </w:tcPr>
          <w:p>
            <w:pPr>
              <w:jc w:val="center"/>
              <w:spacing w:after="0"/>
              <w:rPr>
                <w:sz w:val="20"/>
                <w:szCs w:val="20"/>
                <w:color w:val="auto"/>
              </w:rPr>
            </w:pPr>
            <w:r>
              <w:rPr>
                <w:rFonts w:ascii="Arial" w:cs="Arial" w:eastAsia="Arial" w:hAnsi="Arial"/>
                <w:sz w:val="16"/>
                <w:szCs w:val="16"/>
                <w:color w:val="auto"/>
                <w:w w:val="99"/>
              </w:rPr>
              <w:t>HubSpot</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Proofpoint</w:t>
            </w: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Nutanix</w:t>
            </w:r>
          </w:p>
        </w:tc>
      </w:tr>
      <w:tr>
        <w:trPr>
          <w:trHeight w:val="239"/>
        </w:trPr>
        <w:tc>
          <w:tcPr>
            <w:tcW w:w="3740" w:type="dxa"/>
            <w:vAlign w:val="bottom"/>
          </w:tcPr>
          <w:p>
            <w:pPr>
              <w:jc w:val="center"/>
              <w:spacing w:after="0"/>
              <w:rPr>
                <w:sz w:val="20"/>
                <w:szCs w:val="20"/>
                <w:color w:val="auto"/>
              </w:rPr>
            </w:pPr>
            <w:r>
              <w:rPr>
                <w:rFonts w:ascii="Arial" w:cs="Arial" w:eastAsia="Arial" w:hAnsi="Arial"/>
                <w:sz w:val="16"/>
                <w:szCs w:val="16"/>
                <w:color w:val="auto"/>
              </w:rPr>
              <w:t>Pure Storage</w:t>
            </w: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rPr>
              <w:t>Removed</w:t>
            </w:r>
            <w:r>
              <w:rPr>
                <w:rFonts w:ascii="Arial" w:cs="Arial" w:eastAsia="Arial" w:hAnsi="Arial"/>
                <w:sz w:val="16"/>
                <w:szCs w:val="16"/>
                <w:color w:val="auto"/>
              </w:rPr>
              <w:t>:</w:t>
            </w:r>
          </w:p>
        </w:tc>
        <w:tc>
          <w:tcPr>
            <w:tcW w:w="3760" w:type="dxa"/>
            <w:vAlign w:val="bottom"/>
          </w:tcPr>
          <w:p>
            <w:pPr>
              <w:jc w:val="center"/>
              <w:spacing w:after="0"/>
              <w:rPr>
                <w:sz w:val="20"/>
                <w:szCs w:val="20"/>
                <w:color w:val="auto"/>
              </w:rPr>
            </w:pPr>
            <w:r>
              <w:rPr>
                <w:rFonts w:ascii="Arial" w:cs="Arial" w:eastAsia="Arial" w:hAnsi="Arial"/>
                <w:sz w:val="16"/>
                <w:szCs w:val="16"/>
                <w:color w:val="auto"/>
              </w:rPr>
              <w:t>Okta</w:t>
            </w:r>
          </w:p>
        </w:tc>
      </w:tr>
      <w:tr>
        <w:trPr>
          <w:trHeight w:val="247"/>
        </w:trPr>
        <w:tc>
          <w:tcPr>
            <w:tcW w:w="37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RingCentral</w:t>
            </w:r>
          </w:p>
        </w:tc>
        <w:tc>
          <w:tcPr>
            <w:tcW w:w="37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Cloudera</w:t>
            </w:r>
          </w:p>
        </w:tc>
        <w:tc>
          <w:tcPr>
            <w:tcW w:w="37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Paycom Software</w:t>
            </w:r>
          </w:p>
        </w:tc>
      </w:tr>
      <w:tr>
        <w:trPr>
          <w:trHeight w:val="235"/>
        </w:trPr>
        <w:tc>
          <w:tcPr>
            <w:tcW w:w="3740" w:type="dxa"/>
            <w:vAlign w:val="bottom"/>
          </w:tcPr>
          <w:p>
            <w:pPr>
              <w:jc w:val="center"/>
              <w:spacing w:after="0"/>
              <w:rPr>
                <w:sz w:val="20"/>
                <w:szCs w:val="20"/>
                <w:color w:val="auto"/>
              </w:rPr>
            </w:pPr>
            <w:r>
              <w:rPr>
                <w:rFonts w:ascii="Arial" w:cs="Arial" w:eastAsia="Arial" w:hAnsi="Arial"/>
                <w:sz w:val="16"/>
                <w:szCs w:val="16"/>
                <w:color w:val="auto"/>
                <w:w w:val="99"/>
              </w:rPr>
              <w:t>Slack Technologies</w:t>
            </w:r>
          </w:p>
        </w:tc>
        <w:tc>
          <w:tcPr>
            <w:tcW w:w="3740" w:type="dxa"/>
            <w:vAlign w:val="bottom"/>
          </w:tcPr>
          <w:p>
            <w:pPr>
              <w:jc w:val="center"/>
              <w:spacing w:after="0"/>
              <w:rPr>
                <w:sz w:val="20"/>
                <w:szCs w:val="20"/>
                <w:color w:val="auto"/>
              </w:rPr>
            </w:pPr>
            <w:r>
              <w:rPr>
                <w:rFonts w:ascii="Arial" w:cs="Arial" w:eastAsia="Arial" w:hAnsi="Arial"/>
                <w:sz w:val="16"/>
                <w:szCs w:val="16"/>
                <w:color w:val="auto"/>
                <w:w w:val="99"/>
              </w:rPr>
              <w:t>Fortinet</w:t>
            </w:r>
          </w:p>
        </w:tc>
        <w:tc>
          <w:tcPr>
            <w:tcW w:w="3760" w:type="dxa"/>
            <w:vAlign w:val="bottom"/>
          </w:tcPr>
          <w:p>
            <w:pPr>
              <w:jc w:val="center"/>
              <w:spacing w:after="0"/>
              <w:rPr>
                <w:sz w:val="20"/>
                <w:szCs w:val="20"/>
                <w:color w:val="auto"/>
              </w:rPr>
            </w:pPr>
            <w:r>
              <w:rPr>
                <w:rFonts w:ascii="Arial" w:cs="Arial" w:eastAsia="Arial" w:hAnsi="Arial"/>
                <w:sz w:val="16"/>
                <w:szCs w:val="16"/>
                <w:color w:val="auto"/>
              </w:rPr>
              <w:t>Pinterest</w:t>
            </w:r>
          </w:p>
        </w:tc>
      </w:tr>
      <w:tr>
        <w:trPr>
          <w:trHeight w:val="251"/>
        </w:trPr>
        <w:tc>
          <w:tcPr>
            <w:tcW w:w="37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Splunk</w:t>
            </w:r>
          </w:p>
        </w:tc>
        <w:tc>
          <w:tcPr>
            <w:tcW w:w="37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Palo Alto Networks</w:t>
            </w:r>
          </w:p>
        </w:tc>
        <w:tc>
          <w:tcPr>
            <w:tcW w:w="37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Pure Storage</w:t>
            </w:r>
          </w:p>
        </w:tc>
      </w:tr>
      <w:tr>
        <w:trPr>
          <w:trHeight w:val="235"/>
        </w:trPr>
        <w:tc>
          <w:tcPr>
            <w:tcW w:w="3740" w:type="dxa"/>
            <w:vAlign w:val="bottom"/>
          </w:tcPr>
          <w:p>
            <w:pPr>
              <w:jc w:val="center"/>
              <w:spacing w:after="0"/>
              <w:rPr>
                <w:sz w:val="20"/>
                <w:szCs w:val="20"/>
                <w:color w:val="auto"/>
              </w:rPr>
            </w:pPr>
            <w:r>
              <w:rPr>
                <w:rFonts w:ascii="Arial" w:cs="Arial" w:eastAsia="Arial" w:hAnsi="Arial"/>
                <w:sz w:val="16"/>
                <w:szCs w:val="16"/>
                <w:color w:val="auto"/>
              </w:rPr>
              <w:t>Zendesk</w:t>
            </w:r>
          </w:p>
        </w:tc>
        <w:tc>
          <w:tcPr>
            <w:tcW w:w="3740" w:type="dxa"/>
            <w:vAlign w:val="bottom"/>
          </w:tcPr>
          <w:p>
            <w:pPr>
              <w:jc w:val="center"/>
              <w:spacing w:after="0"/>
              <w:rPr>
                <w:sz w:val="20"/>
                <w:szCs w:val="20"/>
                <w:color w:val="auto"/>
              </w:rPr>
            </w:pPr>
            <w:r>
              <w:rPr>
                <w:rFonts w:ascii="Arial" w:cs="Arial" w:eastAsia="Arial" w:hAnsi="Arial"/>
                <w:sz w:val="16"/>
                <w:szCs w:val="16"/>
                <w:color w:val="auto"/>
              </w:rPr>
              <w:t>Proofpoint</w:t>
            </w:r>
          </w:p>
        </w:tc>
        <w:tc>
          <w:tcPr>
            <w:tcW w:w="3760" w:type="dxa"/>
            <w:vAlign w:val="bottom"/>
          </w:tcPr>
          <w:p>
            <w:pPr>
              <w:jc w:val="center"/>
              <w:spacing w:after="0"/>
              <w:rPr>
                <w:sz w:val="20"/>
                <w:szCs w:val="20"/>
                <w:color w:val="auto"/>
              </w:rPr>
            </w:pPr>
            <w:r>
              <w:rPr>
                <w:rFonts w:ascii="Arial" w:cs="Arial" w:eastAsia="Arial" w:hAnsi="Arial"/>
                <w:sz w:val="16"/>
                <w:szCs w:val="16"/>
                <w:color w:val="auto"/>
              </w:rPr>
              <w:t>RingCentral</w:t>
            </w:r>
          </w:p>
        </w:tc>
      </w:tr>
      <w:tr>
        <w:trPr>
          <w:trHeight w:val="251"/>
        </w:trPr>
        <w:tc>
          <w:tcPr>
            <w:tcW w:w="3740" w:type="dxa"/>
            <w:vAlign w:val="bottom"/>
            <w:shd w:val="clear" w:color="auto" w:fill="F2F2F2"/>
          </w:tcPr>
          <w:p>
            <w:pPr>
              <w:spacing w:after="0"/>
              <w:rPr>
                <w:sz w:val="21"/>
                <w:szCs w:val="21"/>
                <w:color w:val="auto"/>
              </w:rPr>
            </w:pPr>
          </w:p>
        </w:tc>
        <w:tc>
          <w:tcPr>
            <w:tcW w:w="37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Slack Technologies</w:t>
            </w:r>
          </w:p>
        </w:tc>
        <w:tc>
          <w:tcPr>
            <w:tcW w:w="37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Roku</w:t>
            </w:r>
          </w:p>
        </w:tc>
      </w:tr>
      <w:tr>
        <w:trPr>
          <w:trHeight w:val="215"/>
        </w:trPr>
        <w:tc>
          <w:tcPr>
            <w:tcW w:w="3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Splunk</w:t>
            </w:r>
          </w:p>
        </w:tc>
      </w:tr>
      <w:tr>
        <w:trPr>
          <w:trHeight w:val="28"/>
        </w:trPr>
        <w:tc>
          <w:tcPr>
            <w:tcW w:w="37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23"/>
        </w:trPr>
        <w:tc>
          <w:tcPr>
            <w:tcW w:w="3740" w:type="dxa"/>
            <w:vAlign w:val="bottom"/>
            <w:tcBorders>
              <w:bottom w:val="single" w:sz="8" w:color="F2F2F2"/>
            </w:tcBorders>
            <w:shd w:val="clear" w:color="auto" w:fill="F2F2F2"/>
          </w:tcPr>
          <w:p>
            <w:pPr>
              <w:spacing w:after="0"/>
              <w:rPr>
                <w:sz w:val="19"/>
                <w:szCs w:val="19"/>
                <w:color w:val="auto"/>
              </w:rPr>
            </w:pPr>
          </w:p>
        </w:tc>
        <w:tc>
          <w:tcPr>
            <w:tcW w:w="3740" w:type="dxa"/>
            <w:vAlign w:val="bottom"/>
            <w:tcBorders>
              <w:bottom w:val="single" w:sz="8" w:color="F2F2F2"/>
            </w:tcBorders>
            <w:shd w:val="clear" w:color="auto" w:fill="F2F2F2"/>
          </w:tcPr>
          <w:p>
            <w:pPr>
              <w:spacing w:after="0"/>
              <w:rPr>
                <w:sz w:val="19"/>
                <w:szCs w:val="19"/>
                <w:color w:val="auto"/>
              </w:rPr>
            </w:pPr>
          </w:p>
        </w:tc>
        <w:tc>
          <w:tcPr>
            <w:tcW w:w="37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Teradata</w:t>
            </w:r>
          </w:p>
        </w:tc>
      </w:tr>
      <w:tr>
        <w:trPr>
          <w:trHeight w:val="215"/>
        </w:trPr>
        <w:tc>
          <w:tcPr>
            <w:tcW w:w="37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Zendesk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-907415</wp:posOffset>
            </wp:positionV>
            <wp:extent cx="17145"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-1216025</wp:posOffset>
            </wp:positionV>
            <wp:extent cx="17145"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-1216025</wp:posOffset>
            </wp:positionV>
            <wp:extent cx="1714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-1524635</wp:posOffset>
            </wp:positionV>
            <wp:extent cx="17145"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-1524635</wp:posOffset>
            </wp:positionV>
            <wp:extent cx="17145"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-1833245</wp:posOffset>
            </wp:positionV>
            <wp:extent cx="17145"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-1833245</wp:posOffset>
            </wp:positionV>
            <wp:extent cx="17145"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-2141855</wp:posOffset>
            </wp:positionV>
            <wp:extent cx="17145"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-2141855</wp:posOffset>
            </wp:positionV>
            <wp:extent cx="17145"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-2450465</wp:posOffset>
            </wp:positionV>
            <wp:extent cx="17145"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-2450465</wp:posOffset>
            </wp:positionV>
            <wp:extent cx="17145" cy="1543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-2759075</wp:posOffset>
            </wp:positionV>
            <wp:extent cx="17145"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-2759075</wp:posOffset>
            </wp:positionV>
            <wp:extent cx="17145"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22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compensation practices of the compensation peer group were the primary guide used by the talent and compensation committee in 2023 to compare the competitiveness of each compensation element and target total direct compensation (base salary, target annual cash bonus opportunities, and long-term equity incentive compensation).</w:t>
      </w:r>
    </w:p>
    <w:p>
      <w:pPr>
        <w:spacing w:after="0" w:line="11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To analyze the compensation practices of our compensation peer group, Compensia gathered data from public filings of the peer group companies, as well as from the Radford Global Technology Survey. This market data was then used as a reference point for the talent and compensation committee to assess our current compensation levels in the course of its deliberations on compensation forms and amounts. The talent and compensation committee does not engage in formal</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5320"/>
        <w:spacing w:after="0"/>
        <w:tabs>
          <w:tab w:leader="none" w:pos="110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r>
        <w:rPr>
          <w:sz w:val="20"/>
          <w:szCs w:val="20"/>
          <w:color w:val="auto"/>
        </w:rPr>
        <w:tab/>
      </w:r>
      <w:r>
        <w:rPr>
          <w:rFonts w:ascii="Arial" w:cs="Arial" w:eastAsia="Arial" w:hAnsi="Arial"/>
          <w:sz w:val="14"/>
          <w:szCs w:val="14"/>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70"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benchmarking against other companies’ compensation programs or practices to establish our compensation levels or make specific compensation recommendations with respect to our executive officers, including our named executive officers.</w:t>
      </w:r>
    </w:p>
    <w:p>
      <w:pPr>
        <w:spacing w:after="0" w:line="102"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The talent and compensation committee reviews our compensation peer group each year and adjusts its composition if warranted, taking into account changes in both our business and the businesses of the companies in the peer group.</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Compensation Setting</w:t>
      </w:r>
    </w:p>
    <w:p>
      <w:pPr>
        <w:spacing w:after="0" w:line="8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review the base salary levels, annual cash bonus opportunities, and long-term equity incentive compensation opportunities of our executive officers and all related performance criteria at the beginning of each year, or more frequently as warranted.</w:t>
      </w:r>
    </w:p>
    <w:p>
      <w:pPr>
        <w:spacing w:after="0" w:line="102" w:lineRule="exact"/>
        <w:rPr>
          <w:sz w:val="20"/>
          <w:szCs w:val="20"/>
          <w:color w:val="auto"/>
        </w:rPr>
      </w:pPr>
    </w:p>
    <w:p>
      <w:pPr>
        <w:ind w:right="660"/>
        <w:spacing w:after="0" w:line="268" w:lineRule="auto"/>
        <w:rPr>
          <w:sz w:val="20"/>
          <w:szCs w:val="20"/>
          <w:color w:val="auto"/>
        </w:rPr>
      </w:pPr>
      <w:r>
        <w:rPr>
          <w:rFonts w:ascii="Arial" w:cs="Arial" w:eastAsia="Arial" w:hAnsi="Arial"/>
          <w:sz w:val="16"/>
          <w:szCs w:val="16"/>
          <w:color w:val="auto"/>
        </w:rPr>
        <w:t>We do not establish a specific target for formulating the target total direct compensation opportunities of our executive officers, including our named executive officers.</w:t>
      </w:r>
    </w:p>
    <w:p>
      <w:pPr>
        <w:spacing w:after="0" w:line="11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making decisions about the compensation of our executive officers, the talent and compensation committee relies primarily on its general experience and subjective considerations of various factors,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082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2082800"/>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p>
      <w:pPr>
        <w:spacing w:after="0" w:line="225" w:lineRule="exact"/>
        <w:rPr>
          <w:sz w:val="20"/>
          <w:szCs w:val="20"/>
          <w:color w:val="auto"/>
        </w:rPr>
      </w:pPr>
    </w:p>
    <w:p>
      <w:pPr>
        <w:ind w:left="200" w:hanging="158"/>
        <w:spacing w:after="0"/>
        <w:tabs>
          <w:tab w:leader="none" w:pos="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executive compensation program objectives;</w:t>
      </w:r>
    </w:p>
    <w:p>
      <w:pPr>
        <w:spacing w:after="0" w:line="113" w:lineRule="exact"/>
        <w:rPr>
          <w:rFonts w:ascii="Arial" w:cs="Arial" w:eastAsia="Arial" w:hAnsi="Arial"/>
          <w:sz w:val="16"/>
          <w:szCs w:val="16"/>
          <w:color w:val="auto"/>
        </w:rPr>
      </w:pPr>
    </w:p>
    <w:p>
      <w:pPr>
        <w:ind w:left="200" w:hanging="158"/>
        <w:spacing w:after="0" w:line="255" w:lineRule="auto"/>
        <w:tabs>
          <w:tab w:leader="none" w:pos="188" w:val="left"/>
        </w:tabs>
        <w:numPr>
          <w:ilvl w:val="0"/>
          <w:numId w:val="62"/>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Our performance against the financial, operational, and strategic objectives established by the talent and compensation committee and our board of directors;</w:t>
      </w:r>
    </w:p>
    <w:p>
      <w:pPr>
        <w:spacing w:after="0" w:line="75" w:lineRule="exact"/>
        <w:rPr>
          <w:rFonts w:ascii="Arial" w:cs="Arial" w:eastAsia="Arial" w:hAnsi="Arial"/>
          <w:sz w:val="16"/>
          <w:szCs w:val="16"/>
          <w:color w:val="auto"/>
          <w:shd w:val="clear" w:color="auto" w:fill="F2F2F2"/>
        </w:rPr>
      </w:pPr>
    </w:p>
    <w:p>
      <w:pPr>
        <w:ind w:left="200" w:right="160" w:hanging="158"/>
        <w:spacing w:after="0" w:line="255" w:lineRule="auto"/>
        <w:tabs>
          <w:tab w:leader="none" w:pos="188" w:val="left"/>
        </w:tabs>
        <w:numPr>
          <w:ilvl w:val="0"/>
          <w:numId w:val="62"/>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Each individual executive officer’s knowledge, skills, experience, qualifications, and tenure relative to other similarly-situated executives at the companies in our compensation peer group;</w:t>
      </w:r>
    </w:p>
    <w:p>
      <w:pPr>
        <w:spacing w:after="0" w:line="61" w:lineRule="exact"/>
        <w:rPr>
          <w:rFonts w:ascii="Arial" w:cs="Arial" w:eastAsia="Arial" w:hAnsi="Arial"/>
          <w:sz w:val="16"/>
          <w:szCs w:val="16"/>
          <w:color w:val="auto"/>
          <w:shd w:val="clear" w:color="auto" w:fill="F2F2F2"/>
        </w:rPr>
      </w:pPr>
    </w:p>
    <w:p>
      <w:pPr>
        <w:ind w:left="200" w:right="20" w:hanging="158"/>
        <w:spacing w:after="0" w:line="264" w:lineRule="auto"/>
        <w:tabs>
          <w:tab w:leader="none" w:pos="188" w:val="left"/>
        </w:tabs>
        <w:numPr>
          <w:ilvl w:val="0"/>
          <w:numId w:val="62"/>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The scope of each executive officer’s role and responsibilities compared to other similarly-situated executives at the companies in our compensation peer group;</w:t>
      </w:r>
    </w:p>
    <w:p>
      <w:pPr>
        <w:spacing w:after="0" w:line="54" w:lineRule="exact"/>
        <w:rPr>
          <w:rFonts w:ascii="Arial" w:cs="Arial" w:eastAsia="Arial" w:hAnsi="Arial"/>
          <w:sz w:val="16"/>
          <w:szCs w:val="16"/>
          <w:color w:val="auto"/>
          <w:shd w:val="clear" w:color="auto" w:fill="F2F2F2"/>
        </w:rPr>
      </w:pPr>
    </w:p>
    <w:p>
      <w:pPr>
        <w:ind w:left="200" w:hanging="158"/>
        <w:spacing w:after="0" w:line="252" w:lineRule="auto"/>
        <w:tabs>
          <w:tab w:leader="none" w:pos="188" w:val="left"/>
        </w:tabs>
        <w:numPr>
          <w:ilvl w:val="0"/>
          <w:numId w:val="62"/>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The prior performance of each individual executive officer, based on a subjective assessment of their contributions to our overall performance, ability to lead their business unit or function, and work as part of a team, all of which reflect our core values;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69" w:right="200" w:hanging="169"/>
        <w:spacing w:after="0" w:line="281" w:lineRule="auto"/>
        <w:tabs>
          <w:tab w:leader="none" w:pos="157"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potential of each individual executive officer to contribute to our long-</w:t>
      </w:r>
      <w:r>
        <w:rPr>
          <w:rFonts w:ascii="Arial" w:cs="Arial" w:eastAsia="Arial" w:hAnsi="Arial"/>
          <w:sz w:val="16"/>
          <w:szCs w:val="16"/>
          <w:color w:val="auto"/>
          <w:shd w:val="clear" w:color="auto" w:fill="F2F2F2"/>
        </w:rPr>
        <w:t>term financial, operational, and strategic objectives;</w:t>
      </w:r>
    </w:p>
    <w:p>
      <w:pPr>
        <w:spacing w:after="0" w:line="41" w:lineRule="exact"/>
        <w:rPr>
          <w:rFonts w:ascii="Arial" w:cs="Arial" w:eastAsia="Arial" w:hAnsi="Arial"/>
          <w:sz w:val="16"/>
          <w:szCs w:val="16"/>
          <w:color w:val="auto"/>
        </w:rPr>
      </w:pPr>
    </w:p>
    <w:p>
      <w:pPr>
        <w:ind w:left="169" w:right="60" w:hanging="169"/>
        <w:spacing w:after="0" w:line="281" w:lineRule="auto"/>
        <w:tabs>
          <w:tab w:leader="none" w:pos="157" w:val="left"/>
        </w:tabs>
        <w:numPr>
          <w:ilvl w:val="0"/>
          <w:numId w:val="63"/>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Our Chief Executive Officer’s compensation relative to that of our executive officers, and compensation parity among our executive officers;</w:t>
      </w:r>
    </w:p>
    <w:p>
      <w:pPr>
        <w:spacing w:after="0" w:line="55" w:lineRule="exact"/>
        <w:rPr>
          <w:rFonts w:ascii="Arial" w:cs="Arial" w:eastAsia="Arial" w:hAnsi="Arial"/>
          <w:sz w:val="16"/>
          <w:szCs w:val="16"/>
          <w:color w:val="auto"/>
          <w:shd w:val="clear" w:color="auto" w:fill="F2F2F2"/>
        </w:rPr>
      </w:pPr>
    </w:p>
    <w:p>
      <w:pPr>
        <w:ind w:left="149" w:hanging="149"/>
        <w:spacing w:after="0"/>
        <w:tabs>
          <w:tab w:leader="none" w:pos="149" w:val="left"/>
        </w:tabs>
        <w:numPr>
          <w:ilvl w:val="0"/>
          <w:numId w:val="63"/>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Our financial performance and profile relative to our compensation peers;</w:t>
      </w:r>
    </w:p>
    <w:p>
      <w:pPr>
        <w:spacing w:after="0" w:line="99" w:lineRule="exact"/>
        <w:rPr>
          <w:rFonts w:ascii="Arial" w:cs="Arial" w:eastAsia="Arial" w:hAnsi="Arial"/>
          <w:sz w:val="16"/>
          <w:szCs w:val="16"/>
          <w:color w:val="auto"/>
          <w:shd w:val="clear" w:color="auto" w:fill="F2F2F2"/>
        </w:rPr>
      </w:pPr>
    </w:p>
    <w:p>
      <w:pPr>
        <w:ind w:left="169" w:right="120" w:hanging="169"/>
        <w:spacing w:after="0" w:line="252" w:lineRule="auto"/>
        <w:tabs>
          <w:tab w:leader="none" w:pos="157" w:val="left"/>
        </w:tabs>
        <w:numPr>
          <w:ilvl w:val="0"/>
          <w:numId w:val="63"/>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The compensation practices of our compensation peer group and the positioning of each executive officer’s compensation in a ranking of peer company compensation levels based on an analysis of competitive market data; and</w:t>
      </w:r>
    </w:p>
    <w:p>
      <w:pPr>
        <w:spacing w:after="0" w:line="77" w:lineRule="exact"/>
        <w:rPr>
          <w:rFonts w:ascii="Arial" w:cs="Arial" w:eastAsia="Arial" w:hAnsi="Arial"/>
          <w:sz w:val="16"/>
          <w:szCs w:val="16"/>
          <w:color w:val="auto"/>
          <w:shd w:val="clear" w:color="auto" w:fill="F2F2F2"/>
        </w:rPr>
      </w:pPr>
    </w:p>
    <w:p>
      <w:pPr>
        <w:ind w:left="169" w:right="320" w:hanging="169"/>
        <w:spacing w:after="0" w:line="263" w:lineRule="auto"/>
        <w:tabs>
          <w:tab w:leader="none" w:pos="157" w:val="left"/>
        </w:tabs>
        <w:numPr>
          <w:ilvl w:val="0"/>
          <w:numId w:val="63"/>
        </w:numPr>
        <w:rPr>
          <w:rFonts w:ascii="Arial" w:cs="Arial" w:eastAsia="Arial" w:hAnsi="Arial"/>
          <w:sz w:val="16"/>
          <w:szCs w:val="16"/>
          <w:color w:val="auto"/>
          <w:shd w:val="clear" w:color="auto" w:fill="F2F2F2"/>
        </w:rPr>
      </w:pPr>
      <w:r>
        <w:rPr>
          <w:rFonts w:ascii="Arial" w:cs="Arial" w:eastAsia="Arial" w:hAnsi="Arial"/>
          <w:sz w:val="16"/>
          <w:szCs w:val="16"/>
          <w:color w:val="auto"/>
          <w:shd w:val="clear" w:color="auto" w:fill="F2F2F2"/>
        </w:rPr>
        <w:t>The recommendations of our Chief Executive Officer with respect to the compensation of other executive officers.</w:t>
      </w:r>
    </w:p>
    <w:p>
      <w:pPr>
        <w:spacing w:after="0" w:line="745" w:lineRule="exact"/>
        <w:rPr>
          <w:sz w:val="20"/>
          <w:szCs w:val="20"/>
          <w:color w:val="auto"/>
        </w:rPr>
      </w:pPr>
    </w:p>
    <w:p>
      <w:pPr>
        <w:sectPr>
          <w:pgSz w:w="11900" w:h="16838" w:orient="portrait"/>
          <w:cols w:equalWidth="0" w:num="2">
            <w:col w:w="5500" w:space="171"/>
            <w:col w:w="5529"/>
          </w:cols>
          <w:pgMar w:left="320" w:top="114" w:right="379" w:bottom="1440" w:gutter="0" w:footer="0" w:header="0"/>
          <w:type w:val="continuous"/>
        </w:sectPr>
      </w:pPr>
    </w:p>
    <w:p>
      <w:pPr>
        <w:spacing w:after="0" w:line="10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These factors provide the framework for compensation decision-making for each executive officer. No single factor is determinative in setting compensation levels, nor is the impact of any individual factor on the determination of pay levels quantifiable.</w:t>
      </w:r>
    </w:p>
    <w:p>
      <w:pPr>
        <w:spacing w:after="0" w:line="88" w:lineRule="exact"/>
        <w:rPr>
          <w:sz w:val="20"/>
          <w:szCs w:val="20"/>
          <w:color w:val="auto"/>
        </w:rPr>
      </w:pPr>
    </w:p>
    <w:p>
      <w:pPr>
        <w:jc w:val="both"/>
        <w:ind w:right="580"/>
        <w:spacing w:after="0" w:line="266" w:lineRule="auto"/>
        <w:rPr>
          <w:sz w:val="20"/>
          <w:szCs w:val="20"/>
          <w:color w:val="auto"/>
        </w:rPr>
      </w:pPr>
      <w:r>
        <w:rPr>
          <w:rFonts w:ascii="Arial" w:cs="Arial" w:eastAsia="Arial" w:hAnsi="Arial"/>
          <w:sz w:val="16"/>
          <w:szCs w:val="16"/>
          <w:color w:val="auto"/>
        </w:rPr>
        <w:t>We do not weight these factors in any predetermined manner, nor do we apply any formulas in developing our compensation recommendations. The members of the talent and compensation committee consider all of this information in light of their individual experience, knowledge of management, knowledge of the competitive market, knowledge of each executive officer, and business judgment in making their recommendations.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addition, the talent and compensation committee considered feedback from our stockholders and the result of our most recent Say-on-Pay vote. Our fiscal 2023 Say-on-Pay vote reflected 98.6% support from our stockholders, based on the percentage of the stockholder votes present and entitled to vote on the proposal. The talent and compensation committee believes this indicates that our stockholders support the philosophy, strategy, objectives, and administration of our executive compensation programs.</w:t>
      </w:r>
    </w:p>
    <w:p>
      <w:pPr>
        <w:spacing w:after="0" w:line="129"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We also consider the potential risks in our business when designing and administering our executive compensation program, and we believe our balanced approach to performance measurement and pay delivery serves to avoid misaligned incentives for individuals to undertake excessive or inappropriate risk.</w:t>
      </w:r>
    </w:p>
    <w:p>
      <w:pPr>
        <w:spacing w:after="0" w:line="200" w:lineRule="exact"/>
        <w:rPr>
          <w:sz w:val="20"/>
          <w:szCs w:val="20"/>
          <w:color w:val="auto"/>
        </w:rPr>
      </w:pPr>
    </w:p>
    <w:p>
      <w:pPr>
        <w:spacing w:after="0" w:line="284" w:lineRule="exact"/>
        <w:rPr>
          <w:sz w:val="20"/>
          <w:szCs w:val="20"/>
          <w:color w:val="auto"/>
        </w:rPr>
      </w:pPr>
    </w:p>
    <w:p>
      <w:pPr>
        <w:ind w:left="580" w:hanging="554"/>
        <w:spacing w:after="0"/>
        <w:tabs>
          <w:tab w:leader="none" w:pos="580"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6"/>
          <w:szCs w:val="26"/>
          <w:color w:val="0063A6"/>
        </w:rPr>
        <w:t>Compensation Elements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2023, the principal elements of our executive compensation program, and the purposes for each element,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5690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6908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232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Element</w:t>
            </w:r>
          </w:p>
        </w:tc>
        <w:tc>
          <w:tcPr>
            <w:tcW w:w="1840" w:type="dxa"/>
            <w:vAlign w:val="bottom"/>
            <w:tcBorders>
              <w:bottom w:val="single" w:sz="8" w:color="0063A6"/>
            </w:tcBorders>
            <w:shd w:val="clear" w:color="auto" w:fill="0063A6"/>
          </w:tcPr>
          <w:p>
            <w:pPr>
              <w:ind w:left="80"/>
              <w:spacing w:after="0"/>
              <w:rPr>
                <w:sz w:val="20"/>
                <w:szCs w:val="20"/>
                <w:color w:val="auto"/>
              </w:rPr>
            </w:pPr>
            <w:r>
              <w:rPr>
                <w:rFonts w:ascii="Arial" w:cs="Arial" w:eastAsia="Arial" w:hAnsi="Arial"/>
                <w:sz w:val="14"/>
                <w:szCs w:val="14"/>
                <w:b w:val="1"/>
                <w:bCs w:val="1"/>
                <w:color w:val="FFFFFF"/>
              </w:rPr>
              <w:t>Type of Element</w:t>
            </w:r>
          </w:p>
        </w:tc>
        <w:tc>
          <w:tcPr>
            <w:tcW w:w="200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Compensation Element</w:t>
            </w:r>
          </w:p>
        </w:tc>
        <w:tc>
          <w:tcPr>
            <w:tcW w:w="5080" w:type="dxa"/>
            <w:vAlign w:val="bottom"/>
            <w:tcBorders>
              <w:bottom w:val="single" w:sz="8" w:color="0063A6"/>
            </w:tcBorders>
            <w:shd w:val="clear" w:color="auto" w:fill="0063A6"/>
          </w:tcPr>
          <w:p>
            <w:pPr>
              <w:ind w:left="340"/>
              <w:spacing w:after="0"/>
              <w:rPr>
                <w:sz w:val="20"/>
                <w:szCs w:val="20"/>
                <w:color w:val="auto"/>
              </w:rPr>
            </w:pPr>
            <w:r>
              <w:rPr>
                <w:rFonts w:ascii="Arial" w:cs="Arial" w:eastAsia="Arial" w:hAnsi="Arial"/>
                <w:sz w:val="14"/>
                <w:szCs w:val="14"/>
                <w:b w:val="1"/>
                <w:bCs w:val="1"/>
                <w:color w:val="FFFFFF"/>
              </w:rPr>
              <w:t>Objective</w:t>
            </w:r>
          </w:p>
        </w:tc>
      </w:tr>
      <w:tr>
        <w:trPr>
          <w:trHeight w:val="229"/>
        </w:trPr>
        <w:tc>
          <w:tcPr>
            <w:tcW w:w="2320" w:type="dxa"/>
            <w:vAlign w:val="bottom"/>
            <w:shd w:val="clear" w:color="auto" w:fill="F2F2F2"/>
          </w:tcPr>
          <w:p>
            <w:pPr>
              <w:ind w:left="60"/>
              <w:spacing w:after="0"/>
              <w:rPr>
                <w:sz w:val="20"/>
                <w:szCs w:val="20"/>
                <w:color w:val="auto"/>
              </w:rPr>
            </w:pPr>
            <w:r>
              <w:rPr>
                <w:rFonts w:ascii="Arial" w:cs="Arial" w:eastAsia="Arial" w:hAnsi="Arial"/>
                <w:sz w:val="16"/>
                <w:szCs w:val="16"/>
                <w:color w:val="auto"/>
              </w:rPr>
              <w:t>Base Salary</w:t>
            </w:r>
          </w:p>
        </w:tc>
        <w:tc>
          <w:tcPr>
            <w:tcW w:w="1840" w:type="dxa"/>
            <w:vAlign w:val="bottom"/>
            <w:shd w:val="clear" w:color="auto" w:fill="F2F2F2"/>
          </w:tcPr>
          <w:p>
            <w:pPr>
              <w:ind w:left="80"/>
              <w:spacing w:after="0"/>
              <w:rPr>
                <w:sz w:val="20"/>
                <w:szCs w:val="20"/>
                <w:color w:val="auto"/>
              </w:rPr>
            </w:pPr>
            <w:r>
              <w:rPr>
                <w:rFonts w:ascii="Arial" w:cs="Arial" w:eastAsia="Arial" w:hAnsi="Arial"/>
                <w:sz w:val="16"/>
                <w:szCs w:val="16"/>
                <w:color w:val="auto"/>
              </w:rPr>
              <w:t>Fixed</w:t>
            </w:r>
          </w:p>
        </w:tc>
        <w:tc>
          <w:tcPr>
            <w:tcW w:w="2000" w:type="dxa"/>
            <w:vAlign w:val="bottom"/>
            <w:shd w:val="clear" w:color="auto" w:fill="F2F2F2"/>
          </w:tcPr>
          <w:p>
            <w:pPr>
              <w:ind w:left="60"/>
              <w:spacing w:after="0"/>
              <w:rPr>
                <w:sz w:val="20"/>
                <w:szCs w:val="20"/>
                <w:color w:val="auto"/>
              </w:rPr>
            </w:pPr>
            <w:r>
              <w:rPr>
                <w:rFonts w:ascii="Arial" w:cs="Arial" w:eastAsia="Arial" w:hAnsi="Arial"/>
                <w:sz w:val="16"/>
                <w:szCs w:val="16"/>
                <w:color w:val="auto"/>
              </w:rPr>
              <w:t>Cash</w:t>
            </w: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Attract and retain highly talented executives by providing fixed</w:t>
            </w:r>
          </w:p>
        </w:tc>
      </w:tr>
      <w:tr>
        <w:trPr>
          <w:trHeight w:val="189"/>
        </w:trPr>
        <w:tc>
          <w:tcPr>
            <w:tcW w:w="2320" w:type="dxa"/>
            <w:vAlign w:val="bottom"/>
            <w:shd w:val="clear" w:color="auto" w:fill="F2F2F2"/>
          </w:tcPr>
          <w:p>
            <w:pPr>
              <w:spacing w:after="0"/>
              <w:rPr>
                <w:sz w:val="16"/>
                <w:szCs w:val="16"/>
                <w:color w:val="auto"/>
              </w:rPr>
            </w:pPr>
          </w:p>
        </w:tc>
        <w:tc>
          <w:tcPr>
            <w:tcW w:w="1840" w:type="dxa"/>
            <w:vAlign w:val="bottom"/>
            <w:shd w:val="clear" w:color="auto" w:fill="F2F2F2"/>
          </w:tcPr>
          <w:p>
            <w:pPr>
              <w:spacing w:after="0"/>
              <w:rPr>
                <w:sz w:val="16"/>
                <w:szCs w:val="16"/>
                <w:color w:val="auto"/>
              </w:rPr>
            </w:pPr>
          </w:p>
        </w:tc>
        <w:tc>
          <w:tcPr>
            <w:tcW w:w="2000" w:type="dxa"/>
            <w:vAlign w:val="bottom"/>
            <w:shd w:val="clear" w:color="auto" w:fill="F2F2F2"/>
          </w:tcPr>
          <w:p>
            <w:pPr>
              <w:spacing w:after="0"/>
              <w:rPr>
                <w:sz w:val="16"/>
                <w:szCs w:val="16"/>
                <w:color w:val="auto"/>
              </w:rPr>
            </w:pP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compensation amounts that are competitive in the market and</w:t>
            </w:r>
          </w:p>
        </w:tc>
      </w:tr>
      <w:tr>
        <w:trPr>
          <w:trHeight w:val="215"/>
        </w:trPr>
        <w:tc>
          <w:tcPr>
            <w:tcW w:w="2320" w:type="dxa"/>
            <w:vAlign w:val="bottom"/>
            <w:shd w:val="clear" w:color="auto" w:fill="F2F2F2"/>
          </w:tcPr>
          <w:p>
            <w:pPr>
              <w:spacing w:after="0"/>
              <w:rPr>
                <w:sz w:val="18"/>
                <w:szCs w:val="18"/>
                <w:color w:val="auto"/>
              </w:rPr>
            </w:pPr>
          </w:p>
        </w:tc>
        <w:tc>
          <w:tcPr>
            <w:tcW w:w="1840" w:type="dxa"/>
            <w:vAlign w:val="bottom"/>
            <w:shd w:val="clear" w:color="auto" w:fill="F2F2F2"/>
          </w:tcPr>
          <w:p>
            <w:pPr>
              <w:spacing w:after="0"/>
              <w:rPr>
                <w:sz w:val="18"/>
                <w:szCs w:val="18"/>
                <w:color w:val="auto"/>
              </w:rPr>
            </w:pPr>
          </w:p>
        </w:tc>
        <w:tc>
          <w:tcPr>
            <w:tcW w:w="2000" w:type="dxa"/>
            <w:vAlign w:val="bottom"/>
            <w:shd w:val="clear" w:color="auto" w:fill="F2F2F2"/>
          </w:tcPr>
          <w:p>
            <w:pPr>
              <w:spacing w:after="0"/>
              <w:rPr>
                <w:sz w:val="18"/>
                <w:szCs w:val="18"/>
                <w:color w:val="auto"/>
              </w:rPr>
            </w:pP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reward performance.</w:t>
            </w:r>
          </w:p>
        </w:tc>
      </w:tr>
      <w:tr>
        <w:trPr>
          <w:trHeight w:val="83"/>
        </w:trPr>
        <w:tc>
          <w:tcPr>
            <w:tcW w:w="2320" w:type="dxa"/>
            <w:vAlign w:val="bottom"/>
            <w:shd w:val="clear" w:color="auto" w:fill="F2F2F2"/>
          </w:tcPr>
          <w:p>
            <w:pPr>
              <w:spacing w:after="0"/>
              <w:rPr>
                <w:sz w:val="7"/>
                <w:szCs w:val="7"/>
                <w:color w:val="auto"/>
              </w:rPr>
            </w:pPr>
          </w:p>
        </w:tc>
        <w:tc>
          <w:tcPr>
            <w:tcW w:w="1840" w:type="dxa"/>
            <w:vAlign w:val="bottom"/>
            <w:shd w:val="clear" w:color="auto" w:fill="F2F2F2"/>
          </w:tcPr>
          <w:p>
            <w:pPr>
              <w:spacing w:after="0"/>
              <w:rPr>
                <w:sz w:val="7"/>
                <w:szCs w:val="7"/>
                <w:color w:val="auto"/>
              </w:rPr>
            </w:pPr>
          </w:p>
        </w:tc>
        <w:tc>
          <w:tcPr>
            <w:tcW w:w="2000" w:type="dxa"/>
            <w:vAlign w:val="bottom"/>
            <w:shd w:val="clear" w:color="auto" w:fill="F2F2F2"/>
          </w:tcPr>
          <w:p>
            <w:pPr>
              <w:spacing w:after="0"/>
              <w:rPr>
                <w:sz w:val="7"/>
                <w:szCs w:val="7"/>
                <w:color w:val="auto"/>
              </w:rPr>
            </w:pPr>
          </w:p>
        </w:tc>
        <w:tc>
          <w:tcPr>
            <w:tcW w:w="5080" w:type="dxa"/>
            <w:vAlign w:val="bottom"/>
            <w:shd w:val="clear" w:color="auto" w:fill="F2F2F2"/>
          </w:tcPr>
          <w:p>
            <w:pPr>
              <w:spacing w:after="0"/>
              <w:rPr>
                <w:sz w:val="7"/>
                <w:szCs w:val="7"/>
                <w:color w:val="auto"/>
              </w:rPr>
            </w:pPr>
          </w:p>
        </w:tc>
      </w:tr>
      <w:tr>
        <w:trPr>
          <w:trHeight w:val="229"/>
        </w:trPr>
        <w:tc>
          <w:tcPr>
            <w:tcW w:w="2320" w:type="dxa"/>
            <w:vAlign w:val="bottom"/>
          </w:tcPr>
          <w:p>
            <w:pPr>
              <w:ind w:left="60"/>
              <w:spacing w:after="0"/>
              <w:rPr>
                <w:sz w:val="20"/>
                <w:szCs w:val="20"/>
                <w:color w:val="auto"/>
              </w:rPr>
            </w:pPr>
            <w:r>
              <w:rPr>
                <w:rFonts w:ascii="Arial" w:cs="Arial" w:eastAsia="Arial" w:hAnsi="Arial"/>
                <w:sz w:val="16"/>
                <w:szCs w:val="16"/>
                <w:color w:val="auto"/>
              </w:rPr>
              <w:t>Annual Cash Bonus</w:t>
            </w:r>
          </w:p>
        </w:tc>
        <w:tc>
          <w:tcPr>
            <w:tcW w:w="1840" w:type="dxa"/>
            <w:vAlign w:val="bottom"/>
          </w:tcPr>
          <w:p>
            <w:pPr>
              <w:ind w:left="80"/>
              <w:spacing w:after="0"/>
              <w:rPr>
                <w:sz w:val="20"/>
                <w:szCs w:val="20"/>
                <w:color w:val="auto"/>
              </w:rPr>
            </w:pPr>
            <w:r>
              <w:rPr>
                <w:rFonts w:ascii="Arial" w:cs="Arial" w:eastAsia="Arial" w:hAnsi="Arial"/>
                <w:sz w:val="16"/>
                <w:szCs w:val="16"/>
                <w:color w:val="auto"/>
              </w:rPr>
              <w:t>Variable</w:t>
            </w:r>
          </w:p>
        </w:tc>
        <w:tc>
          <w:tcPr>
            <w:tcW w:w="2000" w:type="dxa"/>
            <w:vAlign w:val="bottom"/>
          </w:tcPr>
          <w:p>
            <w:pPr>
              <w:ind w:left="60"/>
              <w:spacing w:after="0"/>
              <w:rPr>
                <w:sz w:val="20"/>
                <w:szCs w:val="20"/>
                <w:color w:val="auto"/>
              </w:rPr>
            </w:pPr>
            <w:r>
              <w:rPr>
                <w:rFonts w:ascii="Arial" w:cs="Arial" w:eastAsia="Arial" w:hAnsi="Arial"/>
                <w:sz w:val="16"/>
                <w:szCs w:val="16"/>
                <w:color w:val="auto"/>
              </w:rPr>
              <w:t>Cash</w:t>
            </w:r>
          </w:p>
        </w:tc>
        <w:tc>
          <w:tcPr>
            <w:tcW w:w="5080" w:type="dxa"/>
            <w:vAlign w:val="bottom"/>
          </w:tcPr>
          <w:p>
            <w:pPr>
              <w:ind w:left="340"/>
              <w:spacing w:after="0"/>
              <w:rPr>
                <w:sz w:val="20"/>
                <w:szCs w:val="20"/>
                <w:color w:val="auto"/>
              </w:rPr>
            </w:pPr>
            <w:r>
              <w:rPr>
                <w:rFonts w:ascii="Arial" w:cs="Arial" w:eastAsia="Arial" w:hAnsi="Arial"/>
                <w:sz w:val="16"/>
                <w:szCs w:val="16"/>
                <w:color w:val="auto"/>
              </w:rPr>
              <w:t>Motivate our executives to achieve annual business objectives set</w:t>
            </w:r>
          </w:p>
        </w:tc>
      </w:tr>
      <w:tr>
        <w:trPr>
          <w:trHeight w:val="189"/>
        </w:trPr>
        <w:tc>
          <w:tcPr>
            <w:tcW w:w="23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5080" w:type="dxa"/>
            <w:vAlign w:val="bottom"/>
          </w:tcPr>
          <w:p>
            <w:pPr>
              <w:ind w:left="340"/>
              <w:spacing w:after="0"/>
              <w:rPr>
                <w:sz w:val="20"/>
                <w:szCs w:val="20"/>
                <w:color w:val="auto"/>
              </w:rPr>
            </w:pPr>
            <w:r>
              <w:rPr>
                <w:rFonts w:ascii="Arial" w:cs="Arial" w:eastAsia="Arial" w:hAnsi="Arial"/>
                <w:sz w:val="16"/>
                <w:szCs w:val="16"/>
                <w:color w:val="auto"/>
              </w:rPr>
              <w:t>forth in our annual operating plan and provide financial incentives</w:t>
            </w:r>
          </w:p>
        </w:tc>
      </w:tr>
      <w:tr>
        <w:trPr>
          <w:trHeight w:val="215"/>
        </w:trPr>
        <w:tc>
          <w:tcPr>
            <w:tcW w:w="2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6"/>
                <w:szCs w:val="16"/>
                <w:color w:val="auto"/>
              </w:rPr>
              <w:t>when we meet or exceed these annual objectives.</w:t>
            </w:r>
          </w:p>
        </w:tc>
      </w:tr>
      <w:tr>
        <w:trPr>
          <w:trHeight w:val="83"/>
        </w:trPr>
        <w:tc>
          <w:tcPr>
            <w:tcW w:w="23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5080" w:type="dxa"/>
            <w:vAlign w:val="bottom"/>
          </w:tcPr>
          <w:p>
            <w:pPr>
              <w:spacing w:after="0"/>
              <w:rPr>
                <w:sz w:val="7"/>
                <w:szCs w:val="7"/>
                <w:color w:val="auto"/>
              </w:rPr>
            </w:pPr>
          </w:p>
        </w:tc>
      </w:tr>
      <w:tr>
        <w:trPr>
          <w:trHeight w:val="229"/>
        </w:trPr>
        <w:tc>
          <w:tcPr>
            <w:tcW w:w="2320" w:type="dxa"/>
            <w:vAlign w:val="bottom"/>
            <w:shd w:val="clear" w:color="auto" w:fill="F2F2F2"/>
          </w:tcPr>
          <w:p>
            <w:pPr>
              <w:ind w:left="60"/>
              <w:spacing w:after="0"/>
              <w:rPr>
                <w:sz w:val="20"/>
                <w:szCs w:val="20"/>
                <w:color w:val="auto"/>
              </w:rPr>
            </w:pPr>
            <w:r>
              <w:rPr>
                <w:rFonts w:ascii="Arial" w:cs="Arial" w:eastAsia="Arial" w:hAnsi="Arial"/>
                <w:sz w:val="16"/>
                <w:szCs w:val="16"/>
                <w:color w:val="auto"/>
              </w:rPr>
              <w:t>Long-Term Equity Incentive</w:t>
            </w:r>
          </w:p>
        </w:tc>
        <w:tc>
          <w:tcPr>
            <w:tcW w:w="1840" w:type="dxa"/>
            <w:vAlign w:val="bottom"/>
            <w:shd w:val="clear" w:color="auto" w:fill="F2F2F2"/>
          </w:tcPr>
          <w:p>
            <w:pPr>
              <w:ind w:left="80"/>
              <w:spacing w:after="0"/>
              <w:rPr>
                <w:sz w:val="20"/>
                <w:szCs w:val="20"/>
                <w:color w:val="auto"/>
              </w:rPr>
            </w:pPr>
            <w:r>
              <w:rPr>
                <w:rFonts w:ascii="Arial" w:cs="Arial" w:eastAsia="Arial" w:hAnsi="Arial"/>
                <w:sz w:val="16"/>
                <w:szCs w:val="16"/>
                <w:color w:val="auto"/>
              </w:rPr>
              <w:t>Variable</w:t>
            </w:r>
          </w:p>
        </w:tc>
        <w:tc>
          <w:tcPr>
            <w:tcW w:w="2000" w:type="dxa"/>
            <w:vAlign w:val="bottom"/>
            <w:shd w:val="clear" w:color="auto" w:fill="F2F2F2"/>
          </w:tcPr>
          <w:p>
            <w:pPr>
              <w:ind w:left="60"/>
              <w:spacing w:after="0"/>
              <w:rPr>
                <w:sz w:val="20"/>
                <w:szCs w:val="20"/>
                <w:color w:val="auto"/>
              </w:rPr>
            </w:pPr>
            <w:r>
              <w:rPr>
                <w:rFonts w:ascii="Arial" w:cs="Arial" w:eastAsia="Arial" w:hAnsi="Arial"/>
                <w:sz w:val="16"/>
                <w:szCs w:val="16"/>
                <w:color w:val="auto"/>
              </w:rPr>
              <w:t>Equity</w:t>
            </w: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Align the interests of our executives and our stockholders by</w:t>
            </w:r>
          </w:p>
        </w:tc>
      </w:tr>
      <w:tr>
        <w:trPr>
          <w:trHeight w:val="189"/>
        </w:trPr>
        <w:tc>
          <w:tcPr>
            <w:tcW w:w="2320" w:type="dxa"/>
            <w:vAlign w:val="bottom"/>
            <w:shd w:val="clear" w:color="auto" w:fill="F2F2F2"/>
          </w:tcPr>
          <w:p>
            <w:pPr>
              <w:ind w:left="60"/>
              <w:spacing w:after="0"/>
              <w:rPr>
                <w:sz w:val="20"/>
                <w:szCs w:val="20"/>
                <w:color w:val="auto"/>
              </w:rPr>
            </w:pPr>
            <w:r>
              <w:rPr>
                <w:rFonts w:ascii="Arial" w:cs="Arial" w:eastAsia="Arial" w:hAnsi="Arial"/>
                <w:sz w:val="16"/>
                <w:szCs w:val="16"/>
                <w:color w:val="auto"/>
              </w:rPr>
              <w:t>Compensation</w:t>
            </w:r>
          </w:p>
        </w:tc>
        <w:tc>
          <w:tcPr>
            <w:tcW w:w="1840" w:type="dxa"/>
            <w:vAlign w:val="bottom"/>
            <w:shd w:val="clear" w:color="auto" w:fill="F2F2F2"/>
          </w:tcPr>
          <w:p>
            <w:pPr>
              <w:spacing w:after="0"/>
              <w:rPr>
                <w:sz w:val="16"/>
                <w:szCs w:val="16"/>
                <w:color w:val="auto"/>
              </w:rPr>
            </w:pPr>
          </w:p>
        </w:tc>
        <w:tc>
          <w:tcPr>
            <w:tcW w:w="2000" w:type="dxa"/>
            <w:vAlign w:val="bottom"/>
            <w:shd w:val="clear" w:color="auto" w:fill="F2F2F2"/>
          </w:tcPr>
          <w:p>
            <w:pPr>
              <w:spacing w:after="0"/>
              <w:rPr>
                <w:sz w:val="16"/>
                <w:szCs w:val="16"/>
                <w:color w:val="auto"/>
              </w:rPr>
            </w:pP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motivating them to create sustainable long-term stockholder</w:t>
            </w:r>
          </w:p>
        </w:tc>
      </w:tr>
      <w:tr>
        <w:trPr>
          <w:trHeight w:val="215"/>
        </w:trPr>
        <w:tc>
          <w:tcPr>
            <w:tcW w:w="2320" w:type="dxa"/>
            <w:vAlign w:val="bottom"/>
            <w:shd w:val="clear" w:color="auto" w:fill="F2F2F2"/>
          </w:tcPr>
          <w:p>
            <w:pPr>
              <w:spacing w:after="0"/>
              <w:rPr>
                <w:sz w:val="18"/>
                <w:szCs w:val="18"/>
                <w:color w:val="auto"/>
              </w:rPr>
            </w:pPr>
          </w:p>
        </w:tc>
        <w:tc>
          <w:tcPr>
            <w:tcW w:w="1840" w:type="dxa"/>
            <w:vAlign w:val="bottom"/>
            <w:shd w:val="clear" w:color="auto" w:fill="F2F2F2"/>
          </w:tcPr>
          <w:p>
            <w:pPr>
              <w:spacing w:after="0"/>
              <w:rPr>
                <w:sz w:val="18"/>
                <w:szCs w:val="18"/>
                <w:color w:val="auto"/>
              </w:rPr>
            </w:pPr>
          </w:p>
        </w:tc>
        <w:tc>
          <w:tcPr>
            <w:tcW w:w="2000" w:type="dxa"/>
            <w:vAlign w:val="bottom"/>
            <w:shd w:val="clear" w:color="auto" w:fill="F2F2F2"/>
          </w:tcPr>
          <w:p>
            <w:pPr>
              <w:spacing w:after="0"/>
              <w:rPr>
                <w:sz w:val="18"/>
                <w:szCs w:val="18"/>
                <w:color w:val="auto"/>
              </w:rPr>
            </w:pPr>
          </w:p>
        </w:tc>
        <w:tc>
          <w:tcPr>
            <w:tcW w:w="5080" w:type="dxa"/>
            <w:vAlign w:val="bottom"/>
            <w:shd w:val="clear" w:color="auto" w:fill="F2F2F2"/>
          </w:tcPr>
          <w:p>
            <w:pPr>
              <w:ind w:left="340"/>
              <w:spacing w:after="0"/>
              <w:rPr>
                <w:sz w:val="20"/>
                <w:szCs w:val="20"/>
                <w:color w:val="auto"/>
              </w:rPr>
            </w:pPr>
            <w:r>
              <w:rPr>
                <w:rFonts w:ascii="Arial" w:cs="Arial" w:eastAsia="Arial" w:hAnsi="Arial"/>
                <w:sz w:val="16"/>
                <w:szCs w:val="16"/>
                <w:color w:val="auto"/>
              </w:rPr>
              <w:t>value.</w:t>
            </w:r>
          </w:p>
        </w:tc>
      </w:tr>
      <w:tr>
        <w:trPr>
          <w:trHeight w:val="83"/>
        </w:trPr>
        <w:tc>
          <w:tcPr>
            <w:tcW w:w="2320" w:type="dxa"/>
            <w:vAlign w:val="bottom"/>
            <w:shd w:val="clear" w:color="auto" w:fill="F2F2F2"/>
          </w:tcPr>
          <w:p>
            <w:pPr>
              <w:spacing w:after="0"/>
              <w:rPr>
                <w:sz w:val="7"/>
                <w:szCs w:val="7"/>
                <w:color w:val="auto"/>
              </w:rPr>
            </w:pPr>
          </w:p>
        </w:tc>
        <w:tc>
          <w:tcPr>
            <w:tcW w:w="1840" w:type="dxa"/>
            <w:vAlign w:val="bottom"/>
            <w:shd w:val="clear" w:color="auto" w:fill="F2F2F2"/>
          </w:tcPr>
          <w:p>
            <w:pPr>
              <w:spacing w:after="0"/>
              <w:rPr>
                <w:sz w:val="7"/>
                <w:szCs w:val="7"/>
                <w:color w:val="auto"/>
              </w:rPr>
            </w:pPr>
          </w:p>
        </w:tc>
        <w:tc>
          <w:tcPr>
            <w:tcW w:w="2000" w:type="dxa"/>
            <w:vAlign w:val="bottom"/>
            <w:shd w:val="clear" w:color="auto" w:fill="F2F2F2"/>
          </w:tcPr>
          <w:p>
            <w:pPr>
              <w:spacing w:after="0"/>
              <w:rPr>
                <w:sz w:val="7"/>
                <w:szCs w:val="7"/>
                <w:color w:val="auto"/>
              </w:rPr>
            </w:pPr>
          </w:p>
        </w:tc>
        <w:tc>
          <w:tcPr>
            <w:tcW w:w="5080" w:type="dxa"/>
            <w:vAlign w:val="bottom"/>
            <w:shd w:val="clear" w:color="auto" w:fill="F2F2F2"/>
          </w:tcPr>
          <w:p>
            <w:pPr>
              <w:spacing w:after="0"/>
              <w:rPr>
                <w:sz w:val="7"/>
                <w:szCs w:val="7"/>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Mix of Pay</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primary focus in compensating executive officers is on the longer-term and performance-based elements of target total direct compensation. Under our 2023 executive compensation program, approximately 88% of target total direct compensation to our named executive officers (excluding our CEO and Messrs. Cox and Young, who were not named executive officers for all of 2023) was variable in the form of annual cash bonus and long-term equity incentive compensation. Our CEO’s mix of pay is weighted equally between base salary and annual bonus. Mr. Houston does not receive annual equity awards due to his significant holdings as a co-founder and the “Co-Founder Grant” (in the form of a restricted stock award) he received in December 2017 prior to our IPO. Details of Mr. Houston’s Co-Founder Grant are further described in “</w:t>
      </w:r>
      <w:r>
        <w:rPr>
          <w:rFonts w:ascii="Arial" w:cs="Arial" w:eastAsia="Arial" w:hAnsi="Arial"/>
          <w:sz w:val="16"/>
          <w:szCs w:val="16"/>
          <w:i w:val="1"/>
          <w:iCs w:val="1"/>
          <w:color w:val="auto"/>
        </w:rPr>
        <w:t>Co-Founder Grant</w:t>
      </w:r>
      <w:r>
        <w:rPr>
          <w:rFonts w:ascii="Arial" w:cs="Arial" w:eastAsia="Arial" w:hAnsi="Arial"/>
          <w:sz w:val="16"/>
          <w:szCs w:val="16"/>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150495</wp:posOffset>
            </wp:positionV>
            <wp:extent cx="6035040" cy="2057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50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Base Salary</w:t>
      </w:r>
    </w:p>
    <w:p>
      <w:pPr>
        <w:spacing w:after="0" w:line="86"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use base salary to provide our executive officers with a specified level of cash compensation during the year with the expectation that they will perform their responsibilities to the best of their ability and in our best interests.</w:t>
      </w:r>
    </w:p>
    <w:p>
      <w:pPr>
        <w:spacing w:after="0" w:line="102"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Generally, we establish the initial base salaries of our executive officers through arm’s-length negotiations at the time we hire them, taking into account their position, qualifications, experience, and the base salaries of our other executive officers. Thereafter, the talent and compensation committee reviews the base salaries of our executive officers each year as part of its annual compensation review, with input from our Chief Executive Officer (except with respect to his own base salary) and makes adjustments as it determines to be reasonable and necessary to reflect the scope of an executive officer’s performance, individual contributions and responsibilities, position in the case of a promotion, and market conditions.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5320"/>
        <w:spacing w:after="0"/>
        <w:tabs>
          <w:tab w:leader="none" w:pos="11040" w:val="left"/>
        </w:tabs>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r>
        <w:rPr>
          <w:sz w:val="20"/>
          <w:szCs w:val="20"/>
          <w:color w:val="auto"/>
        </w:rPr>
        <w:tab/>
      </w:r>
      <w:r>
        <w:rPr>
          <w:rFonts w:ascii="Arial" w:cs="Arial" w:eastAsia="Arial" w:hAnsi="Arial"/>
          <w:sz w:val="14"/>
          <w:szCs w:val="14"/>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7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In March 2023, the talent and compensation committee reviewed the base salaries of our then-current executive officers, taking into consideration a competitive market analysis and the recommendations of our Chief Executive Officer, as well as the other factors described in “</w:t>
      </w:r>
      <w:r>
        <w:rPr>
          <w:rFonts w:ascii="Arial" w:cs="Arial" w:eastAsia="Arial" w:hAnsi="Arial"/>
          <w:sz w:val="16"/>
          <w:szCs w:val="16"/>
          <w:i w:val="1"/>
          <w:iCs w:val="1"/>
          <w:color w:val="auto"/>
        </w:rPr>
        <w:t>Compensation-Setting</w:t>
      </w:r>
      <w:r>
        <w:rPr>
          <w:rFonts w:ascii="Arial" w:cs="Arial" w:eastAsia="Arial" w:hAnsi="Arial"/>
          <w:sz w:val="16"/>
          <w:szCs w:val="16"/>
          <w:color w:val="auto"/>
        </w:rPr>
        <w:t xml:space="preserve"> </w:t>
      </w:r>
      <w:r>
        <w:rPr>
          <w:rFonts w:ascii="Arial" w:cs="Arial" w:eastAsia="Arial" w:hAnsi="Arial"/>
          <w:sz w:val="16"/>
          <w:szCs w:val="16"/>
          <w:i w:val="1"/>
          <w:iCs w:val="1"/>
          <w:color w:val="auto"/>
        </w:rPr>
        <w:t>Process—Compensation Setting</w:t>
      </w:r>
      <w:r>
        <w:rPr>
          <w:rFonts w:ascii="Arial" w:cs="Arial" w:eastAsia="Arial" w:hAnsi="Arial"/>
          <w:sz w:val="16"/>
          <w:szCs w:val="16"/>
          <w:color w:val="auto"/>
        </w:rPr>
        <w:t>” above. In connection with this review, Mr. Volkmer's salary was increased to $520,000 effective April 1, 2023 to maintain</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competitiveness with the market. The base salaries of our remaining named executive officers (other than Mr. Cox) did not change from 2022 levels because the talent and compensation committee felt their current base salaries remained appropriate after considering a competitive market analysis and the other factors described in “</w:t>
      </w:r>
      <w:r>
        <w:rPr>
          <w:rFonts w:ascii="Arial" w:cs="Arial" w:eastAsia="Arial" w:hAnsi="Arial"/>
          <w:sz w:val="16"/>
          <w:szCs w:val="16"/>
          <w:i w:val="1"/>
          <w:iCs w:val="1"/>
          <w:color w:val="auto"/>
        </w:rPr>
        <w:t>Compensation-Setting Process—Compensation Setting</w:t>
      </w:r>
      <w:r>
        <w:rPr>
          <w:rFonts w:ascii="Arial" w:cs="Arial" w:eastAsia="Arial" w:hAnsi="Arial"/>
          <w:sz w:val="16"/>
          <w:szCs w:val="16"/>
          <w:color w:val="auto"/>
        </w:rPr>
        <w:t>” above.</w:t>
      </w:r>
    </w:p>
    <w:p>
      <w:pPr>
        <w:spacing w:after="0" w:line="12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determining Mr. Cox's base salary, the talent and compensation committee referenced a competitive market analysis and the other factors described in “</w:t>
      </w:r>
      <w:r>
        <w:rPr>
          <w:rFonts w:ascii="Arial" w:cs="Arial" w:eastAsia="Arial" w:hAnsi="Arial"/>
          <w:sz w:val="16"/>
          <w:szCs w:val="16"/>
          <w:i w:val="1"/>
          <w:iCs w:val="1"/>
          <w:color w:val="auto"/>
        </w:rPr>
        <w:t>Compensation-Setting Process—Compensation Setting</w:t>
      </w:r>
      <w:r>
        <w:rPr>
          <w:rFonts w:ascii="Arial" w:cs="Arial" w:eastAsia="Arial" w:hAnsi="Arial"/>
          <w:sz w:val="16"/>
          <w:szCs w:val="16"/>
          <w:color w:val="auto"/>
        </w:rPr>
        <w:t>” above.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of our named executive officers for 2023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2172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shd w:val="clear" w:color="auto" w:fill="0063A6"/>
          </w:tcPr>
          <w:p>
            <w:pPr>
              <w:spacing w:after="0"/>
              <w:rPr>
                <w:sz w:val="20"/>
                <w:szCs w:val="20"/>
                <w:color w:val="auto"/>
              </w:rPr>
            </w:pPr>
          </w:p>
        </w:tc>
        <w:tc>
          <w:tcPr>
            <w:tcW w:w="2060" w:type="dxa"/>
            <w:vAlign w:val="bottom"/>
            <w:shd w:val="clear" w:color="auto" w:fill="0063A6"/>
          </w:tcPr>
          <w:p>
            <w:pPr>
              <w:spacing w:after="0"/>
              <w:rPr>
                <w:sz w:val="20"/>
                <w:szCs w:val="20"/>
                <w:color w:val="auto"/>
              </w:rPr>
            </w:pPr>
          </w:p>
        </w:tc>
        <w:tc>
          <w:tcPr>
            <w:tcW w:w="2180" w:type="dxa"/>
            <w:vAlign w:val="bottom"/>
            <w:shd w:val="clear" w:color="auto" w:fill="0063A6"/>
          </w:tcPr>
          <w:p>
            <w:pPr>
              <w:spacing w:after="0"/>
              <w:rPr>
                <w:sz w:val="20"/>
                <w:szCs w:val="20"/>
                <w:color w:val="auto"/>
              </w:rPr>
            </w:pPr>
          </w:p>
        </w:tc>
        <w:tc>
          <w:tcPr>
            <w:tcW w:w="1920" w:type="dxa"/>
            <w:vAlign w:val="bottom"/>
            <w:shd w:val="clear" w:color="auto" w:fill="0063A6"/>
          </w:tcPr>
          <w:p>
            <w:pPr>
              <w:jc w:val="center"/>
              <w:ind w:right="42"/>
              <w:spacing w:after="0"/>
              <w:rPr>
                <w:sz w:val="20"/>
                <w:szCs w:val="20"/>
                <w:color w:val="auto"/>
              </w:rPr>
            </w:pPr>
            <w:r>
              <w:rPr>
                <w:rFonts w:ascii="Arial" w:cs="Arial" w:eastAsia="Arial" w:hAnsi="Arial"/>
                <w:sz w:val="14"/>
                <w:szCs w:val="14"/>
                <w:b w:val="1"/>
                <w:bCs w:val="1"/>
                <w:color w:val="FFFFFF"/>
              </w:rPr>
              <w:t>Percentage</w:t>
            </w:r>
          </w:p>
        </w:tc>
      </w:tr>
      <w:tr>
        <w:trPr>
          <w:trHeight w:val="162"/>
        </w:trPr>
        <w:tc>
          <w:tcPr>
            <w:tcW w:w="5080" w:type="dxa"/>
            <w:vAlign w:val="bottom"/>
            <w:shd w:val="clear" w:color="auto" w:fill="0063A6"/>
          </w:tcPr>
          <w:p>
            <w:pPr>
              <w:spacing w:after="0"/>
              <w:rPr>
                <w:sz w:val="14"/>
                <w:szCs w:val="14"/>
                <w:color w:val="auto"/>
              </w:rPr>
            </w:pPr>
          </w:p>
        </w:tc>
        <w:tc>
          <w:tcPr>
            <w:tcW w:w="2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Base Salary</w:t>
            </w:r>
          </w:p>
        </w:tc>
        <w:tc>
          <w:tcPr>
            <w:tcW w:w="2180" w:type="dxa"/>
            <w:vAlign w:val="bottom"/>
            <w:shd w:val="clear" w:color="auto" w:fill="0063A6"/>
          </w:tcPr>
          <w:p>
            <w:pPr>
              <w:jc w:val="center"/>
              <w:ind w:right="66"/>
              <w:spacing w:after="0"/>
              <w:rPr>
                <w:sz w:val="20"/>
                <w:szCs w:val="20"/>
                <w:color w:val="auto"/>
              </w:rPr>
            </w:pPr>
            <w:r>
              <w:rPr>
                <w:rFonts w:ascii="Arial" w:cs="Arial" w:eastAsia="Arial" w:hAnsi="Arial"/>
                <w:sz w:val="14"/>
                <w:szCs w:val="14"/>
                <w:b w:val="1"/>
                <w:bCs w:val="1"/>
                <w:color w:val="FFFFFF"/>
              </w:rPr>
              <w:t>Base Salary</w:t>
            </w:r>
          </w:p>
        </w:tc>
        <w:tc>
          <w:tcPr>
            <w:tcW w:w="1920" w:type="dxa"/>
            <w:vAlign w:val="bottom"/>
            <w:shd w:val="clear" w:color="auto" w:fill="0063A6"/>
          </w:tcPr>
          <w:p>
            <w:pPr>
              <w:jc w:val="center"/>
              <w:ind w:right="82"/>
              <w:spacing w:after="0"/>
              <w:rPr>
                <w:sz w:val="20"/>
                <w:szCs w:val="20"/>
                <w:color w:val="auto"/>
              </w:rPr>
            </w:pPr>
            <w:r>
              <w:rPr>
                <w:rFonts w:ascii="Arial" w:cs="Arial" w:eastAsia="Arial" w:hAnsi="Arial"/>
                <w:sz w:val="14"/>
                <w:szCs w:val="14"/>
                <w:b w:val="1"/>
                <w:bCs w:val="1"/>
                <w:color w:val="FFFFFF"/>
              </w:rPr>
              <w:t>(Decrease) /</w:t>
            </w:r>
          </w:p>
        </w:tc>
      </w:tr>
      <w:tr>
        <w:trPr>
          <w:trHeight w:val="246"/>
        </w:trPr>
        <w:tc>
          <w:tcPr>
            <w:tcW w:w="508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0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as of End of 2022 ($)</w:t>
            </w:r>
          </w:p>
        </w:tc>
        <w:tc>
          <w:tcPr>
            <w:tcW w:w="2180" w:type="dxa"/>
            <w:vAlign w:val="bottom"/>
            <w:tcBorders>
              <w:bottom w:val="single" w:sz="8" w:color="0063A6"/>
            </w:tcBorders>
            <w:shd w:val="clear" w:color="auto" w:fill="0063A6"/>
          </w:tcPr>
          <w:p>
            <w:pPr>
              <w:jc w:val="center"/>
              <w:ind w:right="66"/>
              <w:spacing w:after="0"/>
              <w:rPr>
                <w:sz w:val="20"/>
                <w:szCs w:val="20"/>
                <w:color w:val="auto"/>
              </w:rPr>
            </w:pPr>
            <w:r>
              <w:rPr>
                <w:rFonts w:ascii="Arial" w:cs="Arial" w:eastAsia="Arial" w:hAnsi="Arial"/>
                <w:sz w:val="14"/>
                <w:szCs w:val="14"/>
                <w:b w:val="1"/>
                <w:bCs w:val="1"/>
                <w:color w:val="FFFFFF"/>
              </w:rPr>
              <w:t>as of End of 2023 ($)</w:t>
            </w:r>
          </w:p>
        </w:tc>
        <w:tc>
          <w:tcPr>
            <w:tcW w:w="1920" w:type="dxa"/>
            <w:vAlign w:val="bottom"/>
            <w:tcBorders>
              <w:bottom w:val="single" w:sz="8" w:color="0063A6"/>
            </w:tcBorders>
            <w:shd w:val="clear" w:color="auto" w:fill="0063A6"/>
          </w:tcPr>
          <w:p>
            <w:pPr>
              <w:jc w:val="center"/>
              <w:ind w:right="42"/>
              <w:spacing w:after="0"/>
              <w:rPr>
                <w:sz w:val="20"/>
                <w:szCs w:val="20"/>
                <w:color w:val="auto"/>
              </w:rPr>
            </w:pPr>
            <w:r>
              <w:rPr>
                <w:rFonts w:ascii="Arial" w:cs="Arial" w:eastAsia="Arial" w:hAnsi="Arial"/>
                <w:sz w:val="14"/>
                <w:szCs w:val="14"/>
                <w:b w:val="1"/>
                <w:bCs w:val="1"/>
                <w:color w:val="FFFFFF"/>
              </w:rPr>
              <w:t>Increase</w:t>
            </w:r>
          </w:p>
        </w:tc>
      </w:tr>
      <w:tr>
        <w:trPr>
          <w:trHeight w:val="237"/>
        </w:trPr>
        <w:tc>
          <w:tcPr>
            <w:tcW w:w="50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625,000</w:t>
            </w:r>
          </w:p>
        </w:tc>
        <w:tc>
          <w:tcPr>
            <w:tcW w:w="2180" w:type="dxa"/>
            <w:vAlign w:val="bottom"/>
            <w:tcBorders>
              <w:bottom w:val="single" w:sz="8" w:color="F2F2F2"/>
            </w:tcBorders>
            <w:shd w:val="clear" w:color="auto" w:fill="F2F2F2"/>
          </w:tcPr>
          <w:p>
            <w:pPr>
              <w:jc w:val="center"/>
              <w:ind w:right="66"/>
              <w:spacing w:after="0"/>
              <w:rPr>
                <w:sz w:val="20"/>
                <w:szCs w:val="20"/>
                <w:color w:val="auto"/>
              </w:rPr>
            </w:pPr>
            <w:r>
              <w:rPr>
                <w:rFonts w:ascii="Arial" w:cs="Arial" w:eastAsia="Arial" w:hAnsi="Arial"/>
                <w:sz w:val="16"/>
                <w:szCs w:val="16"/>
                <w:color w:val="auto"/>
              </w:rPr>
              <w:t>625,000</w:t>
            </w:r>
          </w:p>
        </w:tc>
        <w:tc>
          <w:tcPr>
            <w:tcW w:w="1920" w:type="dxa"/>
            <w:vAlign w:val="bottom"/>
            <w:tcBorders>
              <w:bottom w:val="single" w:sz="8" w:color="F2F2F2"/>
            </w:tcBorders>
            <w:shd w:val="clear" w:color="auto" w:fill="F2F2F2"/>
          </w:tcPr>
          <w:p>
            <w:pPr>
              <w:jc w:val="center"/>
              <w:ind w:right="42"/>
              <w:spacing w:after="0"/>
              <w:rPr>
                <w:sz w:val="20"/>
                <w:szCs w:val="20"/>
                <w:color w:val="auto"/>
              </w:rPr>
            </w:pPr>
            <w:r>
              <w:rPr>
                <w:rFonts w:ascii="Arial" w:cs="Arial" w:eastAsia="Arial" w:hAnsi="Arial"/>
                <w:sz w:val="16"/>
                <w:szCs w:val="16"/>
                <w:color w:val="auto"/>
              </w:rPr>
              <w:t>0%</w:t>
            </w:r>
          </w:p>
        </w:tc>
      </w:tr>
      <w:tr>
        <w:trPr>
          <w:trHeight w:val="215"/>
        </w:trPr>
        <w:tc>
          <w:tcPr>
            <w:tcW w:w="508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2060" w:type="dxa"/>
            <w:vAlign w:val="bottom"/>
          </w:tcPr>
          <w:p>
            <w:pPr>
              <w:jc w:val="center"/>
              <w:spacing w:after="0"/>
              <w:rPr>
                <w:sz w:val="20"/>
                <w:szCs w:val="20"/>
                <w:color w:val="auto"/>
              </w:rPr>
            </w:pPr>
            <w:r>
              <w:rPr>
                <w:rFonts w:ascii="Arial" w:cs="Arial" w:eastAsia="Arial" w:hAnsi="Arial"/>
                <w:sz w:val="16"/>
                <w:szCs w:val="16"/>
                <w:color w:val="auto"/>
              </w:rPr>
              <w:t>560,000</w:t>
            </w:r>
          </w:p>
        </w:tc>
        <w:tc>
          <w:tcPr>
            <w:tcW w:w="2180" w:type="dxa"/>
            <w:vAlign w:val="bottom"/>
          </w:tcPr>
          <w:p>
            <w:pPr>
              <w:jc w:val="center"/>
              <w:ind w:right="66"/>
              <w:spacing w:after="0"/>
              <w:rPr>
                <w:sz w:val="20"/>
                <w:szCs w:val="20"/>
                <w:color w:val="auto"/>
              </w:rPr>
            </w:pPr>
            <w:r>
              <w:rPr>
                <w:rFonts w:ascii="Arial" w:cs="Arial" w:eastAsia="Arial" w:hAnsi="Arial"/>
                <w:sz w:val="16"/>
                <w:szCs w:val="16"/>
                <w:color w:val="auto"/>
              </w:rPr>
              <w:t>560,000</w:t>
            </w:r>
          </w:p>
        </w:tc>
        <w:tc>
          <w:tcPr>
            <w:tcW w:w="1920" w:type="dxa"/>
            <w:vAlign w:val="bottom"/>
          </w:tcPr>
          <w:p>
            <w:pPr>
              <w:jc w:val="center"/>
              <w:ind w:right="42"/>
              <w:spacing w:after="0"/>
              <w:rPr>
                <w:sz w:val="20"/>
                <w:szCs w:val="20"/>
                <w:color w:val="auto"/>
              </w:rPr>
            </w:pPr>
            <w:r>
              <w:rPr>
                <w:rFonts w:ascii="Arial" w:cs="Arial" w:eastAsia="Arial" w:hAnsi="Arial"/>
                <w:sz w:val="16"/>
                <w:szCs w:val="16"/>
                <w:color w:val="auto"/>
              </w:rPr>
              <w:t>0%</w:t>
            </w:r>
          </w:p>
        </w:tc>
      </w:tr>
      <w:tr>
        <w:trPr>
          <w:trHeight w:val="28"/>
        </w:trPr>
        <w:tc>
          <w:tcPr>
            <w:tcW w:w="5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508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20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600,000</w:t>
            </w:r>
          </w:p>
        </w:tc>
        <w:tc>
          <w:tcPr>
            <w:tcW w:w="2180" w:type="dxa"/>
            <w:vAlign w:val="bottom"/>
            <w:shd w:val="clear" w:color="auto" w:fill="F2F2F2"/>
          </w:tcPr>
          <w:p>
            <w:pPr>
              <w:jc w:val="center"/>
              <w:ind w:right="66"/>
              <w:spacing w:after="0" w:line="243" w:lineRule="exact"/>
              <w:rPr>
                <w:sz w:val="20"/>
                <w:szCs w:val="20"/>
                <w:color w:val="auto"/>
              </w:rPr>
            </w:pPr>
            <w:r>
              <w:rPr>
                <w:rFonts w:ascii="Arial" w:cs="Arial" w:eastAsia="Arial" w:hAnsi="Arial"/>
                <w:sz w:val="28"/>
                <w:szCs w:val="28"/>
                <w:color w:val="auto"/>
                <w:w w:val="94"/>
                <w:vertAlign w:val="subscript"/>
              </w:rPr>
              <w:t>—</w:t>
            </w:r>
            <w:r>
              <w:rPr>
                <w:rFonts w:ascii="Arial" w:cs="Arial" w:eastAsia="Arial" w:hAnsi="Arial"/>
                <w:sz w:val="10"/>
                <w:szCs w:val="10"/>
                <w:color w:val="auto"/>
                <w:w w:val="94"/>
              </w:rPr>
              <w:t xml:space="preserve"> (1)</w:t>
            </w:r>
          </w:p>
        </w:tc>
        <w:tc>
          <w:tcPr>
            <w:tcW w:w="1920" w:type="dxa"/>
            <w:vAlign w:val="bottom"/>
            <w:shd w:val="clear" w:color="auto" w:fill="F2F2F2"/>
          </w:tcPr>
          <w:p>
            <w:pPr>
              <w:jc w:val="center"/>
              <w:ind w:right="42"/>
              <w:spacing w:after="0"/>
              <w:rPr>
                <w:sz w:val="20"/>
                <w:szCs w:val="20"/>
                <w:color w:val="auto"/>
              </w:rPr>
            </w:pPr>
            <w:r>
              <w:rPr>
                <w:rFonts w:ascii="Arial" w:cs="Arial" w:eastAsia="Arial" w:hAnsi="Arial"/>
                <w:sz w:val="16"/>
                <w:szCs w:val="16"/>
                <w:color w:val="auto"/>
              </w:rPr>
              <w:t>N/A</w:t>
            </w:r>
          </w:p>
        </w:tc>
      </w:tr>
      <w:tr>
        <w:trPr>
          <w:trHeight w:val="215"/>
        </w:trPr>
        <w:tc>
          <w:tcPr>
            <w:tcW w:w="508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2060" w:type="dxa"/>
            <w:vAlign w:val="bottom"/>
          </w:tcPr>
          <w:p>
            <w:pPr>
              <w:jc w:val="center"/>
              <w:spacing w:after="0"/>
              <w:rPr>
                <w:sz w:val="20"/>
                <w:szCs w:val="20"/>
                <w:color w:val="auto"/>
              </w:rPr>
            </w:pPr>
            <w:r>
              <w:rPr>
                <w:rFonts w:ascii="Arial" w:cs="Arial" w:eastAsia="Arial" w:hAnsi="Arial"/>
                <w:sz w:val="16"/>
                <w:szCs w:val="16"/>
                <w:color w:val="auto"/>
              </w:rPr>
              <w:t>475,000</w:t>
            </w:r>
          </w:p>
        </w:tc>
        <w:tc>
          <w:tcPr>
            <w:tcW w:w="2180" w:type="dxa"/>
            <w:vAlign w:val="bottom"/>
          </w:tcPr>
          <w:p>
            <w:pPr>
              <w:jc w:val="center"/>
              <w:ind w:right="66"/>
              <w:spacing w:after="0"/>
              <w:rPr>
                <w:sz w:val="20"/>
                <w:szCs w:val="20"/>
                <w:color w:val="auto"/>
              </w:rPr>
            </w:pPr>
            <w:r>
              <w:rPr>
                <w:rFonts w:ascii="Arial" w:cs="Arial" w:eastAsia="Arial" w:hAnsi="Arial"/>
                <w:sz w:val="16"/>
                <w:szCs w:val="16"/>
                <w:color w:val="auto"/>
              </w:rPr>
              <w:t>520,000</w:t>
            </w:r>
          </w:p>
        </w:tc>
        <w:tc>
          <w:tcPr>
            <w:tcW w:w="1920" w:type="dxa"/>
            <w:vAlign w:val="bottom"/>
          </w:tcPr>
          <w:p>
            <w:pPr>
              <w:jc w:val="center"/>
              <w:ind w:right="42"/>
              <w:spacing w:after="0"/>
              <w:rPr>
                <w:sz w:val="20"/>
                <w:szCs w:val="20"/>
                <w:color w:val="auto"/>
              </w:rPr>
            </w:pPr>
            <w:r>
              <w:rPr>
                <w:rFonts w:ascii="Arial" w:cs="Arial" w:eastAsia="Arial" w:hAnsi="Arial"/>
                <w:sz w:val="16"/>
                <w:szCs w:val="16"/>
                <w:color w:val="auto"/>
              </w:rPr>
              <w:t>9%</w:t>
            </w:r>
          </w:p>
        </w:tc>
      </w:tr>
      <w:tr>
        <w:trPr>
          <w:trHeight w:val="42"/>
        </w:trPr>
        <w:tc>
          <w:tcPr>
            <w:tcW w:w="50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56"/>
        </w:trPr>
        <w:tc>
          <w:tcPr>
            <w:tcW w:w="5080" w:type="dxa"/>
            <w:vAlign w:val="bottom"/>
            <w:shd w:val="clear" w:color="auto" w:fill="F2F2F2"/>
          </w:tcPr>
          <w:p>
            <w:pPr>
              <w:ind w:left="60"/>
              <w:spacing w:after="0"/>
              <w:rPr>
                <w:sz w:val="20"/>
                <w:szCs w:val="20"/>
                <w:color w:val="auto"/>
              </w:rPr>
            </w:pPr>
            <w:r>
              <w:rPr>
                <w:rFonts w:ascii="Arial" w:cs="Arial" w:eastAsia="Arial" w:hAnsi="Arial"/>
                <w:sz w:val="16"/>
                <w:szCs w:val="16"/>
                <w:color w:val="auto"/>
              </w:rPr>
              <w:t>Eric Cox</w:t>
            </w:r>
          </w:p>
        </w:tc>
        <w:tc>
          <w:tcPr>
            <w:tcW w:w="20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2180" w:type="dxa"/>
            <w:vAlign w:val="bottom"/>
            <w:shd w:val="clear" w:color="auto" w:fill="F2F2F2"/>
          </w:tcPr>
          <w:p>
            <w:pPr>
              <w:jc w:val="center"/>
              <w:ind w:right="66"/>
              <w:spacing w:after="0"/>
              <w:rPr>
                <w:sz w:val="20"/>
                <w:szCs w:val="20"/>
                <w:color w:val="auto"/>
              </w:rPr>
            </w:pPr>
            <w:r>
              <w:rPr>
                <w:rFonts w:ascii="Arial" w:cs="Arial" w:eastAsia="Arial" w:hAnsi="Arial"/>
                <w:sz w:val="16"/>
                <w:szCs w:val="16"/>
                <w:color w:val="auto"/>
                <w:w w:val="96"/>
              </w:rPr>
              <w:t>500,000</w:t>
            </w:r>
            <w:r>
              <w:rPr>
                <w:rFonts w:ascii="Arial" w:cs="Arial" w:eastAsia="Arial" w:hAnsi="Arial"/>
                <w:sz w:val="21"/>
                <w:szCs w:val="21"/>
                <w:color w:val="auto"/>
                <w:w w:val="96"/>
                <w:vertAlign w:val="superscript"/>
              </w:rPr>
              <w:t>(2)</w:t>
            </w:r>
          </w:p>
        </w:tc>
        <w:tc>
          <w:tcPr>
            <w:tcW w:w="1920" w:type="dxa"/>
            <w:vAlign w:val="bottom"/>
            <w:shd w:val="clear" w:color="auto" w:fill="F2F2F2"/>
          </w:tcPr>
          <w:p>
            <w:pPr>
              <w:jc w:val="center"/>
              <w:ind w:right="42"/>
              <w:spacing w:after="0"/>
              <w:rPr>
                <w:sz w:val="20"/>
                <w:szCs w:val="20"/>
                <w:color w:val="auto"/>
              </w:rPr>
            </w:pPr>
            <w:r>
              <w:rPr>
                <w:rFonts w:ascii="Arial" w:cs="Arial" w:eastAsia="Arial" w:hAnsi="Arial"/>
                <w:sz w:val="16"/>
                <w:szCs w:val="16"/>
                <w:color w:val="auto"/>
              </w:rPr>
              <w:t>N/A</w:t>
            </w:r>
          </w:p>
        </w:tc>
      </w:tr>
    </w:tbl>
    <w:p>
      <w:pPr>
        <w:spacing w:after="0" w:line="112" w:lineRule="exact"/>
        <w:rPr>
          <w:sz w:val="20"/>
          <w:szCs w:val="20"/>
          <w:color w:val="auto"/>
        </w:rPr>
      </w:pPr>
    </w:p>
    <w:p>
      <w:pPr>
        <w:ind w:left="320" w:hanging="312"/>
        <w:spacing w:after="0"/>
        <w:tabs>
          <w:tab w:leader="none" w:pos="320" w:val="left"/>
        </w:tabs>
        <w:numPr>
          <w:ilvl w:val="0"/>
          <w:numId w:val="65"/>
        </w:numPr>
        <w:rPr>
          <w:rFonts w:ascii="Arial" w:cs="Arial" w:eastAsia="Arial" w:hAnsi="Arial"/>
          <w:sz w:val="7"/>
          <w:szCs w:val="7"/>
          <w:color w:val="auto"/>
        </w:rPr>
      </w:pPr>
      <w:r>
        <w:rPr>
          <w:rFonts w:ascii="Arial" w:cs="Arial" w:eastAsia="Arial" w:hAnsi="Arial"/>
          <w:sz w:val="14"/>
          <w:szCs w:val="14"/>
          <w:color w:val="auto"/>
        </w:rPr>
        <w:t>Mr. Young's employment with the company ended on March 15, 2023.</w:t>
      </w:r>
    </w:p>
    <w:p>
      <w:pPr>
        <w:spacing w:after="0" w:line="41" w:lineRule="exact"/>
        <w:rPr>
          <w:rFonts w:ascii="Arial" w:cs="Arial" w:eastAsia="Arial" w:hAnsi="Arial"/>
          <w:sz w:val="7"/>
          <w:szCs w:val="7"/>
          <w:color w:val="auto"/>
        </w:rPr>
      </w:pPr>
    </w:p>
    <w:p>
      <w:pPr>
        <w:ind w:left="320" w:hanging="312"/>
        <w:spacing w:after="0"/>
        <w:tabs>
          <w:tab w:leader="none" w:pos="320" w:val="left"/>
        </w:tabs>
        <w:numPr>
          <w:ilvl w:val="0"/>
          <w:numId w:val="65"/>
        </w:numPr>
        <w:rPr>
          <w:rFonts w:ascii="Arial" w:cs="Arial" w:eastAsia="Arial" w:hAnsi="Arial"/>
          <w:sz w:val="7"/>
          <w:szCs w:val="7"/>
          <w:color w:val="auto"/>
        </w:rPr>
      </w:pPr>
      <w:r>
        <w:rPr>
          <w:rFonts w:ascii="Arial" w:cs="Arial" w:eastAsia="Arial" w:hAnsi="Arial"/>
          <w:sz w:val="14"/>
          <w:szCs w:val="14"/>
          <w:color w:val="auto"/>
        </w:rPr>
        <w:t>Mr. Cox has served as our Chief Customer Officer since December 2023.</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paid to our named executive officers during 2023 are set forth in the “</w:t>
      </w:r>
      <w:r>
        <w:rPr>
          <w:rFonts w:ascii="Arial" w:cs="Arial" w:eastAsia="Arial" w:hAnsi="Arial"/>
          <w:sz w:val="16"/>
          <w:szCs w:val="16"/>
          <w:i w:val="1"/>
          <w:iCs w:val="1"/>
          <w:color w:val="auto"/>
        </w:rPr>
        <w:t>Summary Compensation Table for Fiscal Year 2023</w:t>
      </w:r>
      <w:r>
        <w:rPr>
          <w:rFonts w:ascii="Arial" w:cs="Arial" w:eastAsia="Arial" w:hAnsi="Arial"/>
          <w:sz w:val="16"/>
          <w:szCs w:val="16"/>
          <w:color w:val="auto"/>
        </w:rPr>
        <w:t>” below.</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Annual Cash Bonuses</w:t>
      </w:r>
    </w:p>
    <w:p>
      <w:pPr>
        <w:spacing w:after="0" w:line="8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March 2023, the talent and compensation committee, with input from management, adopted our 2023 annual cash bonus plan (the “</w:t>
      </w:r>
      <w:r>
        <w:rPr>
          <w:rFonts w:ascii="Arial" w:cs="Arial" w:eastAsia="Arial" w:hAnsi="Arial"/>
          <w:sz w:val="16"/>
          <w:szCs w:val="16"/>
          <w:b w:val="1"/>
          <w:bCs w:val="1"/>
          <w:i w:val="1"/>
          <w:iCs w:val="1"/>
          <w:color w:val="auto"/>
        </w:rPr>
        <w:t>2023 Cash Bonus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which was designed to provide financial incentives for us to meet or exceed the pre-established target levels for revenue and operating margin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established under our 2023 annual operating plan. The 2023 Cash Bonus Plan is funded based on our actual achievement against the pre-established target levels for the corporate performance measure.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Target Annual Cash Bonus Opportunities</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Under the 2023 Cash Bonus Plan, cash bonus payments were based upon an eligible percentage of each participant’s base salary. In March 2023, the talent and compensation committee reviewed and approved the target annual cash bonus opportunities of our then-current executive officers, taking into consideration the recommendations of our Chief Executive Officer (except with respect to his own target annual cash bonus opportunity) as well as the other factors described in “</w:t>
      </w:r>
      <w:r>
        <w:rPr>
          <w:rFonts w:ascii="Arial" w:cs="Arial" w:eastAsia="Arial" w:hAnsi="Arial"/>
          <w:sz w:val="16"/>
          <w:szCs w:val="16"/>
          <w:i w:val="1"/>
          <w:iCs w:val="1"/>
          <w:color w:val="auto"/>
        </w:rPr>
        <w:t>Compensation-Setting Process—Compensation Setting</w:t>
      </w:r>
      <w:r>
        <w:rPr>
          <w:rFonts w:ascii="Arial" w:cs="Arial" w:eastAsia="Arial" w:hAnsi="Arial"/>
          <w:sz w:val="16"/>
          <w:szCs w:val="16"/>
          <w:color w:val="auto"/>
        </w:rPr>
        <w:t>” above. Based on this review, the talent and compensation committee decided to increase the annual cash bonus opportunity (as a percentage of base salary) of Messrs. Regan and Volkmer to 85% and 75%, respectively.</w:t>
      </w:r>
    </w:p>
    <w:p>
      <w:pPr>
        <w:spacing w:after="0" w:line="12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determining Mr. Cox's annual cash bonus opportunity (as a percentage of base salary), the talent and compensation committee referenced a competitive market analysis as well as the other factors described in “</w:t>
      </w:r>
      <w:r>
        <w:rPr>
          <w:rFonts w:ascii="Arial" w:cs="Arial" w:eastAsia="Arial" w:hAnsi="Arial"/>
          <w:sz w:val="16"/>
          <w:szCs w:val="16"/>
          <w:i w:val="1"/>
          <w:iCs w:val="1"/>
          <w:color w:val="auto"/>
        </w:rPr>
        <w:t>Compensation-Setting Process— Compensation Setting</w:t>
      </w:r>
      <w:r>
        <w:rPr>
          <w:rFonts w:ascii="Arial" w:cs="Arial" w:eastAsia="Arial" w:hAnsi="Arial"/>
          <w:sz w:val="16"/>
          <w:szCs w:val="16"/>
          <w:color w:val="auto"/>
        </w:rPr>
        <w:t>” above.</w:t>
      </w:r>
    </w:p>
    <w:p>
      <w:pPr>
        <w:spacing w:after="0" w:line="102"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 2023 target annual cash bonus opportunities for our named executive officers (other than for Mr. Cox and for Mr. Young, prior to his termination of employment)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39370</wp:posOffset>
            </wp:positionV>
            <wp:extent cx="17145" cy="643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 cy="643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39370</wp:posOffset>
            </wp:positionV>
            <wp:extent cx="17145" cy="768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 cy="7683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5120" w:type="dxa"/>
            <w:vAlign w:val="bottom"/>
            <w:shd w:val="clear" w:color="auto" w:fill="0063A6"/>
          </w:tcPr>
          <w:p>
            <w:pPr>
              <w:spacing w:after="0"/>
              <w:rPr>
                <w:sz w:val="24"/>
                <w:szCs w:val="24"/>
                <w:color w:val="auto"/>
              </w:rPr>
            </w:pPr>
          </w:p>
        </w:tc>
        <w:tc>
          <w:tcPr>
            <w:tcW w:w="29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Target Annual</w:t>
            </w:r>
          </w:p>
        </w:tc>
        <w:tc>
          <w:tcPr>
            <w:tcW w:w="3180" w:type="dxa"/>
            <w:vAlign w:val="bottom"/>
            <w:shd w:val="clear" w:color="auto" w:fill="0063A6"/>
          </w:tcPr>
          <w:p>
            <w:pPr>
              <w:spacing w:after="0"/>
              <w:rPr>
                <w:sz w:val="24"/>
                <w:szCs w:val="24"/>
                <w:color w:val="auto"/>
              </w:rPr>
            </w:pPr>
          </w:p>
        </w:tc>
      </w:tr>
      <w:tr>
        <w:trPr>
          <w:trHeight w:val="160"/>
        </w:trPr>
        <w:tc>
          <w:tcPr>
            <w:tcW w:w="5120" w:type="dxa"/>
            <w:vAlign w:val="bottom"/>
            <w:shd w:val="clear" w:color="auto" w:fill="0063A6"/>
          </w:tcPr>
          <w:p>
            <w:pPr>
              <w:spacing w:after="0"/>
              <w:rPr>
                <w:sz w:val="13"/>
                <w:szCs w:val="13"/>
                <w:color w:val="auto"/>
              </w:rPr>
            </w:pPr>
          </w:p>
        </w:tc>
        <w:tc>
          <w:tcPr>
            <w:tcW w:w="2940" w:type="dxa"/>
            <w:vAlign w:val="bottom"/>
            <w:shd w:val="clear" w:color="auto" w:fill="0063A6"/>
          </w:tcPr>
          <w:p>
            <w:pPr>
              <w:jc w:val="center"/>
              <w:spacing w:after="0" w:line="159" w:lineRule="exact"/>
              <w:rPr>
                <w:sz w:val="20"/>
                <w:szCs w:val="20"/>
                <w:color w:val="auto"/>
              </w:rPr>
            </w:pPr>
            <w:r>
              <w:rPr>
                <w:rFonts w:ascii="Arial" w:cs="Arial" w:eastAsia="Arial" w:hAnsi="Arial"/>
                <w:sz w:val="14"/>
                <w:szCs w:val="14"/>
                <w:b w:val="1"/>
                <w:bCs w:val="1"/>
                <w:color w:val="FFFFFF"/>
              </w:rPr>
              <w:t>Cash Bonus Opportunity</w:t>
            </w:r>
          </w:p>
        </w:tc>
        <w:tc>
          <w:tcPr>
            <w:tcW w:w="3180" w:type="dxa"/>
            <w:vAlign w:val="bottom"/>
            <w:shd w:val="clear" w:color="auto" w:fill="0063A6"/>
          </w:tcPr>
          <w:p>
            <w:pPr>
              <w:jc w:val="center"/>
              <w:ind w:right="362"/>
              <w:spacing w:after="0" w:line="159" w:lineRule="exact"/>
              <w:rPr>
                <w:sz w:val="20"/>
                <w:szCs w:val="20"/>
                <w:color w:val="auto"/>
              </w:rPr>
            </w:pPr>
            <w:r>
              <w:rPr>
                <w:rFonts w:ascii="Arial" w:cs="Arial" w:eastAsia="Arial" w:hAnsi="Arial"/>
                <w:sz w:val="14"/>
                <w:szCs w:val="14"/>
                <w:b w:val="1"/>
                <w:bCs w:val="1"/>
                <w:color w:val="FFFFFF"/>
              </w:rPr>
              <w:t>2023 Target Annual Cash</w:t>
            </w:r>
          </w:p>
        </w:tc>
      </w:tr>
      <w:tr>
        <w:trPr>
          <w:trHeight w:val="214"/>
        </w:trPr>
        <w:tc>
          <w:tcPr>
            <w:tcW w:w="512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9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(as a Percentage of Base Salary)</w:t>
            </w:r>
          </w:p>
        </w:tc>
        <w:tc>
          <w:tcPr>
            <w:tcW w:w="3180" w:type="dxa"/>
            <w:vAlign w:val="bottom"/>
            <w:shd w:val="clear" w:color="auto" w:fill="0063A6"/>
          </w:tcPr>
          <w:p>
            <w:pPr>
              <w:jc w:val="center"/>
              <w:ind w:right="382"/>
              <w:spacing w:after="0"/>
              <w:rPr>
                <w:sz w:val="20"/>
                <w:szCs w:val="20"/>
                <w:color w:val="auto"/>
              </w:rPr>
            </w:pPr>
            <w:r>
              <w:rPr>
                <w:rFonts w:ascii="Arial" w:cs="Arial" w:eastAsia="Arial" w:hAnsi="Arial"/>
                <w:sz w:val="14"/>
                <w:szCs w:val="14"/>
                <w:b w:val="1"/>
                <w:bCs w:val="1"/>
                <w:color w:val="FFFFFF"/>
              </w:rPr>
              <w:t>Bonus Opportunity ($)</w:t>
            </w:r>
            <w:r>
              <w:rPr>
                <w:rFonts w:ascii="Arial" w:cs="Arial" w:eastAsia="Arial" w:hAnsi="Arial"/>
                <w:sz w:val="18"/>
                <w:szCs w:val="18"/>
                <w:b w:val="1"/>
                <w:bCs w:val="1"/>
                <w:color w:val="FFFFFF"/>
                <w:vertAlign w:val="superscript"/>
              </w:rPr>
              <w:t>(1)</w:t>
            </w:r>
          </w:p>
        </w:tc>
      </w:tr>
      <w:tr>
        <w:trPr>
          <w:trHeight w:val="108"/>
        </w:trPr>
        <w:tc>
          <w:tcPr>
            <w:tcW w:w="5120" w:type="dxa"/>
            <w:vAlign w:val="bottom"/>
            <w:shd w:val="clear" w:color="auto" w:fill="0063A6"/>
          </w:tcPr>
          <w:p>
            <w:pPr>
              <w:spacing w:after="0"/>
              <w:rPr>
                <w:sz w:val="9"/>
                <w:szCs w:val="9"/>
                <w:color w:val="auto"/>
              </w:rPr>
            </w:pPr>
          </w:p>
        </w:tc>
        <w:tc>
          <w:tcPr>
            <w:tcW w:w="2940" w:type="dxa"/>
            <w:vAlign w:val="bottom"/>
            <w:shd w:val="clear" w:color="auto" w:fill="0063A6"/>
          </w:tcPr>
          <w:p>
            <w:pPr>
              <w:spacing w:after="0"/>
              <w:rPr>
                <w:sz w:val="9"/>
                <w:szCs w:val="9"/>
                <w:color w:val="auto"/>
              </w:rPr>
            </w:pPr>
          </w:p>
        </w:tc>
        <w:tc>
          <w:tcPr>
            <w:tcW w:w="3180" w:type="dxa"/>
            <w:vAlign w:val="bottom"/>
            <w:shd w:val="clear" w:color="auto" w:fill="0063A6"/>
          </w:tcPr>
          <w:p>
            <w:pPr>
              <w:spacing w:after="0"/>
              <w:rPr>
                <w:sz w:val="9"/>
                <w:szCs w:val="9"/>
                <w:color w:val="auto"/>
              </w:rPr>
            </w:pPr>
          </w:p>
        </w:tc>
      </w:tr>
      <w:tr>
        <w:trPr>
          <w:trHeight w:val="223"/>
        </w:trPr>
        <w:tc>
          <w:tcPr>
            <w:tcW w:w="51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9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7"/>
              </w:rPr>
              <w:t>100%</w:t>
            </w:r>
          </w:p>
        </w:tc>
        <w:tc>
          <w:tcPr>
            <w:tcW w:w="3180" w:type="dxa"/>
            <w:vAlign w:val="bottom"/>
            <w:tcBorders>
              <w:bottom w:val="single" w:sz="8" w:color="F2F2F2"/>
            </w:tcBorders>
            <w:shd w:val="clear" w:color="auto" w:fill="F2F2F2"/>
          </w:tcPr>
          <w:p>
            <w:pPr>
              <w:jc w:val="center"/>
              <w:ind w:right="362"/>
              <w:spacing w:after="0"/>
              <w:rPr>
                <w:sz w:val="20"/>
                <w:szCs w:val="20"/>
                <w:color w:val="auto"/>
              </w:rPr>
            </w:pPr>
            <w:r>
              <w:rPr>
                <w:rFonts w:ascii="Arial" w:cs="Arial" w:eastAsia="Arial" w:hAnsi="Arial"/>
                <w:sz w:val="16"/>
                <w:szCs w:val="16"/>
                <w:color w:val="auto"/>
              </w:rPr>
              <w:t>625,000</w:t>
            </w:r>
          </w:p>
        </w:tc>
      </w:tr>
      <w:tr>
        <w:trPr>
          <w:trHeight w:val="215"/>
        </w:trPr>
        <w:tc>
          <w:tcPr>
            <w:tcW w:w="512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2940" w:type="dxa"/>
            <w:vAlign w:val="bottom"/>
          </w:tcPr>
          <w:p>
            <w:pPr>
              <w:jc w:val="center"/>
              <w:spacing w:after="0"/>
              <w:rPr>
                <w:sz w:val="20"/>
                <w:szCs w:val="20"/>
                <w:color w:val="auto"/>
              </w:rPr>
            </w:pPr>
            <w:r>
              <w:rPr>
                <w:rFonts w:ascii="Arial" w:cs="Arial" w:eastAsia="Arial" w:hAnsi="Arial"/>
                <w:sz w:val="16"/>
                <w:szCs w:val="16"/>
                <w:color w:val="auto"/>
                <w:w w:val="99"/>
              </w:rPr>
              <w:t>85%</w:t>
            </w:r>
          </w:p>
        </w:tc>
        <w:tc>
          <w:tcPr>
            <w:tcW w:w="3180" w:type="dxa"/>
            <w:vAlign w:val="bottom"/>
          </w:tcPr>
          <w:p>
            <w:pPr>
              <w:jc w:val="center"/>
              <w:ind w:right="362"/>
              <w:spacing w:after="0"/>
              <w:rPr>
                <w:sz w:val="20"/>
                <w:szCs w:val="20"/>
                <w:color w:val="auto"/>
              </w:rPr>
            </w:pPr>
            <w:r>
              <w:rPr>
                <w:rFonts w:ascii="Arial" w:cs="Arial" w:eastAsia="Arial" w:hAnsi="Arial"/>
                <w:sz w:val="16"/>
                <w:szCs w:val="16"/>
                <w:color w:val="auto"/>
              </w:rPr>
              <w:t>448,383</w:t>
            </w:r>
          </w:p>
        </w:tc>
      </w:tr>
      <w:tr>
        <w:trPr>
          <w:trHeight w:val="28"/>
        </w:trPr>
        <w:tc>
          <w:tcPr>
            <w:tcW w:w="5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3"/>
        </w:trPr>
        <w:tc>
          <w:tcPr>
            <w:tcW w:w="51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29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7"/>
              </w:rPr>
              <w:t>100%</w:t>
            </w:r>
          </w:p>
        </w:tc>
        <w:tc>
          <w:tcPr>
            <w:tcW w:w="3180" w:type="dxa"/>
            <w:vAlign w:val="bottom"/>
            <w:tcBorders>
              <w:bottom w:val="single" w:sz="8" w:color="F2F2F2"/>
            </w:tcBorders>
            <w:shd w:val="clear" w:color="auto" w:fill="F2F2F2"/>
          </w:tcPr>
          <w:p>
            <w:pPr>
              <w:jc w:val="center"/>
              <w:ind w:right="382"/>
              <w:spacing w:after="0"/>
              <w:rPr>
                <w:sz w:val="20"/>
                <w:szCs w:val="20"/>
                <w:color w:val="auto"/>
              </w:rPr>
            </w:pPr>
            <w:r>
              <w:rPr>
                <w:rFonts w:ascii="Arial" w:cs="Arial" w:eastAsia="Arial" w:hAnsi="Arial"/>
                <w:sz w:val="16"/>
                <w:szCs w:val="16"/>
                <w:color w:val="auto"/>
                <w:w w:val="99"/>
              </w:rPr>
              <w:t>—</w:t>
            </w:r>
          </w:p>
        </w:tc>
      </w:tr>
      <w:tr>
        <w:trPr>
          <w:trHeight w:val="215"/>
        </w:trPr>
        <w:tc>
          <w:tcPr>
            <w:tcW w:w="512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2940" w:type="dxa"/>
            <w:vAlign w:val="bottom"/>
          </w:tcPr>
          <w:p>
            <w:pPr>
              <w:jc w:val="center"/>
              <w:spacing w:after="0"/>
              <w:rPr>
                <w:sz w:val="20"/>
                <w:szCs w:val="20"/>
                <w:color w:val="auto"/>
              </w:rPr>
            </w:pPr>
            <w:r>
              <w:rPr>
                <w:rFonts w:ascii="Arial" w:cs="Arial" w:eastAsia="Arial" w:hAnsi="Arial"/>
                <w:sz w:val="16"/>
                <w:szCs w:val="16"/>
                <w:color w:val="auto"/>
                <w:w w:val="99"/>
              </w:rPr>
              <w:t>75%</w:t>
            </w:r>
          </w:p>
        </w:tc>
        <w:tc>
          <w:tcPr>
            <w:tcW w:w="3180" w:type="dxa"/>
            <w:vAlign w:val="bottom"/>
          </w:tcPr>
          <w:p>
            <w:pPr>
              <w:jc w:val="center"/>
              <w:ind w:right="362"/>
              <w:spacing w:after="0"/>
              <w:rPr>
                <w:sz w:val="20"/>
                <w:szCs w:val="20"/>
                <w:color w:val="auto"/>
              </w:rPr>
            </w:pPr>
            <w:r>
              <w:rPr>
                <w:rFonts w:ascii="Arial" w:cs="Arial" w:eastAsia="Arial" w:hAnsi="Arial"/>
                <w:sz w:val="16"/>
                <w:szCs w:val="16"/>
                <w:color w:val="auto"/>
              </w:rPr>
              <w:t>369,965</w:t>
            </w:r>
          </w:p>
        </w:tc>
      </w:tr>
      <w:tr>
        <w:trPr>
          <w:trHeight w:val="28"/>
        </w:trPr>
        <w:tc>
          <w:tcPr>
            <w:tcW w:w="5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15"/>
        </w:trPr>
        <w:tc>
          <w:tcPr>
            <w:tcW w:w="5120" w:type="dxa"/>
            <w:vAlign w:val="bottom"/>
            <w:shd w:val="clear" w:color="auto" w:fill="F2F2F2"/>
          </w:tcPr>
          <w:p>
            <w:pPr>
              <w:ind w:left="60"/>
              <w:spacing w:after="0"/>
              <w:rPr>
                <w:sz w:val="20"/>
                <w:szCs w:val="20"/>
                <w:color w:val="auto"/>
              </w:rPr>
            </w:pPr>
            <w:r>
              <w:rPr>
                <w:rFonts w:ascii="Arial" w:cs="Arial" w:eastAsia="Arial" w:hAnsi="Arial"/>
                <w:sz w:val="16"/>
                <w:szCs w:val="16"/>
                <w:color w:val="auto"/>
              </w:rPr>
              <w:t>Eric Cox</w:t>
            </w:r>
          </w:p>
        </w:tc>
        <w:tc>
          <w:tcPr>
            <w:tcW w:w="29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3180" w:type="dxa"/>
            <w:vAlign w:val="bottom"/>
            <w:shd w:val="clear" w:color="auto" w:fill="F2F2F2"/>
          </w:tcPr>
          <w:p>
            <w:pPr>
              <w:jc w:val="center"/>
              <w:ind w:right="382"/>
              <w:spacing w:after="0"/>
              <w:rPr>
                <w:sz w:val="20"/>
                <w:szCs w:val="20"/>
                <w:color w:val="auto"/>
              </w:rPr>
            </w:pPr>
            <w:r>
              <w:rPr>
                <w:rFonts w:ascii="Arial" w:cs="Arial" w:eastAsia="Arial" w:hAnsi="Arial"/>
                <w:sz w:val="16"/>
                <w:szCs w:val="16"/>
                <w:color w:val="auto"/>
                <w:w w:val="99"/>
              </w:rPr>
              <w:t>—</w:t>
            </w:r>
          </w:p>
        </w:tc>
      </w:tr>
      <w:tr>
        <w:trPr>
          <w:trHeight w:val="28"/>
        </w:trPr>
        <w:tc>
          <w:tcPr>
            <w:tcW w:w="5120" w:type="dxa"/>
            <w:vAlign w:val="bottom"/>
            <w:shd w:val="clear" w:color="auto" w:fill="F2F2F2"/>
          </w:tcPr>
          <w:p>
            <w:pPr>
              <w:spacing w:after="0"/>
              <w:rPr>
                <w:sz w:val="2"/>
                <w:szCs w:val="2"/>
                <w:color w:val="auto"/>
              </w:rPr>
            </w:pPr>
          </w:p>
        </w:tc>
        <w:tc>
          <w:tcPr>
            <w:tcW w:w="2940" w:type="dxa"/>
            <w:vAlign w:val="bottom"/>
            <w:shd w:val="clear" w:color="auto" w:fill="F2F2F2"/>
          </w:tcPr>
          <w:p>
            <w:pPr>
              <w:spacing w:after="0"/>
              <w:rPr>
                <w:sz w:val="2"/>
                <w:szCs w:val="2"/>
                <w:color w:val="auto"/>
              </w:rPr>
            </w:pPr>
          </w:p>
        </w:tc>
        <w:tc>
          <w:tcPr>
            <w:tcW w:w="3180" w:type="dxa"/>
            <w:vAlign w:val="bottom"/>
            <w:shd w:val="clear" w:color="auto" w:fill="F2F2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-462280</wp:posOffset>
            </wp:positionV>
            <wp:extent cx="17145"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-462280</wp:posOffset>
            </wp:positionV>
            <wp:extent cx="17145"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-1182370</wp:posOffset>
            </wp:positionV>
            <wp:extent cx="17145" cy="5657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45" cy="56578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80" w:hanging="554"/>
        <w:spacing w:after="0"/>
        <w:tabs>
          <w:tab w:leader="none" w:pos="58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392"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9"/>
          <w:szCs w:val="19"/>
          <w:color w:val="auto"/>
          <w:vertAlign w:val="superscript"/>
        </w:rPr>
      </w:pPr>
      <w:r>
        <w:rPr>
          <w:rFonts w:ascii="Arial" w:cs="Arial" w:eastAsia="Arial" w:hAnsi="Arial"/>
          <w:sz w:val="14"/>
          <w:szCs w:val="14"/>
          <w:color w:val="auto"/>
        </w:rPr>
        <w:t>Target annual cash bonus amounts are prorated for salary changes and target bonus changes throughout 2023.</w:t>
      </w:r>
    </w:p>
    <w:p>
      <w:pPr>
        <w:spacing w:after="0" w:line="37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Mr. Young was not eligible for a 2023 annual cash bonus due to the termination of his employment and the percentage shown above reflects his target annual cash bonus percentage prior to his termination. Mr. Cox was not eligible for a 2023 annual cash bonus because he joined the company in December 2023.</w:t>
      </w:r>
    </w:p>
    <w:p>
      <w:pPr>
        <w:spacing w:after="0" w:line="117"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Potential annual cash bonus payments for our executive officers under the 2023 Cash Bonus Plan (other than Messrs. Cox and Young) ranged from zero to 187.5% of their target annual cash bonus opportunity.</w:t>
      </w:r>
    </w:p>
    <w:p>
      <w:pPr>
        <w:spacing w:after="0" w:line="346" w:lineRule="exact"/>
        <w:rPr>
          <w:sz w:val="20"/>
          <w:szCs w:val="20"/>
          <w:color w:val="auto"/>
        </w:rPr>
      </w:pPr>
    </w:p>
    <w:tbl>
      <w:tblPr>
        <w:tblLayout w:type="fixed"/>
        <w:tblInd w:w="560" w:type="dxa"/>
        <w:tblCellMar>
          <w:top w:w="0" w:type="dxa"/>
          <w:left w:w="0" w:type="dxa"/>
          <w:bottom w:w="0" w:type="dxa"/>
          <w:right w:w="0" w:type="dxa"/>
        </w:tblCellMar>
      </w:tblPr>
      <w:tr>
        <w:trPr>
          <w:trHeight w:val="256"/>
        </w:trPr>
        <w:tc>
          <w:tcPr>
            <w:tcW w:w="1980" w:type="dxa"/>
            <w:vAlign w:val="bottom"/>
            <w:shd w:val="clear" w:color="auto" w:fill="3774B3"/>
          </w:tcPr>
          <w:p>
            <w:pPr>
              <w:jc w:val="center"/>
              <w:spacing w:after="0"/>
              <w:rPr>
                <w:sz w:val="20"/>
                <w:szCs w:val="20"/>
                <w:color w:val="auto"/>
              </w:rPr>
            </w:pPr>
            <w:r>
              <w:rPr>
                <w:rFonts w:ascii="Arial" w:cs="Arial" w:eastAsia="Arial" w:hAnsi="Arial"/>
                <w:sz w:val="16"/>
                <w:szCs w:val="16"/>
                <w:color w:val="FFFFFF"/>
              </w:rPr>
              <w:t>Individual Bonus</w:t>
            </w:r>
          </w:p>
        </w:tc>
        <w:tc>
          <w:tcPr>
            <w:tcW w:w="660" w:type="dxa"/>
            <w:vAlign w:val="bottom"/>
          </w:tcPr>
          <w:p>
            <w:pPr>
              <w:spacing w:after="0"/>
              <w:rPr>
                <w:sz w:val="22"/>
                <w:szCs w:val="22"/>
                <w:color w:val="auto"/>
              </w:rPr>
            </w:pPr>
          </w:p>
        </w:tc>
        <w:tc>
          <w:tcPr>
            <w:tcW w:w="2040" w:type="dxa"/>
            <w:vAlign w:val="bottom"/>
            <w:shd w:val="clear" w:color="auto" w:fill="3774B3"/>
          </w:tcPr>
          <w:p>
            <w:pPr>
              <w:jc w:val="center"/>
              <w:spacing w:after="0"/>
              <w:rPr>
                <w:sz w:val="20"/>
                <w:szCs w:val="20"/>
                <w:color w:val="auto"/>
              </w:rPr>
            </w:pPr>
            <w:r>
              <w:rPr>
                <w:rFonts w:ascii="Arial" w:cs="Arial" w:eastAsia="Arial" w:hAnsi="Arial"/>
                <w:sz w:val="16"/>
                <w:szCs w:val="16"/>
                <w:color w:val="FFFFFF"/>
              </w:rPr>
              <w:t>Corporate</w:t>
            </w:r>
          </w:p>
        </w:tc>
        <w:tc>
          <w:tcPr>
            <w:tcW w:w="700" w:type="dxa"/>
            <w:vAlign w:val="bottom"/>
          </w:tcPr>
          <w:p>
            <w:pPr>
              <w:spacing w:after="0"/>
              <w:rPr>
                <w:sz w:val="22"/>
                <w:szCs w:val="22"/>
                <w:color w:val="auto"/>
              </w:rPr>
            </w:pPr>
          </w:p>
        </w:tc>
        <w:tc>
          <w:tcPr>
            <w:tcW w:w="2040" w:type="dxa"/>
            <w:vAlign w:val="bottom"/>
            <w:shd w:val="clear" w:color="auto" w:fill="3774B3"/>
          </w:tcPr>
          <w:p>
            <w:pPr>
              <w:jc w:val="center"/>
              <w:spacing w:after="0"/>
              <w:rPr>
                <w:sz w:val="20"/>
                <w:szCs w:val="20"/>
                <w:color w:val="auto"/>
              </w:rPr>
            </w:pPr>
            <w:r>
              <w:rPr>
                <w:rFonts w:ascii="Arial" w:cs="Arial" w:eastAsia="Arial" w:hAnsi="Arial"/>
                <w:sz w:val="16"/>
                <w:szCs w:val="16"/>
                <w:color w:val="FFFFFF"/>
              </w:rPr>
              <w:t>Individual</w:t>
            </w:r>
          </w:p>
        </w:tc>
        <w:tc>
          <w:tcPr>
            <w:tcW w:w="680" w:type="dxa"/>
            <w:vAlign w:val="bottom"/>
          </w:tcPr>
          <w:p>
            <w:pPr>
              <w:spacing w:after="0"/>
              <w:rPr>
                <w:sz w:val="22"/>
                <w:szCs w:val="22"/>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rPr>
              <w:t>Bonus Payout</w:t>
            </w:r>
          </w:p>
        </w:tc>
        <w:tc>
          <w:tcPr>
            <w:tcW w:w="0" w:type="dxa"/>
            <w:vAlign w:val="bottom"/>
          </w:tcPr>
          <w:p>
            <w:pPr>
              <w:spacing w:after="0"/>
              <w:rPr>
                <w:sz w:val="1"/>
                <w:szCs w:val="1"/>
                <w:color w:val="auto"/>
              </w:rPr>
            </w:pPr>
          </w:p>
        </w:tc>
      </w:tr>
      <w:tr>
        <w:trPr>
          <w:trHeight w:val="91"/>
        </w:trPr>
        <w:tc>
          <w:tcPr>
            <w:tcW w:w="198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w w:val="95"/>
              </w:rPr>
              <w:t>Target</w:t>
            </w:r>
          </w:p>
        </w:tc>
        <w:tc>
          <w:tcPr>
            <w:tcW w:w="660" w:type="dxa"/>
            <w:vAlign w:val="bottom"/>
          </w:tcPr>
          <w:p>
            <w:pPr>
              <w:spacing w:after="0"/>
              <w:rPr>
                <w:sz w:val="7"/>
                <w:szCs w:val="7"/>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rPr>
              <w:t>Performance</w:t>
            </w:r>
          </w:p>
        </w:tc>
        <w:tc>
          <w:tcPr>
            <w:tcW w:w="700" w:type="dxa"/>
            <w:vAlign w:val="bottom"/>
          </w:tcPr>
          <w:p>
            <w:pPr>
              <w:spacing w:after="0"/>
              <w:rPr>
                <w:sz w:val="7"/>
                <w:szCs w:val="7"/>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rPr>
              <w:t>Performance</w:t>
            </w:r>
          </w:p>
        </w:tc>
        <w:tc>
          <w:tcPr>
            <w:tcW w:w="680" w:type="dxa"/>
            <w:vAlign w:val="bottom"/>
          </w:tcPr>
          <w:p>
            <w:pPr>
              <w:spacing w:after="0"/>
              <w:rPr>
                <w:sz w:val="7"/>
                <w:szCs w:val="7"/>
                <w:color w:val="auto"/>
              </w:rPr>
            </w:pPr>
          </w:p>
        </w:tc>
        <w:tc>
          <w:tcPr>
            <w:tcW w:w="2040" w:type="dxa"/>
            <w:vAlign w:val="bottom"/>
            <w:vMerge w:val="continue"/>
            <w:shd w:val="clear" w:color="auto" w:fill="3774B3"/>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shd w:val="clear" w:color="auto" w:fill="3774B3"/>
          </w:tcPr>
          <w:p>
            <w:pPr>
              <w:spacing w:after="0"/>
              <w:rPr>
                <w:sz w:val="9"/>
                <w:szCs w:val="9"/>
                <w:color w:val="auto"/>
              </w:rPr>
            </w:pPr>
          </w:p>
        </w:tc>
        <w:tc>
          <w:tcPr>
            <w:tcW w:w="660" w:type="dxa"/>
            <w:vAlign w:val="bottom"/>
          </w:tcPr>
          <w:p>
            <w:pPr>
              <w:spacing w:after="0"/>
              <w:rPr>
                <w:sz w:val="9"/>
                <w:szCs w:val="9"/>
                <w:color w:val="auto"/>
              </w:rPr>
            </w:pPr>
          </w:p>
        </w:tc>
        <w:tc>
          <w:tcPr>
            <w:tcW w:w="2040" w:type="dxa"/>
            <w:vAlign w:val="bottom"/>
            <w:vMerge w:val="continue"/>
            <w:shd w:val="clear" w:color="auto" w:fill="3774B3"/>
          </w:tcPr>
          <w:p>
            <w:pPr>
              <w:spacing w:after="0"/>
              <w:rPr>
                <w:sz w:val="9"/>
                <w:szCs w:val="9"/>
                <w:color w:val="auto"/>
              </w:rPr>
            </w:pPr>
          </w:p>
        </w:tc>
        <w:tc>
          <w:tcPr>
            <w:tcW w:w="700" w:type="dxa"/>
            <w:vAlign w:val="bottom"/>
          </w:tcPr>
          <w:p>
            <w:pPr>
              <w:spacing w:after="0"/>
              <w:rPr>
                <w:sz w:val="9"/>
                <w:szCs w:val="9"/>
                <w:color w:val="auto"/>
              </w:rPr>
            </w:pPr>
          </w:p>
        </w:tc>
        <w:tc>
          <w:tcPr>
            <w:tcW w:w="2040" w:type="dxa"/>
            <w:vAlign w:val="bottom"/>
            <w:vMerge w:val="continue"/>
            <w:shd w:val="clear" w:color="auto" w:fill="3774B3"/>
          </w:tcPr>
          <w:p>
            <w:pPr>
              <w:spacing w:after="0"/>
              <w:rPr>
                <w:sz w:val="9"/>
                <w:szCs w:val="9"/>
                <w:color w:val="auto"/>
              </w:rPr>
            </w:pPr>
          </w:p>
        </w:tc>
        <w:tc>
          <w:tcPr>
            <w:tcW w:w="680" w:type="dxa"/>
            <w:vAlign w:val="bottom"/>
          </w:tcPr>
          <w:p>
            <w:pPr>
              <w:spacing w:after="0"/>
              <w:rPr>
                <w:sz w:val="9"/>
                <w:szCs w:val="9"/>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5"/>
              </w:rPr>
              <w:t>0% - 187.5% of Target</w:t>
            </w:r>
          </w:p>
        </w:tc>
        <w:tc>
          <w:tcPr>
            <w:tcW w:w="0" w:type="dxa"/>
            <w:vAlign w:val="bottom"/>
          </w:tcPr>
          <w:p>
            <w:pPr>
              <w:spacing w:after="0"/>
              <w:rPr>
                <w:sz w:val="1"/>
                <w:szCs w:val="1"/>
                <w:color w:val="auto"/>
              </w:rPr>
            </w:pPr>
          </w:p>
        </w:tc>
      </w:tr>
      <w:tr>
        <w:trPr>
          <w:trHeight w:val="58"/>
        </w:trPr>
        <w:tc>
          <w:tcPr>
            <w:tcW w:w="198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6"/>
              </w:rPr>
              <w:t>% of Salary</w:t>
            </w:r>
          </w:p>
        </w:tc>
        <w:tc>
          <w:tcPr>
            <w:tcW w:w="660" w:type="dxa"/>
            <w:vAlign w:val="bottom"/>
          </w:tcPr>
          <w:p>
            <w:pPr>
              <w:spacing w:after="0"/>
              <w:rPr>
                <w:sz w:val="5"/>
                <w:szCs w:val="5"/>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7"/>
              </w:rPr>
              <w:t>0% - 125%</w:t>
            </w:r>
          </w:p>
        </w:tc>
        <w:tc>
          <w:tcPr>
            <w:tcW w:w="700" w:type="dxa"/>
            <w:vAlign w:val="bottom"/>
          </w:tcPr>
          <w:p>
            <w:pPr>
              <w:spacing w:after="0"/>
              <w:rPr>
                <w:sz w:val="5"/>
                <w:szCs w:val="5"/>
                <w:color w:val="auto"/>
              </w:rPr>
            </w:pPr>
          </w:p>
        </w:tc>
        <w:tc>
          <w:tcPr>
            <w:tcW w:w="204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6"/>
              </w:rPr>
              <w:t>0% -150%</w:t>
            </w:r>
          </w:p>
        </w:tc>
        <w:tc>
          <w:tcPr>
            <w:tcW w:w="680" w:type="dxa"/>
            <w:vAlign w:val="bottom"/>
          </w:tcPr>
          <w:p>
            <w:pPr>
              <w:spacing w:after="0"/>
              <w:rPr>
                <w:sz w:val="5"/>
                <w:szCs w:val="5"/>
                <w:color w:val="auto"/>
              </w:rPr>
            </w:pPr>
          </w:p>
        </w:tc>
        <w:tc>
          <w:tcPr>
            <w:tcW w:w="2040" w:type="dxa"/>
            <w:vAlign w:val="bottom"/>
            <w:vMerge w:val="continue"/>
            <w:shd w:val="clear" w:color="auto" w:fill="3774B3"/>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shd w:val="clear" w:color="auto" w:fill="3774B3"/>
          </w:tcPr>
          <w:p>
            <w:pPr>
              <w:spacing w:after="0"/>
              <w:rPr>
                <w:sz w:val="9"/>
                <w:szCs w:val="9"/>
                <w:color w:val="auto"/>
              </w:rPr>
            </w:pPr>
          </w:p>
        </w:tc>
        <w:tc>
          <w:tcPr>
            <w:tcW w:w="660" w:type="dxa"/>
            <w:vAlign w:val="bottom"/>
          </w:tcPr>
          <w:p>
            <w:pPr>
              <w:spacing w:after="0"/>
              <w:rPr>
                <w:sz w:val="9"/>
                <w:szCs w:val="9"/>
                <w:color w:val="auto"/>
              </w:rPr>
            </w:pPr>
          </w:p>
        </w:tc>
        <w:tc>
          <w:tcPr>
            <w:tcW w:w="2040" w:type="dxa"/>
            <w:vAlign w:val="bottom"/>
            <w:vMerge w:val="continue"/>
            <w:shd w:val="clear" w:color="auto" w:fill="3774B3"/>
          </w:tcPr>
          <w:p>
            <w:pPr>
              <w:spacing w:after="0"/>
              <w:rPr>
                <w:sz w:val="9"/>
                <w:szCs w:val="9"/>
                <w:color w:val="auto"/>
              </w:rPr>
            </w:pPr>
          </w:p>
        </w:tc>
        <w:tc>
          <w:tcPr>
            <w:tcW w:w="700" w:type="dxa"/>
            <w:vAlign w:val="bottom"/>
          </w:tcPr>
          <w:p>
            <w:pPr>
              <w:spacing w:after="0"/>
              <w:rPr>
                <w:sz w:val="9"/>
                <w:szCs w:val="9"/>
                <w:color w:val="auto"/>
              </w:rPr>
            </w:pPr>
          </w:p>
        </w:tc>
        <w:tc>
          <w:tcPr>
            <w:tcW w:w="2040" w:type="dxa"/>
            <w:vAlign w:val="bottom"/>
            <w:vMerge w:val="continue"/>
            <w:shd w:val="clear" w:color="auto" w:fill="3774B3"/>
          </w:tcPr>
          <w:p>
            <w:pPr>
              <w:spacing w:after="0"/>
              <w:rPr>
                <w:sz w:val="9"/>
                <w:szCs w:val="9"/>
                <w:color w:val="auto"/>
              </w:rPr>
            </w:pPr>
          </w:p>
        </w:tc>
        <w:tc>
          <w:tcPr>
            <w:tcW w:w="680" w:type="dxa"/>
            <w:vAlign w:val="bottom"/>
          </w:tcPr>
          <w:p>
            <w:pPr>
              <w:spacing w:after="0"/>
              <w:rPr>
                <w:sz w:val="9"/>
                <w:szCs w:val="9"/>
                <w:color w:val="auto"/>
              </w:rPr>
            </w:pPr>
          </w:p>
        </w:tc>
        <w:tc>
          <w:tcPr>
            <w:tcW w:w="2040" w:type="dxa"/>
            <w:vAlign w:val="bottom"/>
            <w:shd w:val="clear" w:color="auto" w:fill="3774B3"/>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980" w:type="dxa"/>
            <w:vAlign w:val="bottom"/>
            <w:shd w:val="clear" w:color="auto" w:fill="3774B3"/>
          </w:tcPr>
          <w:p>
            <w:pPr>
              <w:spacing w:after="0"/>
              <w:rPr>
                <w:sz w:val="7"/>
                <w:szCs w:val="7"/>
                <w:color w:val="auto"/>
              </w:rPr>
            </w:pPr>
          </w:p>
        </w:tc>
        <w:tc>
          <w:tcPr>
            <w:tcW w:w="660" w:type="dxa"/>
            <w:vAlign w:val="bottom"/>
          </w:tcPr>
          <w:p>
            <w:pPr>
              <w:spacing w:after="0"/>
              <w:rPr>
                <w:sz w:val="7"/>
                <w:szCs w:val="7"/>
                <w:color w:val="auto"/>
              </w:rPr>
            </w:pPr>
          </w:p>
        </w:tc>
        <w:tc>
          <w:tcPr>
            <w:tcW w:w="2040" w:type="dxa"/>
            <w:vAlign w:val="bottom"/>
            <w:shd w:val="clear" w:color="auto" w:fill="3774B3"/>
          </w:tcPr>
          <w:p>
            <w:pPr>
              <w:spacing w:after="0"/>
              <w:rPr>
                <w:sz w:val="7"/>
                <w:szCs w:val="7"/>
                <w:color w:val="auto"/>
              </w:rPr>
            </w:pPr>
          </w:p>
        </w:tc>
        <w:tc>
          <w:tcPr>
            <w:tcW w:w="700" w:type="dxa"/>
            <w:vAlign w:val="bottom"/>
          </w:tcPr>
          <w:p>
            <w:pPr>
              <w:spacing w:after="0"/>
              <w:rPr>
                <w:sz w:val="7"/>
                <w:szCs w:val="7"/>
                <w:color w:val="auto"/>
              </w:rPr>
            </w:pPr>
          </w:p>
        </w:tc>
        <w:tc>
          <w:tcPr>
            <w:tcW w:w="2040" w:type="dxa"/>
            <w:vAlign w:val="bottom"/>
            <w:shd w:val="clear" w:color="auto" w:fill="3774B3"/>
          </w:tcPr>
          <w:p>
            <w:pPr>
              <w:spacing w:after="0"/>
              <w:rPr>
                <w:sz w:val="7"/>
                <w:szCs w:val="7"/>
                <w:color w:val="auto"/>
              </w:rPr>
            </w:pPr>
          </w:p>
        </w:tc>
        <w:tc>
          <w:tcPr>
            <w:tcW w:w="680" w:type="dxa"/>
            <w:vAlign w:val="bottom"/>
          </w:tcPr>
          <w:p>
            <w:pPr>
              <w:spacing w:after="0"/>
              <w:rPr>
                <w:sz w:val="7"/>
                <w:szCs w:val="7"/>
                <w:color w:val="auto"/>
              </w:rPr>
            </w:pPr>
          </w:p>
        </w:tc>
        <w:tc>
          <w:tcPr>
            <w:tcW w:w="2040" w:type="dxa"/>
            <w:vAlign w:val="bottom"/>
            <w:shd w:val="clear" w:color="auto" w:fill="3774B3"/>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-316865</wp:posOffset>
            </wp:positionV>
            <wp:extent cx="120015" cy="120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-316865</wp:posOffset>
            </wp:positionV>
            <wp:extent cx="120015" cy="1200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 cy="1200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-307975</wp:posOffset>
            </wp:positionV>
            <wp:extent cx="120015" cy="1111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102870</wp:posOffset>
            </wp:positionV>
            <wp:extent cx="2245995" cy="2317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4599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80" w:type="dxa"/>
        <w:tblCellMar>
          <w:top w:w="0" w:type="dxa"/>
          <w:left w:w="0" w:type="dxa"/>
          <w:bottom w:w="0" w:type="dxa"/>
          <w:right w:w="0" w:type="dxa"/>
        </w:tblCellMar>
      </w:tblPr>
      <w:tr>
        <w:trPr>
          <w:trHeight w:val="256"/>
        </w:trPr>
        <w:tc>
          <w:tcPr>
            <w:tcW w:w="202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w w:val="99"/>
              </w:rPr>
              <w:t>Revenue</w:t>
            </w:r>
          </w:p>
        </w:tc>
        <w:tc>
          <w:tcPr>
            <w:tcW w:w="240" w:type="dxa"/>
            <w:vAlign w:val="bottom"/>
          </w:tcPr>
          <w:p>
            <w:pPr>
              <w:spacing w:after="0"/>
              <w:rPr>
                <w:sz w:val="22"/>
                <w:szCs w:val="22"/>
                <w:color w:val="auto"/>
              </w:rPr>
            </w:pPr>
          </w:p>
        </w:tc>
        <w:tc>
          <w:tcPr>
            <w:tcW w:w="2060" w:type="dxa"/>
            <w:vAlign w:val="bottom"/>
            <w:shd w:val="clear" w:color="auto" w:fill="3774B3"/>
          </w:tcPr>
          <w:p>
            <w:pPr>
              <w:jc w:val="center"/>
              <w:spacing w:after="0"/>
              <w:rPr>
                <w:sz w:val="20"/>
                <w:szCs w:val="20"/>
                <w:color w:val="auto"/>
              </w:rPr>
            </w:pPr>
            <w:r>
              <w:rPr>
                <w:rFonts w:ascii="Arial" w:cs="Arial" w:eastAsia="Arial" w:hAnsi="Arial"/>
                <w:sz w:val="16"/>
                <w:szCs w:val="16"/>
                <w:color w:val="FFFFFF"/>
              </w:rPr>
              <w:t>Non-GAAP</w:t>
            </w:r>
          </w:p>
        </w:tc>
        <w:tc>
          <w:tcPr>
            <w:tcW w:w="0" w:type="dxa"/>
            <w:vAlign w:val="bottom"/>
          </w:tcPr>
          <w:p>
            <w:pPr>
              <w:spacing w:after="0"/>
              <w:rPr>
                <w:sz w:val="1"/>
                <w:szCs w:val="1"/>
                <w:color w:val="auto"/>
              </w:rPr>
            </w:pPr>
          </w:p>
        </w:tc>
      </w:tr>
      <w:tr>
        <w:trPr>
          <w:trHeight w:val="91"/>
        </w:trPr>
        <w:tc>
          <w:tcPr>
            <w:tcW w:w="2020" w:type="dxa"/>
            <w:vAlign w:val="bottom"/>
            <w:vMerge w:val="continue"/>
            <w:shd w:val="clear" w:color="auto" w:fill="3774B3"/>
          </w:tcPr>
          <w:p>
            <w:pPr>
              <w:spacing w:after="0"/>
              <w:rPr>
                <w:sz w:val="7"/>
                <w:szCs w:val="7"/>
                <w:color w:val="auto"/>
              </w:rPr>
            </w:pPr>
          </w:p>
        </w:tc>
        <w:tc>
          <w:tcPr>
            <w:tcW w:w="240" w:type="dxa"/>
            <w:vAlign w:val="bottom"/>
          </w:tcPr>
          <w:p>
            <w:pPr>
              <w:spacing w:after="0"/>
              <w:rPr>
                <w:sz w:val="7"/>
                <w:szCs w:val="7"/>
                <w:color w:val="auto"/>
              </w:rPr>
            </w:pPr>
          </w:p>
        </w:tc>
        <w:tc>
          <w:tcPr>
            <w:tcW w:w="2060" w:type="dxa"/>
            <w:vAlign w:val="bottom"/>
            <w:vMerge w:val="restart"/>
            <w:shd w:val="clear" w:color="auto" w:fill="3774B3"/>
          </w:tcPr>
          <w:p>
            <w:pPr>
              <w:jc w:val="center"/>
              <w:spacing w:after="0"/>
              <w:rPr>
                <w:sz w:val="20"/>
                <w:szCs w:val="20"/>
                <w:color w:val="auto"/>
              </w:rPr>
            </w:pPr>
            <w:r>
              <w:rPr>
                <w:rFonts w:ascii="Arial" w:cs="Arial" w:eastAsia="Arial" w:hAnsi="Arial"/>
                <w:sz w:val="16"/>
                <w:szCs w:val="16"/>
                <w:color w:val="FFFFFF"/>
              </w:rPr>
              <w:t>Operating Margin</w:t>
            </w:r>
          </w:p>
        </w:tc>
        <w:tc>
          <w:tcPr>
            <w:tcW w:w="0" w:type="dxa"/>
            <w:vAlign w:val="bottom"/>
          </w:tcPr>
          <w:p>
            <w:pPr>
              <w:spacing w:after="0"/>
              <w:rPr>
                <w:sz w:val="1"/>
                <w:szCs w:val="1"/>
                <w:color w:val="auto"/>
              </w:rPr>
            </w:pPr>
          </w:p>
        </w:tc>
      </w:tr>
      <w:tr>
        <w:trPr>
          <w:trHeight w:val="108"/>
        </w:trPr>
        <w:tc>
          <w:tcPr>
            <w:tcW w:w="202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4"/>
              </w:rPr>
              <w:t>(67% weight)</w:t>
            </w:r>
          </w:p>
        </w:tc>
        <w:tc>
          <w:tcPr>
            <w:tcW w:w="240" w:type="dxa"/>
            <w:vAlign w:val="bottom"/>
          </w:tcPr>
          <w:p>
            <w:pPr>
              <w:spacing w:after="0"/>
              <w:rPr>
                <w:sz w:val="9"/>
                <w:szCs w:val="9"/>
                <w:color w:val="auto"/>
              </w:rPr>
            </w:pPr>
          </w:p>
        </w:tc>
        <w:tc>
          <w:tcPr>
            <w:tcW w:w="2060" w:type="dxa"/>
            <w:vAlign w:val="bottom"/>
            <w:vMerge w:val="continue"/>
            <w:shd w:val="clear" w:color="auto" w:fill="3774B3"/>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20" w:type="dxa"/>
            <w:vAlign w:val="bottom"/>
            <w:vMerge w:val="continue"/>
            <w:shd w:val="clear" w:color="auto" w:fill="3774B3"/>
          </w:tcPr>
          <w:p>
            <w:pPr>
              <w:spacing w:after="0"/>
              <w:rPr>
                <w:sz w:val="5"/>
                <w:szCs w:val="5"/>
                <w:color w:val="auto"/>
              </w:rPr>
            </w:pPr>
          </w:p>
        </w:tc>
        <w:tc>
          <w:tcPr>
            <w:tcW w:w="240" w:type="dxa"/>
            <w:vAlign w:val="bottom"/>
          </w:tcPr>
          <w:p>
            <w:pPr>
              <w:spacing w:after="0"/>
              <w:rPr>
                <w:sz w:val="5"/>
                <w:szCs w:val="5"/>
                <w:color w:val="auto"/>
              </w:rPr>
            </w:pPr>
          </w:p>
        </w:tc>
        <w:tc>
          <w:tcPr>
            <w:tcW w:w="2060" w:type="dxa"/>
            <w:vAlign w:val="bottom"/>
            <w:vMerge w:val="restart"/>
            <w:shd w:val="clear" w:color="auto" w:fill="3774B3"/>
          </w:tcPr>
          <w:p>
            <w:pPr>
              <w:jc w:val="center"/>
              <w:spacing w:after="0"/>
              <w:rPr>
                <w:sz w:val="20"/>
                <w:szCs w:val="20"/>
                <w:color w:val="auto"/>
              </w:rPr>
            </w:pPr>
            <w:r>
              <w:rPr>
                <w:rFonts w:ascii="Arial" w:cs="Arial" w:eastAsia="Arial" w:hAnsi="Arial"/>
                <w:sz w:val="13"/>
                <w:szCs w:val="13"/>
                <w:color w:val="FFFFFF"/>
                <w:w w:val="94"/>
              </w:rPr>
              <w:t>(33% weight)</w:t>
            </w:r>
          </w:p>
        </w:tc>
        <w:tc>
          <w:tcPr>
            <w:tcW w:w="0" w:type="dxa"/>
            <w:vAlign w:val="bottom"/>
          </w:tcPr>
          <w:p>
            <w:pPr>
              <w:spacing w:after="0"/>
              <w:rPr>
                <w:sz w:val="1"/>
                <w:szCs w:val="1"/>
                <w:color w:val="auto"/>
              </w:rPr>
            </w:pPr>
          </w:p>
        </w:tc>
      </w:tr>
      <w:tr>
        <w:trPr>
          <w:trHeight w:val="108"/>
        </w:trPr>
        <w:tc>
          <w:tcPr>
            <w:tcW w:w="2020" w:type="dxa"/>
            <w:vAlign w:val="bottom"/>
            <w:shd w:val="clear" w:color="auto" w:fill="3774B3"/>
          </w:tcPr>
          <w:p>
            <w:pPr>
              <w:spacing w:after="0"/>
              <w:rPr>
                <w:sz w:val="9"/>
                <w:szCs w:val="9"/>
                <w:color w:val="auto"/>
              </w:rPr>
            </w:pPr>
          </w:p>
        </w:tc>
        <w:tc>
          <w:tcPr>
            <w:tcW w:w="240" w:type="dxa"/>
            <w:vAlign w:val="bottom"/>
          </w:tcPr>
          <w:p>
            <w:pPr>
              <w:spacing w:after="0"/>
              <w:rPr>
                <w:sz w:val="9"/>
                <w:szCs w:val="9"/>
                <w:color w:val="auto"/>
              </w:rPr>
            </w:pPr>
          </w:p>
        </w:tc>
        <w:tc>
          <w:tcPr>
            <w:tcW w:w="2060" w:type="dxa"/>
            <w:vAlign w:val="bottom"/>
            <w:vMerge w:val="continue"/>
            <w:shd w:val="clear" w:color="auto" w:fill="3774B3"/>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20" w:type="dxa"/>
            <w:vAlign w:val="bottom"/>
            <w:shd w:val="clear" w:color="auto" w:fill="3774B3"/>
          </w:tcPr>
          <w:p>
            <w:pPr>
              <w:spacing w:after="0"/>
              <w:rPr>
                <w:sz w:val="7"/>
                <w:szCs w:val="7"/>
                <w:color w:val="auto"/>
              </w:rPr>
            </w:pPr>
          </w:p>
        </w:tc>
        <w:tc>
          <w:tcPr>
            <w:tcW w:w="240" w:type="dxa"/>
            <w:vAlign w:val="bottom"/>
          </w:tcPr>
          <w:p>
            <w:pPr>
              <w:spacing w:after="0"/>
              <w:rPr>
                <w:sz w:val="7"/>
                <w:szCs w:val="7"/>
                <w:color w:val="auto"/>
              </w:rPr>
            </w:pPr>
          </w:p>
        </w:tc>
        <w:tc>
          <w:tcPr>
            <w:tcW w:w="2060" w:type="dxa"/>
            <w:vAlign w:val="bottom"/>
            <w:shd w:val="clear" w:color="auto" w:fill="3774B3"/>
          </w:tcPr>
          <w:p>
            <w:pPr>
              <w:spacing w:after="0"/>
              <w:rPr>
                <w:sz w:val="7"/>
                <w:szCs w:val="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u w:val="single" w:color="auto"/>
          <w:color w:val="auto"/>
        </w:rPr>
        <w:t>Corporate Performance Measure</w:t>
      </w:r>
    </w:p>
    <w:p>
      <w:pPr>
        <w:spacing w:after="0" w:line="16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talent and compensation committee approved annual revenue (weighted 67%) and non-GAAP operating margin (weighted 33%) as components of the corporate performance measure under the 2023 Cash Bonus Plan because we believe incorporating both annual revenue and non-GAAP operating margin aligns with our emphasis on driving profitable growth. For purposes of the 2023 Cash Bonus Plan, “annual revenue” was calculated by excluding the impact of foreign exchange from our annual revenue reflected in our audited financial statements for the 2023 fiscal year. For purposes of the 2023 Cash Bonus plan, “non-GAAP operating margin” was calculated by excluding the impact of stock-based compensation expense, acquisition-related and other expenses, amortization of acquired intangible assets, workforce reduction expenses and net gains and losses on real estate assets.</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April 2023, the talent and compensation committee set the target performance levels under the 2023 Cash Bonus Plan at (i) $2,584 million for annual revenue and (ii) 31.0% for non-GAAP operating margin. In addition, the talent and compensation committee approved the performance matrix for funding the 2023 Cash Bonus Plan (as described below), with a 10% reduction to actual payouts to our named executive officers if the company’s stock-based compensation expense exceeded $353 million for the 2023 fiscal year.</w:t>
      </w:r>
    </w:p>
    <w:p>
      <w:pPr>
        <w:spacing w:after="0" w:line="12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With respect to the annual revenue component, the bonus funding was 0% if we did not achieve annual revenue at the threshold revenue performance level. At 97% of the target revenue performance level, the annual revenue bonus funding percentage was 75%. For annual revenue above the 97% of target performance level and below 98% the target performance level, the annual revenue bonus funding percentage increased linearly up to an annual revenue bonus funding percentage of 95%. For revenue performance ± 2% of the target revenue number, the annual revenue bonus funding percentage increased linearly from 95% to 105%. For revenue performance from 102% of the target revenue performance level to 103% of the target revenue performance level, the annual revenue bonus funding percentage increased linearly up to 125%. The maximum annual revenue bonus funding percentage is 125%.</w:t>
      </w:r>
    </w:p>
    <w:p>
      <w:pPr>
        <w:spacing w:after="0" w:line="11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With respect to the non-GAAP operating margin component, the bonus funding was 0% if we did not achieve non-GAAP operating margin at the threshold performance level of 28%. At the threshold non-GAAP operating margin performance level, the non-GAAP operating margin bonus funding percentage was 75%. For non-GAAP operating margin above the threshold performance level, the non-GAAP operating margin bonus funding percentage increased linearly up to the maximum non-GAAP operating margin bonus funding percentage of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40575" cy="3175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0575" cy="317500"/>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shd w:val="clear" w:color="auto" w:fill="0063A6"/>
          </w:tcPr>
          <w:p>
            <w:pPr>
              <w:spacing w:after="0"/>
              <w:rPr>
                <w:sz w:val="19"/>
                <w:szCs w:val="19"/>
                <w:color w:val="auto"/>
              </w:rPr>
            </w:pPr>
          </w:p>
        </w:tc>
        <w:tc>
          <w:tcPr>
            <w:tcW w:w="2640" w:type="dxa"/>
            <w:vAlign w:val="bottom"/>
            <w:shd w:val="clear" w:color="auto" w:fill="0063A6"/>
          </w:tcPr>
          <w:p>
            <w:pPr>
              <w:jc w:val="center"/>
              <w:ind w:left="1062"/>
              <w:spacing w:after="0"/>
              <w:rPr>
                <w:sz w:val="20"/>
                <w:szCs w:val="20"/>
                <w:color w:val="auto"/>
              </w:rPr>
            </w:pPr>
            <w:r>
              <w:rPr>
                <w:rFonts w:ascii="Arial" w:cs="Arial" w:eastAsia="Arial" w:hAnsi="Arial"/>
                <w:sz w:val="14"/>
                <w:szCs w:val="14"/>
                <w:b w:val="1"/>
                <w:bCs w:val="1"/>
                <w:color w:val="FFFFFF"/>
                <w:w w:val="98"/>
              </w:rPr>
              <w:t>Weight</w:t>
            </w:r>
          </w:p>
        </w:tc>
        <w:tc>
          <w:tcPr>
            <w:tcW w:w="1700" w:type="dxa"/>
            <w:vAlign w:val="bottom"/>
            <w:shd w:val="clear" w:color="auto" w:fill="0063A6"/>
          </w:tcPr>
          <w:p>
            <w:pPr>
              <w:ind w:left="500"/>
              <w:spacing w:after="0"/>
              <w:rPr>
                <w:sz w:val="20"/>
                <w:szCs w:val="20"/>
                <w:color w:val="auto"/>
              </w:rPr>
            </w:pPr>
            <w:r>
              <w:rPr>
                <w:rFonts w:ascii="Arial" w:cs="Arial" w:eastAsia="Arial" w:hAnsi="Arial"/>
                <w:sz w:val="14"/>
                <w:szCs w:val="14"/>
                <w:b w:val="1"/>
                <w:bCs w:val="1"/>
                <w:color w:val="FFFFFF"/>
              </w:rPr>
              <w:t>Threshold</w:t>
            </w:r>
          </w:p>
        </w:tc>
        <w:tc>
          <w:tcPr>
            <w:tcW w:w="1500" w:type="dxa"/>
            <w:vAlign w:val="bottom"/>
            <w:shd w:val="clear" w:color="auto" w:fill="0063A6"/>
          </w:tcPr>
          <w:p>
            <w:pPr>
              <w:ind w:left="520"/>
              <w:spacing w:after="0"/>
              <w:rPr>
                <w:sz w:val="20"/>
                <w:szCs w:val="20"/>
                <w:color w:val="auto"/>
              </w:rPr>
            </w:pPr>
            <w:r>
              <w:rPr>
                <w:rFonts w:ascii="Arial" w:cs="Arial" w:eastAsia="Arial" w:hAnsi="Arial"/>
                <w:sz w:val="14"/>
                <w:szCs w:val="14"/>
                <w:b w:val="1"/>
                <w:bCs w:val="1"/>
                <w:color w:val="FFFFFF"/>
              </w:rPr>
              <w:t>Target</w:t>
            </w:r>
          </w:p>
        </w:tc>
        <w:tc>
          <w:tcPr>
            <w:tcW w:w="1620" w:type="dxa"/>
            <w:vAlign w:val="bottom"/>
            <w:shd w:val="clear" w:color="auto" w:fill="0063A6"/>
          </w:tcPr>
          <w:p>
            <w:pPr>
              <w:ind w:left="500"/>
              <w:spacing w:after="0"/>
              <w:rPr>
                <w:sz w:val="20"/>
                <w:szCs w:val="20"/>
                <w:color w:val="auto"/>
              </w:rPr>
            </w:pPr>
            <w:r>
              <w:rPr>
                <w:rFonts w:ascii="Arial" w:cs="Arial" w:eastAsia="Arial" w:hAnsi="Arial"/>
                <w:sz w:val="14"/>
                <w:szCs w:val="14"/>
                <w:b w:val="1"/>
                <w:bCs w:val="1"/>
                <w:color w:val="FFFFFF"/>
              </w:rPr>
              <w:t>Maximum</w:t>
            </w:r>
          </w:p>
        </w:tc>
      </w:tr>
      <w:tr>
        <w:trPr>
          <w:trHeight w:val="236"/>
        </w:trPr>
        <w:tc>
          <w:tcPr>
            <w:tcW w:w="378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color w:val="auto"/>
              </w:rPr>
              <w:t>Revenue ($M)</w:t>
            </w:r>
          </w:p>
        </w:tc>
        <w:tc>
          <w:tcPr>
            <w:tcW w:w="2640" w:type="dxa"/>
            <w:vAlign w:val="bottom"/>
            <w:tcBorders>
              <w:bottom w:val="single" w:sz="8" w:color="F2F2F2"/>
            </w:tcBorders>
            <w:shd w:val="clear" w:color="auto" w:fill="F2F2F2"/>
          </w:tcPr>
          <w:p>
            <w:pPr>
              <w:jc w:val="center"/>
              <w:ind w:left="1062"/>
              <w:spacing w:after="0"/>
              <w:rPr>
                <w:sz w:val="20"/>
                <w:szCs w:val="20"/>
                <w:color w:val="auto"/>
              </w:rPr>
            </w:pPr>
            <w:r>
              <w:rPr>
                <w:rFonts w:ascii="Arial" w:cs="Arial" w:eastAsia="Arial" w:hAnsi="Arial"/>
                <w:sz w:val="16"/>
                <w:szCs w:val="16"/>
                <w:color w:val="auto"/>
              </w:rPr>
              <w:t>67%</w:t>
            </w:r>
          </w:p>
        </w:tc>
        <w:tc>
          <w:tcPr>
            <w:tcW w:w="1700" w:type="dxa"/>
            <w:vAlign w:val="bottom"/>
            <w:tcBorders>
              <w:bottom w:val="single" w:sz="8" w:color="F2F2F2"/>
            </w:tcBorders>
            <w:shd w:val="clear" w:color="auto" w:fill="F2F2F2"/>
          </w:tcPr>
          <w:p>
            <w:pPr>
              <w:jc w:val="right"/>
              <w:ind w:right="522"/>
              <w:spacing w:after="0"/>
              <w:rPr>
                <w:sz w:val="20"/>
                <w:szCs w:val="20"/>
                <w:color w:val="auto"/>
              </w:rPr>
            </w:pPr>
            <w:r>
              <w:rPr>
                <w:rFonts w:ascii="Arial" w:cs="Arial" w:eastAsia="Arial" w:hAnsi="Arial"/>
                <w:sz w:val="16"/>
                <w:szCs w:val="16"/>
                <w:color w:val="auto"/>
              </w:rPr>
              <w:t>$2,506</w:t>
            </w:r>
          </w:p>
        </w:tc>
        <w:tc>
          <w:tcPr>
            <w:tcW w:w="1500" w:type="dxa"/>
            <w:vAlign w:val="bottom"/>
            <w:tcBorders>
              <w:bottom w:val="single" w:sz="8" w:color="F2F2F2"/>
            </w:tcBorders>
            <w:shd w:val="clear" w:color="auto" w:fill="F2F2F2"/>
          </w:tcPr>
          <w:p>
            <w:pPr>
              <w:jc w:val="right"/>
              <w:ind w:right="442"/>
              <w:spacing w:after="0"/>
              <w:rPr>
                <w:sz w:val="20"/>
                <w:szCs w:val="20"/>
                <w:color w:val="auto"/>
              </w:rPr>
            </w:pPr>
            <w:r>
              <w:rPr>
                <w:rFonts w:ascii="Arial" w:cs="Arial" w:eastAsia="Arial" w:hAnsi="Arial"/>
                <w:sz w:val="16"/>
                <w:szCs w:val="16"/>
                <w:color w:val="auto"/>
              </w:rPr>
              <w:t>$2,584</w:t>
            </w:r>
          </w:p>
        </w:tc>
        <w:tc>
          <w:tcPr>
            <w:tcW w:w="1620" w:type="dxa"/>
            <w:vAlign w:val="bottom"/>
            <w:tcBorders>
              <w:bottom w:val="single" w:sz="8" w:color="F2F2F2"/>
            </w:tcBorders>
            <w:shd w:val="clear" w:color="auto" w:fill="F2F2F2"/>
          </w:tcPr>
          <w:p>
            <w:pPr>
              <w:jc w:val="right"/>
              <w:ind w:right="462"/>
              <w:spacing w:after="0"/>
              <w:rPr>
                <w:sz w:val="20"/>
                <w:szCs w:val="20"/>
                <w:color w:val="auto"/>
              </w:rPr>
            </w:pPr>
            <w:r>
              <w:rPr>
                <w:rFonts w:ascii="Arial" w:cs="Arial" w:eastAsia="Arial" w:hAnsi="Arial"/>
                <w:sz w:val="16"/>
                <w:szCs w:val="16"/>
                <w:color w:val="auto"/>
              </w:rPr>
              <w:t>$2,662</w:t>
            </w:r>
          </w:p>
        </w:tc>
      </w:tr>
      <w:tr>
        <w:trPr>
          <w:trHeight w:val="228"/>
        </w:trPr>
        <w:tc>
          <w:tcPr>
            <w:tcW w:w="378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2640" w:type="dxa"/>
            <w:vAlign w:val="bottom"/>
          </w:tcPr>
          <w:p>
            <w:pPr>
              <w:jc w:val="center"/>
              <w:ind w:left="1062"/>
              <w:spacing w:after="0"/>
              <w:rPr>
                <w:sz w:val="20"/>
                <w:szCs w:val="20"/>
                <w:color w:val="auto"/>
              </w:rPr>
            </w:pPr>
            <w:r>
              <w:rPr>
                <w:rFonts w:ascii="Arial" w:cs="Arial" w:eastAsia="Arial" w:hAnsi="Arial"/>
                <w:sz w:val="16"/>
                <w:szCs w:val="16"/>
                <w:color w:val="auto"/>
              </w:rPr>
              <w:t>33%</w:t>
            </w:r>
          </w:p>
        </w:tc>
        <w:tc>
          <w:tcPr>
            <w:tcW w:w="1700" w:type="dxa"/>
            <w:vAlign w:val="bottom"/>
          </w:tcPr>
          <w:p>
            <w:pPr>
              <w:jc w:val="right"/>
              <w:ind w:right="542"/>
              <w:spacing w:after="0"/>
              <w:rPr>
                <w:sz w:val="20"/>
                <w:szCs w:val="20"/>
                <w:color w:val="auto"/>
              </w:rPr>
            </w:pPr>
            <w:r>
              <w:rPr>
                <w:rFonts w:ascii="Arial" w:cs="Arial" w:eastAsia="Arial" w:hAnsi="Arial"/>
                <w:sz w:val="16"/>
                <w:szCs w:val="16"/>
                <w:color w:val="auto"/>
              </w:rPr>
              <w:t>28.0%</w:t>
            </w:r>
          </w:p>
        </w:tc>
        <w:tc>
          <w:tcPr>
            <w:tcW w:w="1500" w:type="dxa"/>
            <w:vAlign w:val="bottom"/>
          </w:tcPr>
          <w:p>
            <w:pPr>
              <w:jc w:val="right"/>
              <w:ind w:right="462"/>
              <w:spacing w:after="0"/>
              <w:rPr>
                <w:sz w:val="20"/>
                <w:szCs w:val="20"/>
                <w:color w:val="auto"/>
              </w:rPr>
            </w:pPr>
            <w:r>
              <w:rPr>
                <w:rFonts w:ascii="Arial" w:cs="Arial" w:eastAsia="Arial" w:hAnsi="Arial"/>
                <w:sz w:val="16"/>
                <w:szCs w:val="16"/>
                <w:color w:val="auto"/>
              </w:rPr>
              <w:t>31.0%</w:t>
            </w:r>
          </w:p>
        </w:tc>
        <w:tc>
          <w:tcPr>
            <w:tcW w:w="1620" w:type="dxa"/>
            <w:vAlign w:val="bottom"/>
          </w:tcPr>
          <w:p>
            <w:pPr>
              <w:jc w:val="right"/>
              <w:ind w:right="482"/>
              <w:spacing w:after="0"/>
              <w:rPr>
                <w:sz w:val="20"/>
                <w:szCs w:val="20"/>
                <w:color w:val="auto"/>
              </w:rPr>
            </w:pPr>
            <w:r>
              <w:rPr>
                <w:rFonts w:ascii="Arial" w:cs="Arial" w:eastAsia="Arial" w:hAnsi="Arial"/>
                <w:sz w:val="16"/>
                <w:szCs w:val="16"/>
                <w:color w:val="auto"/>
              </w:rPr>
              <w:t>34.0%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212725</wp:posOffset>
            </wp:positionV>
            <wp:extent cx="6386195" cy="2057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8619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Individual Performance Factor</w:t>
      </w:r>
    </w:p>
    <w:p>
      <w:pPr>
        <w:spacing w:after="0" w:line="16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determining the amount of annual cash bonus payments under the 2023 Cash Bonus Plan, the talent and compensation committee considered an evaluation of each bonus eligible executive officer’s individual performance for the year. Generally, this evaluation involved, in the case of our Chief Executive Officer, an evaluation of his performance by the talent and compensation committee and, in the case of our other executive officers, an evaluation by our Chief Executive Officer. These evaluations were based on an overall subjective assessment of each executive officer's performance based on company priorities for the year, and no single factor was determinative in setting bonus payout levels, nor was the impact of any individual factor on the bonus quantifiable. Dropbox operates in a highly competitive industry and we set a high bar for performance expectations for each one of our named executive officers. Our named executive officers are evaluated based on their overall performance, impact, and results.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2023 Annual Cash Bonus Decisions</w:t>
      </w:r>
    </w:p>
    <w:p>
      <w:pPr>
        <w:spacing w:after="0" w:line="167"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In March 2024, the talent and compensation committee, based on its evaluation, determined the size of the bonus pool based on our performance during 2023 and determined the cash bonus payments for our bonus eligible executive officers, including certain of our named executive officers, pursuant to the 2023 Cash Bonus Plan. The talent and compensation committee reviewed our actual annual revenue performance for 2023 and determined that we had achieved annual revenue of $2,541 million, which was 98% of our annual revenue target for the year. In addition, the talent and compensation committee determined that we had achieved non-GAAP operating margin of 32.8% compared to our target of 31.0% for the year. The talent and compensation committee approved a bonus funding percentage of 99.1% with respect to the corporate performance measure.</w:t>
      </w:r>
    </w:p>
    <w:p>
      <w:pPr>
        <w:spacing w:after="0" w:line="12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Chief Executive Officer evaluated the achievement of each other bonus eligible executive officer and formulated a recommendation for each such executive officer’s annual cash bonus payment for consideration by the talent and compensation committee. These recommendations were based on our Chief Executive Officer’s subjective assessment of each individual’s contributions taking into account company priorities for the year. In the case of our Chief Executive Officer, the talent and compensation committee evaluated our financial and operational performance for 2023 and formulated a recommended annual cash bonus payment for him based on the subjective assessment of his performance.</w:t>
      </w:r>
    </w:p>
    <w:p>
      <w:pPr>
        <w:spacing w:after="0" w:line="12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Based on these evaluations, the talent and compensation committee approved the annual cash bonus payments for our bonus eligible named executive officers for 2023 in the table below. Given their partial year of employment in 2023, Messrs. Young and Cox were not eligible for a 2023 annual cash bonus. Since stock-based compensation expense did not exceed $353 million for the 2023 fiscal year, there was no reduction to the annual cash bonus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5657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vMerge w:val="restart"/>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2260" w:type="dxa"/>
            <w:vAlign w:val="bottom"/>
            <w:shd w:val="clear" w:color="auto" w:fill="0063A6"/>
          </w:tcPr>
          <w:p>
            <w:pPr>
              <w:ind w:left="460"/>
              <w:spacing w:after="0"/>
              <w:rPr>
                <w:sz w:val="20"/>
                <w:szCs w:val="20"/>
                <w:color w:val="auto"/>
              </w:rPr>
            </w:pPr>
            <w:r>
              <w:rPr>
                <w:rFonts w:ascii="Arial" w:cs="Arial" w:eastAsia="Arial" w:hAnsi="Arial"/>
                <w:sz w:val="14"/>
                <w:szCs w:val="14"/>
                <w:b w:val="1"/>
                <w:bCs w:val="1"/>
                <w:color w:val="FFFFFF"/>
              </w:rPr>
              <w:t>Target Annual Cash</w:t>
            </w:r>
          </w:p>
        </w:tc>
        <w:tc>
          <w:tcPr>
            <w:tcW w:w="2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Annual Cash Bonus</w:t>
            </w:r>
          </w:p>
        </w:tc>
        <w:tc>
          <w:tcPr>
            <w:tcW w:w="27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Percentage of Target Annual</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0063A6"/>
            </w:tcBorders>
            <w:vMerge w:val="continue"/>
            <w:shd w:val="clear" w:color="auto" w:fill="0063A6"/>
          </w:tcPr>
          <w:p>
            <w:pPr>
              <w:spacing w:after="0"/>
              <w:rPr>
                <w:sz w:val="19"/>
                <w:szCs w:val="19"/>
                <w:color w:val="auto"/>
              </w:rPr>
            </w:pPr>
          </w:p>
        </w:tc>
        <w:tc>
          <w:tcPr>
            <w:tcW w:w="2260" w:type="dxa"/>
            <w:vAlign w:val="bottom"/>
            <w:tcBorders>
              <w:bottom w:val="single" w:sz="8" w:color="0063A6"/>
            </w:tcBorders>
            <w:shd w:val="clear" w:color="auto" w:fill="0063A6"/>
          </w:tcPr>
          <w:p>
            <w:pPr>
              <w:ind w:left="480"/>
              <w:spacing w:after="0"/>
              <w:rPr>
                <w:sz w:val="20"/>
                <w:szCs w:val="20"/>
                <w:color w:val="auto"/>
              </w:rPr>
            </w:pPr>
            <w:r>
              <w:rPr>
                <w:rFonts w:ascii="Arial" w:cs="Arial" w:eastAsia="Arial" w:hAnsi="Arial"/>
                <w:sz w:val="14"/>
                <w:szCs w:val="14"/>
                <w:b w:val="1"/>
                <w:bCs w:val="1"/>
                <w:color w:val="FFFFFF"/>
              </w:rPr>
              <w:t>Bonus Payment ($)</w:t>
            </w:r>
          </w:p>
        </w:tc>
        <w:tc>
          <w:tcPr>
            <w:tcW w:w="22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Payment ($)</w:t>
            </w:r>
          </w:p>
        </w:tc>
        <w:tc>
          <w:tcPr>
            <w:tcW w:w="27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Cash Bonus Actually Paid</w:t>
            </w:r>
          </w:p>
        </w:tc>
        <w:tc>
          <w:tcPr>
            <w:tcW w:w="0" w:type="dxa"/>
            <w:vAlign w:val="bottom"/>
          </w:tcPr>
          <w:p>
            <w:pPr>
              <w:spacing w:after="0"/>
              <w:rPr>
                <w:sz w:val="1"/>
                <w:szCs w:val="1"/>
                <w:color w:val="auto"/>
              </w:rPr>
            </w:pPr>
          </w:p>
        </w:tc>
      </w:tr>
      <w:tr>
        <w:trPr>
          <w:trHeight w:val="230"/>
        </w:trPr>
        <w:tc>
          <w:tcPr>
            <w:tcW w:w="3980" w:type="dxa"/>
            <w:vAlign w:val="bottom"/>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2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625,000</w:t>
            </w:r>
          </w:p>
        </w:tc>
        <w:tc>
          <w:tcPr>
            <w:tcW w:w="224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485,000</w:t>
            </w:r>
          </w:p>
        </w:tc>
        <w:tc>
          <w:tcPr>
            <w:tcW w:w="27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15"/>
        </w:trPr>
        <w:tc>
          <w:tcPr>
            <w:tcW w:w="398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2260" w:type="dxa"/>
            <w:vAlign w:val="bottom"/>
          </w:tcPr>
          <w:p>
            <w:pPr>
              <w:jc w:val="center"/>
              <w:spacing w:after="0"/>
              <w:rPr>
                <w:sz w:val="20"/>
                <w:szCs w:val="20"/>
                <w:color w:val="auto"/>
              </w:rPr>
            </w:pPr>
            <w:r>
              <w:rPr>
                <w:rFonts w:ascii="Arial" w:cs="Arial" w:eastAsia="Arial" w:hAnsi="Arial"/>
                <w:sz w:val="16"/>
                <w:szCs w:val="16"/>
                <w:color w:val="auto"/>
              </w:rPr>
              <w:t>448,383</w:t>
            </w:r>
          </w:p>
        </w:tc>
        <w:tc>
          <w:tcPr>
            <w:tcW w:w="2240" w:type="dxa"/>
            <w:vAlign w:val="bottom"/>
          </w:tcPr>
          <w:p>
            <w:pPr>
              <w:jc w:val="center"/>
              <w:spacing w:after="0"/>
              <w:rPr>
                <w:sz w:val="20"/>
                <w:szCs w:val="20"/>
                <w:color w:val="auto"/>
              </w:rPr>
            </w:pPr>
            <w:r>
              <w:rPr>
                <w:rFonts w:ascii="Arial" w:cs="Arial" w:eastAsia="Arial" w:hAnsi="Arial"/>
                <w:sz w:val="16"/>
                <w:szCs w:val="16"/>
                <w:color w:val="auto"/>
              </w:rPr>
              <w:t>348,000</w:t>
            </w:r>
          </w:p>
        </w:tc>
        <w:tc>
          <w:tcPr>
            <w:tcW w:w="2760" w:type="dxa"/>
            <w:vAlign w:val="bottom"/>
          </w:tcPr>
          <w:p>
            <w:pPr>
              <w:jc w:val="center"/>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17"/>
        </w:trPr>
        <w:tc>
          <w:tcPr>
            <w:tcW w:w="3980" w:type="dxa"/>
            <w:vAlign w:val="bottom"/>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22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5"/>
        </w:trPr>
        <w:tc>
          <w:tcPr>
            <w:tcW w:w="398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2260" w:type="dxa"/>
            <w:vAlign w:val="bottom"/>
          </w:tcPr>
          <w:p>
            <w:pPr>
              <w:jc w:val="center"/>
              <w:spacing w:after="0"/>
              <w:rPr>
                <w:sz w:val="20"/>
                <w:szCs w:val="20"/>
                <w:color w:val="auto"/>
              </w:rPr>
            </w:pPr>
            <w:r>
              <w:rPr>
                <w:rFonts w:ascii="Arial" w:cs="Arial" w:eastAsia="Arial" w:hAnsi="Arial"/>
                <w:sz w:val="16"/>
                <w:szCs w:val="16"/>
                <w:color w:val="auto"/>
              </w:rPr>
              <w:t>369,965</w:t>
            </w:r>
          </w:p>
        </w:tc>
        <w:tc>
          <w:tcPr>
            <w:tcW w:w="2240" w:type="dxa"/>
            <w:vAlign w:val="bottom"/>
          </w:tcPr>
          <w:p>
            <w:pPr>
              <w:jc w:val="center"/>
              <w:spacing w:after="0"/>
              <w:rPr>
                <w:sz w:val="20"/>
                <w:szCs w:val="20"/>
                <w:color w:val="auto"/>
              </w:rPr>
            </w:pPr>
            <w:r>
              <w:rPr>
                <w:rFonts w:ascii="Arial" w:cs="Arial" w:eastAsia="Arial" w:hAnsi="Arial"/>
                <w:sz w:val="16"/>
                <w:szCs w:val="16"/>
                <w:color w:val="auto"/>
              </w:rPr>
              <w:t>287,000</w:t>
            </w:r>
          </w:p>
        </w:tc>
        <w:tc>
          <w:tcPr>
            <w:tcW w:w="2760" w:type="dxa"/>
            <w:vAlign w:val="bottom"/>
          </w:tcPr>
          <w:p>
            <w:pPr>
              <w:jc w:val="center"/>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17"/>
        </w:trPr>
        <w:tc>
          <w:tcPr>
            <w:tcW w:w="3980" w:type="dxa"/>
            <w:vAlign w:val="bottom"/>
            <w:shd w:val="clear" w:color="auto" w:fill="F2F2F2"/>
          </w:tcPr>
          <w:p>
            <w:pPr>
              <w:ind w:left="60"/>
              <w:spacing w:after="0"/>
              <w:rPr>
                <w:sz w:val="20"/>
                <w:szCs w:val="20"/>
                <w:color w:val="auto"/>
              </w:rPr>
            </w:pPr>
            <w:r>
              <w:rPr>
                <w:rFonts w:ascii="Arial" w:cs="Arial" w:eastAsia="Arial" w:hAnsi="Arial"/>
                <w:sz w:val="16"/>
                <w:szCs w:val="16"/>
                <w:color w:val="auto"/>
              </w:rPr>
              <w:t>Eric Cox</w:t>
            </w:r>
          </w:p>
        </w:tc>
        <w:tc>
          <w:tcPr>
            <w:tcW w:w="22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7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annual cash bonus payments made to our named executive officers for 2023 are set forth in the “</w:t>
      </w:r>
      <w:r>
        <w:rPr>
          <w:rFonts w:ascii="Arial" w:cs="Arial" w:eastAsia="Arial" w:hAnsi="Arial"/>
          <w:sz w:val="16"/>
          <w:szCs w:val="16"/>
          <w:i w:val="1"/>
          <w:iCs w:val="1"/>
          <w:color w:val="auto"/>
        </w:rPr>
        <w:t>Summary Compensation Table for Fiscal Year 2023</w:t>
      </w:r>
      <w:r>
        <w:rPr>
          <w:rFonts w:ascii="Arial" w:cs="Arial" w:eastAsia="Arial" w:hAnsi="Arial"/>
          <w:sz w:val="16"/>
          <w:szCs w:val="16"/>
          <w:color w:val="auto"/>
        </w:rPr>
        <w:t>” below.</w:t>
      </w:r>
    </w:p>
    <w:p>
      <w:pPr>
        <w:spacing w:after="0" w:line="200" w:lineRule="exact"/>
        <w:rPr>
          <w:sz w:val="20"/>
          <w:szCs w:val="20"/>
          <w:color w:val="auto"/>
        </w:rPr>
      </w:pPr>
    </w:p>
    <w:p>
      <w:pPr>
        <w:spacing w:after="0" w:line="284" w:lineRule="exact"/>
        <w:rPr>
          <w:sz w:val="20"/>
          <w:szCs w:val="20"/>
          <w:color w:val="auto"/>
        </w:rPr>
      </w:pPr>
    </w:p>
    <w:p>
      <w:pPr>
        <w:ind w:left="580" w:hanging="554"/>
        <w:spacing w:after="0"/>
        <w:tabs>
          <w:tab w:leader="none" w:pos="580"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Long-Term Equity Incentive Compensation</w:t>
      </w:r>
    </w:p>
    <w:p>
      <w:pPr>
        <w:spacing w:after="0" w:line="100"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color w:val="auto"/>
        </w:rPr>
        <w:t>We view long-term equity incentive compensation as a critical element of our executive compensation program. The realized value of these equity awards bears a direct relationship to our stock price, and, therefore, these awards are an incentive for our executive officers to create value for our stockholders. Equity awards also help us retain qualified executive officers in a competitive market.</w:t>
      </w:r>
    </w:p>
    <w:p>
      <w:pPr>
        <w:spacing w:after="0" w:line="124"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The amount and forms of the equity awards granted to our executive officers are determined after considering the factors described in “</w:t>
      </w:r>
      <w:r>
        <w:rPr>
          <w:rFonts w:ascii="Arial" w:cs="Arial" w:eastAsia="Arial" w:hAnsi="Arial"/>
          <w:sz w:val="16"/>
          <w:szCs w:val="16"/>
          <w:i w:val="1"/>
          <w:iCs w:val="1"/>
          <w:color w:val="auto"/>
        </w:rPr>
        <w:t>Compensation-Setting Process—Compensation Setting</w:t>
      </w:r>
      <w:r>
        <w:rPr>
          <w:rFonts w:ascii="Arial" w:cs="Arial" w:eastAsia="Arial" w:hAnsi="Arial"/>
          <w:sz w:val="16"/>
          <w:szCs w:val="16"/>
          <w:color w:val="auto"/>
        </w:rPr>
        <w:t>” above. The size of the equity awards is also intended to be competitive and result in target total direct</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opportunities that we believe are reasonable and appropriate taking into consideration the factors described in the preceding sentence.</w:t>
      </w:r>
    </w:p>
    <w:p>
      <w:pPr>
        <w:spacing w:after="0" w:line="117"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In March 2023, the talent and compensation committee approved equity grants in the form of restricted stock unit awards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to Messrs. Regan and Volkmer, each of which were effective April 1, 2023. Mr. Young did not receive a 2023 RSU grant due to his termination of employment in March 2023. The talent and compensation committee approved an equity grant in the form of an RSU to Mr. Cox in December 2023, which was granted effective January 1, 2024.</w:t>
      </w:r>
    </w:p>
    <w:p>
      <w:pPr>
        <w:spacing w:after="0" w:line="129"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Differentiation was made among our executive officers based on the talent and compensation committee’s review of the competitive market data for their respective positions, internal equity, past performance, and expected future contributions. Mr. Houston did not receive an equity grant in 2023 in light of his significant ownership position in the company and the Co-Founder Grant he received in 2017. The equity awards granted to our named executive officers in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4972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700" w:type="dxa"/>
            <w:vAlign w:val="bottom"/>
            <w:shd w:val="clear" w:color="auto" w:fill="0063A6"/>
          </w:tcPr>
          <w:p>
            <w:pPr>
              <w:spacing w:after="0"/>
              <w:rPr>
                <w:sz w:val="23"/>
                <w:szCs w:val="23"/>
                <w:color w:val="auto"/>
              </w:rPr>
            </w:pPr>
          </w:p>
        </w:tc>
        <w:tc>
          <w:tcPr>
            <w:tcW w:w="900" w:type="dxa"/>
            <w:vAlign w:val="bottom"/>
            <w:shd w:val="clear" w:color="auto" w:fill="0063A6"/>
          </w:tcPr>
          <w:p>
            <w:pPr>
              <w:spacing w:after="0"/>
              <w:rPr>
                <w:sz w:val="23"/>
                <w:szCs w:val="23"/>
                <w:color w:val="auto"/>
              </w:rPr>
            </w:pPr>
          </w:p>
        </w:tc>
        <w:tc>
          <w:tcPr>
            <w:tcW w:w="380" w:type="dxa"/>
            <w:vAlign w:val="bottom"/>
            <w:vMerge w:val="restart"/>
            <w:shd w:val="clear" w:color="auto" w:fill="0063A6"/>
          </w:tcPr>
          <w:p>
            <w:pPr>
              <w:spacing w:after="0"/>
              <w:rPr>
                <w:sz w:val="20"/>
                <w:szCs w:val="20"/>
                <w:color w:val="auto"/>
              </w:rPr>
            </w:pPr>
            <w:r>
              <w:rPr>
                <w:rFonts w:ascii="Arial" w:cs="Arial" w:eastAsia="Arial" w:hAnsi="Arial"/>
                <w:sz w:val="14"/>
                <w:szCs w:val="14"/>
                <w:b w:val="1"/>
                <w:bCs w:val="1"/>
                <w:color w:val="FFFFFF"/>
                <w:w w:val="96"/>
                <w:shd w:val="clear" w:color="auto" w:fill="0063A6"/>
              </w:rPr>
              <w:t>RSUs</w:t>
            </w:r>
          </w:p>
        </w:tc>
        <w:tc>
          <w:tcPr>
            <w:tcW w:w="100" w:type="dxa"/>
            <w:vAlign w:val="bottom"/>
            <w:vMerge w:val="restart"/>
            <w:shd w:val="clear" w:color="auto" w:fill="0063A6"/>
          </w:tcPr>
          <w:p>
            <w:pPr>
              <w:jc w:val="right"/>
              <w:spacing w:after="0"/>
              <w:rPr>
                <w:sz w:val="20"/>
                <w:szCs w:val="20"/>
                <w:color w:val="auto"/>
              </w:rPr>
            </w:pPr>
            <w:r>
              <w:rPr>
                <w:rFonts w:ascii="Arial" w:cs="Arial" w:eastAsia="Arial" w:hAnsi="Arial"/>
                <w:sz w:val="9"/>
                <w:szCs w:val="9"/>
                <w:b w:val="1"/>
                <w:bCs w:val="1"/>
                <w:color w:val="FFFFFF"/>
                <w:w w:val="72"/>
                <w:shd w:val="clear" w:color="auto" w:fill="0063A6"/>
              </w:rPr>
              <w:t>(1)</w:t>
            </w:r>
          </w:p>
        </w:tc>
        <w:tc>
          <w:tcPr>
            <w:tcW w:w="900" w:type="dxa"/>
            <w:vAlign w:val="bottom"/>
            <w:shd w:val="clear" w:color="auto" w:fill="0063A6"/>
          </w:tcPr>
          <w:p>
            <w:pPr>
              <w:spacing w:after="0"/>
              <w:rPr>
                <w:sz w:val="23"/>
                <w:szCs w:val="23"/>
                <w:color w:val="auto"/>
              </w:rPr>
            </w:pPr>
          </w:p>
        </w:tc>
        <w:tc>
          <w:tcPr>
            <w:tcW w:w="22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Aggregate Grant</w:t>
            </w:r>
          </w:p>
        </w:tc>
        <w:tc>
          <w:tcPr>
            <w:tcW w:w="0" w:type="dxa"/>
            <w:vAlign w:val="bottom"/>
          </w:tcPr>
          <w:p>
            <w:pPr>
              <w:spacing w:after="0"/>
              <w:rPr>
                <w:sz w:val="1"/>
                <w:szCs w:val="1"/>
                <w:color w:val="auto"/>
              </w:rPr>
            </w:pPr>
          </w:p>
        </w:tc>
      </w:tr>
      <w:tr>
        <w:trPr>
          <w:trHeight w:val="43"/>
        </w:trPr>
        <w:tc>
          <w:tcPr>
            <w:tcW w:w="6700" w:type="dxa"/>
            <w:vAlign w:val="bottom"/>
            <w:vMerge w:val="restart"/>
            <w:shd w:val="clear" w:color="auto" w:fill="0063A6"/>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900" w:type="dxa"/>
            <w:vAlign w:val="bottom"/>
            <w:shd w:val="clear" w:color="auto" w:fill="0063A6"/>
          </w:tcPr>
          <w:p>
            <w:pPr>
              <w:spacing w:after="0"/>
              <w:rPr>
                <w:sz w:val="3"/>
                <w:szCs w:val="3"/>
                <w:color w:val="auto"/>
              </w:rPr>
            </w:pPr>
          </w:p>
        </w:tc>
        <w:tc>
          <w:tcPr>
            <w:tcW w:w="380" w:type="dxa"/>
            <w:vAlign w:val="bottom"/>
            <w:vMerge w:val="continue"/>
            <w:shd w:val="clear" w:color="auto" w:fill="0063A6"/>
          </w:tcPr>
          <w:p>
            <w:pPr>
              <w:spacing w:after="0"/>
              <w:rPr>
                <w:sz w:val="3"/>
                <w:szCs w:val="3"/>
                <w:color w:val="auto"/>
              </w:rPr>
            </w:pPr>
          </w:p>
        </w:tc>
        <w:tc>
          <w:tcPr>
            <w:tcW w:w="100" w:type="dxa"/>
            <w:vAlign w:val="bottom"/>
            <w:vMerge w:val="continue"/>
            <w:shd w:val="clear" w:color="auto" w:fill="0063A6"/>
          </w:tcPr>
          <w:p>
            <w:pPr>
              <w:spacing w:after="0"/>
              <w:rPr>
                <w:sz w:val="3"/>
                <w:szCs w:val="3"/>
                <w:color w:val="auto"/>
              </w:rPr>
            </w:pPr>
          </w:p>
        </w:tc>
        <w:tc>
          <w:tcPr>
            <w:tcW w:w="900" w:type="dxa"/>
            <w:vAlign w:val="bottom"/>
            <w:vMerge w:val="restart"/>
            <w:shd w:val="clear" w:color="auto" w:fill="0063A6"/>
          </w:tcPr>
          <w:p>
            <w:pPr>
              <w:spacing w:after="0"/>
              <w:rPr>
                <w:sz w:val="3"/>
                <w:szCs w:val="3"/>
                <w:color w:val="auto"/>
              </w:rPr>
            </w:pPr>
          </w:p>
        </w:tc>
        <w:tc>
          <w:tcPr>
            <w:tcW w:w="2260" w:type="dxa"/>
            <w:vAlign w:val="bottom"/>
            <w:vMerge w:val="restart"/>
            <w:shd w:val="clear" w:color="auto" w:fill="0063A6"/>
          </w:tcPr>
          <w:p>
            <w:pPr>
              <w:jc w:val="center"/>
              <w:spacing w:after="0"/>
              <w:rPr>
                <w:sz w:val="20"/>
                <w:szCs w:val="20"/>
                <w:color w:val="auto"/>
              </w:rPr>
            </w:pPr>
            <w:r>
              <w:rPr>
                <w:rFonts w:ascii="Arial" w:cs="Arial" w:eastAsia="Arial" w:hAnsi="Arial"/>
                <w:sz w:val="14"/>
                <w:szCs w:val="14"/>
                <w:b w:val="1"/>
                <w:bCs w:val="1"/>
                <w:color w:val="FFFFFF"/>
              </w:rPr>
              <w:t>Date Fair Value ($)</w:t>
            </w:r>
          </w:p>
        </w:tc>
        <w:tc>
          <w:tcPr>
            <w:tcW w:w="0" w:type="dxa"/>
            <w:vAlign w:val="bottom"/>
          </w:tcPr>
          <w:p>
            <w:pPr>
              <w:spacing w:after="0"/>
              <w:rPr>
                <w:sz w:val="1"/>
                <w:szCs w:val="1"/>
                <w:color w:val="auto"/>
              </w:rPr>
            </w:pPr>
          </w:p>
        </w:tc>
      </w:tr>
      <w:tr>
        <w:trPr>
          <w:trHeight w:val="33"/>
        </w:trPr>
        <w:tc>
          <w:tcPr>
            <w:tcW w:w="6700" w:type="dxa"/>
            <w:vAlign w:val="bottom"/>
            <w:vMerge w:val="continue"/>
            <w:shd w:val="clear" w:color="auto" w:fill="0063A6"/>
          </w:tcPr>
          <w:p>
            <w:pPr>
              <w:spacing w:after="0"/>
              <w:rPr>
                <w:sz w:val="2"/>
                <w:szCs w:val="2"/>
                <w:color w:val="auto"/>
              </w:rPr>
            </w:pPr>
          </w:p>
        </w:tc>
        <w:tc>
          <w:tcPr>
            <w:tcW w:w="900" w:type="dxa"/>
            <w:vAlign w:val="bottom"/>
            <w:shd w:val="clear" w:color="auto" w:fill="0063A6"/>
          </w:tcPr>
          <w:p>
            <w:pPr>
              <w:spacing w:after="0"/>
              <w:rPr>
                <w:sz w:val="2"/>
                <w:szCs w:val="2"/>
                <w:color w:val="auto"/>
              </w:rPr>
            </w:pPr>
          </w:p>
        </w:tc>
        <w:tc>
          <w:tcPr>
            <w:tcW w:w="380" w:type="dxa"/>
            <w:vAlign w:val="bottom"/>
            <w:vMerge w:val="continue"/>
            <w:shd w:val="clear" w:color="auto" w:fill="0063A6"/>
          </w:tcPr>
          <w:p>
            <w:pPr>
              <w:spacing w:after="0"/>
              <w:rPr>
                <w:sz w:val="2"/>
                <w:szCs w:val="2"/>
                <w:color w:val="auto"/>
              </w:rPr>
            </w:pPr>
          </w:p>
        </w:tc>
        <w:tc>
          <w:tcPr>
            <w:tcW w:w="100" w:type="dxa"/>
            <w:vAlign w:val="bottom"/>
            <w:shd w:val="clear" w:color="auto" w:fill="0063A6"/>
          </w:tcPr>
          <w:p>
            <w:pPr>
              <w:spacing w:after="0"/>
              <w:rPr>
                <w:sz w:val="2"/>
                <w:szCs w:val="2"/>
                <w:color w:val="auto"/>
              </w:rPr>
            </w:pPr>
          </w:p>
        </w:tc>
        <w:tc>
          <w:tcPr>
            <w:tcW w:w="900" w:type="dxa"/>
            <w:vAlign w:val="bottom"/>
            <w:vMerge w:val="continue"/>
            <w:shd w:val="clear" w:color="auto" w:fill="0063A6"/>
          </w:tcPr>
          <w:p>
            <w:pPr>
              <w:spacing w:after="0"/>
              <w:rPr>
                <w:sz w:val="2"/>
                <w:szCs w:val="2"/>
                <w:color w:val="auto"/>
              </w:rPr>
            </w:pPr>
          </w:p>
        </w:tc>
        <w:tc>
          <w:tcPr>
            <w:tcW w:w="2260" w:type="dxa"/>
            <w:vAlign w:val="bottom"/>
            <w:vMerge w:val="continue"/>
            <w:shd w:val="clear" w:color="auto" w:fill="0063A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tcBorders>
              <w:bottom w:val="single" w:sz="8" w:color="0063A6"/>
            </w:tcBorders>
            <w:vMerge w:val="continue"/>
            <w:shd w:val="clear" w:color="auto" w:fill="0063A6"/>
          </w:tcPr>
          <w:p>
            <w:pPr>
              <w:spacing w:after="0"/>
              <w:rPr>
                <w:sz w:val="13"/>
                <w:szCs w:val="13"/>
                <w:color w:val="auto"/>
              </w:rPr>
            </w:pPr>
          </w:p>
        </w:tc>
        <w:tc>
          <w:tcPr>
            <w:tcW w:w="900" w:type="dxa"/>
            <w:vAlign w:val="bottom"/>
            <w:tcBorders>
              <w:bottom w:val="single" w:sz="8" w:color="0063A6"/>
            </w:tcBorders>
            <w:shd w:val="clear" w:color="auto" w:fill="0063A6"/>
          </w:tcPr>
          <w:p>
            <w:pPr>
              <w:spacing w:after="0"/>
              <w:rPr>
                <w:sz w:val="13"/>
                <w:szCs w:val="13"/>
                <w:color w:val="auto"/>
              </w:rPr>
            </w:pPr>
          </w:p>
        </w:tc>
        <w:tc>
          <w:tcPr>
            <w:tcW w:w="380" w:type="dxa"/>
            <w:vAlign w:val="bottom"/>
            <w:tcBorders>
              <w:bottom w:val="single" w:sz="8" w:color="0063A6"/>
            </w:tcBorders>
            <w:shd w:val="clear" w:color="auto" w:fill="0063A6"/>
          </w:tcPr>
          <w:p>
            <w:pPr>
              <w:spacing w:after="0"/>
              <w:rPr>
                <w:sz w:val="13"/>
                <w:szCs w:val="13"/>
                <w:color w:val="auto"/>
              </w:rPr>
            </w:pPr>
          </w:p>
        </w:tc>
        <w:tc>
          <w:tcPr>
            <w:tcW w:w="100" w:type="dxa"/>
            <w:vAlign w:val="bottom"/>
            <w:tcBorders>
              <w:bottom w:val="single" w:sz="8" w:color="0063A6"/>
            </w:tcBorders>
            <w:shd w:val="clear" w:color="auto" w:fill="0063A6"/>
          </w:tcPr>
          <w:p>
            <w:pPr>
              <w:spacing w:after="0"/>
              <w:rPr>
                <w:sz w:val="13"/>
                <w:szCs w:val="13"/>
                <w:color w:val="auto"/>
              </w:rPr>
            </w:pPr>
          </w:p>
        </w:tc>
        <w:tc>
          <w:tcPr>
            <w:tcW w:w="900" w:type="dxa"/>
            <w:vAlign w:val="bottom"/>
            <w:tcBorders>
              <w:bottom w:val="single" w:sz="8" w:color="0063A6"/>
            </w:tcBorders>
            <w:shd w:val="clear" w:color="auto" w:fill="0063A6"/>
          </w:tcPr>
          <w:p>
            <w:pPr>
              <w:spacing w:after="0"/>
              <w:rPr>
                <w:sz w:val="13"/>
                <w:szCs w:val="13"/>
                <w:color w:val="auto"/>
              </w:rPr>
            </w:pPr>
          </w:p>
        </w:tc>
        <w:tc>
          <w:tcPr>
            <w:tcW w:w="2260" w:type="dxa"/>
            <w:vAlign w:val="bottom"/>
            <w:tcBorders>
              <w:bottom w:val="single" w:sz="8" w:color="0063A6"/>
            </w:tcBorders>
            <w:vMerge w:val="continue"/>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67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900" w:type="dxa"/>
            <w:vAlign w:val="bottom"/>
            <w:tcBorders>
              <w:bottom w:val="single" w:sz="8" w:color="F2F2F2"/>
            </w:tcBorders>
            <w:shd w:val="clear" w:color="auto" w:fill="F2F2F2"/>
          </w:tcPr>
          <w:p>
            <w:pPr>
              <w:spacing w:after="0"/>
              <w:rPr>
                <w:sz w:val="20"/>
                <w:szCs w:val="20"/>
                <w:color w:val="auto"/>
              </w:rPr>
            </w:pPr>
          </w:p>
        </w:tc>
        <w:tc>
          <w:tcPr>
            <w:tcW w:w="1380" w:type="dxa"/>
            <w:vAlign w:val="bottom"/>
            <w:tcBorders>
              <w:bottom w:val="single" w:sz="8" w:color="F2F2F2"/>
            </w:tcBorders>
            <w:gridSpan w:val="3"/>
            <w:shd w:val="clear" w:color="auto" w:fill="F2F2F2"/>
          </w:tcPr>
          <w:p>
            <w:pPr>
              <w:jc w:val="center"/>
              <w:ind w:right="900"/>
              <w:spacing w:after="0"/>
              <w:rPr>
                <w:sz w:val="20"/>
                <w:szCs w:val="20"/>
                <w:color w:val="auto"/>
              </w:rPr>
            </w:pPr>
            <w:r>
              <w:rPr>
                <w:rFonts w:ascii="Arial" w:cs="Arial" w:eastAsia="Arial" w:hAnsi="Arial"/>
                <w:sz w:val="16"/>
                <w:szCs w:val="16"/>
                <w:color w:val="auto"/>
                <w:w w:val="99"/>
              </w:rPr>
              <w:t>—</w:t>
            </w:r>
          </w:p>
        </w:tc>
        <w:tc>
          <w:tcPr>
            <w:tcW w:w="22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5"/>
        </w:trPr>
        <w:tc>
          <w:tcPr>
            <w:tcW w:w="670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2280" w:type="dxa"/>
            <w:vAlign w:val="bottom"/>
            <w:gridSpan w:val="4"/>
          </w:tcPr>
          <w:p>
            <w:pPr>
              <w:jc w:val="center"/>
              <w:spacing w:after="0"/>
              <w:rPr>
                <w:sz w:val="20"/>
                <w:szCs w:val="20"/>
                <w:color w:val="auto"/>
              </w:rPr>
            </w:pPr>
            <w:r>
              <w:rPr>
                <w:rFonts w:ascii="Arial" w:cs="Arial" w:eastAsia="Arial" w:hAnsi="Arial"/>
                <w:sz w:val="16"/>
                <w:szCs w:val="16"/>
                <w:color w:val="auto"/>
              </w:rPr>
              <w:t>220,222</w:t>
            </w:r>
          </w:p>
        </w:tc>
        <w:tc>
          <w:tcPr>
            <w:tcW w:w="2260" w:type="dxa"/>
            <w:vAlign w:val="bottom"/>
          </w:tcPr>
          <w:p>
            <w:pPr>
              <w:jc w:val="center"/>
              <w:spacing w:after="0"/>
              <w:rPr>
                <w:sz w:val="20"/>
                <w:szCs w:val="20"/>
                <w:color w:val="auto"/>
              </w:rPr>
            </w:pPr>
            <w:r>
              <w:rPr>
                <w:rFonts w:ascii="Arial" w:cs="Arial" w:eastAsia="Arial" w:hAnsi="Arial"/>
                <w:sz w:val="16"/>
                <w:szCs w:val="16"/>
                <w:color w:val="auto"/>
              </w:rPr>
              <w:t>4,761,200</w:t>
            </w: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900" w:type="dxa"/>
            <w:vAlign w:val="bottom"/>
            <w:tcBorders>
              <w:bottom w:val="single" w:sz="8" w:color="F2F2F2"/>
            </w:tcBorders>
            <w:shd w:val="clear" w:color="auto" w:fill="F2F2F2"/>
          </w:tcPr>
          <w:p>
            <w:pPr>
              <w:spacing w:after="0"/>
              <w:rPr>
                <w:sz w:val="19"/>
                <w:szCs w:val="19"/>
                <w:color w:val="auto"/>
              </w:rPr>
            </w:pPr>
          </w:p>
        </w:tc>
        <w:tc>
          <w:tcPr>
            <w:tcW w:w="1380" w:type="dxa"/>
            <w:vAlign w:val="bottom"/>
            <w:tcBorders>
              <w:bottom w:val="single" w:sz="8" w:color="F2F2F2"/>
            </w:tcBorders>
            <w:gridSpan w:val="3"/>
            <w:shd w:val="clear" w:color="auto" w:fill="F2F2F2"/>
          </w:tcPr>
          <w:p>
            <w:pPr>
              <w:jc w:val="center"/>
              <w:ind w:right="900"/>
              <w:spacing w:after="0"/>
              <w:rPr>
                <w:sz w:val="20"/>
                <w:szCs w:val="20"/>
                <w:color w:val="auto"/>
              </w:rPr>
            </w:pPr>
            <w:r>
              <w:rPr>
                <w:rFonts w:ascii="Arial" w:cs="Arial" w:eastAsia="Arial" w:hAnsi="Arial"/>
                <w:sz w:val="16"/>
                <w:szCs w:val="16"/>
                <w:color w:val="auto"/>
                <w:w w:val="99"/>
              </w:rPr>
              <w:t>—</w:t>
            </w:r>
          </w:p>
        </w:tc>
        <w:tc>
          <w:tcPr>
            <w:tcW w:w="22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5"/>
        </w:trPr>
        <w:tc>
          <w:tcPr>
            <w:tcW w:w="670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2280" w:type="dxa"/>
            <w:vAlign w:val="bottom"/>
            <w:gridSpan w:val="4"/>
          </w:tcPr>
          <w:p>
            <w:pPr>
              <w:jc w:val="center"/>
              <w:spacing w:after="0"/>
              <w:rPr>
                <w:sz w:val="20"/>
                <w:szCs w:val="20"/>
                <w:color w:val="auto"/>
              </w:rPr>
            </w:pPr>
            <w:r>
              <w:rPr>
                <w:rFonts w:ascii="Arial" w:cs="Arial" w:eastAsia="Arial" w:hAnsi="Arial"/>
                <w:sz w:val="16"/>
                <w:szCs w:val="16"/>
                <w:color w:val="auto"/>
              </w:rPr>
              <w:t>159,049</w:t>
            </w:r>
          </w:p>
        </w:tc>
        <w:tc>
          <w:tcPr>
            <w:tcW w:w="2260" w:type="dxa"/>
            <w:vAlign w:val="bottom"/>
          </w:tcPr>
          <w:p>
            <w:pPr>
              <w:jc w:val="center"/>
              <w:spacing w:after="0"/>
              <w:rPr>
                <w:sz w:val="20"/>
                <w:szCs w:val="20"/>
                <w:color w:val="auto"/>
              </w:rPr>
            </w:pPr>
            <w:r>
              <w:rPr>
                <w:rFonts w:ascii="Arial" w:cs="Arial" w:eastAsia="Arial" w:hAnsi="Arial"/>
                <w:sz w:val="16"/>
                <w:szCs w:val="16"/>
                <w:color w:val="auto"/>
              </w:rPr>
              <w:t>3,438,639</w:t>
            </w:r>
          </w:p>
        </w:tc>
        <w:tc>
          <w:tcPr>
            <w:tcW w:w="0" w:type="dxa"/>
            <w:vAlign w:val="bottom"/>
          </w:tcPr>
          <w:p>
            <w:pPr>
              <w:spacing w:after="0"/>
              <w:rPr>
                <w:sz w:val="1"/>
                <w:szCs w:val="1"/>
                <w:color w:val="auto"/>
              </w:rPr>
            </w:pPr>
          </w:p>
        </w:tc>
      </w:tr>
      <w:tr>
        <w:trPr>
          <w:trHeight w:val="28"/>
        </w:trPr>
        <w:tc>
          <w:tcPr>
            <w:tcW w:w="6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00" w:type="dxa"/>
            <w:vAlign w:val="bottom"/>
            <w:shd w:val="clear" w:color="auto" w:fill="F2F2F2"/>
          </w:tcPr>
          <w:p>
            <w:pPr>
              <w:ind w:left="60"/>
              <w:spacing w:after="0"/>
              <w:rPr>
                <w:sz w:val="20"/>
                <w:szCs w:val="20"/>
                <w:color w:val="auto"/>
              </w:rPr>
            </w:pPr>
            <w:r>
              <w:rPr>
                <w:rFonts w:ascii="Arial" w:cs="Arial" w:eastAsia="Arial" w:hAnsi="Arial"/>
                <w:sz w:val="16"/>
                <w:szCs w:val="16"/>
                <w:color w:val="auto"/>
              </w:rPr>
              <w:t>Eric Cox</w:t>
            </w:r>
            <w:r>
              <w:rPr>
                <w:rFonts w:ascii="Arial" w:cs="Arial" w:eastAsia="Arial" w:hAnsi="Arial"/>
                <w:sz w:val="21"/>
                <w:szCs w:val="21"/>
                <w:color w:val="auto"/>
                <w:vertAlign w:val="superscript"/>
              </w:rPr>
              <w:t>(2)</w:t>
            </w:r>
          </w:p>
        </w:tc>
        <w:tc>
          <w:tcPr>
            <w:tcW w:w="900" w:type="dxa"/>
            <w:vAlign w:val="bottom"/>
            <w:shd w:val="clear" w:color="auto" w:fill="F2F2F2"/>
          </w:tcPr>
          <w:p>
            <w:pPr>
              <w:spacing w:after="0"/>
              <w:rPr>
                <w:sz w:val="21"/>
                <w:szCs w:val="21"/>
                <w:color w:val="auto"/>
              </w:rPr>
            </w:pPr>
          </w:p>
        </w:tc>
        <w:tc>
          <w:tcPr>
            <w:tcW w:w="1380" w:type="dxa"/>
            <w:vAlign w:val="bottom"/>
            <w:gridSpan w:val="3"/>
            <w:shd w:val="clear" w:color="auto" w:fill="F2F2F2"/>
          </w:tcPr>
          <w:p>
            <w:pPr>
              <w:jc w:val="center"/>
              <w:ind w:right="900"/>
              <w:spacing w:after="0"/>
              <w:rPr>
                <w:sz w:val="20"/>
                <w:szCs w:val="20"/>
                <w:color w:val="auto"/>
              </w:rPr>
            </w:pPr>
            <w:r>
              <w:rPr>
                <w:rFonts w:ascii="Arial" w:cs="Arial" w:eastAsia="Arial" w:hAnsi="Arial"/>
                <w:sz w:val="16"/>
                <w:szCs w:val="16"/>
                <w:color w:val="auto"/>
                <w:w w:val="99"/>
              </w:rPr>
              <w:t>—</w:t>
            </w:r>
          </w:p>
        </w:tc>
        <w:tc>
          <w:tcPr>
            <w:tcW w:w="22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-462280</wp:posOffset>
            </wp:positionV>
            <wp:extent cx="17145"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-462280</wp:posOffset>
            </wp:positionV>
            <wp:extent cx="17145"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132"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The time-based RSU awards granted to Messrs. Regan and Volkmer vest over a four-year period in equal quarterly installments.</w:t>
      </w:r>
    </w:p>
    <w:p>
      <w:pPr>
        <w:spacing w:after="0" w:line="57" w:lineRule="exact"/>
        <w:rPr>
          <w:rFonts w:ascii="Arial" w:cs="Arial" w:eastAsia="Arial" w:hAnsi="Arial"/>
          <w:sz w:val="19"/>
          <w:szCs w:val="19"/>
          <w:color w:val="auto"/>
          <w:vertAlign w:val="superscript"/>
        </w:rPr>
      </w:pPr>
    </w:p>
    <w:p>
      <w:pPr>
        <w:ind w:left="320" w:hanging="312"/>
        <w:spacing w:after="0" w:line="219" w:lineRule="auto"/>
        <w:tabs>
          <w:tab w:leader="none" w:pos="32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Mr. Cox joined the company in December 2023 and, in connection with his hiring, he was granted an equity award in January 2024.</w:t>
      </w:r>
    </w:p>
    <w:p>
      <w:pPr>
        <w:spacing w:after="0" w:line="11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equity awards granted to our named executive officers during 2023 are set forth in the “</w:t>
      </w:r>
      <w:r>
        <w:rPr>
          <w:rFonts w:ascii="Arial" w:cs="Arial" w:eastAsia="Arial" w:hAnsi="Arial"/>
          <w:sz w:val="16"/>
          <w:szCs w:val="16"/>
          <w:i w:val="1"/>
          <w:iCs w:val="1"/>
          <w:color w:val="auto"/>
        </w:rPr>
        <w:t>Summary Compensation Table for Fiscal Year 2023</w:t>
      </w:r>
      <w:r>
        <w:rPr>
          <w:rFonts w:ascii="Arial" w:cs="Arial" w:eastAsia="Arial" w:hAnsi="Arial"/>
          <w:sz w:val="16"/>
          <w:szCs w:val="16"/>
          <w:color w:val="auto"/>
        </w:rPr>
        <w:t>” and under “</w:t>
      </w:r>
      <w:r>
        <w:rPr>
          <w:rFonts w:ascii="Arial" w:cs="Arial" w:eastAsia="Arial" w:hAnsi="Arial"/>
          <w:sz w:val="16"/>
          <w:szCs w:val="16"/>
          <w:i w:val="1"/>
          <w:iCs w:val="1"/>
          <w:color w:val="auto"/>
        </w:rPr>
        <w:t>Grants of Plan-Based Awards in 2023</w:t>
      </w:r>
      <w:r>
        <w:rPr>
          <w:rFonts w:ascii="Arial" w:cs="Arial" w:eastAsia="Arial" w:hAnsi="Arial"/>
          <w:sz w:val="16"/>
          <w:szCs w:val="16"/>
          <w:color w:val="auto"/>
        </w:rPr>
        <w:t>” below.</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Performance Achievement of Mr. Houston’s Co-Founder Grant</w:t>
      </w:r>
    </w:p>
    <w:p>
      <w:pPr>
        <w:spacing w:after="0" w:line="39"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In December 2017, our board approved a grant to Mr. Houston (our co-founder, Chief Executive Officer and chair of the board of directors) of an RSA with respect to 10.3 million shares of Class A common stock in the aggregate (the “</w:t>
      </w:r>
      <w:r>
        <w:rPr>
          <w:rFonts w:ascii="Arial" w:cs="Arial" w:eastAsia="Arial" w:hAnsi="Arial"/>
          <w:sz w:val="16"/>
          <w:szCs w:val="16"/>
          <w:b w:val="1"/>
          <w:bCs w:val="1"/>
          <w:i w:val="1"/>
          <w:iCs w:val="1"/>
          <w:color w:val="auto"/>
        </w:rPr>
        <w:t>Co-Founder Grant</w:t>
      </w:r>
      <w:r>
        <w:rPr>
          <w:rFonts w:ascii="Arial" w:cs="Arial" w:eastAsia="Arial" w:hAnsi="Arial"/>
          <w:sz w:val="16"/>
          <w:szCs w:val="16"/>
          <w:color w:val="auto"/>
        </w:rPr>
        <w:t>”). The Co-Founder Grant has service-based, market-based, and performance-based vesting conditions. The Co-Founder Grant is eligible to vest over the ten-year period following the closing of our initial public offering. The Co-Founder Grant is comprised of nine tranches that are eligible to vest based on the achievement of stock price goals (each, a “</w:t>
      </w:r>
      <w:r>
        <w:rPr>
          <w:rFonts w:ascii="Arial" w:cs="Arial" w:eastAsia="Arial" w:hAnsi="Arial"/>
          <w:sz w:val="16"/>
          <w:szCs w:val="16"/>
          <w:b w:val="1"/>
          <w:bCs w:val="1"/>
          <w:i w:val="1"/>
          <w:iCs w:val="1"/>
          <w:color w:val="auto"/>
        </w:rPr>
        <w:t>Stock Price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Target</w:t>
      </w:r>
      <w:r>
        <w:rPr>
          <w:rFonts w:ascii="Arial" w:cs="Arial" w:eastAsia="Arial" w:hAnsi="Arial"/>
          <w:sz w:val="16"/>
          <w:szCs w:val="16"/>
          <w:color w:val="auto"/>
        </w:rPr>
        <w:t>”), measured over a consecutive thirty-day trading period during the Performance Period (defined below),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51435</wp:posOffset>
            </wp:positionV>
            <wp:extent cx="3823335" cy="1817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23335" cy="1817370"/>
                    </a:xfrm>
                    <a:prstGeom prst="rect">
                      <a:avLst/>
                    </a:prstGeom>
                    <a:noFill/>
                  </pic:spPr>
                </pic:pic>
              </a:graphicData>
            </a:graphic>
          </wp:anchor>
        </w:drawing>
      </w:r>
    </w:p>
    <w:p>
      <w:pPr>
        <w:spacing w:after="0" w:line="61" w:lineRule="exact"/>
        <w:rPr>
          <w:sz w:val="20"/>
          <w:szCs w:val="20"/>
          <w:color w:val="auto"/>
        </w:rPr>
      </w:pPr>
    </w:p>
    <w:tbl>
      <w:tblPr>
        <w:tblLayout w:type="fixed"/>
        <w:tblInd w:w="2620" w:type="dxa"/>
        <w:tblCellMar>
          <w:top w:w="0" w:type="dxa"/>
          <w:left w:w="0" w:type="dxa"/>
          <w:bottom w:w="0" w:type="dxa"/>
          <w:right w:w="0" w:type="dxa"/>
        </w:tblCellMar>
      </w:tblPr>
      <w:tr>
        <w:trPr>
          <w:trHeight w:val="247"/>
        </w:trPr>
        <w:tc>
          <w:tcPr>
            <w:tcW w:w="3000" w:type="dxa"/>
            <w:vAlign w:val="bottom"/>
            <w:shd w:val="clear" w:color="auto" w:fill="0063A6"/>
          </w:tcPr>
          <w:p>
            <w:pPr>
              <w:spacing w:after="0"/>
              <w:rPr>
                <w:sz w:val="21"/>
                <w:szCs w:val="21"/>
                <w:color w:val="auto"/>
              </w:rPr>
            </w:pP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Eligible to</w:t>
            </w:r>
          </w:p>
        </w:tc>
      </w:tr>
      <w:tr>
        <w:trPr>
          <w:trHeight w:val="162"/>
        </w:trPr>
        <w:tc>
          <w:tcPr>
            <w:tcW w:w="3000" w:type="dxa"/>
            <w:vAlign w:val="bottom"/>
            <w:shd w:val="clear" w:color="auto" w:fill="0063A6"/>
          </w:tcPr>
          <w:p>
            <w:pPr>
              <w:spacing w:after="0"/>
              <w:rPr>
                <w:sz w:val="14"/>
                <w:szCs w:val="14"/>
                <w:color w:val="auto"/>
              </w:rPr>
            </w:pP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Vest for</w:t>
            </w:r>
          </w:p>
        </w:tc>
      </w:tr>
      <w:tr>
        <w:trPr>
          <w:trHeight w:val="232"/>
        </w:trPr>
        <w:tc>
          <w:tcPr>
            <w:tcW w:w="30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Company Stock Price Target</w:t>
            </w:r>
          </w:p>
        </w:tc>
        <w:tc>
          <w:tcPr>
            <w:tcW w:w="30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Mr. Houston</w:t>
            </w:r>
          </w:p>
        </w:tc>
      </w:tr>
      <w:tr>
        <w:trPr>
          <w:trHeight w:val="256"/>
        </w:trPr>
        <w:tc>
          <w:tcPr>
            <w:tcW w:w="30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$30.00</w:t>
            </w:r>
          </w:p>
        </w:tc>
        <w:tc>
          <w:tcPr>
            <w:tcW w:w="3020" w:type="dxa"/>
            <w:vAlign w:val="bottom"/>
            <w:shd w:val="clear" w:color="auto" w:fill="F2F2F2"/>
          </w:tcPr>
          <w:p>
            <w:pPr>
              <w:jc w:val="center"/>
              <w:ind w:right="281"/>
              <w:spacing w:after="0"/>
              <w:rPr>
                <w:sz w:val="20"/>
                <w:szCs w:val="20"/>
                <w:color w:val="auto"/>
              </w:rPr>
            </w:pPr>
            <w:r>
              <w:rPr>
                <w:rFonts w:ascii="Arial" w:cs="Arial" w:eastAsia="Arial" w:hAnsi="Arial"/>
                <w:sz w:val="16"/>
                <w:szCs w:val="16"/>
                <w:color w:val="auto"/>
                <w:w w:val="97"/>
              </w:rPr>
              <w:t>2,066,667</w:t>
            </w:r>
            <w:r>
              <w:rPr>
                <w:rFonts w:ascii="Arial" w:cs="Arial" w:eastAsia="Arial" w:hAnsi="Arial"/>
                <w:sz w:val="21"/>
                <w:szCs w:val="21"/>
                <w:color w:val="auto"/>
                <w:w w:val="97"/>
                <w:vertAlign w:val="superscript"/>
              </w:rPr>
              <w:t>(1)</w:t>
            </w:r>
          </w:p>
        </w:tc>
      </w:tr>
      <w:tr>
        <w:trPr>
          <w:trHeight w:val="215"/>
        </w:trPr>
        <w:tc>
          <w:tcPr>
            <w:tcW w:w="3000" w:type="dxa"/>
            <w:vAlign w:val="bottom"/>
          </w:tcPr>
          <w:p>
            <w:pPr>
              <w:jc w:val="center"/>
              <w:spacing w:after="0"/>
              <w:rPr>
                <w:sz w:val="20"/>
                <w:szCs w:val="20"/>
                <w:color w:val="auto"/>
              </w:rPr>
            </w:pPr>
            <w:r>
              <w:rPr>
                <w:rFonts w:ascii="Arial" w:cs="Arial" w:eastAsia="Arial" w:hAnsi="Arial"/>
                <w:sz w:val="16"/>
                <w:szCs w:val="16"/>
                <w:color w:val="auto"/>
              </w:rPr>
              <w:t>$37.50</w:t>
            </w:r>
          </w:p>
        </w:tc>
        <w:tc>
          <w:tcPr>
            <w:tcW w:w="3020" w:type="dxa"/>
            <w:vAlign w:val="bottom"/>
          </w:tcPr>
          <w:p>
            <w:pPr>
              <w:jc w:val="center"/>
              <w:ind w:right="261"/>
              <w:spacing w:after="0"/>
              <w:rPr>
                <w:sz w:val="20"/>
                <w:szCs w:val="20"/>
                <w:color w:val="auto"/>
              </w:rPr>
            </w:pPr>
            <w:r>
              <w:rPr>
                <w:rFonts w:ascii="Arial" w:cs="Arial" w:eastAsia="Arial" w:hAnsi="Arial"/>
                <w:sz w:val="16"/>
                <w:szCs w:val="16"/>
                <w:color w:val="auto"/>
              </w:rPr>
              <w:t>1,033,334</w:t>
            </w:r>
          </w:p>
        </w:tc>
      </w:tr>
      <w:tr>
        <w:trPr>
          <w:trHeight w:val="28"/>
        </w:trPr>
        <w:tc>
          <w:tcPr>
            <w:tcW w:w="30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23"/>
        </w:trPr>
        <w:tc>
          <w:tcPr>
            <w:tcW w:w="3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$45.00</w:t>
            </w:r>
          </w:p>
        </w:tc>
        <w:tc>
          <w:tcPr>
            <w:tcW w:w="3020" w:type="dxa"/>
            <w:vAlign w:val="bottom"/>
            <w:tcBorders>
              <w:bottom w:val="single" w:sz="8" w:color="F2F2F2"/>
            </w:tcBorders>
            <w:shd w:val="clear" w:color="auto" w:fill="F2F2F2"/>
          </w:tcPr>
          <w:p>
            <w:pPr>
              <w:jc w:val="center"/>
              <w:ind w:right="261"/>
              <w:spacing w:after="0"/>
              <w:rPr>
                <w:sz w:val="20"/>
                <w:szCs w:val="20"/>
                <w:color w:val="auto"/>
              </w:rPr>
            </w:pPr>
            <w:r>
              <w:rPr>
                <w:rFonts w:ascii="Arial" w:cs="Arial" w:eastAsia="Arial" w:hAnsi="Arial"/>
                <w:sz w:val="16"/>
                <w:szCs w:val="16"/>
                <w:color w:val="auto"/>
              </w:rPr>
              <w:t>1,033,334</w:t>
            </w:r>
          </w:p>
        </w:tc>
      </w:tr>
      <w:tr>
        <w:trPr>
          <w:trHeight w:val="215"/>
        </w:trPr>
        <w:tc>
          <w:tcPr>
            <w:tcW w:w="3000" w:type="dxa"/>
            <w:vAlign w:val="bottom"/>
          </w:tcPr>
          <w:p>
            <w:pPr>
              <w:jc w:val="center"/>
              <w:spacing w:after="0"/>
              <w:rPr>
                <w:sz w:val="20"/>
                <w:szCs w:val="20"/>
                <w:color w:val="auto"/>
              </w:rPr>
            </w:pPr>
            <w:r>
              <w:rPr>
                <w:rFonts w:ascii="Arial" w:cs="Arial" w:eastAsia="Arial" w:hAnsi="Arial"/>
                <w:sz w:val="16"/>
                <w:szCs w:val="16"/>
                <w:color w:val="auto"/>
              </w:rPr>
              <w:t>$52.50</w:t>
            </w:r>
          </w:p>
        </w:tc>
        <w:tc>
          <w:tcPr>
            <w:tcW w:w="3020" w:type="dxa"/>
            <w:vAlign w:val="bottom"/>
          </w:tcPr>
          <w:p>
            <w:pPr>
              <w:jc w:val="center"/>
              <w:ind w:right="261"/>
              <w:spacing w:after="0"/>
              <w:rPr>
                <w:sz w:val="20"/>
                <w:szCs w:val="20"/>
                <w:color w:val="auto"/>
              </w:rPr>
            </w:pPr>
            <w:r>
              <w:rPr>
                <w:rFonts w:ascii="Arial" w:cs="Arial" w:eastAsia="Arial" w:hAnsi="Arial"/>
                <w:sz w:val="16"/>
                <w:szCs w:val="16"/>
                <w:color w:val="auto"/>
              </w:rPr>
              <w:t>1,033,333</w:t>
            </w:r>
          </w:p>
        </w:tc>
      </w:tr>
      <w:tr>
        <w:trPr>
          <w:trHeight w:val="28"/>
        </w:trPr>
        <w:tc>
          <w:tcPr>
            <w:tcW w:w="30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23"/>
        </w:trPr>
        <w:tc>
          <w:tcPr>
            <w:tcW w:w="3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$60.00</w:t>
            </w:r>
          </w:p>
        </w:tc>
        <w:tc>
          <w:tcPr>
            <w:tcW w:w="3020" w:type="dxa"/>
            <w:vAlign w:val="bottom"/>
            <w:tcBorders>
              <w:bottom w:val="single" w:sz="8" w:color="F2F2F2"/>
            </w:tcBorders>
            <w:shd w:val="clear" w:color="auto" w:fill="F2F2F2"/>
          </w:tcPr>
          <w:p>
            <w:pPr>
              <w:jc w:val="center"/>
              <w:ind w:right="261"/>
              <w:spacing w:after="0"/>
              <w:rPr>
                <w:sz w:val="20"/>
                <w:szCs w:val="20"/>
                <w:color w:val="auto"/>
              </w:rPr>
            </w:pPr>
            <w:r>
              <w:rPr>
                <w:rFonts w:ascii="Arial" w:cs="Arial" w:eastAsia="Arial" w:hAnsi="Arial"/>
                <w:sz w:val="16"/>
                <w:szCs w:val="16"/>
                <w:color w:val="auto"/>
              </w:rPr>
              <w:t>1,033,333</w:t>
            </w:r>
          </w:p>
        </w:tc>
      </w:tr>
      <w:tr>
        <w:trPr>
          <w:trHeight w:val="215"/>
        </w:trPr>
        <w:tc>
          <w:tcPr>
            <w:tcW w:w="3000" w:type="dxa"/>
            <w:vAlign w:val="bottom"/>
          </w:tcPr>
          <w:p>
            <w:pPr>
              <w:jc w:val="center"/>
              <w:spacing w:after="0"/>
              <w:rPr>
                <w:sz w:val="20"/>
                <w:szCs w:val="20"/>
                <w:color w:val="auto"/>
              </w:rPr>
            </w:pPr>
            <w:r>
              <w:rPr>
                <w:rFonts w:ascii="Arial" w:cs="Arial" w:eastAsia="Arial" w:hAnsi="Arial"/>
                <w:sz w:val="16"/>
                <w:szCs w:val="16"/>
                <w:color w:val="auto"/>
              </w:rPr>
              <w:t>$67.50</w:t>
            </w:r>
          </w:p>
        </w:tc>
        <w:tc>
          <w:tcPr>
            <w:tcW w:w="3020" w:type="dxa"/>
            <w:vAlign w:val="bottom"/>
          </w:tcPr>
          <w:p>
            <w:pPr>
              <w:jc w:val="center"/>
              <w:ind w:right="261"/>
              <w:spacing w:after="0"/>
              <w:rPr>
                <w:sz w:val="20"/>
                <w:szCs w:val="20"/>
                <w:color w:val="auto"/>
              </w:rPr>
            </w:pPr>
            <w:r>
              <w:rPr>
                <w:rFonts w:ascii="Arial" w:cs="Arial" w:eastAsia="Arial" w:hAnsi="Arial"/>
                <w:sz w:val="16"/>
                <w:szCs w:val="16"/>
                <w:color w:val="auto"/>
              </w:rPr>
              <w:t>1,033,333</w:t>
            </w:r>
          </w:p>
        </w:tc>
      </w:tr>
      <w:tr>
        <w:trPr>
          <w:trHeight w:val="28"/>
        </w:trPr>
        <w:tc>
          <w:tcPr>
            <w:tcW w:w="30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23"/>
        </w:trPr>
        <w:tc>
          <w:tcPr>
            <w:tcW w:w="3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$75.00</w:t>
            </w:r>
          </w:p>
        </w:tc>
        <w:tc>
          <w:tcPr>
            <w:tcW w:w="3020" w:type="dxa"/>
            <w:vAlign w:val="bottom"/>
            <w:tcBorders>
              <w:bottom w:val="single" w:sz="8" w:color="F2F2F2"/>
            </w:tcBorders>
            <w:shd w:val="clear" w:color="auto" w:fill="F2F2F2"/>
          </w:tcPr>
          <w:p>
            <w:pPr>
              <w:jc w:val="center"/>
              <w:ind w:right="261"/>
              <w:spacing w:after="0"/>
              <w:rPr>
                <w:sz w:val="20"/>
                <w:szCs w:val="20"/>
                <w:color w:val="auto"/>
              </w:rPr>
            </w:pPr>
            <w:r>
              <w:rPr>
                <w:rFonts w:ascii="Arial" w:cs="Arial" w:eastAsia="Arial" w:hAnsi="Arial"/>
                <w:sz w:val="16"/>
                <w:szCs w:val="16"/>
                <w:color w:val="auto"/>
              </w:rPr>
              <w:t>1,033,333</w:t>
            </w:r>
          </w:p>
        </w:tc>
      </w:tr>
      <w:tr>
        <w:trPr>
          <w:trHeight w:val="215"/>
        </w:trPr>
        <w:tc>
          <w:tcPr>
            <w:tcW w:w="3000" w:type="dxa"/>
            <w:vAlign w:val="bottom"/>
          </w:tcPr>
          <w:p>
            <w:pPr>
              <w:jc w:val="center"/>
              <w:spacing w:after="0"/>
              <w:rPr>
                <w:sz w:val="20"/>
                <w:szCs w:val="20"/>
                <w:color w:val="auto"/>
              </w:rPr>
            </w:pPr>
            <w:r>
              <w:rPr>
                <w:rFonts w:ascii="Arial" w:cs="Arial" w:eastAsia="Arial" w:hAnsi="Arial"/>
                <w:sz w:val="16"/>
                <w:szCs w:val="16"/>
                <w:color w:val="auto"/>
              </w:rPr>
              <w:t>$82.50</w:t>
            </w:r>
          </w:p>
        </w:tc>
        <w:tc>
          <w:tcPr>
            <w:tcW w:w="3020" w:type="dxa"/>
            <w:vAlign w:val="bottom"/>
          </w:tcPr>
          <w:p>
            <w:pPr>
              <w:jc w:val="center"/>
              <w:ind w:right="261"/>
              <w:spacing w:after="0"/>
              <w:rPr>
                <w:sz w:val="20"/>
                <w:szCs w:val="20"/>
                <w:color w:val="auto"/>
              </w:rPr>
            </w:pPr>
            <w:r>
              <w:rPr>
                <w:rFonts w:ascii="Arial" w:cs="Arial" w:eastAsia="Arial" w:hAnsi="Arial"/>
                <w:sz w:val="16"/>
                <w:szCs w:val="16"/>
                <w:color w:val="auto"/>
              </w:rPr>
              <w:t>1,033,333</w:t>
            </w:r>
          </w:p>
        </w:tc>
      </w:tr>
      <w:tr>
        <w:trPr>
          <w:trHeight w:val="28"/>
        </w:trPr>
        <w:tc>
          <w:tcPr>
            <w:tcW w:w="300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15"/>
        </w:trPr>
        <w:tc>
          <w:tcPr>
            <w:tcW w:w="30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$90.00</w:t>
            </w:r>
          </w:p>
        </w:tc>
        <w:tc>
          <w:tcPr>
            <w:tcW w:w="3020" w:type="dxa"/>
            <w:vAlign w:val="bottom"/>
            <w:shd w:val="clear" w:color="auto" w:fill="F2F2F2"/>
          </w:tcPr>
          <w:p>
            <w:pPr>
              <w:jc w:val="center"/>
              <w:ind w:right="261"/>
              <w:spacing w:after="0"/>
              <w:rPr>
                <w:sz w:val="20"/>
                <w:szCs w:val="20"/>
                <w:color w:val="auto"/>
              </w:rPr>
            </w:pPr>
            <w:r>
              <w:rPr>
                <w:rFonts w:ascii="Arial" w:cs="Arial" w:eastAsia="Arial" w:hAnsi="Arial"/>
                <w:sz w:val="16"/>
                <w:szCs w:val="16"/>
                <w:color w:val="auto"/>
              </w:rPr>
              <w:t>1,033,333</w:t>
            </w:r>
          </w:p>
        </w:tc>
      </w:tr>
      <w:tr>
        <w:trPr>
          <w:trHeight w:val="28"/>
        </w:trPr>
        <w:tc>
          <w:tcPr>
            <w:tcW w:w="3000" w:type="dxa"/>
            <w:vAlign w:val="bottom"/>
            <w:shd w:val="clear" w:color="auto" w:fill="F2F2F2"/>
          </w:tcPr>
          <w:p>
            <w:pPr>
              <w:spacing w:after="0"/>
              <w:rPr>
                <w:sz w:val="2"/>
                <w:szCs w:val="2"/>
                <w:color w:val="auto"/>
              </w:rPr>
            </w:pPr>
          </w:p>
        </w:tc>
        <w:tc>
          <w:tcPr>
            <w:tcW w:w="3020" w:type="dxa"/>
            <w:vAlign w:val="bottom"/>
            <w:shd w:val="clear" w:color="auto" w:fill="F2F2F2"/>
          </w:tcPr>
          <w:p>
            <w:pPr>
              <w:spacing w:after="0"/>
              <w:rPr>
                <w:sz w:val="2"/>
                <w:szCs w:val="2"/>
                <w:color w:val="auto"/>
              </w:rPr>
            </w:pPr>
          </w:p>
        </w:tc>
      </w:tr>
    </w:tbl>
    <w:p>
      <w:pPr>
        <w:spacing w:after="0" w:line="152"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This tranche was vested and achieved on November 15, 2021.</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70"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The Performance Period began on January 2, 2019, and ends on the earliest to occur of: (i) the date on which all shares subject to the Co-Founder Grant vests, (ii) the date Mr. Houston ceases to satisfy the service-based vesting condition, and (iii) March 23, 2028 (“</w:t>
      </w:r>
      <w:r>
        <w:rPr>
          <w:rFonts w:ascii="Arial" w:cs="Arial" w:eastAsia="Arial" w:hAnsi="Arial"/>
          <w:sz w:val="16"/>
          <w:szCs w:val="16"/>
          <w:b w:val="1"/>
          <w:bCs w:val="1"/>
          <w:i w:val="1"/>
          <w:iCs w:val="1"/>
          <w:color w:val="auto"/>
        </w:rPr>
        <w:t>Performance Period</w:t>
      </w:r>
      <w:r>
        <w:rPr>
          <w:rFonts w:ascii="Arial" w:cs="Arial" w:eastAsia="Arial" w:hAnsi="Arial"/>
          <w:sz w:val="16"/>
          <w:szCs w:val="16"/>
          <w:color w:val="auto"/>
        </w:rPr>
        <w:t>”). During 2021, the $30.00 Stock Price Target was achieved and as a result, on November 15, 2021, Mr. Houston vested into 2,066,667 shares. The remaining tranches covering 8,266,666 shares remain outstanding and eligible to vest based on the achievement of the applicable stock price goals and fulfilling the service-based condition.</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Performance Achievement of Mr. Young’s Performance RSA</w:t>
      </w:r>
    </w:p>
    <w:p>
      <w:pPr>
        <w:spacing w:after="0" w:line="8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December 2020, Mr. Young was granted a performance-based RSA in connection with his promotion to President. The performance-based RSA granted to Mr. Young was subject to service-based and market-based vesting conditions and could become eligible to vest over an approximately three-year performance period beginning January 1, 2021. The target number of shares subject to the performance-based RSA were divided into three equal tranches, and the shares subject to a tranche could become eligible to vest based on the achievement of stock price targets measured over a consecutive thirty-day trading period during a twelve-month measurement period that began one month following the one-year anniversary of the grant date of the performance-based RSA (or in the case of the first measurement period, one month following the grant date) and ended one month following the next anniversary of the grant date, as indicated in the tables below.</w:t>
      </w:r>
    </w:p>
    <w:p>
      <w:pPr>
        <w:spacing w:after="0" w:line="130"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measurement period for the second tranche was completed on December 31, 2022, and 100% of the target number of shares covered by the second tranche became eligible to vest based on the achievement of the $21.50 stock price target. As a result, Mr. Young vested in 176,522 shares on February 15, 2023. The remaining outstanding shares subject to Mr. Young’s award were forfeited upon his departure on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8599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85991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40" w:type="dxa"/>
            <w:vAlign w:val="bottom"/>
            <w:shd w:val="clear" w:color="auto" w:fill="0063A6"/>
          </w:tcPr>
          <w:p>
            <w:pPr>
              <w:jc w:val="center"/>
              <w:ind w:left="1022"/>
              <w:spacing w:after="0"/>
              <w:rPr>
                <w:sz w:val="20"/>
                <w:szCs w:val="20"/>
                <w:color w:val="auto"/>
              </w:rPr>
            </w:pPr>
            <w:r>
              <w:rPr>
                <w:rFonts w:ascii="Arial" w:cs="Arial" w:eastAsia="Arial" w:hAnsi="Arial"/>
                <w:sz w:val="14"/>
                <w:szCs w:val="14"/>
                <w:b w:val="1"/>
                <w:bCs w:val="1"/>
                <w:color w:val="FFFFFF"/>
              </w:rPr>
              <w:t>First Tranche</w:t>
            </w:r>
          </w:p>
        </w:tc>
        <w:tc>
          <w:tcPr>
            <w:tcW w:w="1100" w:type="dxa"/>
            <w:vAlign w:val="bottom"/>
            <w:shd w:val="clear" w:color="auto" w:fill="0063A6"/>
          </w:tcPr>
          <w:p>
            <w:pPr>
              <w:spacing w:after="0"/>
              <w:rPr>
                <w:sz w:val="20"/>
                <w:szCs w:val="20"/>
                <w:color w:val="auto"/>
              </w:rPr>
            </w:pPr>
          </w:p>
        </w:tc>
        <w:tc>
          <w:tcPr>
            <w:tcW w:w="2680" w:type="dxa"/>
            <w:vAlign w:val="bottom"/>
            <w:shd w:val="clear" w:color="auto" w:fill="0063A6"/>
          </w:tcPr>
          <w:p>
            <w:pPr>
              <w:jc w:val="center"/>
              <w:ind w:left="982"/>
              <w:spacing w:after="0"/>
              <w:rPr>
                <w:sz w:val="20"/>
                <w:szCs w:val="20"/>
                <w:color w:val="auto"/>
              </w:rPr>
            </w:pPr>
            <w:r>
              <w:rPr>
                <w:rFonts w:ascii="Arial" w:cs="Arial" w:eastAsia="Arial" w:hAnsi="Arial"/>
                <w:sz w:val="14"/>
                <w:szCs w:val="14"/>
                <w:b w:val="1"/>
                <w:bCs w:val="1"/>
                <w:color w:val="FFFFFF"/>
              </w:rPr>
              <w:t>Second Tranche</w:t>
            </w:r>
          </w:p>
        </w:tc>
        <w:tc>
          <w:tcPr>
            <w:tcW w:w="1080" w:type="dxa"/>
            <w:vAlign w:val="bottom"/>
            <w:shd w:val="clear" w:color="auto" w:fill="0063A6"/>
          </w:tcPr>
          <w:p>
            <w:pPr>
              <w:spacing w:after="0"/>
              <w:rPr>
                <w:sz w:val="20"/>
                <w:szCs w:val="20"/>
                <w:color w:val="auto"/>
              </w:rPr>
            </w:pPr>
          </w:p>
        </w:tc>
        <w:tc>
          <w:tcPr>
            <w:tcW w:w="2520" w:type="dxa"/>
            <w:vAlign w:val="bottom"/>
            <w:shd w:val="clear" w:color="auto" w:fill="0063A6"/>
          </w:tcPr>
          <w:p>
            <w:pPr>
              <w:jc w:val="center"/>
              <w:ind w:left="1142"/>
              <w:spacing w:after="0"/>
              <w:rPr>
                <w:sz w:val="20"/>
                <w:szCs w:val="20"/>
                <w:color w:val="auto"/>
              </w:rPr>
            </w:pPr>
            <w:r>
              <w:rPr>
                <w:rFonts w:ascii="Arial" w:cs="Arial" w:eastAsia="Arial" w:hAnsi="Arial"/>
                <w:sz w:val="14"/>
                <w:szCs w:val="14"/>
                <w:b w:val="1"/>
                <w:bCs w:val="1"/>
                <w:color w:val="FFFFFF"/>
              </w:rPr>
              <w:t>Third Tranche</w:t>
            </w:r>
          </w:p>
        </w:tc>
        <w:tc>
          <w:tcPr>
            <w:tcW w:w="1220" w:type="dxa"/>
            <w:vAlign w:val="bottom"/>
            <w:shd w:val="clear" w:color="auto" w:fill="0063A6"/>
          </w:tcPr>
          <w:p>
            <w:pPr>
              <w:spacing w:after="0"/>
              <w:rPr>
                <w:sz w:val="20"/>
                <w:szCs w:val="20"/>
                <w:color w:val="auto"/>
              </w:rPr>
            </w:pPr>
          </w:p>
        </w:tc>
      </w:tr>
      <w:tr>
        <w:trPr>
          <w:trHeight w:val="162"/>
        </w:trPr>
        <w:tc>
          <w:tcPr>
            <w:tcW w:w="3740" w:type="dxa"/>
            <w:vAlign w:val="bottom"/>
            <w:gridSpan w:val="2"/>
            <w:shd w:val="clear" w:color="auto" w:fill="0063A6"/>
          </w:tcPr>
          <w:p>
            <w:pPr>
              <w:jc w:val="center"/>
              <w:spacing w:after="0"/>
              <w:rPr>
                <w:sz w:val="20"/>
                <w:szCs w:val="20"/>
                <w:color w:val="auto"/>
              </w:rPr>
            </w:pPr>
            <w:r>
              <w:rPr>
                <w:rFonts w:ascii="Arial" w:cs="Arial" w:eastAsia="Arial" w:hAnsi="Arial"/>
                <w:sz w:val="14"/>
                <w:szCs w:val="14"/>
                <w:i w:val="1"/>
                <w:iCs w:val="1"/>
                <w:color w:val="FFFFFF"/>
              </w:rPr>
              <w:t>Measurement Period: 1/1/2021 – 12/31/2021</w:t>
            </w:r>
          </w:p>
        </w:tc>
        <w:tc>
          <w:tcPr>
            <w:tcW w:w="3760" w:type="dxa"/>
            <w:vAlign w:val="bottom"/>
            <w:gridSpan w:val="2"/>
            <w:shd w:val="clear" w:color="auto" w:fill="0063A6"/>
          </w:tcPr>
          <w:p>
            <w:pPr>
              <w:jc w:val="center"/>
              <w:spacing w:after="0"/>
              <w:rPr>
                <w:sz w:val="20"/>
                <w:szCs w:val="20"/>
                <w:color w:val="auto"/>
              </w:rPr>
            </w:pPr>
            <w:r>
              <w:rPr>
                <w:rFonts w:ascii="Arial" w:cs="Arial" w:eastAsia="Arial" w:hAnsi="Arial"/>
                <w:sz w:val="14"/>
                <w:szCs w:val="14"/>
                <w:i w:val="1"/>
                <w:iCs w:val="1"/>
                <w:color w:val="FFFFFF"/>
              </w:rPr>
              <w:t>Measurement Period: 1/1/2022 – 12/31/2022</w:t>
            </w:r>
          </w:p>
        </w:tc>
        <w:tc>
          <w:tcPr>
            <w:tcW w:w="3740" w:type="dxa"/>
            <w:vAlign w:val="bottom"/>
            <w:gridSpan w:val="2"/>
            <w:shd w:val="clear" w:color="auto" w:fill="0063A6"/>
          </w:tcPr>
          <w:p>
            <w:pPr>
              <w:jc w:val="center"/>
              <w:spacing w:after="0"/>
              <w:rPr>
                <w:sz w:val="20"/>
                <w:szCs w:val="20"/>
                <w:color w:val="auto"/>
              </w:rPr>
            </w:pPr>
            <w:r>
              <w:rPr>
                <w:rFonts w:ascii="Arial" w:cs="Arial" w:eastAsia="Arial" w:hAnsi="Arial"/>
                <w:sz w:val="14"/>
                <w:szCs w:val="14"/>
                <w:i w:val="1"/>
                <w:iCs w:val="1"/>
                <w:color w:val="FFFFFF"/>
              </w:rPr>
              <w:t>Measurement Period: 1/1/2023 – 12/31/2023</w:t>
            </w:r>
          </w:p>
        </w:tc>
      </w:tr>
      <w:tr>
        <w:trPr>
          <w:trHeight w:val="188"/>
        </w:trPr>
        <w:tc>
          <w:tcPr>
            <w:tcW w:w="2640" w:type="dxa"/>
            <w:vAlign w:val="bottom"/>
            <w:shd w:val="clear" w:color="auto" w:fill="0063A6"/>
          </w:tcPr>
          <w:p>
            <w:pPr>
              <w:jc w:val="center"/>
              <w:ind w:left="1042"/>
              <w:spacing w:after="0"/>
              <w:rPr>
                <w:sz w:val="20"/>
                <w:szCs w:val="20"/>
                <w:color w:val="auto"/>
              </w:rPr>
            </w:pPr>
            <w:r>
              <w:rPr>
                <w:rFonts w:ascii="Arial" w:cs="Arial" w:eastAsia="Arial" w:hAnsi="Arial"/>
                <w:sz w:val="14"/>
                <w:szCs w:val="14"/>
                <w:i w:val="1"/>
                <w:iCs w:val="1"/>
                <w:color w:val="FFFFFF"/>
              </w:rPr>
              <w:t>Earned at 200% target</w:t>
            </w:r>
          </w:p>
        </w:tc>
        <w:tc>
          <w:tcPr>
            <w:tcW w:w="1100" w:type="dxa"/>
            <w:vAlign w:val="bottom"/>
            <w:shd w:val="clear" w:color="auto" w:fill="0063A6"/>
          </w:tcPr>
          <w:p>
            <w:pPr>
              <w:spacing w:after="0"/>
              <w:rPr>
                <w:sz w:val="16"/>
                <w:szCs w:val="16"/>
                <w:color w:val="auto"/>
              </w:rPr>
            </w:pPr>
          </w:p>
        </w:tc>
        <w:tc>
          <w:tcPr>
            <w:tcW w:w="2680" w:type="dxa"/>
            <w:vAlign w:val="bottom"/>
            <w:shd w:val="clear" w:color="auto" w:fill="0063A6"/>
          </w:tcPr>
          <w:p>
            <w:pPr>
              <w:jc w:val="center"/>
              <w:ind w:left="1002"/>
              <w:spacing w:after="0"/>
              <w:rPr>
                <w:sz w:val="20"/>
                <w:szCs w:val="20"/>
                <w:color w:val="auto"/>
              </w:rPr>
            </w:pPr>
            <w:r>
              <w:rPr>
                <w:rFonts w:ascii="Arial" w:cs="Arial" w:eastAsia="Arial" w:hAnsi="Arial"/>
                <w:sz w:val="14"/>
                <w:szCs w:val="14"/>
                <w:i w:val="1"/>
                <w:iCs w:val="1"/>
                <w:color w:val="FFFFFF"/>
              </w:rPr>
              <w:t>Earned at 100% of target</w:t>
            </w:r>
          </w:p>
        </w:tc>
        <w:tc>
          <w:tcPr>
            <w:tcW w:w="1080" w:type="dxa"/>
            <w:vAlign w:val="bottom"/>
            <w:shd w:val="clear" w:color="auto" w:fill="0063A6"/>
          </w:tcPr>
          <w:p>
            <w:pPr>
              <w:spacing w:after="0"/>
              <w:rPr>
                <w:sz w:val="16"/>
                <w:szCs w:val="16"/>
                <w:color w:val="auto"/>
              </w:rPr>
            </w:pPr>
          </w:p>
        </w:tc>
        <w:tc>
          <w:tcPr>
            <w:tcW w:w="3740" w:type="dxa"/>
            <w:vAlign w:val="bottom"/>
            <w:gridSpan w:val="2"/>
            <w:shd w:val="clear" w:color="auto" w:fill="0063A6"/>
          </w:tcPr>
          <w:p>
            <w:pPr>
              <w:jc w:val="center"/>
              <w:spacing w:after="0"/>
              <w:rPr>
                <w:sz w:val="20"/>
                <w:szCs w:val="20"/>
                <w:color w:val="auto"/>
              </w:rPr>
            </w:pPr>
            <w:r>
              <w:rPr>
                <w:rFonts w:ascii="Arial" w:cs="Arial" w:eastAsia="Arial" w:hAnsi="Arial"/>
                <w:sz w:val="14"/>
                <w:szCs w:val="14"/>
                <w:i w:val="1"/>
                <w:iCs w:val="1"/>
                <w:color w:val="FFFFFF"/>
              </w:rPr>
              <w:t>Forfeited upon termination</w:t>
            </w:r>
          </w:p>
        </w:tc>
      </w:tr>
      <w:tr>
        <w:trPr>
          <w:trHeight w:val="379"/>
        </w:trPr>
        <w:tc>
          <w:tcPr>
            <w:tcW w:w="2640" w:type="dxa"/>
            <w:vAlign w:val="bottom"/>
            <w:tcBorders>
              <w:bottom w:val="single" w:sz="8" w:color="0063A6"/>
            </w:tcBorders>
            <w:shd w:val="clear" w:color="auto" w:fill="0063A6"/>
          </w:tcPr>
          <w:p>
            <w:pPr>
              <w:jc w:val="center"/>
              <w:ind w:right="302"/>
              <w:spacing w:after="0"/>
              <w:rPr>
                <w:sz w:val="20"/>
                <w:szCs w:val="20"/>
                <w:color w:val="auto"/>
              </w:rPr>
            </w:pPr>
            <w:r>
              <w:rPr>
                <w:rFonts w:ascii="Arial" w:cs="Arial" w:eastAsia="Arial" w:hAnsi="Arial"/>
                <w:sz w:val="14"/>
                <w:szCs w:val="14"/>
                <w:b w:val="1"/>
                <w:bCs w:val="1"/>
                <w:color w:val="FFFFFF"/>
              </w:rPr>
              <w:t>Price Target</w:t>
            </w:r>
          </w:p>
        </w:tc>
        <w:tc>
          <w:tcPr>
            <w:tcW w:w="1100" w:type="dxa"/>
            <w:vAlign w:val="bottom"/>
            <w:tcBorders>
              <w:bottom w:val="single" w:sz="8" w:color="0063A6"/>
            </w:tcBorders>
            <w:shd w:val="clear" w:color="auto" w:fill="0063A6"/>
          </w:tcPr>
          <w:p>
            <w:pPr>
              <w:ind w:left="40"/>
              <w:spacing w:after="0"/>
              <w:rPr>
                <w:sz w:val="20"/>
                <w:szCs w:val="20"/>
                <w:color w:val="auto"/>
              </w:rPr>
            </w:pPr>
            <w:r>
              <w:rPr>
                <w:rFonts w:ascii="Arial" w:cs="Arial" w:eastAsia="Arial" w:hAnsi="Arial"/>
                <w:sz w:val="14"/>
                <w:szCs w:val="14"/>
                <w:b w:val="1"/>
                <w:bCs w:val="1"/>
                <w:color w:val="FFFFFF"/>
              </w:rPr>
              <w:t>Multiplier</w:t>
            </w:r>
          </w:p>
        </w:tc>
        <w:tc>
          <w:tcPr>
            <w:tcW w:w="2680" w:type="dxa"/>
            <w:vAlign w:val="bottom"/>
            <w:tcBorders>
              <w:bottom w:val="single" w:sz="8" w:color="0063A6"/>
            </w:tcBorders>
            <w:shd w:val="clear" w:color="auto" w:fill="0063A6"/>
          </w:tcPr>
          <w:p>
            <w:pPr>
              <w:jc w:val="center"/>
              <w:ind w:right="342"/>
              <w:spacing w:after="0"/>
              <w:rPr>
                <w:sz w:val="20"/>
                <w:szCs w:val="20"/>
                <w:color w:val="auto"/>
              </w:rPr>
            </w:pPr>
            <w:r>
              <w:rPr>
                <w:rFonts w:ascii="Arial" w:cs="Arial" w:eastAsia="Arial" w:hAnsi="Arial"/>
                <w:sz w:val="14"/>
                <w:szCs w:val="14"/>
                <w:b w:val="1"/>
                <w:bCs w:val="1"/>
                <w:color w:val="FFFFFF"/>
              </w:rPr>
              <w:t>Price Target</w:t>
            </w:r>
          </w:p>
        </w:tc>
        <w:tc>
          <w:tcPr>
            <w:tcW w:w="1080" w:type="dxa"/>
            <w:vAlign w:val="bottom"/>
            <w:tcBorders>
              <w:bottom w:val="single" w:sz="8" w:color="0063A6"/>
            </w:tcBorders>
            <w:shd w:val="clear" w:color="auto" w:fill="0063A6"/>
          </w:tcPr>
          <w:p>
            <w:pPr>
              <w:spacing w:after="0"/>
              <w:rPr>
                <w:sz w:val="20"/>
                <w:szCs w:val="20"/>
                <w:color w:val="auto"/>
              </w:rPr>
            </w:pPr>
            <w:r>
              <w:rPr>
                <w:rFonts w:ascii="Arial" w:cs="Arial" w:eastAsia="Arial" w:hAnsi="Arial"/>
                <w:sz w:val="14"/>
                <w:szCs w:val="14"/>
                <w:b w:val="1"/>
                <w:bCs w:val="1"/>
                <w:color w:val="FFFFFF"/>
              </w:rPr>
              <w:t>Multiplier</w:t>
            </w:r>
          </w:p>
        </w:tc>
        <w:tc>
          <w:tcPr>
            <w:tcW w:w="2520" w:type="dxa"/>
            <w:vAlign w:val="bottom"/>
            <w:tcBorders>
              <w:bottom w:val="single" w:sz="8" w:color="0063A6"/>
            </w:tcBorders>
            <w:shd w:val="clear" w:color="auto" w:fill="0063A6"/>
          </w:tcPr>
          <w:p>
            <w:pPr>
              <w:jc w:val="center"/>
              <w:ind w:right="182"/>
              <w:spacing w:after="0"/>
              <w:rPr>
                <w:sz w:val="20"/>
                <w:szCs w:val="20"/>
                <w:color w:val="auto"/>
              </w:rPr>
            </w:pPr>
            <w:r>
              <w:rPr>
                <w:rFonts w:ascii="Arial" w:cs="Arial" w:eastAsia="Arial" w:hAnsi="Arial"/>
                <w:sz w:val="14"/>
                <w:szCs w:val="14"/>
                <w:b w:val="1"/>
                <w:bCs w:val="1"/>
                <w:color w:val="FFFFFF"/>
              </w:rPr>
              <w:t>Price Target</w:t>
            </w:r>
          </w:p>
        </w:tc>
        <w:tc>
          <w:tcPr>
            <w:tcW w:w="1220" w:type="dxa"/>
            <w:vAlign w:val="bottom"/>
            <w:tcBorders>
              <w:bottom w:val="single" w:sz="8" w:color="0063A6"/>
            </w:tcBorders>
            <w:shd w:val="clear" w:color="auto" w:fill="0063A6"/>
          </w:tcPr>
          <w:p>
            <w:pPr>
              <w:ind w:left="160"/>
              <w:spacing w:after="0"/>
              <w:rPr>
                <w:sz w:val="20"/>
                <w:szCs w:val="20"/>
                <w:color w:val="auto"/>
              </w:rPr>
            </w:pPr>
            <w:r>
              <w:rPr>
                <w:rFonts w:ascii="Arial" w:cs="Arial" w:eastAsia="Arial" w:hAnsi="Arial"/>
                <w:sz w:val="14"/>
                <w:szCs w:val="14"/>
                <w:b w:val="1"/>
                <w:bCs w:val="1"/>
                <w:color w:val="FFFFFF"/>
              </w:rPr>
              <w:t>Multiplier</w:t>
            </w:r>
          </w:p>
        </w:tc>
      </w:tr>
      <w:tr>
        <w:trPr>
          <w:trHeight w:val="223"/>
        </w:trPr>
        <w:tc>
          <w:tcPr>
            <w:tcW w:w="2640" w:type="dxa"/>
            <w:vAlign w:val="bottom"/>
            <w:tcBorders>
              <w:bottom w:val="single" w:sz="8" w:color="F2F2F2"/>
            </w:tcBorders>
            <w:shd w:val="clear" w:color="auto" w:fill="F2F2F2"/>
          </w:tcPr>
          <w:p>
            <w:pPr>
              <w:jc w:val="center"/>
              <w:ind w:right="322"/>
              <w:spacing w:after="0"/>
              <w:rPr>
                <w:sz w:val="20"/>
                <w:szCs w:val="20"/>
                <w:color w:val="auto"/>
              </w:rPr>
            </w:pPr>
            <w:r>
              <w:rPr>
                <w:rFonts w:ascii="Arial" w:cs="Arial" w:eastAsia="Arial" w:hAnsi="Arial"/>
                <w:sz w:val="16"/>
                <w:szCs w:val="16"/>
                <w:color w:val="auto"/>
              </w:rPr>
              <w:t>Less than $10.00</w:t>
            </w:r>
          </w:p>
        </w:tc>
        <w:tc>
          <w:tcPr>
            <w:tcW w:w="1100" w:type="dxa"/>
            <w:vAlign w:val="bottom"/>
            <w:tcBorders>
              <w:bottom w:val="single" w:sz="8" w:color="F2F2F2"/>
            </w:tcBorders>
            <w:shd w:val="clear" w:color="auto" w:fill="F2F2F2"/>
          </w:tcPr>
          <w:p>
            <w:pPr>
              <w:jc w:val="center"/>
              <w:ind w:right="320"/>
              <w:spacing w:after="0"/>
              <w:rPr>
                <w:sz w:val="20"/>
                <w:szCs w:val="20"/>
                <w:color w:val="auto"/>
              </w:rPr>
            </w:pPr>
            <w:r>
              <w:rPr>
                <w:rFonts w:ascii="Arial" w:cs="Arial" w:eastAsia="Arial" w:hAnsi="Arial"/>
                <w:sz w:val="16"/>
                <w:szCs w:val="16"/>
                <w:color w:val="auto"/>
                <w:w w:val="94"/>
              </w:rPr>
              <w:t>0%</w:t>
            </w:r>
          </w:p>
        </w:tc>
        <w:tc>
          <w:tcPr>
            <w:tcW w:w="2680" w:type="dxa"/>
            <w:vAlign w:val="bottom"/>
            <w:tcBorders>
              <w:bottom w:val="single" w:sz="8" w:color="F2F2F2"/>
            </w:tcBorders>
            <w:shd w:val="clear" w:color="auto" w:fill="F2F2F2"/>
          </w:tcPr>
          <w:p>
            <w:pPr>
              <w:jc w:val="center"/>
              <w:ind w:right="362"/>
              <w:spacing w:after="0"/>
              <w:rPr>
                <w:sz w:val="20"/>
                <w:szCs w:val="20"/>
                <w:color w:val="auto"/>
              </w:rPr>
            </w:pPr>
            <w:r>
              <w:rPr>
                <w:rFonts w:ascii="Arial" w:cs="Arial" w:eastAsia="Arial" w:hAnsi="Arial"/>
                <w:sz w:val="16"/>
                <w:szCs w:val="16"/>
                <w:color w:val="auto"/>
              </w:rPr>
              <w:t>Less than $10.00</w:t>
            </w:r>
          </w:p>
        </w:tc>
        <w:tc>
          <w:tcPr>
            <w:tcW w:w="1080" w:type="dxa"/>
            <w:vAlign w:val="bottom"/>
            <w:tcBorders>
              <w:bottom w:val="single" w:sz="8" w:color="F2F2F2"/>
            </w:tcBorders>
            <w:shd w:val="clear" w:color="auto" w:fill="F2F2F2"/>
          </w:tcPr>
          <w:p>
            <w:pPr>
              <w:jc w:val="center"/>
              <w:ind w:right="360"/>
              <w:spacing w:after="0"/>
              <w:rPr>
                <w:sz w:val="20"/>
                <w:szCs w:val="20"/>
                <w:color w:val="auto"/>
              </w:rPr>
            </w:pPr>
            <w:r>
              <w:rPr>
                <w:rFonts w:ascii="Arial" w:cs="Arial" w:eastAsia="Arial" w:hAnsi="Arial"/>
                <w:sz w:val="16"/>
                <w:szCs w:val="16"/>
                <w:color w:val="auto"/>
              </w:rPr>
              <w:t>0%</w:t>
            </w:r>
          </w:p>
        </w:tc>
        <w:tc>
          <w:tcPr>
            <w:tcW w:w="2520" w:type="dxa"/>
            <w:vAlign w:val="bottom"/>
            <w:tcBorders>
              <w:bottom w:val="single" w:sz="8" w:color="F2F2F2"/>
            </w:tcBorders>
            <w:shd w:val="clear" w:color="auto" w:fill="F2F2F2"/>
          </w:tcPr>
          <w:p>
            <w:pPr>
              <w:jc w:val="center"/>
              <w:ind w:right="202"/>
              <w:spacing w:after="0"/>
              <w:rPr>
                <w:sz w:val="20"/>
                <w:szCs w:val="20"/>
                <w:color w:val="auto"/>
              </w:rPr>
            </w:pPr>
            <w:r>
              <w:rPr>
                <w:rFonts w:ascii="Arial" w:cs="Arial" w:eastAsia="Arial" w:hAnsi="Arial"/>
                <w:sz w:val="16"/>
                <w:szCs w:val="16"/>
                <w:color w:val="auto"/>
              </w:rPr>
              <w:t>Less than $10.00</w:t>
            </w:r>
          </w:p>
        </w:tc>
        <w:tc>
          <w:tcPr>
            <w:tcW w:w="1220" w:type="dxa"/>
            <w:vAlign w:val="bottom"/>
            <w:tcBorders>
              <w:bottom w:val="single" w:sz="8" w:color="F2F2F2"/>
            </w:tcBorders>
            <w:shd w:val="clear" w:color="auto" w:fill="F2F2F2"/>
          </w:tcPr>
          <w:p>
            <w:pPr>
              <w:jc w:val="center"/>
              <w:ind w:right="180"/>
              <w:spacing w:after="0"/>
              <w:rPr>
                <w:sz w:val="20"/>
                <w:szCs w:val="20"/>
                <w:color w:val="auto"/>
              </w:rPr>
            </w:pPr>
            <w:r>
              <w:rPr>
                <w:rFonts w:ascii="Arial" w:cs="Arial" w:eastAsia="Arial" w:hAnsi="Arial"/>
                <w:sz w:val="16"/>
                <w:szCs w:val="16"/>
                <w:color w:val="auto"/>
              </w:rPr>
              <w:t>0%</w:t>
            </w:r>
          </w:p>
        </w:tc>
      </w:tr>
      <w:tr>
        <w:trPr>
          <w:trHeight w:val="215"/>
        </w:trPr>
        <w:tc>
          <w:tcPr>
            <w:tcW w:w="2640" w:type="dxa"/>
            <w:vAlign w:val="bottom"/>
          </w:tcPr>
          <w:p>
            <w:pPr>
              <w:jc w:val="center"/>
              <w:ind w:right="322"/>
              <w:spacing w:after="0"/>
              <w:rPr>
                <w:sz w:val="20"/>
                <w:szCs w:val="20"/>
                <w:color w:val="auto"/>
              </w:rPr>
            </w:pPr>
            <w:r>
              <w:rPr>
                <w:rFonts w:ascii="Arial" w:cs="Arial" w:eastAsia="Arial" w:hAnsi="Arial"/>
                <w:sz w:val="16"/>
                <w:szCs w:val="16"/>
                <w:color w:val="auto"/>
                <w:w w:val="98"/>
              </w:rPr>
              <w:t>$10.00</w:t>
            </w:r>
          </w:p>
        </w:tc>
        <w:tc>
          <w:tcPr>
            <w:tcW w:w="1100" w:type="dxa"/>
            <w:vAlign w:val="bottom"/>
          </w:tcPr>
          <w:p>
            <w:pPr>
              <w:jc w:val="center"/>
              <w:ind w:right="320"/>
              <w:spacing w:after="0"/>
              <w:rPr>
                <w:sz w:val="20"/>
                <w:szCs w:val="20"/>
                <w:color w:val="auto"/>
              </w:rPr>
            </w:pPr>
            <w:r>
              <w:rPr>
                <w:rFonts w:ascii="Arial" w:cs="Arial" w:eastAsia="Arial" w:hAnsi="Arial"/>
                <w:sz w:val="16"/>
                <w:szCs w:val="16"/>
                <w:color w:val="auto"/>
              </w:rPr>
              <w:t>25%</w:t>
            </w:r>
          </w:p>
        </w:tc>
        <w:tc>
          <w:tcPr>
            <w:tcW w:w="2680" w:type="dxa"/>
            <w:vAlign w:val="bottom"/>
          </w:tcPr>
          <w:p>
            <w:pPr>
              <w:jc w:val="center"/>
              <w:ind w:right="342"/>
              <w:spacing w:after="0"/>
              <w:rPr>
                <w:sz w:val="20"/>
                <w:szCs w:val="20"/>
                <w:color w:val="auto"/>
              </w:rPr>
            </w:pPr>
            <w:r>
              <w:rPr>
                <w:rFonts w:ascii="Arial" w:cs="Arial" w:eastAsia="Arial" w:hAnsi="Arial"/>
                <w:sz w:val="16"/>
                <w:szCs w:val="16"/>
                <w:color w:val="auto"/>
              </w:rPr>
              <w:t>$10.00</w:t>
            </w:r>
          </w:p>
        </w:tc>
        <w:tc>
          <w:tcPr>
            <w:tcW w:w="1080" w:type="dxa"/>
            <w:vAlign w:val="bottom"/>
          </w:tcPr>
          <w:p>
            <w:pPr>
              <w:jc w:val="center"/>
              <w:ind w:right="360"/>
              <w:spacing w:after="0"/>
              <w:rPr>
                <w:sz w:val="20"/>
                <w:szCs w:val="20"/>
                <w:color w:val="auto"/>
              </w:rPr>
            </w:pPr>
            <w:r>
              <w:rPr>
                <w:rFonts w:ascii="Arial" w:cs="Arial" w:eastAsia="Arial" w:hAnsi="Arial"/>
                <w:sz w:val="16"/>
                <w:szCs w:val="16"/>
                <w:color w:val="auto"/>
                <w:w w:val="99"/>
              </w:rPr>
              <w:t>25%</w:t>
            </w:r>
          </w:p>
        </w:tc>
        <w:tc>
          <w:tcPr>
            <w:tcW w:w="2520" w:type="dxa"/>
            <w:vAlign w:val="bottom"/>
          </w:tcPr>
          <w:p>
            <w:pPr>
              <w:jc w:val="center"/>
              <w:ind w:right="202"/>
              <w:spacing w:after="0"/>
              <w:rPr>
                <w:sz w:val="20"/>
                <w:szCs w:val="20"/>
                <w:color w:val="auto"/>
              </w:rPr>
            </w:pPr>
            <w:r>
              <w:rPr>
                <w:rFonts w:ascii="Arial" w:cs="Arial" w:eastAsia="Arial" w:hAnsi="Arial"/>
                <w:sz w:val="16"/>
                <w:szCs w:val="16"/>
                <w:color w:val="auto"/>
                <w:w w:val="98"/>
              </w:rPr>
              <w:t>$10.00</w:t>
            </w:r>
          </w:p>
        </w:tc>
        <w:tc>
          <w:tcPr>
            <w:tcW w:w="1220" w:type="dxa"/>
            <w:vAlign w:val="bottom"/>
          </w:tcPr>
          <w:p>
            <w:pPr>
              <w:jc w:val="center"/>
              <w:ind w:right="180"/>
              <w:spacing w:after="0"/>
              <w:rPr>
                <w:sz w:val="20"/>
                <w:szCs w:val="20"/>
                <w:color w:val="auto"/>
              </w:rPr>
            </w:pPr>
            <w:r>
              <w:rPr>
                <w:rFonts w:ascii="Arial" w:cs="Arial" w:eastAsia="Arial" w:hAnsi="Arial"/>
                <w:sz w:val="16"/>
                <w:szCs w:val="16"/>
                <w:color w:val="auto"/>
                <w:w w:val="99"/>
              </w:rPr>
              <w:t>25%</w:t>
            </w:r>
          </w:p>
        </w:tc>
      </w:tr>
      <w:tr>
        <w:trPr>
          <w:trHeight w:val="28"/>
        </w:trPr>
        <w:tc>
          <w:tcPr>
            <w:tcW w:w="2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2640" w:type="dxa"/>
            <w:vAlign w:val="bottom"/>
            <w:tcBorders>
              <w:bottom w:val="single" w:sz="8" w:color="F2F2F2"/>
            </w:tcBorders>
            <w:shd w:val="clear" w:color="auto" w:fill="F2F2F2"/>
          </w:tcPr>
          <w:p>
            <w:pPr>
              <w:jc w:val="center"/>
              <w:ind w:right="322"/>
              <w:spacing w:after="0"/>
              <w:rPr>
                <w:sz w:val="20"/>
                <w:szCs w:val="20"/>
                <w:color w:val="auto"/>
              </w:rPr>
            </w:pPr>
            <w:r>
              <w:rPr>
                <w:rFonts w:ascii="Arial" w:cs="Arial" w:eastAsia="Arial" w:hAnsi="Arial"/>
                <w:sz w:val="16"/>
                <w:szCs w:val="16"/>
                <w:color w:val="auto"/>
                <w:w w:val="98"/>
              </w:rPr>
              <w:t>$15.00</w:t>
            </w:r>
          </w:p>
        </w:tc>
        <w:tc>
          <w:tcPr>
            <w:tcW w:w="1100" w:type="dxa"/>
            <w:vAlign w:val="bottom"/>
            <w:tcBorders>
              <w:bottom w:val="single" w:sz="8" w:color="F2F2F2"/>
            </w:tcBorders>
            <w:shd w:val="clear" w:color="auto" w:fill="F2F2F2"/>
          </w:tcPr>
          <w:p>
            <w:pPr>
              <w:jc w:val="center"/>
              <w:ind w:right="320"/>
              <w:spacing w:after="0"/>
              <w:rPr>
                <w:sz w:val="20"/>
                <w:szCs w:val="20"/>
                <w:color w:val="auto"/>
              </w:rPr>
            </w:pPr>
            <w:r>
              <w:rPr>
                <w:rFonts w:ascii="Arial" w:cs="Arial" w:eastAsia="Arial" w:hAnsi="Arial"/>
                <w:sz w:val="16"/>
                <w:szCs w:val="16"/>
                <w:color w:val="auto"/>
              </w:rPr>
              <w:t>50%</w:t>
            </w:r>
          </w:p>
        </w:tc>
        <w:tc>
          <w:tcPr>
            <w:tcW w:w="2680" w:type="dxa"/>
            <w:vAlign w:val="bottom"/>
            <w:tcBorders>
              <w:bottom w:val="single" w:sz="8" w:color="F2F2F2"/>
            </w:tcBorders>
            <w:shd w:val="clear" w:color="auto" w:fill="F2F2F2"/>
          </w:tcPr>
          <w:p>
            <w:pPr>
              <w:jc w:val="center"/>
              <w:ind w:right="342"/>
              <w:spacing w:after="0"/>
              <w:rPr>
                <w:sz w:val="20"/>
                <w:szCs w:val="20"/>
                <w:color w:val="auto"/>
              </w:rPr>
            </w:pPr>
            <w:r>
              <w:rPr>
                <w:rFonts w:ascii="Arial" w:cs="Arial" w:eastAsia="Arial" w:hAnsi="Arial"/>
                <w:sz w:val="16"/>
                <w:szCs w:val="16"/>
                <w:color w:val="auto"/>
              </w:rPr>
              <w:t>$15.00</w:t>
            </w:r>
          </w:p>
        </w:tc>
        <w:tc>
          <w:tcPr>
            <w:tcW w:w="1080" w:type="dxa"/>
            <w:vAlign w:val="bottom"/>
            <w:tcBorders>
              <w:bottom w:val="single" w:sz="8" w:color="F2F2F2"/>
            </w:tcBorders>
            <w:shd w:val="clear" w:color="auto" w:fill="F2F2F2"/>
          </w:tcPr>
          <w:p>
            <w:pPr>
              <w:jc w:val="center"/>
              <w:ind w:right="360"/>
              <w:spacing w:after="0"/>
              <w:rPr>
                <w:sz w:val="20"/>
                <w:szCs w:val="20"/>
                <w:color w:val="auto"/>
              </w:rPr>
            </w:pPr>
            <w:r>
              <w:rPr>
                <w:rFonts w:ascii="Arial" w:cs="Arial" w:eastAsia="Arial" w:hAnsi="Arial"/>
                <w:sz w:val="16"/>
                <w:szCs w:val="16"/>
                <w:color w:val="auto"/>
                <w:w w:val="99"/>
              </w:rPr>
              <w:t>50%</w:t>
            </w:r>
          </w:p>
        </w:tc>
        <w:tc>
          <w:tcPr>
            <w:tcW w:w="2520" w:type="dxa"/>
            <w:vAlign w:val="bottom"/>
            <w:tcBorders>
              <w:bottom w:val="single" w:sz="8" w:color="F2F2F2"/>
            </w:tcBorders>
            <w:shd w:val="clear" w:color="auto" w:fill="F2F2F2"/>
          </w:tcPr>
          <w:p>
            <w:pPr>
              <w:jc w:val="center"/>
              <w:ind w:right="202"/>
              <w:spacing w:after="0"/>
              <w:rPr>
                <w:sz w:val="20"/>
                <w:szCs w:val="20"/>
                <w:color w:val="auto"/>
              </w:rPr>
            </w:pPr>
            <w:r>
              <w:rPr>
                <w:rFonts w:ascii="Arial" w:cs="Arial" w:eastAsia="Arial" w:hAnsi="Arial"/>
                <w:sz w:val="16"/>
                <w:szCs w:val="16"/>
                <w:color w:val="auto"/>
                <w:w w:val="98"/>
              </w:rPr>
              <w:t>$15.00</w:t>
            </w:r>
          </w:p>
        </w:tc>
        <w:tc>
          <w:tcPr>
            <w:tcW w:w="1220" w:type="dxa"/>
            <w:vAlign w:val="bottom"/>
            <w:tcBorders>
              <w:bottom w:val="single" w:sz="8" w:color="F2F2F2"/>
            </w:tcBorders>
            <w:shd w:val="clear" w:color="auto" w:fill="F2F2F2"/>
          </w:tcPr>
          <w:p>
            <w:pPr>
              <w:jc w:val="center"/>
              <w:ind w:right="180"/>
              <w:spacing w:after="0"/>
              <w:rPr>
                <w:sz w:val="20"/>
                <w:szCs w:val="20"/>
                <w:color w:val="auto"/>
              </w:rPr>
            </w:pPr>
            <w:r>
              <w:rPr>
                <w:rFonts w:ascii="Arial" w:cs="Arial" w:eastAsia="Arial" w:hAnsi="Arial"/>
                <w:sz w:val="16"/>
                <w:szCs w:val="16"/>
                <w:color w:val="auto"/>
                <w:w w:val="99"/>
              </w:rPr>
              <w:t>50%</w:t>
            </w:r>
          </w:p>
        </w:tc>
      </w:tr>
      <w:tr>
        <w:trPr>
          <w:trHeight w:val="215"/>
        </w:trPr>
        <w:tc>
          <w:tcPr>
            <w:tcW w:w="2640" w:type="dxa"/>
            <w:vAlign w:val="bottom"/>
          </w:tcPr>
          <w:p>
            <w:pPr>
              <w:jc w:val="center"/>
              <w:ind w:right="322"/>
              <w:spacing w:after="0"/>
              <w:rPr>
                <w:sz w:val="20"/>
                <w:szCs w:val="20"/>
                <w:color w:val="auto"/>
              </w:rPr>
            </w:pPr>
            <w:r>
              <w:rPr>
                <w:rFonts w:ascii="Arial" w:cs="Arial" w:eastAsia="Arial" w:hAnsi="Arial"/>
                <w:sz w:val="16"/>
                <w:szCs w:val="16"/>
                <w:color w:val="auto"/>
                <w:w w:val="98"/>
              </w:rPr>
              <w:t>$20.00</w:t>
            </w:r>
          </w:p>
        </w:tc>
        <w:tc>
          <w:tcPr>
            <w:tcW w:w="1100" w:type="dxa"/>
            <w:vAlign w:val="bottom"/>
          </w:tcPr>
          <w:p>
            <w:pPr>
              <w:jc w:val="center"/>
              <w:ind w:right="320"/>
              <w:spacing w:after="0"/>
              <w:rPr>
                <w:sz w:val="20"/>
                <w:szCs w:val="20"/>
                <w:color w:val="auto"/>
              </w:rPr>
            </w:pPr>
            <w:r>
              <w:rPr>
                <w:rFonts w:ascii="Arial" w:cs="Arial" w:eastAsia="Arial" w:hAnsi="Arial"/>
                <w:sz w:val="16"/>
                <w:szCs w:val="16"/>
                <w:color w:val="auto"/>
              </w:rPr>
              <w:t>100%</w:t>
            </w:r>
          </w:p>
        </w:tc>
        <w:tc>
          <w:tcPr>
            <w:tcW w:w="2680" w:type="dxa"/>
            <w:vAlign w:val="bottom"/>
          </w:tcPr>
          <w:p>
            <w:pPr>
              <w:jc w:val="center"/>
              <w:ind w:right="342"/>
              <w:spacing w:after="0"/>
              <w:rPr>
                <w:sz w:val="20"/>
                <w:szCs w:val="20"/>
                <w:color w:val="auto"/>
              </w:rPr>
            </w:pPr>
            <w:r>
              <w:rPr>
                <w:rFonts w:ascii="Arial" w:cs="Arial" w:eastAsia="Arial" w:hAnsi="Arial"/>
                <w:sz w:val="16"/>
                <w:szCs w:val="16"/>
                <w:color w:val="auto"/>
              </w:rPr>
              <w:t>$21.50</w:t>
            </w:r>
          </w:p>
        </w:tc>
        <w:tc>
          <w:tcPr>
            <w:tcW w:w="1080" w:type="dxa"/>
            <w:vAlign w:val="bottom"/>
          </w:tcPr>
          <w:p>
            <w:pPr>
              <w:jc w:val="center"/>
              <w:ind w:right="340"/>
              <w:spacing w:after="0"/>
              <w:rPr>
                <w:sz w:val="20"/>
                <w:szCs w:val="20"/>
                <w:color w:val="auto"/>
              </w:rPr>
            </w:pPr>
            <w:r>
              <w:rPr>
                <w:rFonts w:ascii="Arial" w:cs="Arial" w:eastAsia="Arial" w:hAnsi="Arial"/>
                <w:sz w:val="16"/>
                <w:szCs w:val="16"/>
                <w:color w:val="auto"/>
              </w:rPr>
              <w:t>100%</w:t>
            </w:r>
          </w:p>
        </w:tc>
        <w:tc>
          <w:tcPr>
            <w:tcW w:w="2520" w:type="dxa"/>
            <w:vAlign w:val="bottom"/>
          </w:tcPr>
          <w:p>
            <w:pPr>
              <w:jc w:val="center"/>
              <w:ind w:right="202"/>
              <w:spacing w:after="0"/>
              <w:rPr>
                <w:sz w:val="20"/>
                <w:szCs w:val="20"/>
                <w:color w:val="auto"/>
              </w:rPr>
            </w:pPr>
            <w:r>
              <w:rPr>
                <w:rFonts w:ascii="Arial" w:cs="Arial" w:eastAsia="Arial" w:hAnsi="Arial"/>
                <w:sz w:val="16"/>
                <w:szCs w:val="16"/>
                <w:color w:val="auto"/>
                <w:w w:val="98"/>
              </w:rPr>
              <w:t>$23.50</w:t>
            </w:r>
          </w:p>
        </w:tc>
        <w:tc>
          <w:tcPr>
            <w:tcW w:w="1220" w:type="dxa"/>
            <w:vAlign w:val="bottom"/>
          </w:tcPr>
          <w:p>
            <w:pPr>
              <w:jc w:val="center"/>
              <w:ind w:right="160"/>
              <w:spacing w:after="0"/>
              <w:rPr>
                <w:sz w:val="20"/>
                <w:szCs w:val="20"/>
                <w:color w:val="auto"/>
              </w:rPr>
            </w:pPr>
            <w:r>
              <w:rPr>
                <w:rFonts w:ascii="Arial" w:cs="Arial" w:eastAsia="Arial" w:hAnsi="Arial"/>
                <w:sz w:val="16"/>
                <w:szCs w:val="16"/>
                <w:color w:val="auto"/>
              </w:rPr>
              <w:t>100%</w:t>
            </w:r>
          </w:p>
        </w:tc>
      </w:tr>
      <w:tr>
        <w:trPr>
          <w:trHeight w:val="28"/>
        </w:trPr>
        <w:tc>
          <w:tcPr>
            <w:tcW w:w="2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2640" w:type="dxa"/>
            <w:vAlign w:val="bottom"/>
            <w:tcBorders>
              <w:bottom w:val="single" w:sz="8" w:color="F2F2F2"/>
            </w:tcBorders>
            <w:shd w:val="clear" w:color="auto" w:fill="F2F2F2"/>
          </w:tcPr>
          <w:p>
            <w:pPr>
              <w:jc w:val="center"/>
              <w:ind w:right="322"/>
              <w:spacing w:after="0"/>
              <w:rPr>
                <w:sz w:val="20"/>
                <w:szCs w:val="20"/>
                <w:color w:val="auto"/>
              </w:rPr>
            </w:pPr>
            <w:r>
              <w:rPr>
                <w:rFonts w:ascii="Arial" w:cs="Arial" w:eastAsia="Arial" w:hAnsi="Arial"/>
                <w:sz w:val="16"/>
                <w:szCs w:val="16"/>
                <w:color w:val="auto"/>
                <w:w w:val="98"/>
              </w:rPr>
              <w:t>$25.00</w:t>
            </w:r>
          </w:p>
        </w:tc>
        <w:tc>
          <w:tcPr>
            <w:tcW w:w="1100" w:type="dxa"/>
            <w:vAlign w:val="bottom"/>
            <w:tcBorders>
              <w:bottom w:val="single" w:sz="8" w:color="F2F2F2"/>
            </w:tcBorders>
            <w:shd w:val="clear" w:color="auto" w:fill="F2F2F2"/>
          </w:tcPr>
          <w:p>
            <w:pPr>
              <w:jc w:val="center"/>
              <w:ind w:right="320"/>
              <w:spacing w:after="0"/>
              <w:rPr>
                <w:sz w:val="20"/>
                <w:szCs w:val="20"/>
                <w:color w:val="auto"/>
              </w:rPr>
            </w:pPr>
            <w:r>
              <w:rPr>
                <w:rFonts w:ascii="Arial" w:cs="Arial" w:eastAsia="Arial" w:hAnsi="Arial"/>
                <w:sz w:val="16"/>
                <w:szCs w:val="16"/>
                <w:color w:val="auto"/>
              </w:rPr>
              <w:t>150%</w:t>
            </w:r>
          </w:p>
        </w:tc>
        <w:tc>
          <w:tcPr>
            <w:tcW w:w="2680" w:type="dxa"/>
            <w:vAlign w:val="bottom"/>
            <w:tcBorders>
              <w:bottom w:val="single" w:sz="8" w:color="F2F2F2"/>
            </w:tcBorders>
            <w:shd w:val="clear" w:color="auto" w:fill="F2F2F2"/>
          </w:tcPr>
          <w:p>
            <w:pPr>
              <w:jc w:val="center"/>
              <w:ind w:right="342"/>
              <w:spacing w:after="0"/>
              <w:rPr>
                <w:sz w:val="20"/>
                <w:szCs w:val="20"/>
                <w:color w:val="auto"/>
              </w:rPr>
            </w:pPr>
            <w:r>
              <w:rPr>
                <w:rFonts w:ascii="Arial" w:cs="Arial" w:eastAsia="Arial" w:hAnsi="Arial"/>
                <w:sz w:val="16"/>
                <w:szCs w:val="16"/>
                <w:color w:val="auto"/>
              </w:rPr>
              <w:t>$25.00</w:t>
            </w:r>
          </w:p>
        </w:tc>
        <w:tc>
          <w:tcPr>
            <w:tcW w:w="1080" w:type="dxa"/>
            <w:vAlign w:val="bottom"/>
            <w:tcBorders>
              <w:bottom w:val="single" w:sz="8" w:color="F2F2F2"/>
            </w:tcBorders>
            <w:shd w:val="clear" w:color="auto" w:fill="F2F2F2"/>
          </w:tcPr>
          <w:p>
            <w:pPr>
              <w:jc w:val="center"/>
              <w:ind w:right="340"/>
              <w:spacing w:after="0"/>
              <w:rPr>
                <w:sz w:val="20"/>
                <w:szCs w:val="20"/>
                <w:color w:val="auto"/>
              </w:rPr>
            </w:pPr>
            <w:r>
              <w:rPr>
                <w:rFonts w:ascii="Arial" w:cs="Arial" w:eastAsia="Arial" w:hAnsi="Arial"/>
                <w:sz w:val="16"/>
                <w:szCs w:val="16"/>
                <w:color w:val="auto"/>
              </w:rPr>
              <w:t>150%</w:t>
            </w:r>
          </w:p>
        </w:tc>
        <w:tc>
          <w:tcPr>
            <w:tcW w:w="2520" w:type="dxa"/>
            <w:vAlign w:val="bottom"/>
            <w:tcBorders>
              <w:bottom w:val="single" w:sz="8" w:color="F2F2F2"/>
            </w:tcBorders>
            <w:shd w:val="clear" w:color="auto" w:fill="F2F2F2"/>
          </w:tcPr>
          <w:p>
            <w:pPr>
              <w:jc w:val="center"/>
              <w:ind w:right="202"/>
              <w:spacing w:after="0"/>
              <w:rPr>
                <w:sz w:val="20"/>
                <w:szCs w:val="20"/>
                <w:color w:val="auto"/>
              </w:rPr>
            </w:pPr>
            <w:r>
              <w:rPr>
                <w:rFonts w:ascii="Arial" w:cs="Arial" w:eastAsia="Arial" w:hAnsi="Arial"/>
                <w:sz w:val="16"/>
                <w:szCs w:val="16"/>
                <w:color w:val="auto"/>
                <w:w w:val="98"/>
              </w:rPr>
              <w:t>$25.00</w:t>
            </w:r>
          </w:p>
        </w:tc>
        <w:tc>
          <w:tcPr>
            <w:tcW w:w="1220" w:type="dxa"/>
            <w:vAlign w:val="bottom"/>
            <w:tcBorders>
              <w:bottom w:val="single" w:sz="8" w:color="F2F2F2"/>
            </w:tcBorders>
            <w:shd w:val="clear" w:color="auto" w:fill="F2F2F2"/>
          </w:tcPr>
          <w:p>
            <w:pPr>
              <w:jc w:val="center"/>
              <w:ind w:right="160"/>
              <w:spacing w:after="0"/>
              <w:rPr>
                <w:sz w:val="20"/>
                <w:szCs w:val="20"/>
                <w:color w:val="auto"/>
              </w:rPr>
            </w:pPr>
            <w:r>
              <w:rPr>
                <w:rFonts w:ascii="Arial" w:cs="Arial" w:eastAsia="Arial" w:hAnsi="Arial"/>
                <w:sz w:val="16"/>
                <w:szCs w:val="16"/>
                <w:color w:val="auto"/>
              </w:rPr>
              <w:t>150%</w:t>
            </w:r>
          </w:p>
        </w:tc>
      </w:tr>
      <w:tr>
        <w:trPr>
          <w:trHeight w:val="215"/>
        </w:trPr>
        <w:tc>
          <w:tcPr>
            <w:tcW w:w="2640" w:type="dxa"/>
            <w:vAlign w:val="bottom"/>
          </w:tcPr>
          <w:p>
            <w:pPr>
              <w:jc w:val="center"/>
              <w:ind w:right="322"/>
              <w:spacing w:after="0"/>
              <w:rPr>
                <w:sz w:val="20"/>
                <w:szCs w:val="20"/>
                <w:color w:val="auto"/>
              </w:rPr>
            </w:pPr>
            <w:r>
              <w:rPr>
                <w:rFonts w:ascii="Arial" w:cs="Arial" w:eastAsia="Arial" w:hAnsi="Arial"/>
                <w:sz w:val="16"/>
                <w:szCs w:val="16"/>
                <w:color w:val="auto"/>
                <w:w w:val="98"/>
              </w:rPr>
              <w:t>$30.00</w:t>
            </w:r>
          </w:p>
        </w:tc>
        <w:tc>
          <w:tcPr>
            <w:tcW w:w="1100" w:type="dxa"/>
            <w:vAlign w:val="bottom"/>
          </w:tcPr>
          <w:p>
            <w:pPr>
              <w:jc w:val="center"/>
              <w:ind w:right="320"/>
              <w:spacing w:after="0"/>
              <w:rPr>
                <w:sz w:val="20"/>
                <w:szCs w:val="20"/>
                <w:color w:val="auto"/>
              </w:rPr>
            </w:pPr>
            <w:r>
              <w:rPr>
                <w:rFonts w:ascii="Arial" w:cs="Arial" w:eastAsia="Arial" w:hAnsi="Arial"/>
                <w:sz w:val="16"/>
                <w:szCs w:val="16"/>
                <w:color w:val="auto"/>
              </w:rPr>
              <w:t>200%</w:t>
            </w:r>
          </w:p>
        </w:tc>
        <w:tc>
          <w:tcPr>
            <w:tcW w:w="2680" w:type="dxa"/>
            <w:vAlign w:val="bottom"/>
          </w:tcPr>
          <w:p>
            <w:pPr>
              <w:jc w:val="center"/>
              <w:ind w:right="342"/>
              <w:spacing w:after="0"/>
              <w:rPr>
                <w:sz w:val="20"/>
                <w:szCs w:val="20"/>
                <w:color w:val="auto"/>
              </w:rPr>
            </w:pPr>
            <w:r>
              <w:rPr>
                <w:rFonts w:ascii="Arial" w:cs="Arial" w:eastAsia="Arial" w:hAnsi="Arial"/>
                <w:sz w:val="16"/>
                <w:szCs w:val="16"/>
                <w:color w:val="auto"/>
              </w:rPr>
              <w:t>$30.00</w:t>
            </w:r>
          </w:p>
        </w:tc>
        <w:tc>
          <w:tcPr>
            <w:tcW w:w="1080" w:type="dxa"/>
            <w:vAlign w:val="bottom"/>
          </w:tcPr>
          <w:p>
            <w:pPr>
              <w:jc w:val="center"/>
              <w:ind w:right="340"/>
              <w:spacing w:after="0"/>
              <w:rPr>
                <w:sz w:val="20"/>
                <w:szCs w:val="20"/>
                <w:color w:val="auto"/>
              </w:rPr>
            </w:pPr>
            <w:r>
              <w:rPr>
                <w:rFonts w:ascii="Arial" w:cs="Arial" w:eastAsia="Arial" w:hAnsi="Arial"/>
                <w:sz w:val="16"/>
                <w:szCs w:val="16"/>
                <w:color w:val="auto"/>
              </w:rPr>
              <w:t>200%</w:t>
            </w:r>
          </w:p>
        </w:tc>
        <w:tc>
          <w:tcPr>
            <w:tcW w:w="2520" w:type="dxa"/>
            <w:vAlign w:val="bottom"/>
          </w:tcPr>
          <w:p>
            <w:pPr>
              <w:jc w:val="center"/>
              <w:ind w:right="202"/>
              <w:spacing w:after="0"/>
              <w:rPr>
                <w:sz w:val="20"/>
                <w:szCs w:val="20"/>
                <w:color w:val="auto"/>
              </w:rPr>
            </w:pPr>
            <w:r>
              <w:rPr>
                <w:rFonts w:ascii="Arial" w:cs="Arial" w:eastAsia="Arial" w:hAnsi="Arial"/>
                <w:sz w:val="16"/>
                <w:szCs w:val="16"/>
                <w:color w:val="auto"/>
                <w:w w:val="98"/>
              </w:rPr>
              <w:t>$30.00</w:t>
            </w:r>
          </w:p>
        </w:tc>
        <w:tc>
          <w:tcPr>
            <w:tcW w:w="1220" w:type="dxa"/>
            <w:vAlign w:val="bottom"/>
          </w:tcPr>
          <w:p>
            <w:pPr>
              <w:jc w:val="center"/>
              <w:ind w:right="160"/>
              <w:spacing w:after="0"/>
              <w:rPr>
                <w:sz w:val="20"/>
                <w:szCs w:val="20"/>
                <w:color w:val="auto"/>
              </w:rPr>
            </w:pPr>
            <w:r>
              <w:rPr>
                <w:rFonts w:ascii="Arial" w:cs="Arial" w:eastAsia="Arial" w:hAnsi="Arial"/>
                <w:sz w:val="16"/>
                <w:szCs w:val="16"/>
                <w:color w:val="auto"/>
              </w:rPr>
              <w:t>200%</w:t>
            </w:r>
          </w:p>
        </w:tc>
      </w:tr>
      <w:tr>
        <w:trPr>
          <w:trHeight w:val="28"/>
        </w:trPr>
        <w:tc>
          <w:tcPr>
            <w:tcW w:w="2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2640" w:type="dxa"/>
            <w:vAlign w:val="bottom"/>
            <w:tcBorders>
              <w:bottom w:val="single" w:sz="8" w:color="F2F2F2"/>
            </w:tcBorders>
            <w:shd w:val="clear" w:color="auto" w:fill="F2F2F2"/>
          </w:tcPr>
          <w:p>
            <w:pPr>
              <w:jc w:val="center"/>
              <w:ind w:right="322"/>
              <w:spacing w:after="0"/>
              <w:rPr>
                <w:sz w:val="20"/>
                <w:szCs w:val="20"/>
                <w:color w:val="auto"/>
              </w:rPr>
            </w:pPr>
            <w:r>
              <w:rPr>
                <w:rFonts w:ascii="Arial" w:cs="Arial" w:eastAsia="Arial" w:hAnsi="Arial"/>
                <w:sz w:val="16"/>
                <w:szCs w:val="16"/>
                <w:color w:val="auto"/>
                <w:w w:val="98"/>
              </w:rPr>
              <w:t>$35.00</w:t>
            </w:r>
          </w:p>
        </w:tc>
        <w:tc>
          <w:tcPr>
            <w:tcW w:w="1100" w:type="dxa"/>
            <w:vAlign w:val="bottom"/>
            <w:tcBorders>
              <w:bottom w:val="single" w:sz="8" w:color="F2F2F2"/>
            </w:tcBorders>
            <w:shd w:val="clear" w:color="auto" w:fill="F2F2F2"/>
          </w:tcPr>
          <w:p>
            <w:pPr>
              <w:jc w:val="center"/>
              <w:ind w:right="320"/>
              <w:spacing w:after="0"/>
              <w:rPr>
                <w:sz w:val="20"/>
                <w:szCs w:val="20"/>
                <w:color w:val="auto"/>
              </w:rPr>
            </w:pPr>
            <w:r>
              <w:rPr>
                <w:rFonts w:ascii="Arial" w:cs="Arial" w:eastAsia="Arial" w:hAnsi="Arial"/>
                <w:sz w:val="16"/>
                <w:szCs w:val="16"/>
                <w:color w:val="auto"/>
              </w:rPr>
              <w:t>250%</w:t>
            </w:r>
          </w:p>
        </w:tc>
        <w:tc>
          <w:tcPr>
            <w:tcW w:w="2680" w:type="dxa"/>
            <w:vAlign w:val="bottom"/>
            <w:tcBorders>
              <w:bottom w:val="single" w:sz="8" w:color="F2F2F2"/>
            </w:tcBorders>
            <w:shd w:val="clear" w:color="auto" w:fill="F2F2F2"/>
          </w:tcPr>
          <w:p>
            <w:pPr>
              <w:jc w:val="center"/>
              <w:ind w:right="342"/>
              <w:spacing w:after="0"/>
              <w:rPr>
                <w:sz w:val="20"/>
                <w:szCs w:val="20"/>
                <w:color w:val="auto"/>
              </w:rPr>
            </w:pPr>
            <w:r>
              <w:rPr>
                <w:rFonts w:ascii="Arial" w:cs="Arial" w:eastAsia="Arial" w:hAnsi="Arial"/>
                <w:sz w:val="16"/>
                <w:szCs w:val="16"/>
                <w:color w:val="auto"/>
              </w:rPr>
              <w:t>$35.00</w:t>
            </w:r>
          </w:p>
        </w:tc>
        <w:tc>
          <w:tcPr>
            <w:tcW w:w="1080" w:type="dxa"/>
            <w:vAlign w:val="bottom"/>
            <w:tcBorders>
              <w:bottom w:val="single" w:sz="8" w:color="F2F2F2"/>
            </w:tcBorders>
            <w:shd w:val="clear" w:color="auto" w:fill="F2F2F2"/>
          </w:tcPr>
          <w:p>
            <w:pPr>
              <w:jc w:val="center"/>
              <w:ind w:right="340"/>
              <w:spacing w:after="0"/>
              <w:rPr>
                <w:sz w:val="20"/>
                <w:szCs w:val="20"/>
                <w:color w:val="auto"/>
              </w:rPr>
            </w:pPr>
            <w:r>
              <w:rPr>
                <w:rFonts w:ascii="Arial" w:cs="Arial" w:eastAsia="Arial" w:hAnsi="Arial"/>
                <w:sz w:val="16"/>
                <w:szCs w:val="16"/>
                <w:color w:val="auto"/>
              </w:rPr>
              <w:t>250%</w:t>
            </w:r>
          </w:p>
        </w:tc>
        <w:tc>
          <w:tcPr>
            <w:tcW w:w="2520" w:type="dxa"/>
            <w:vAlign w:val="bottom"/>
            <w:tcBorders>
              <w:bottom w:val="single" w:sz="8" w:color="F2F2F2"/>
            </w:tcBorders>
            <w:shd w:val="clear" w:color="auto" w:fill="F2F2F2"/>
          </w:tcPr>
          <w:p>
            <w:pPr>
              <w:jc w:val="center"/>
              <w:ind w:right="202"/>
              <w:spacing w:after="0"/>
              <w:rPr>
                <w:sz w:val="20"/>
                <w:szCs w:val="20"/>
                <w:color w:val="auto"/>
              </w:rPr>
            </w:pPr>
            <w:r>
              <w:rPr>
                <w:rFonts w:ascii="Arial" w:cs="Arial" w:eastAsia="Arial" w:hAnsi="Arial"/>
                <w:sz w:val="16"/>
                <w:szCs w:val="16"/>
                <w:color w:val="auto"/>
                <w:w w:val="98"/>
              </w:rPr>
              <w:t>$35.00</w:t>
            </w:r>
          </w:p>
        </w:tc>
        <w:tc>
          <w:tcPr>
            <w:tcW w:w="1220" w:type="dxa"/>
            <w:vAlign w:val="bottom"/>
            <w:tcBorders>
              <w:bottom w:val="single" w:sz="8" w:color="F2F2F2"/>
            </w:tcBorders>
            <w:shd w:val="clear" w:color="auto" w:fill="F2F2F2"/>
          </w:tcPr>
          <w:p>
            <w:pPr>
              <w:jc w:val="center"/>
              <w:ind w:right="160"/>
              <w:spacing w:after="0"/>
              <w:rPr>
                <w:sz w:val="20"/>
                <w:szCs w:val="20"/>
                <w:color w:val="auto"/>
              </w:rPr>
            </w:pPr>
            <w:r>
              <w:rPr>
                <w:rFonts w:ascii="Arial" w:cs="Arial" w:eastAsia="Arial" w:hAnsi="Arial"/>
                <w:sz w:val="16"/>
                <w:szCs w:val="16"/>
                <w:color w:val="auto"/>
              </w:rPr>
              <w:t>250%</w:t>
            </w:r>
          </w:p>
        </w:tc>
      </w:tr>
      <w:tr>
        <w:trPr>
          <w:trHeight w:val="215"/>
        </w:trPr>
        <w:tc>
          <w:tcPr>
            <w:tcW w:w="2640" w:type="dxa"/>
            <w:vAlign w:val="bottom"/>
          </w:tcPr>
          <w:p>
            <w:pPr>
              <w:jc w:val="center"/>
              <w:ind w:right="322"/>
              <w:spacing w:after="0"/>
              <w:rPr>
                <w:sz w:val="20"/>
                <w:szCs w:val="20"/>
                <w:color w:val="auto"/>
              </w:rPr>
            </w:pPr>
            <w:r>
              <w:rPr>
                <w:rFonts w:ascii="Arial" w:cs="Arial" w:eastAsia="Arial" w:hAnsi="Arial"/>
                <w:sz w:val="16"/>
                <w:szCs w:val="16"/>
                <w:color w:val="auto"/>
                <w:w w:val="98"/>
              </w:rPr>
              <w:t>$40.00</w:t>
            </w:r>
          </w:p>
        </w:tc>
        <w:tc>
          <w:tcPr>
            <w:tcW w:w="1100" w:type="dxa"/>
            <w:vAlign w:val="bottom"/>
          </w:tcPr>
          <w:p>
            <w:pPr>
              <w:jc w:val="center"/>
              <w:ind w:right="320"/>
              <w:spacing w:after="0"/>
              <w:rPr>
                <w:sz w:val="20"/>
                <w:szCs w:val="20"/>
                <w:color w:val="auto"/>
              </w:rPr>
            </w:pPr>
            <w:r>
              <w:rPr>
                <w:rFonts w:ascii="Arial" w:cs="Arial" w:eastAsia="Arial" w:hAnsi="Arial"/>
                <w:sz w:val="16"/>
                <w:szCs w:val="16"/>
                <w:color w:val="auto"/>
              </w:rPr>
              <w:t>300%</w:t>
            </w:r>
          </w:p>
        </w:tc>
        <w:tc>
          <w:tcPr>
            <w:tcW w:w="2680" w:type="dxa"/>
            <w:vAlign w:val="bottom"/>
          </w:tcPr>
          <w:p>
            <w:pPr>
              <w:jc w:val="center"/>
              <w:ind w:right="342"/>
              <w:spacing w:after="0"/>
              <w:rPr>
                <w:sz w:val="20"/>
                <w:szCs w:val="20"/>
                <w:color w:val="auto"/>
              </w:rPr>
            </w:pPr>
            <w:r>
              <w:rPr>
                <w:rFonts w:ascii="Arial" w:cs="Arial" w:eastAsia="Arial" w:hAnsi="Arial"/>
                <w:sz w:val="16"/>
                <w:szCs w:val="16"/>
                <w:color w:val="auto"/>
              </w:rPr>
              <w:t>$40.00</w:t>
            </w:r>
          </w:p>
        </w:tc>
        <w:tc>
          <w:tcPr>
            <w:tcW w:w="1080" w:type="dxa"/>
            <w:vAlign w:val="bottom"/>
          </w:tcPr>
          <w:p>
            <w:pPr>
              <w:jc w:val="center"/>
              <w:ind w:right="340"/>
              <w:spacing w:after="0"/>
              <w:rPr>
                <w:sz w:val="20"/>
                <w:szCs w:val="20"/>
                <w:color w:val="auto"/>
              </w:rPr>
            </w:pPr>
            <w:r>
              <w:rPr>
                <w:rFonts w:ascii="Arial" w:cs="Arial" w:eastAsia="Arial" w:hAnsi="Arial"/>
                <w:sz w:val="16"/>
                <w:szCs w:val="16"/>
                <w:color w:val="auto"/>
              </w:rPr>
              <w:t>300%</w:t>
            </w:r>
          </w:p>
        </w:tc>
        <w:tc>
          <w:tcPr>
            <w:tcW w:w="2520" w:type="dxa"/>
            <w:vAlign w:val="bottom"/>
          </w:tcPr>
          <w:p>
            <w:pPr>
              <w:jc w:val="center"/>
              <w:ind w:right="202"/>
              <w:spacing w:after="0"/>
              <w:rPr>
                <w:sz w:val="20"/>
                <w:szCs w:val="20"/>
                <w:color w:val="auto"/>
              </w:rPr>
            </w:pPr>
            <w:r>
              <w:rPr>
                <w:rFonts w:ascii="Arial" w:cs="Arial" w:eastAsia="Arial" w:hAnsi="Arial"/>
                <w:sz w:val="16"/>
                <w:szCs w:val="16"/>
                <w:color w:val="auto"/>
                <w:w w:val="98"/>
              </w:rPr>
              <w:t>$40.00</w:t>
            </w:r>
          </w:p>
        </w:tc>
        <w:tc>
          <w:tcPr>
            <w:tcW w:w="1220" w:type="dxa"/>
            <w:vAlign w:val="bottom"/>
          </w:tcPr>
          <w:p>
            <w:pPr>
              <w:jc w:val="center"/>
              <w:ind w:right="160"/>
              <w:spacing w:after="0"/>
              <w:rPr>
                <w:sz w:val="20"/>
                <w:szCs w:val="20"/>
                <w:color w:val="auto"/>
              </w:rPr>
            </w:pPr>
            <w:r>
              <w:rPr>
                <w:rFonts w:ascii="Arial" w:cs="Arial" w:eastAsia="Arial" w:hAnsi="Arial"/>
                <w:sz w:val="16"/>
                <w:szCs w:val="16"/>
                <w:color w:val="auto"/>
              </w:rPr>
              <w:t>300%</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Welfare and Health Benefits</w:t>
      </w:r>
    </w:p>
    <w:p>
      <w:pPr>
        <w:spacing w:after="0" w:line="100"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We have established a tax-qualified Section 401(k) retirement savings plan for our executive officers, including our named executive officers, and other employees who satisfy certain eligibility requirements. Currently, we match contributions made by participants in the plan as follows: dollar for dollar up to a maximum of $6,000 per calendar year.</w:t>
      </w:r>
    </w:p>
    <w:p>
      <w:pPr>
        <w:spacing w:after="0" w:line="12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We intend for the plan to qualify under Section 401(a) of the Internal Revenue Code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so that contributions by participants to the plan, and income earned on plan contributions, are not taxable to participants until withdrawn from the plan.</w:t>
      </w:r>
    </w:p>
    <w:p>
      <w:pPr>
        <w:spacing w:after="0" w:line="102"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Additional benefits received by our executive officers include medical, dental, and vision insurance, fertility benefits, an employee assistance program, commuter and wellness reimbursement programs, health and dependent care flexible spending accounts, health savings accounts, basic and voluntary life and accidental death and dismemberment insurance and disability insurance. All of these benefits are provided to our executive officers on the same basis as to all of our employees.</w:t>
      </w:r>
    </w:p>
    <w:p>
      <w:pPr>
        <w:spacing w:after="0" w:line="129"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changes to the working arrangements of our employees and the competitive market.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Perquisites and Other Personal Benefits</w:t>
      </w:r>
    </w:p>
    <w:p>
      <w:pPr>
        <w:spacing w:after="0" w:line="10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executive officers except as</w:t>
      </w:r>
    </w:p>
    <w:p>
      <w:pPr>
        <w:spacing w:after="0" w:line="200" w:lineRule="exact"/>
        <w:rPr>
          <w:sz w:val="20"/>
          <w:szCs w:val="20"/>
          <w:color w:val="auto"/>
        </w:rPr>
      </w:pPr>
    </w:p>
    <w:p>
      <w:pPr>
        <w:spacing w:after="0" w:line="284" w:lineRule="exact"/>
        <w:rPr>
          <w:sz w:val="20"/>
          <w:szCs w:val="20"/>
          <w:color w:val="auto"/>
        </w:rPr>
      </w:pPr>
    </w:p>
    <w:p>
      <w:pPr>
        <w:ind w:left="580" w:hanging="554"/>
        <w:spacing w:after="0"/>
        <w:tabs>
          <w:tab w:leader="none" w:pos="580" w:val="left"/>
        </w:tabs>
        <w:numPr>
          <w:ilvl w:val="0"/>
          <w:numId w:val="71"/>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2"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generally made available to our employees, or in situations where we believe it is appropriate to assist an individual in the performance of their duties, to make him or her more efficient and effective, and for recruitment and retention purposes.</w:t>
      </w:r>
    </w:p>
    <w:p>
      <w:pPr>
        <w:spacing w:after="0" w:line="11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2023, the talent and compensation committee approved the provision of security measures to Mr. Houston. We consider the security measures provided to Mr. Houston to be reasonable and necessary expenses for the benefit of the company and not a personal benefit. However, in accordance with SEC disclosure rules, the aggregate incremental cost of these services is reported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Mr. Houston participates in a security program with an annual limit of $500,000 in 2023. The talent and compensation committee periodically reviews the nature and cost of this program in relation to Mr. Houston’s security profile. The cost of the security services for Mr. Houston in 2023 was $423,577.</w:t>
      </w:r>
    </w:p>
    <w:p>
      <w:pPr>
        <w:spacing w:after="0" w:line="12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the future, we may provide perquisites or other personal benefits in limited circumstances, such as those described in the preceding paragraphs. All future practices with respect to perquisites or other personal benefits will be approved and subject to periodic review by the talent and compensation committee.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Stock Ownership Guidelines</w:t>
      </w:r>
    </w:p>
    <w:p>
      <w:pPr>
        <w:spacing w:after="0" w:line="16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talent and compensation committee of our board adopted stock ownership guidelines for our independent directors and executive officers, including our Chief Executive Officer. Under these guidelines (i) our Chief Executive Officer is required to acquire and own stock or stock equivalents in an amount equal to five times his annual base salary and (ii) our executive officers (other than our Chief Executive Officer) are required to acquire and own stock or stock equivalents in an amount equal to two times their base annual salary.</w:t>
      </w:r>
    </w:p>
    <w:p>
      <w:pPr>
        <w:spacing w:after="0" w:line="129"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For these purposes, owned stock includes shares of stock owned directly or indirectly by the covered individual, but does not include unexercised, unvested or unearned equity awards (including unexercised stock options). Executive officers (including our Chief Executive Officer) are required to meet the applicable ownership requirements within five years of the later of (i) December 1, 2023 or (ii) such executive officer's hire, appointment, promotion or election date, as applicable. At the end of fiscal 2023, all of our then-current named executive officers have met, exceeded, or are on track to meet, these guidelines based on their current rate of stock accumulations in the time frames set out in the stock ownership guidelines.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Compensation Recovery Policy</w:t>
      </w:r>
    </w:p>
    <w:p>
      <w:pPr>
        <w:spacing w:after="0" w:line="27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In August 2023, the talent and compensation committee adopted a compensation recovery ("clawback") policy in compliance with Nasdaq and SEC requirements. Consistent with the requirements, for compensation received after October 2, 2023 and during the applicable covered period (which generally includes the three completed fiscal years prior to the restatement date), the clawback policy requires the company to recover excess incentive-based compensation from current and former executives that is granted, earned or vested based upon the attainment of a financial reporting measure in the event of an accounting restatement due to material non-compliance with any financial reporting requirement under U.S. securities laws that was in excess of what would have been received had the incentive-based compensation been determined based on the restated amounts.</w:t>
      </w:r>
    </w:p>
    <w:p>
      <w:pPr>
        <w:spacing w:after="0" w:line="352" w:lineRule="exact"/>
        <w:rPr>
          <w:sz w:val="20"/>
          <w:szCs w:val="20"/>
          <w:color w:val="auto"/>
        </w:rPr>
      </w:pPr>
    </w:p>
    <w:p>
      <w:pPr>
        <w:spacing w:after="0"/>
        <w:rPr>
          <w:sz w:val="20"/>
          <w:szCs w:val="20"/>
          <w:color w:val="auto"/>
        </w:rPr>
      </w:pPr>
      <w:r>
        <w:rPr>
          <w:rFonts w:ascii="Arial" w:cs="Arial" w:eastAsia="Arial" w:hAnsi="Arial"/>
          <w:sz w:val="26"/>
          <w:szCs w:val="26"/>
          <w:color w:val="0063A6"/>
        </w:rPr>
        <w:t>Employment Arrangements</w:t>
      </w:r>
    </w:p>
    <w:p>
      <w:pPr>
        <w:spacing w:after="0" w:line="16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have entered into written employment letters with our Chief Executive Officer and each of our other executive officers. Each of these arrangements was approved on our behalf by the talent and compensation committee or our board of directors.</w:t>
      </w:r>
    </w:p>
    <w:p>
      <w:pPr>
        <w:spacing w:after="0" w:line="10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filling each of our executive positions, our board of directors or the talent and compensation committee, as applicable, recognized that we would need to develop competitive compensation packages to attract qualified candidates in a dynamic labor market. At the same time, our board of directors and the talent and compensation committee were sensitive to the need to integrate new executive officers into the executive compensation structure, balancing both competitive and internal equity considerations.</w:t>
      </w:r>
    </w:p>
    <w:p>
      <w:pPr>
        <w:spacing w:after="0" w:line="12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Each of our employment arrangements provides for “at will” employment (meaning that either we or the executive officer may terminate the employment relationship at any time with or without cause) and sets forth the initial compensation arrangements for the executive officer, including an initial base salary, participation in our employee benefit programs, an equity award recommendation, and, in some cases, sign-on bonuses and reimbursement or payment of relocation expenses. These employment arrangements also prohibit the executive officer from engaging directly or indirectly in competition with us during their employment, diverting our customers to a competitor, or disclosing our confidential information or business practices, and recruiting or soliciting any of our employees for a period after their employment.</w:t>
      </w:r>
    </w:p>
    <w:p>
      <w:pPr>
        <w:spacing w:after="0" w:line="11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Our executive officers are also eligible to enter into change in control and severance agreements with the company. These post-employment compensation terms are discussed in “</w:t>
      </w:r>
      <w:r>
        <w:rPr>
          <w:rFonts w:ascii="Arial" w:cs="Arial" w:eastAsia="Arial" w:hAnsi="Arial"/>
          <w:sz w:val="16"/>
          <w:szCs w:val="16"/>
          <w:i w:val="1"/>
          <w:iCs w:val="1"/>
          <w:color w:val="auto"/>
        </w:rPr>
        <w:t>Post-Employment Compensation</w:t>
      </w:r>
      <w:r>
        <w:rPr>
          <w:rFonts w:ascii="Arial" w:cs="Arial" w:eastAsia="Arial" w:hAnsi="Arial"/>
          <w:sz w:val="16"/>
          <w:szCs w:val="16"/>
          <w:color w:val="auto"/>
        </w:rPr>
        <w:t>” below.</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6"/>
          <w:szCs w:val="26"/>
          <w:color w:val="0063A6"/>
        </w:rPr>
        <w:t>Post-Employment Compensation</w:t>
      </w:r>
    </w:p>
    <w:p>
      <w:pPr>
        <w:spacing w:after="0" w:line="16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have entered into change in control and severance agreements with each of our executive officers, including each of our named executive officers. These agreements provide these individuals with certain protection in the event of their termination of employment under specified circumstances, including following a change in control of the company.</w:t>
      </w:r>
    </w:p>
    <w:p>
      <w:pPr>
        <w:spacing w:after="0" w:line="117"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believe that these protections were necessary to induce these individuals to accept a demanding position with the company and help retain them. These arrangements provide reasonable compensation to an executive officer if they leave our employ under certain circumstances to facilitate transition to new employment. Further, in some instances, we seek to mitigate any potential employer liability and avoid future disputes or litigation by requiring a departing executive officer to sign a separation and release agreement as a condition to receiving post-employment compensation payments or benefits. We also believe that these arrangements help maintain our executive officers’ continued focus and dedication to their assigned duties to maximize stockholder value if there is a potential transaction that could involve a change in control of the company. The terms and conditions were approved by our board of directors after an analysis of competitive market data.</w:t>
      </w:r>
    </w:p>
    <w:p>
      <w:pPr>
        <w:spacing w:after="0" w:line="13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All payments and benefits in the event of a change in control of the company are payable only if there is a subsequent loss of employment by an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spacing w:after="0" w:line="11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Mr. Houston’s Co-Founder Grant (as described below) vests in connection with our acquisition, and as noted above, prior to the termination of the award in connection with Mr. Young’s resignation, the performance-based RSA granted to Mr. Young in November 2020 was eligible to vest in connection with certain terminations of Mr. Young’s employment and/or a “change in control” (as defined in our 2018 Equity Incentive Plan). Mr. Young’s resignation did not trigger any accelerated vesting of his RSA. See the section titled “</w:t>
      </w:r>
      <w:r>
        <w:rPr>
          <w:rFonts w:ascii="Arial" w:cs="Arial" w:eastAsia="Arial" w:hAnsi="Arial"/>
          <w:sz w:val="16"/>
          <w:szCs w:val="16"/>
          <w:i w:val="1"/>
          <w:iCs w:val="1"/>
          <w:color w:val="auto"/>
        </w:rPr>
        <w:t>Potential Payments on Termination or Change in Control</w:t>
      </w:r>
      <w:r>
        <w:rPr>
          <w:rFonts w:ascii="Arial" w:cs="Arial" w:eastAsia="Arial" w:hAnsi="Arial"/>
          <w:sz w:val="16"/>
          <w:szCs w:val="16"/>
          <w:color w:val="auto"/>
        </w:rPr>
        <w:t>” below for additional details.</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Hedging and Pledging Prohibitions</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part of our Insider Trading Policy, our employees (including our executive officers and the non-employee members of our board of directors) are prohibited from trading in publicly-traded options, such as puts and calls, and other derivative securities with respect to our securities. This includes any hedging or similar transaction designed to decrease the risks associated with holding shares of our common stock. In addition, our employees (including our executive officers and the non-employee members of our board of directors) are prohibited from holding our common stock in a margin account or pledging our securities as collateral for a loan.</w:t>
      </w:r>
    </w:p>
    <w:p>
      <w:pPr>
        <w:spacing w:after="0" w:line="323" w:lineRule="exact"/>
        <w:rPr>
          <w:sz w:val="20"/>
          <w:szCs w:val="20"/>
          <w:color w:val="auto"/>
        </w:rPr>
      </w:pPr>
    </w:p>
    <w:p>
      <w:pPr>
        <w:spacing w:after="0"/>
        <w:rPr>
          <w:sz w:val="20"/>
          <w:szCs w:val="20"/>
          <w:color w:val="auto"/>
        </w:rPr>
      </w:pPr>
      <w:r>
        <w:rPr>
          <w:rFonts w:ascii="Arial" w:cs="Arial" w:eastAsia="Arial" w:hAnsi="Arial"/>
          <w:sz w:val="26"/>
          <w:szCs w:val="26"/>
          <w:color w:val="0063A6"/>
        </w:rPr>
        <w:t>Tax and Accounting Considerations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We take the applicable tax and accounting requirements into consideration in designing and operating our executive compensation program.</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Deductibility of Executive Compensation</w:t>
      </w:r>
    </w:p>
    <w:p>
      <w:pPr>
        <w:spacing w:after="0" w:line="86"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Generally, Section 162(m) of the Code disallows public companies a tax deduction for federal income tax purposes of remuneration in excess of $1 million paid to their Chief Executive Officer and certain other current and former executive officers that are “covered employees” within the meaning of Section 162(m) of the Code, subject to certain exceptions, including certain compensation paid pursuant to a compensation plan in existence before the effective date of our initial public offering.</w:t>
      </w:r>
    </w:p>
    <w:p>
      <w:pPr>
        <w:spacing w:after="0" w:line="12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talent and compensation committee has not adopted a policy that all equity or other compensation must be deductible. In approving the amount and form of compensation for our executive officers, the talent and compensation committee considers all elements of our cost of providing such compensation, including the potential impact of Section 162(m) of the Code. The talent and compensation committee may, in its judgment, approve compensation that may not be deductible for federal income tax purposes when it believes that such compensation is in our best interests or the best interests of our stockholders.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Taxation of Parachute Payments and Deferred Compensation</w:t>
      </w:r>
    </w:p>
    <w:p>
      <w:pPr>
        <w:spacing w:after="0" w:line="8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do not provide, and have no obligation to provide, any of our named executive officers with a “gross-up” payment for any tax liability he or she might owe because of the application of Sections 280G, 4999 or 409A of the Code. If any of the payments or benefits provided for under the change in control and severance agreements or otherwise payable to a named executive officer would constitute “parachute payments” within the meaning of Section 280G of the Code and could be subject to the related excise tax, he or she would receive either full payment of such payments and benefits or such lesser amount that would cause no portion of the payments and benefits being subject to the excise tax, whichever results in the greater after-tax benefits to our named executive officer.</w:t>
      </w:r>
    </w:p>
    <w:p>
      <w:pPr>
        <w:spacing w:after="0" w:line="200" w:lineRule="exact"/>
        <w:rPr>
          <w:sz w:val="20"/>
          <w:szCs w:val="20"/>
          <w:color w:val="auto"/>
        </w:rPr>
      </w:pPr>
    </w:p>
    <w:p>
      <w:pPr>
        <w:spacing w:after="0" w:line="311" w:lineRule="exact"/>
        <w:rPr>
          <w:sz w:val="20"/>
          <w:szCs w:val="20"/>
          <w:color w:val="auto"/>
        </w:rPr>
      </w:pPr>
    </w:p>
    <w:p>
      <w:pPr>
        <w:ind w:left="580" w:hanging="554"/>
        <w:spacing w:after="0"/>
        <w:tabs>
          <w:tab w:leader="none" w:pos="580" w:val="left"/>
        </w:tabs>
        <w:numPr>
          <w:ilvl w:val="0"/>
          <w:numId w:val="72"/>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Accounting for Stock-Based Compensation</w:t>
      </w:r>
    </w:p>
    <w:p>
      <w:pPr>
        <w:spacing w:after="0" w:line="8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talent and compensation committee considers accounting effects in designing compensation plans and arrangements for our executive officers and other employees. Chief among these is ASC Topic 718, the standard which governs the accounting treatment of stock-based compensation awards. ASC Topic 718 requires companies to measure the compensation expense for all share-based payment awards made to employees and directors, including stock options, restricted stock units and restricted stock awards, based on the grant date “fair value” of these awards. This calculation is performed for accounting purposes and reported in the compensation tables below, even though our executive officers may realize no value from their awards. ASC Topic 718 also requires companies to recognize the compensation cost of their share-based payment awards in their income statements over the period that an executive officer is required to render service in exchange for the option or other award.</w:t>
      </w:r>
    </w:p>
    <w:p>
      <w:pPr>
        <w:spacing w:after="0" w:line="13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estimated the grant date fair value of Mr. Houston’s Co-Founder Grant using a model based on multiple stock price paths developed through the use of a Monte Carlo simulation that incorporates into the valuation the possibility that the Stock Price Targets may not be satisfied. The average grant date fair value of the Co-Founder Grant was estimated to be $10.60 per share, and we will recognize total stock-based compensation expense of $109.6 million over the requisite service period of each tranche, which ranged from 2.9 to 6.9 years, using the accelerated attribution method. If the Stock Price Targets are met sooner than the derived service period, we will adjust our stock-based compensation to reflect the cumulative expense associated with the vested awards. We will recognize stock-based compensation expense if the requisite service period is provided, regardless of whether the market conditions are achieved.</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Co-Founder Grant, whereby vesting is contingent on meeting certain market conditions was estimated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140970</wp:posOffset>
            </wp:positionV>
            <wp:extent cx="17145" cy="12344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 cy="123444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4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auto"/>
              </w:rPr>
              <w:t>Grant date</w:t>
            </w:r>
          </w:p>
        </w:tc>
        <w:tc>
          <w:tcPr>
            <w:tcW w:w="5840" w:type="dxa"/>
            <w:vAlign w:val="bottom"/>
            <w:shd w:val="clear" w:color="auto" w:fill="F2F2F2"/>
          </w:tcPr>
          <w:p>
            <w:pPr>
              <w:jc w:val="center"/>
              <w:ind w:left="159"/>
              <w:spacing w:after="0"/>
              <w:rPr>
                <w:sz w:val="20"/>
                <w:szCs w:val="20"/>
                <w:color w:val="auto"/>
              </w:rPr>
            </w:pPr>
            <w:r>
              <w:rPr>
                <w:rFonts w:ascii="Arial" w:cs="Arial" w:eastAsia="Arial" w:hAnsi="Arial"/>
                <w:sz w:val="16"/>
                <w:szCs w:val="16"/>
                <w:color w:val="auto"/>
                <w:w w:val="99"/>
              </w:rPr>
              <w:t>12/12/2017</w:t>
            </w:r>
          </w:p>
        </w:tc>
      </w:tr>
      <w:tr>
        <w:trPr>
          <w:trHeight w:val="223"/>
        </w:trPr>
        <w:tc>
          <w:tcPr>
            <w:tcW w:w="5400" w:type="dxa"/>
            <w:vAlign w:val="bottom"/>
          </w:tcPr>
          <w:p>
            <w:pPr>
              <w:ind w:left="60"/>
              <w:spacing w:after="0"/>
              <w:rPr>
                <w:sz w:val="20"/>
                <w:szCs w:val="20"/>
                <w:color w:val="auto"/>
              </w:rPr>
            </w:pPr>
            <w:r>
              <w:rPr>
                <w:rFonts w:ascii="Arial" w:cs="Arial" w:eastAsia="Arial" w:hAnsi="Arial"/>
                <w:sz w:val="16"/>
                <w:szCs w:val="16"/>
                <w:b w:val="1"/>
                <w:bCs w:val="1"/>
                <w:color w:val="auto"/>
              </w:rPr>
              <w:t>Expected IPO date</w:t>
            </w:r>
          </w:p>
        </w:tc>
        <w:tc>
          <w:tcPr>
            <w:tcW w:w="5840" w:type="dxa"/>
            <w:vAlign w:val="bottom"/>
          </w:tcPr>
          <w:p>
            <w:pPr>
              <w:jc w:val="center"/>
              <w:ind w:left="159"/>
              <w:spacing w:after="0"/>
              <w:rPr>
                <w:sz w:val="20"/>
                <w:szCs w:val="20"/>
                <w:color w:val="auto"/>
              </w:rPr>
            </w:pPr>
            <w:r>
              <w:rPr>
                <w:rFonts w:ascii="Arial" w:cs="Arial" w:eastAsia="Arial" w:hAnsi="Arial"/>
                <w:sz w:val="16"/>
                <w:szCs w:val="16"/>
                <w:color w:val="auto"/>
              </w:rPr>
              <w:t>3/31/2018</w:t>
            </w:r>
          </w:p>
        </w:tc>
      </w:tr>
      <w:tr>
        <w:trPr>
          <w:trHeight w:val="20"/>
        </w:trPr>
        <w:tc>
          <w:tcPr>
            <w:tcW w:w="5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23"/>
        </w:trPr>
        <w:tc>
          <w:tcPr>
            <w:tcW w:w="54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auto"/>
              </w:rPr>
              <w:t>Lock-up period</w:t>
            </w:r>
          </w:p>
        </w:tc>
        <w:tc>
          <w:tcPr>
            <w:tcW w:w="5840" w:type="dxa"/>
            <w:vAlign w:val="bottom"/>
            <w:tcBorders>
              <w:bottom w:val="single" w:sz="8" w:color="F2F2F2"/>
            </w:tcBorders>
            <w:shd w:val="clear" w:color="auto" w:fill="F2F2F2"/>
          </w:tcPr>
          <w:p>
            <w:pPr>
              <w:jc w:val="center"/>
              <w:ind w:left="159"/>
              <w:spacing w:after="0"/>
              <w:rPr>
                <w:sz w:val="20"/>
                <w:szCs w:val="20"/>
                <w:color w:val="auto"/>
              </w:rPr>
            </w:pPr>
            <w:r>
              <w:rPr>
                <w:rFonts w:ascii="Arial" w:cs="Arial" w:eastAsia="Arial" w:hAnsi="Arial"/>
                <w:sz w:val="16"/>
                <w:szCs w:val="16"/>
                <w:color w:val="auto"/>
              </w:rPr>
              <w:t>1/1/2019</w:t>
            </w:r>
          </w:p>
        </w:tc>
      </w:tr>
      <w:tr>
        <w:trPr>
          <w:trHeight w:val="223"/>
        </w:trPr>
        <w:tc>
          <w:tcPr>
            <w:tcW w:w="5400" w:type="dxa"/>
            <w:vAlign w:val="bottom"/>
          </w:tcPr>
          <w:p>
            <w:pPr>
              <w:ind w:left="60"/>
              <w:spacing w:after="0"/>
              <w:rPr>
                <w:sz w:val="20"/>
                <w:szCs w:val="20"/>
                <w:color w:val="auto"/>
              </w:rPr>
            </w:pPr>
            <w:r>
              <w:rPr>
                <w:rFonts w:ascii="Arial" w:cs="Arial" w:eastAsia="Arial" w:hAnsi="Arial"/>
                <w:sz w:val="16"/>
                <w:szCs w:val="16"/>
                <w:b w:val="1"/>
                <w:bCs w:val="1"/>
                <w:color w:val="auto"/>
              </w:rPr>
              <w:t>Expiration date</w:t>
            </w:r>
          </w:p>
        </w:tc>
        <w:tc>
          <w:tcPr>
            <w:tcW w:w="5840" w:type="dxa"/>
            <w:vAlign w:val="bottom"/>
          </w:tcPr>
          <w:p>
            <w:pPr>
              <w:jc w:val="center"/>
              <w:ind w:left="159"/>
              <w:spacing w:after="0"/>
              <w:rPr>
                <w:sz w:val="20"/>
                <w:szCs w:val="20"/>
                <w:color w:val="auto"/>
              </w:rPr>
            </w:pPr>
            <w:r>
              <w:rPr>
                <w:rFonts w:ascii="Arial" w:cs="Arial" w:eastAsia="Arial" w:hAnsi="Arial"/>
                <w:sz w:val="16"/>
                <w:szCs w:val="16"/>
                <w:color w:val="auto"/>
              </w:rPr>
              <w:t>3/31/2028</w:t>
            </w:r>
          </w:p>
        </w:tc>
      </w:tr>
      <w:tr>
        <w:trPr>
          <w:trHeight w:val="20"/>
        </w:trPr>
        <w:tc>
          <w:tcPr>
            <w:tcW w:w="5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23"/>
        </w:trPr>
        <w:tc>
          <w:tcPr>
            <w:tcW w:w="54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auto"/>
              </w:rPr>
              <w:t>Grant price</w:t>
            </w:r>
          </w:p>
        </w:tc>
        <w:tc>
          <w:tcPr>
            <w:tcW w:w="5840" w:type="dxa"/>
            <w:vAlign w:val="bottom"/>
            <w:tcBorders>
              <w:bottom w:val="single" w:sz="8" w:color="F2F2F2"/>
            </w:tcBorders>
            <w:shd w:val="clear" w:color="auto" w:fill="F2F2F2"/>
          </w:tcPr>
          <w:p>
            <w:pPr>
              <w:jc w:val="center"/>
              <w:ind w:left="159"/>
              <w:spacing w:after="0"/>
              <w:rPr>
                <w:sz w:val="20"/>
                <w:szCs w:val="20"/>
                <w:color w:val="auto"/>
              </w:rPr>
            </w:pPr>
            <w:r>
              <w:rPr>
                <w:rFonts w:ascii="Arial" w:cs="Arial" w:eastAsia="Arial" w:hAnsi="Arial"/>
                <w:sz w:val="16"/>
                <w:szCs w:val="16"/>
                <w:color w:val="auto"/>
                <w:w w:val="98"/>
              </w:rPr>
              <w:t>$17.15</w:t>
            </w:r>
          </w:p>
        </w:tc>
      </w:tr>
      <w:tr>
        <w:trPr>
          <w:trHeight w:val="223"/>
        </w:trPr>
        <w:tc>
          <w:tcPr>
            <w:tcW w:w="5400" w:type="dxa"/>
            <w:vAlign w:val="bottom"/>
          </w:tcPr>
          <w:p>
            <w:pPr>
              <w:ind w:left="60"/>
              <w:spacing w:after="0"/>
              <w:rPr>
                <w:sz w:val="20"/>
                <w:szCs w:val="20"/>
                <w:color w:val="auto"/>
              </w:rPr>
            </w:pPr>
            <w:r>
              <w:rPr>
                <w:rFonts w:ascii="Arial" w:cs="Arial" w:eastAsia="Arial" w:hAnsi="Arial"/>
                <w:sz w:val="16"/>
                <w:szCs w:val="16"/>
                <w:b w:val="1"/>
                <w:bCs w:val="1"/>
                <w:color w:val="auto"/>
              </w:rPr>
              <w:t>Expected volatility</w:t>
            </w:r>
          </w:p>
        </w:tc>
        <w:tc>
          <w:tcPr>
            <w:tcW w:w="5840" w:type="dxa"/>
            <w:vAlign w:val="bottom"/>
          </w:tcPr>
          <w:p>
            <w:pPr>
              <w:jc w:val="center"/>
              <w:ind w:left="139"/>
              <w:spacing w:after="0"/>
              <w:rPr>
                <w:sz w:val="20"/>
                <w:szCs w:val="20"/>
                <w:color w:val="auto"/>
              </w:rPr>
            </w:pPr>
            <w:r>
              <w:rPr>
                <w:rFonts w:ascii="Arial" w:cs="Arial" w:eastAsia="Arial" w:hAnsi="Arial"/>
                <w:sz w:val="16"/>
                <w:szCs w:val="16"/>
                <w:color w:val="auto"/>
              </w:rPr>
              <w:t>40.0%</w:t>
            </w:r>
          </w:p>
        </w:tc>
      </w:tr>
      <w:tr>
        <w:trPr>
          <w:trHeight w:val="20"/>
        </w:trPr>
        <w:tc>
          <w:tcPr>
            <w:tcW w:w="54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23"/>
        </w:trPr>
        <w:tc>
          <w:tcPr>
            <w:tcW w:w="54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auto"/>
              </w:rPr>
              <w:t>Risk-free interest rate (continuous)</w:t>
            </w:r>
          </w:p>
        </w:tc>
        <w:tc>
          <w:tcPr>
            <w:tcW w:w="5840" w:type="dxa"/>
            <w:vAlign w:val="bottom"/>
            <w:tcBorders>
              <w:bottom w:val="single" w:sz="8" w:color="F2F2F2"/>
            </w:tcBorders>
            <w:shd w:val="clear" w:color="auto" w:fill="F2F2F2"/>
          </w:tcPr>
          <w:p>
            <w:pPr>
              <w:jc w:val="center"/>
              <w:ind w:left="139"/>
              <w:spacing w:after="0"/>
              <w:rPr>
                <w:sz w:val="20"/>
                <w:szCs w:val="20"/>
                <w:color w:val="auto"/>
              </w:rPr>
            </w:pPr>
            <w:r>
              <w:rPr>
                <w:rFonts w:ascii="Arial" w:cs="Arial" w:eastAsia="Arial" w:hAnsi="Arial"/>
                <w:sz w:val="16"/>
                <w:szCs w:val="16"/>
                <w:color w:val="auto"/>
              </w:rPr>
              <w:t>2.38%</w:t>
            </w:r>
          </w:p>
        </w:tc>
      </w:tr>
      <w:tr>
        <w:trPr>
          <w:trHeight w:val="223"/>
        </w:trPr>
        <w:tc>
          <w:tcPr>
            <w:tcW w:w="5400" w:type="dxa"/>
            <w:vAlign w:val="bottom"/>
          </w:tcPr>
          <w:p>
            <w:pPr>
              <w:ind w:left="60"/>
              <w:spacing w:after="0"/>
              <w:rPr>
                <w:sz w:val="20"/>
                <w:szCs w:val="20"/>
                <w:color w:val="auto"/>
              </w:rPr>
            </w:pPr>
            <w:r>
              <w:rPr>
                <w:rFonts w:ascii="Arial" w:cs="Arial" w:eastAsia="Arial" w:hAnsi="Arial"/>
                <w:sz w:val="16"/>
                <w:szCs w:val="16"/>
                <w:b w:val="1"/>
                <w:bCs w:val="1"/>
                <w:color w:val="auto"/>
              </w:rPr>
              <w:t>Expected dividends</w:t>
            </w:r>
          </w:p>
        </w:tc>
        <w:tc>
          <w:tcPr>
            <w:tcW w:w="5840" w:type="dxa"/>
            <w:vAlign w:val="bottom"/>
          </w:tcPr>
          <w:p>
            <w:pPr>
              <w:jc w:val="center"/>
              <w:ind w:left="159"/>
              <w:spacing w:after="0"/>
              <w:rPr>
                <w:sz w:val="20"/>
                <w:szCs w:val="20"/>
                <w:color w:val="auto"/>
              </w:rPr>
            </w:pPr>
            <w:r>
              <w:rPr>
                <w:rFonts w:ascii="Arial" w:cs="Arial" w:eastAsia="Arial" w:hAnsi="Arial"/>
                <w:sz w:val="16"/>
                <w:szCs w:val="16"/>
                <w:color w:val="auto"/>
              </w:rPr>
              <w:t>0%</w:t>
            </w:r>
          </w:p>
        </w:tc>
      </w:tr>
    </w:tbl>
    <w:p>
      <w:pPr>
        <w:spacing w:after="0" w:line="23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i w:val="1"/>
          <w:iCs w:val="1"/>
          <w:color w:val="auto"/>
        </w:rPr>
        <w:t xml:space="preserve">Expected grant date, expected IPO date, lock-up period, and expiration date. </w:t>
      </w:r>
      <w:r>
        <w:rPr>
          <w:rFonts w:ascii="Arial" w:cs="Arial" w:eastAsia="Arial" w:hAnsi="Arial"/>
          <w:sz w:val="16"/>
          <w:szCs w:val="16"/>
          <w:color w:val="auto"/>
        </w:rPr>
        <w:t>The Grant Date, expected IPO date, and the expiration of the lock-up period</w:t>
      </w:r>
      <w:r>
        <w:rPr>
          <w:rFonts w:ascii="Arial" w:cs="Arial" w:eastAsia="Arial" w:hAnsi="Arial"/>
          <w:sz w:val="16"/>
          <w:szCs w:val="16"/>
          <w:i w:val="1"/>
          <w:iCs w:val="1"/>
          <w:color w:val="auto"/>
        </w:rPr>
        <w:t xml:space="preserve"> </w:t>
      </w:r>
      <w:r>
        <w:rPr>
          <w:rFonts w:ascii="Arial" w:cs="Arial" w:eastAsia="Arial" w:hAnsi="Arial"/>
          <w:sz w:val="16"/>
          <w:szCs w:val="16"/>
          <w:color w:val="auto"/>
        </w:rPr>
        <w:t>were estimates at the time of the valuation and correspond to the terms defined in the Restricted Stock Award Agreement.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Grant price. </w:t>
      </w:r>
      <w:r>
        <w:rPr>
          <w:rFonts w:ascii="Arial" w:cs="Arial" w:eastAsia="Arial" w:hAnsi="Arial"/>
          <w:sz w:val="16"/>
          <w:szCs w:val="16"/>
          <w:color w:val="auto"/>
        </w:rPr>
        <w:t>The grant price is based on the valuation of Common Stock as of December 12, 2017.</w:t>
      </w:r>
    </w:p>
    <w:p>
      <w:pPr>
        <w:spacing w:after="0" w:line="167" w:lineRule="exact"/>
        <w:rPr>
          <w:sz w:val="20"/>
          <w:szCs w:val="20"/>
          <w:color w:val="auto"/>
        </w:rPr>
      </w:pPr>
    </w:p>
    <w:p>
      <w:pPr>
        <w:jc w:val="both"/>
        <w:ind w:right="180"/>
        <w:spacing w:after="0" w:line="257"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Expected volatility is based on the average of the implied volatility of the longer at-the-money call option and the annualized daily return</w:t>
      </w:r>
      <w:r>
        <w:rPr>
          <w:rFonts w:ascii="Arial" w:cs="Arial" w:eastAsia="Arial" w:hAnsi="Arial"/>
          <w:sz w:val="16"/>
          <w:szCs w:val="16"/>
          <w:i w:val="1"/>
          <w:iCs w:val="1"/>
          <w:color w:val="auto"/>
        </w:rPr>
        <w:t xml:space="preserve"> </w:t>
      </w:r>
      <w:r>
        <w:rPr>
          <w:rFonts w:ascii="Arial" w:cs="Arial" w:eastAsia="Arial" w:hAnsi="Arial"/>
          <w:sz w:val="16"/>
          <w:szCs w:val="16"/>
          <w:color w:val="auto"/>
        </w:rPr>
        <w:t>volatility over the greater of the trading history or the term for each one of the guideline companies. The concluded volatility is then based on the median of the comparable companies.</w:t>
      </w:r>
    </w:p>
    <w:p>
      <w:pPr>
        <w:spacing w:after="0" w:line="12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interest rate is interpolated based on the U.S. Treasury rates sourced from S&amp;P Capital IQ with a term commensurate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remaining performance period.</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The company has not paid and does not expect to pay dividends. Consequently, the company uses an expected dividend yield of zero.</w:t>
      </w:r>
    </w:p>
    <w:p>
      <w:pPr>
        <w:spacing w:after="0" w:line="15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estimated the grant date fair value of the performance-based RSA granted to Mr. Young in December 2020 using a model based on multiple stock price paths developed through the use of a Monte Carlo simulation that incorporates into the valuation the potential stock price goals that could be achieved during each measurement period. We would have recognized approximately $19.1 million in stock-based compensation expense associated with this award using the accelerated attribution method through February 15, 2024. We would have recognized stock-based compensation expense if the requisite service period was provided, regardless of whether the market conditions were achieved. Mr. Young’s employment with us ended on March 15, 2023, and as a result, the stock-based compensation expense associated with the unvested tranche was reversed and any future stock-based compensation expense that would have been taken was cancelled from the grant date through February 15, 2024.</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Mr. Young's RSA, whereby vesting is contingent on meeting certain market conditions was estimated using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140970</wp:posOffset>
            </wp:positionV>
            <wp:extent cx="8255" cy="7715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77152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2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auto"/>
              </w:rPr>
              <w:t>Grant date</w:t>
            </w:r>
          </w:p>
        </w:tc>
        <w:tc>
          <w:tcPr>
            <w:tcW w:w="6420" w:type="dxa"/>
            <w:vAlign w:val="bottom"/>
            <w:shd w:val="clear" w:color="auto" w:fill="F2F2F2"/>
          </w:tcPr>
          <w:p>
            <w:pPr>
              <w:jc w:val="center"/>
              <w:ind w:left="739"/>
              <w:spacing w:after="0"/>
              <w:rPr>
                <w:sz w:val="20"/>
                <w:szCs w:val="20"/>
                <w:color w:val="auto"/>
              </w:rPr>
            </w:pPr>
            <w:r>
              <w:rPr>
                <w:rFonts w:ascii="Arial" w:cs="Arial" w:eastAsia="Arial" w:hAnsi="Arial"/>
                <w:sz w:val="16"/>
                <w:szCs w:val="16"/>
                <w:color w:val="auto"/>
              </w:rPr>
              <w:t>12/1/2020</w:t>
            </w:r>
          </w:p>
        </w:tc>
      </w:tr>
      <w:tr>
        <w:trPr>
          <w:trHeight w:val="223"/>
        </w:trPr>
        <w:tc>
          <w:tcPr>
            <w:tcW w:w="4820" w:type="dxa"/>
            <w:vAlign w:val="bottom"/>
          </w:tcPr>
          <w:p>
            <w:pPr>
              <w:ind w:left="60"/>
              <w:spacing w:after="0"/>
              <w:rPr>
                <w:sz w:val="20"/>
                <w:szCs w:val="20"/>
                <w:color w:val="auto"/>
              </w:rPr>
            </w:pPr>
            <w:r>
              <w:rPr>
                <w:rFonts w:ascii="Arial" w:cs="Arial" w:eastAsia="Arial" w:hAnsi="Arial"/>
                <w:sz w:val="16"/>
                <w:szCs w:val="16"/>
                <w:b w:val="1"/>
                <w:bCs w:val="1"/>
                <w:color w:val="auto"/>
              </w:rPr>
              <w:t>Stock price</w:t>
            </w:r>
          </w:p>
        </w:tc>
        <w:tc>
          <w:tcPr>
            <w:tcW w:w="6420" w:type="dxa"/>
            <w:vAlign w:val="bottom"/>
          </w:tcPr>
          <w:p>
            <w:pPr>
              <w:jc w:val="center"/>
              <w:ind w:left="739"/>
              <w:spacing w:after="0"/>
              <w:rPr>
                <w:sz w:val="20"/>
                <w:szCs w:val="20"/>
                <w:color w:val="auto"/>
              </w:rPr>
            </w:pPr>
            <w:r>
              <w:rPr>
                <w:rFonts w:ascii="Arial" w:cs="Arial" w:eastAsia="Arial" w:hAnsi="Arial"/>
                <w:sz w:val="16"/>
                <w:szCs w:val="16"/>
                <w:color w:val="auto"/>
                <w:w w:val="98"/>
              </w:rPr>
              <w:t>$20.17</w:t>
            </w:r>
          </w:p>
        </w:tc>
      </w:tr>
      <w:tr>
        <w:trPr>
          <w:trHeight w:val="20"/>
        </w:trPr>
        <w:tc>
          <w:tcPr>
            <w:tcW w:w="48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23"/>
        </w:trPr>
        <w:tc>
          <w:tcPr>
            <w:tcW w:w="48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auto"/>
              </w:rPr>
              <w:t>Risk-free interest rate</w:t>
            </w:r>
          </w:p>
        </w:tc>
        <w:tc>
          <w:tcPr>
            <w:tcW w:w="6420" w:type="dxa"/>
            <w:vAlign w:val="bottom"/>
            <w:tcBorders>
              <w:bottom w:val="single" w:sz="8" w:color="F2F2F2"/>
            </w:tcBorders>
            <w:shd w:val="clear" w:color="auto" w:fill="F2F2F2"/>
          </w:tcPr>
          <w:p>
            <w:pPr>
              <w:jc w:val="center"/>
              <w:ind w:left="739"/>
              <w:spacing w:after="0"/>
              <w:rPr>
                <w:sz w:val="20"/>
                <w:szCs w:val="20"/>
                <w:color w:val="auto"/>
              </w:rPr>
            </w:pPr>
            <w:r>
              <w:rPr>
                <w:rFonts w:ascii="Arial" w:cs="Arial" w:eastAsia="Arial" w:hAnsi="Arial"/>
                <w:sz w:val="16"/>
                <w:szCs w:val="16"/>
                <w:color w:val="auto"/>
              </w:rPr>
              <w:t>0.07% - 1.66%</w:t>
            </w:r>
          </w:p>
        </w:tc>
      </w:tr>
      <w:tr>
        <w:trPr>
          <w:trHeight w:val="223"/>
        </w:trPr>
        <w:tc>
          <w:tcPr>
            <w:tcW w:w="4820" w:type="dxa"/>
            <w:vAlign w:val="bottom"/>
          </w:tcPr>
          <w:p>
            <w:pPr>
              <w:ind w:left="60"/>
              <w:spacing w:after="0"/>
              <w:rPr>
                <w:sz w:val="20"/>
                <w:szCs w:val="20"/>
                <w:color w:val="auto"/>
              </w:rPr>
            </w:pPr>
            <w:r>
              <w:rPr>
                <w:rFonts w:ascii="Arial" w:cs="Arial" w:eastAsia="Arial" w:hAnsi="Arial"/>
                <w:sz w:val="16"/>
                <w:szCs w:val="16"/>
                <w:b w:val="1"/>
                <w:bCs w:val="1"/>
                <w:color w:val="auto"/>
              </w:rPr>
              <w:t>Expected volatility</w:t>
            </w:r>
          </w:p>
        </w:tc>
        <w:tc>
          <w:tcPr>
            <w:tcW w:w="6420" w:type="dxa"/>
            <w:vAlign w:val="bottom"/>
          </w:tcPr>
          <w:p>
            <w:pPr>
              <w:jc w:val="center"/>
              <w:ind w:left="739"/>
              <w:spacing w:after="0"/>
              <w:rPr>
                <w:sz w:val="20"/>
                <w:szCs w:val="20"/>
                <w:color w:val="auto"/>
              </w:rPr>
            </w:pPr>
            <w:r>
              <w:rPr>
                <w:rFonts w:ascii="Arial" w:cs="Arial" w:eastAsia="Arial" w:hAnsi="Arial"/>
                <w:sz w:val="16"/>
                <w:szCs w:val="16"/>
                <w:color w:val="auto"/>
              </w:rPr>
              <w:t>48.38%</w:t>
            </w:r>
          </w:p>
        </w:tc>
      </w:tr>
      <w:tr>
        <w:trPr>
          <w:trHeight w:val="20"/>
        </w:trPr>
        <w:tc>
          <w:tcPr>
            <w:tcW w:w="48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23"/>
        </w:trPr>
        <w:tc>
          <w:tcPr>
            <w:tcW w:w="482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auto"/>
              </w:rPr>
              <w:t>Expected dividends</w:t>
            </w:r>
          </w:p>
        </w:tc>
        <w:tc>
          <w:tcPr>
            <w:tcW w:w="6420" w:type="dxa"/>
            <w:vAlign w:val="bottom"/>
            <w:shd w:val="clear" w:color="auto" w:fill="F2F2F2"/>
          </w:tcPr>
          <w:p>
            <w:pPr>
              <w:jc w:val="center"/>
              <w:ind w:left="739"/>
              <w:spacing w:after="0"/>
              <w:rPr>
                <w:sz w:val="20"/>
                <w:szCs w:val="20"/>
                <w:color w:val="auto"/>
              </w:rPr>
            </w:pPr>
            <w:r>
              <w:rPr>
                <w:rFonts w:ascii="Arial" w:cs="Arial" w:eastAsia="Arial" w:hAnsi="Arial"/>
                <w:sz w:val="16"/>
                <w:szCs w:val="16"/>
                <w:color w:val="auto"/>
              </w:rPr>
              <w:t>0%</w:t>
            </w:r>
          </w:p>
        </w:tc>
      </w:tr>
      <w:tr>
        <w:trPr>
          <w:trHeight w:val="20"/>
        </w:trPr>
        <w:tc>
          <w:tcPr>
            <w:tcW w:w="4820" w:type="dxa"/>
            <w:vAlign w:val="bottom"/>
            <w:shd w:val="clear" w:color="auto" w:fill="F2F2F2"/>
          </w:tcPr>
          <w:p>
            <w:pPr>
              <w:spacing w:after="0" w:line="20" w:lineRule="exact"/>
              <w:rPr>
                <w:sz w:val="1"/>
                <w:szCs w:val="1"/>
                <w:color w:val="auto"/>
              </w:rPr>
            </w:pPr>
          </w:p>
        </w:tc>
        <w:tc>
          <w:tcPr>
            <w:tcW w:w="6420" w:type="dxa"/>
            <w:vAlign w:val="bottom"/>
            <w:shd w:val="clear" w:color="auto" w:fill="F2F2F2"/>
          </w:tcPr>
          <w:p>
            <w:pPr>
              <w:spacing w:after="0" w:line="20" w:lineRule="exact"/>
              <w:rPr>
                <w:sz w:val="1"/>
                <w:szCs w:val="1"/>
                <w:color w:val="auto"/>
              </w:rPr>
            </w:pPr>
          </w:p>
        </w:tc>
      </w:tr>
    </w:tbl>
    <w:p>
      <w:pPr>
        <w:spacing w:after="0" w:line="215"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i w:val="1"/>
          <w:iCs w:val="1"/>
          <w:color w:val="auto"/>
        </w:rPr>
        <w:t xml:space="preserve">Stock price. </w:t>
      </w:r>
      <w:r>
        <w:rPr>
          <w:rFonts w:ascii="Arial" w:cs="Arial" w:eastAsia="Arial" w:hAnsi="Arial"/>
          <w:sz w:val="16"/>
          <w:szCs w:val="16"/>
          <w:color w:val="auto"/>
        </w:rPr>
        <w:t>The stock price used in a Monte Carlo simulation is based on the closing stock price of our Class A common stock as of the valuation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 2020.</w:t>
      </w:r>
    </w:p>
    <w:p>
      <w:pPr>
        <w:spacing w:after="0" w:line="10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rate used in a Monte Carlo simulation is interpolated based on the U.S. Treasury rates sourced from Department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Treasury as of December 1, 2020 with a term commensurate with the remaining performance period.</w:t>
      </w:r>
    </w:p>
    <w:p>
      <w:pPr>
        <w:spacing w:after="0" w:line="102"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expected volatility used in a Monte Carlo simulation is based on the company's historical and implied volatility. Expected volatility is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equally weighted historical volatility of 45.50% and implied volatility of 51.26%. Historical volatility was estimated based on the company’s closing stock prices during the period September 26, 2018 to December 1, 2020. The implied volatility was retrieved from Bloomberg for the company’s at-the-money options with maturity on December 29, 2023.</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Expected dividend. </w:t>
      </w:r>
      <w:r>
        <w:rPr>
          <w:rFonts w:ascii="Arial" w:cs="Arial" w:eastAsia="Arial" w:hAnsi="Arial"/>
          <w:sz w:val="16"/>
          <w:szCs w:val="16"/>
          <w:color w:val="auto"/>
        </w:rPr>
        <w:t>The Company has not paid and does not expect to pay dividends. Consequently, the company uses an expected dividend yield of zero.</w:t>
      </w:r>
    </w:p>
    <w:p>
      <w:pPr>
        <w:spacing w:after="0" w:line="200" w:lineRule="exact"/>
        <w:rPr>
          <w:sz w:val="20"/>
          <w:szCs w:val="20"/>
          <w:color w:val="auto"/>
        </w:rPr>
      </w:pPr>
    </w:p>
    <w:p>
      <w:pPr>
        <w:spacing w:after="0" w:line="350" w:lineRule="exact"/>
        <w:rPr>
          <w:sz w:val="20"/>
          <w:szCs w:val="20"/>
          <w:color w:val="auto"/>
        </w:rPr>
      </w:pPr>
    </w:p>
    <w:p>
      <w:pPr>
        <w:ind w:left="580" w:hanging="554"/>
        <w:spacing w:after="0"/>
        <w:tabs>
          <w:tab w:leader="none" w:pos="580" w:val="left"/>
        </w:tabs>
        <w:numPr>
          <w:ilvl w:val="0"/>
          <w:numId w:val="73"/>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6"/>
          <w:szCs w:val="26"/>
          <w:color w:val="0063A6"/>
        </w:rPr>
        <w:t>Report of the Compensation Committee</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talent and compensation committee has reviewed and discussed with management the Compensation Discussion and Analysis provided above. Based on its review and discussions, the talent and compensation committee recommended to the board of directors that the Compensation Discussion and Analysis be included in this proxy statement and Dropbox’s Annual Report on Form 10-K for our fiscal year ended December 31, 2023.</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talent and compensation committee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Sara Mathew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Abhay Parasnis</w:t>
      </w:r>
    </w:p>
    <w:p>
      <w:pPr>
        <w:spacing w:after="0" w:line="235" w:lineRule="auto"/>
        <w:rPr>
          <w:sz w:val="20"/>
          <w:szCs w:val="20"/>
          <w:color w:val="auto"/>
        </w:rPr>
      </w:pPr>
      <w:r>
        <w:rPr>
          <w:rFonts w:ascii="Arial" w:cs="Arial" w:eastAsia="Arial" w:hAnsi="Arial"/>
          <w:sz w:val="16"/>
          <w:szCs w:val="16"/>
          <w:b w:val="1"/>
          <w:bCs w:val="1"/>
          <w:color w:val="auto"/>
        </w:rPr>
        <w:t>Karen Peacock</w:t>
      </w:r>
    </w:p>
    <w:p>
      <w:pPr>
        <w:spacing w:after="0"/>
        <w:rPr>
          <w:sz w:val="20"/>
          <w:szCs w:val="20"/>
          <w:color w:val="auto"/>
        </w:rPr>
      </w:pPr>
      <w:r>
        <w:rPr>
          <w:rFonts w:ascii="Arial" w:cs="Arial" w:eastAsia="Arial" w:hAnsi="Arial"/>
          <w:sz w:val="16"/>
          <w:szCs w:val="16"/>
          <w:b w:val="1"/>
          <w:bCs w:val="1"/>
          <w:color w:val="auto"/>
        </w:rPr>
        <w:t>Michael Seibel</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6"/>
          <w:szCs w:val="26"/>
          <w:color w:val="0063A6"/>
        </w:rPr>
        <w:t>Compensation Risk Assessment</w:t>
      </w:r>
    </w:p>
    <w:p>
      <w:pPr>
        <w:spacing w:after="0" w:line="17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management regularly assesses and discusses with the talent and compensation committee our compensation programs, policies, and practices for our employees as they relate to our risk management. In this regard, we undertake a risk review of our employee compensation programs, policies, and practices (including our executive compensation program) each year to determine whether these programs, policies, and practices contain features that might create undue risks or encourage unnecessary and excessive risk-taking that could threaten our value. Based upon this review, we believe that any risks arising from such programs, policies, and practices are not reasonably likely to have a material adverse effect on us.</w:t>
      </w:r>
    </w:p>
    <w:p>
      <w:pPr>
        <w:spacing w:after="0" w:line="12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employees’ base salaries are fixed in amount and thus we do not believe that they encourage excessive risk-taking. While performance-based cash bonuses and sales commissions focus on achievement of short-term or annual goals, which may encourage the taking of short-term risks at the expense of long-term results, we believe that our compensation policies and the risk mitigation features of our cash bonus plans help mitigate this risk and our performance-based cash bonuses and sales commissions are limited, representing a small portion of the total compensation opportunities available to most non-executive employees. We also believe that our performance-based cash bonuses and sales commissions appropriately balance risk and the desire to focus our employees on specific short-term goals important to our success, and do not encourage unnecessary or excessive risk-taking.</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 significant proportion of the compensation provided to most of our employees involves long-term incentive compensation in the form of equity awards that we believe are important to help further align our employees’ interests with those of our stockholders. These equity awards directly tie their expectations of compensation to their contributions to the long-term value of our company. We do not believe that these equity awards encourage unnecessary or excessive risk-taking given their multi-year vesting schedules and since their ultimate value is tied to our stock price.</w:t>
      </w:r>
    </w:p>
    <w:p>
      <w:pPr>
        <w:spacing w:after="0" w:line="200" w:lineRule="exact"/>
        <w:rPr>
          <w:sz w:val="20"/>
          <w:szCs w:val="20"/>
          <w:color w:val="auto"/>
        </w:rPr>
      </w:pPr>
    </w:p>
    <w:p>
      <w:pPr>
        <w:spacing w:after="0" w:line="307" w:lineRule="exact"/>
        <w:rPr>
          <w:sz w:val="20"/>
          <w:szCs w:val="20"/>
          <w:color w:val="auto"/>
        </w:rPr>
      </w:pPr>
    </w:p>
    <w:p>
      <w:pPr>
        <w:ind w:left="580" w:hanging="554"/>
        <w:spacing w:after="0"/>
        <w:tabs>
          <w:tab w:leader="none" w:pos="580" w:val="left"/>
        </w:tabs>
        <w:numPr>
          <w:ilvl w:val="0"/>
          <w:numId w:val="7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color w:val="0063A6"/>
        </w:rPr>
        <w:t>Summary Compensation Table for Fiscal Year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139700</wp:posOffset>
            </wp:positionV>
            <wp:extent cx="7149465" cy="31032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310324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80" w:type="dxa"/>
            <w:vAlign w:val="bottom"/>
            <w:shd w:val="clear" w:color="auto" w:fill="0063A6"/>
          </w:tcPr>
          <w:p>
            <w:pPr>
              <w:spacing w:after="0"/>
              <w:rPr>
                <w:sz w:val="19"/>
                <w:szCs w:val="19"/>
                <w:color w:val="auto"/>
              </w:rPr>
            </w:pPr>
          </w:p>
        </w:tc>
        <w:tc>
          <w:tcPr>
            <w:tcW w:w="680" w:type="dxa"/>
            <w:vAlign w:val="bottom"/>
            <w:shd w:val="clear" w:color="auto" w:fill="0063A6"/>
          </w:tcPr>
          <w:p>
            <w:pPr>
              <w:spacing w:after="0"/>
              <w:rPr>
                <w:sz w:val="19"/>
                <w:szCs w:val="19"/>
                <w:color w:val="auto"/>
              </w:rPr>
            </w:pPr>
          </w:p>
        </w:tc>
        <w:tc>
          <w:tcPr>
            <w:tcW w:w="920" w:type="dxa"/>
            <w:vAlign w:val="bottom"/>
            <w:shd w:val="clear" w:color="auto" w:fill="0063A6"/>
          </w:tcPr>
          <w:p>
            <w:pPr>
              <w:spacing w:after="0"/>
              <w:rPr>
                <w:sz w:val="19"/>
                <w:szCs w:val="19"/>
                <w:color w:val="auto"/>
              </w:rPr>
            </w:pPr>
          </w:p>
        </w:tc>
        <w:tc>
          <w:tcPr>
            <w:tcW w:w="880" w:type="dxa"/>
            <w:vAlign w:val="bottom"/>
            <w:shd w:val="clear" w:color="auto" w:fill="0063A6"/>
          </w:tcPr>
          <w:p>
            <w:pPr>
              <w:spacing w:after="0"/>
              <w:rPr>
                <w:sz w:val="19"/>
                <w:szCs w:val="19"/>
                <w:color w:val="auto"/>
              </w:rPr>
            </w:pPr>
          </w:p>
        </w:tc>
        <w:tc>
          <w:tcPr>
            <w:tcW w:w="1220" w:type="dxa"/>
            <w:vAlign w:val="bottom"/>
            <w:shd w:val="clear" w:color="auto" w:fill="0063A6"/>
          </w:tcPr>
          <w:p>
            <w:pPr>
              <w:spacing w:after="0"/>
              <w:rPr>
                <w:sz w:val="19"/>
                <w:szCs w:val="19"/>
                <w:color w:val="auto"/>
              </w:rPr>
            </w:pPr>
          </w:p>
        </w:tc>
        <w:tc>
          <w:tcPr>
            <w:tcW w:w="460" w:type="dxa"/>
            <w:vAlign w:val="bottom"/>
            <w:shd w:val="clear" w:color="auto" w:fill="0063A6"/>
          </w:tcPr>
          <w:p>
            <w:pPr>
              <w:spacing w:after="0"/>
              <w:rPr>
                <w:sz w:val="19"/>
                <w:szCs w:val="19"/>
                <w:color w:val="auto"/>
              </w:rPr>
            </w:pPr>
          </w:p>
        </w:tc>
        <w:tc>
          <w:tcPr>
            <w:tcW w:w="1400" w:type="dxa"/>
            <w:vAlign w:val="bottom"/>
            <w:shd w:val="clear" w:color="auto" w:fill="0063A6"/>
          </w:tcPr>
          <w:p>
            <w:pPr>
              <w:jc w:val="center"/>
              <w:ind w:right="48"/>
              <w:spacing w:after="0"/>
              <w:rPr>
                <w:sz w:val="20"/>
                <w:szCs w:val="20"/>
                <w:color w:val="auto"/>
              </w:rPr>
            </w:pPr>
            <w:r>
              <w:rPr>
                <w:rFonts w:ascii="Arial" w:cs="Arial" w:eastAsia="Arial" w:hAnsi="Arial"/>
                <w:sz w:val="14"/>
                <w:szCs w:val="14"/>
                <w:b w:val="1"/>
                <w:bCs w:val="1"/>
                <w:color w:val="FFFFFF"/>
                <w:w w:val="98"/>
              </w:rPr>
              <w:t>Non-equity</w:t>
            </w:r>
          </w:p>
        </w:tc>
        <w:tc>
          <w:tcPr>
            <w:tcW w:w="1340" w:type="dxa"/>
            <w:vAlign w:val="bottom"/>
            <w:shd w:val="clear" w:color="auto" w:fill="0063A6"/>
          </w:tcPr>
          <w:p>
            <w:pPr>
              <w:spacing w:after="0"/>
              <w:rPr>
                <w:sz w:val="19"/>
                <w:szCs w:val="19"/>
                <w:color w:val="auto"/>
              </w:rPr>
            </w:pPr>
          </w:p>
        </w:tc>
        <w:tc>
          <w:tcPr>
            <w:tcW w:w="460" w:type="dxa"/>
            <w:vAlign w:val="bottom"/>
            <w:shd w:val="clear" w:color="auto" w:fill="0063A6"/>
          </w:tcPr>
          <w:p>
            <w:pPr>
              <w:spacing w:after="0"/>
              <w:rPr>
                <w:sz w:val="19"/>
                <w:szCs w:val="19"/>
                <w:color w:val="auto"/>
              </w:rPr>
            </w:pPr>
          </w:p>
        </w:tc>
        <w:tc>
          <w:tcPr>
            <w:tcW w:w="1200" w:type="dxa"/>
            <w:vAlign w:val="bottom"/>
            <w:shd w:val="clear" w:color="auto" w:fill="0063A6"/>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0063A6"/>
          </w:tcPr>
          <w:p>
            <w:pPr>
              <w:spacing w:after="0"/>
              <w:rPr>
                <w:sz w:val="14"/>
                <w:szCs w:val="14"/>
                <w:color w:val="auto"/>
              </w:rPr>
            </w:pPr>
          </w:p>
        </w:tc>
        <w:tc>
          <w:tcPr>
            <w:tcW w:w="680" w:type="dxa"/>
            <w:vAlign w:val="bottom"/>
            <w:shd w:val="clear" w:color="auto" w:fill="0063A6"/>
          </w:tcPr>
          <w:p>
            <w:pPr>
              <w:spacing w:after="0"/>
              <w:rPr>
                <w:sz w:val="14"/>
                <w:szCs w:val="14"/>
                <w:color w:val="auto"/>
              </w:rPr>
            </w:pPr>
          </w:p>
        </w:tc>
        <w:tc>
          <w:tcPr>
            <w:tcW w:w="92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1220" w:type="dxa"/>
            <w:vAlign w:val="bottom"/>
            <w:shd w:val="clear" w:color="auto" w:fill="0063A6"/>
          </w:tcPr>
          <w:p>
            <w:pPr>
              <w:jc w:val="center"/>
              <w:ind w:left="288"/>
              <w:spacing w:after="0"/>
              <w:rPr>
                <w:sz w:val="20"/>
                <w:szCs w:val="20"/>
                <w:color w:val="auto"/>
              </w:rPr>
            </w:pPr>
            <w:r>
              <w:rPr>
                <w:rFonts w:ascii="Arial" w:cs="Arial" w:eastAsia="Arial" w:hAnsi="Arial"/>
                <w:sz w:val="14"/>
                <w:szCs w:val="14"/>
                <w:b w:val="1"/>
                <w:bCs w:val="1"/>
                <w:color w:val="FFFFFF"/>
                <w:w w:val="99"/>
              </w:rPr>
              <w:t>Stock</w:t>
            </w:r>
          </w:p>
        </w:tc>
        <w:tc>
          <w:tcPr>
            <w:tcW w:w="460" w:type="dxa"/>
            <w:vAlign w:val="bottom"/>
            <w:shd w:val="clear" w:color="auto" w:fill="0063A6"/>
          </w:tcPr>
          <w:p>
            <w:pPr>
              <w:spacing w:after="0"/>
              <w:rPr>
                <w:sz w:val="14"/>
                <w:szCs w:val="14"/>
                <w:color w:val="auto"/>
              </w:rPr>
            </w:pPr>
          </w:p>
        </w:tc>
        <w:tc>
          <w:tcPr>
            <w:tcW w:w="1400" w:type="dxa"/>
            <w:vAlign w:val="bottom"/>
            <w:shd w:val="clear" w:color="auto" w:fill="0063A6"/>
          </w:tcPr>
          <w:p>
            <w:pPr>
              <w:jc w:val="center"/>
              <w:ind w:right="48"/>
              <w:spacing w:after="0"/>
              <w:rPr>
                <w:sz w:val="20"/>
                <w:szCs w:val="20"/>
                <w:color w:val="auto"/>
              </w:rPr>
            </w:pPr>
            <w:r>
              <w:rPr>
                <w:rFonts w:ascii="Arial" w:cs="Arial" w:eastAsia="Arial" w:hAnsi="Arial"/>
                <w:sz w:val="14"/>
                <w:szCs w:val="14"/>
                <w:b w:val="1"/>
                <w:bCs w:val="1"/>
                <w:color w:val="FFFFFF"/>
              </w:rPr>
              <w:t>Incentive Plan</w:t>
            </w:r>
          </w:p>
        </w:tc>
        <w:tc>
          <w:tcPr>
            <w:tcW w:w="1340" w:type="dxa"/>
            <w:vAlign w:val="bottom"/>
            <w:shd w:val="clear" w:color="auto" w:fill="0063A6"/>
          </w:tcPr>
          <w:p>
            <w:pPr>
              <w:jc w:val="center"/>
              <w:ind w:left="148"/>
              <w:spacing w:after="0"/>
              <w:rPr>
                <w:sz w:val="20"/>
                <w:szCs w:val="20"/>
                <w:color w:val="auto"/>
              </w:rPr>
            </w:pPr>
            <w:r>
              <w:rPr>
                <w:rFonts w:ascii="Arial" w:cs="Arial" w:eastAsia="Arial" w:hAnsi="Arial"/>
                <w:sz w:val="14"/>
                <w:szCs w:val="14"/>
                <w:b w:val="1"/>
                <w:bCs w:val="1"/>
                <w:color w:val="FFFFFF"/>
              </w:rPr>
              <w:t>All Other</w:t>
            </w:r>
          </w:p>
        </w:tc>
        <w:tc>
          <w:tcPr>
            <w:tcW w:w="460" w:type="dxa"/>
            <w:vAlign w:val="bottom"/>
            <w:shd w:val="clear" w:color="auto" w:fill="0063A6"/>
          </w:tcPr>
          <w:p>
            <w:pPr>
              <w:spacing w:after="0"/>
              <w:rPr>
                <w:sz w:val="14"/>
                <w:szCs w:val="14"/>
                <w:color w:val="auto"/>
              </w:rPr>
            </w:pPr>
          </w:p>
        </w:tc>
        <w:tc>
          <w:tcPr>
            <w:tcW w:w="12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80" w:type="dxa"/>
            <w:vAlign w:val="bottom"/>
            <w:shd w:val="clear" w:color="auto" w:fill="0063A6"/>
          </w:tcPr>
          <w:p>
            <w:pPr>
              <w:spacing w:after="0"/>
              <w:rPr>
                <w:sz w:val="13"/>
                <w:szCs w:val="13"/>
                <w:color w:val="auto"/>
              </w:rPr>
            </w:pPr>
          </w:p>
        </w:tc>
        <w:tc>
          <w:tcPr>
            <w:tcW w:w="680" w:type="dxa"/>
            <w:vAlign w:val="bottom"/>
            <w:shd w:val="clear" w:color="auto" w:fill="0063A6"/>
          </w:tcPr>
          <w:p>
            <w:pPr>
              <w:spacing w:after="0"/>
              <w:rPr>
                <w:sz w:val="13"/>
                <w:szCs w:val="13"/>
                <w:color w:val="auto"/>
              </w:rPr>
            </w:pPr>
          </w:p>
        </w:tc>
        <w:tc>
          <w:tcPr>
            <w:tcW w:w="920" w:type="dxa"/>
            <w:vAlign w:val="bottom"/>
            <w:shd w:val="clear" w:color="auto" w:fill="0063A6"/>
          </w:tcPr>
          <w:p>
            <w:pPr>
              <w:ind w:left="240"/>
              <w:spacing w:after="0" w:line="159" w:lineRule="exact"/>
              <w:rPr>
                <w:sz w:val="20"/>
                <w:szCs w:val="20"/>
                <w:color w:val="auto"/>
              </w:rPr>
            </w:pPr>
            <w:r>
              <w:rPr>
                <w:rFonts w:ascii="Arial" w:cs="Arial" w:eastAsia="Arial" w:hAnsi="Arial"/>
                <w:sz w:val="14"/>
                <w:szCs w:val="14"/>
                <w:b w:val="1"/>
                <w:bCs w:val="1"/>
                <w:color w:val="FFFFFF"/>
              </w:rPr>
              <w:t>Salary</w:t>
            </w:r>
          </w:p>
        </w:tc>
        <w:tc>
          <w:tcPr>
            <w:tcW w:w="880" w:type="dxa"/>
            <w:vAlign w:val="bottom"/>
            <w:shd w:val="clear" w:color="auto" w:fill="0063A6"/>
          </w:tcPr>
          <w:p>
            <w:pPr>
              <w:ind w:left="160"/>
              <w:spacing w:after="0" w:line="159" w:lineRule="exact"/>
              <w:rPr>
                <w:sz w:val="20"/>
                <w:szCs w:val="20"/>
                <w:color w:val="auto"/>
              </w:rPr>
            </w:pPr>
            <w:r>
              <w:rPr>
                <w:rFonts w:ascii="Arial" w:cs="Arial" w:eastAsia="Arial" w:hAnsi="Arial"/>
                <w:sz w:val="14"/>
                <w:szCs w:val="14"/>
                <w:b w:val="1"/>
                <w:bCs w:val="1"/>
                <w:color w:val="FFFFFF"/>
              </w:rPr>
              <w:t>Bonus</w:t>
            </w:r>
          </w:p>
        </w:tc>
        <w:tc>
          <w:tcPr>
            <w:tcW w:w="1220" w:type="dxa"/>
            <w:vAlign w:val="bottom"/>
            <w:shd w:val="clear" w:color="auto" w:fill="0063A6"/>
          </w:tcPr>
          <w:p>
            <w:pPr>
              <w:jc w:val="center"/>
              <w:ind w:left="268"/>
              <w:spacing w:after="0" w:line="159" w:lineRule="exact"/>
              <w:rPr>
                <w:sz w:val="20"/>
                <w:szCs w:val="20"/>
                <w:color w:val="auto"/>
              </w:rPr>
            </w:pPr>
            <w:r>
              <w:rPr>
                <w:rFonts w:ascii="Arial" w:cs="Arial" w:eastAsia="Arial" w:hAnsi="Arial"/>
                <w:sz w:val="14"/>
                <w:szCs w:val="14"/>
                <w:b w:val="1"/>
                <w:bCs w:val="1"/>
                <w:color w:val="FFFFFF"/>
              </w:rPr>
              <w:t>Awards</w:t>
            </w:r>
          </w:p>
        </w:tc>
        <w:tc>
          <w:tcPr>
            <w:tcW w:w="460" w:type="dxa"/>
            <w:vAlign w:val="bottom"/>
            <w:shd w:val="clear" w:color="auto" w:fill="0063A6"/>
          </w:tcPr>
          <w:p>
            <w:pPr>
              <w:spacing w:after="0"/>
              <w:rPr>
                <w:sz w:val="13"/>
                <w:szCs w:val="13"/>
                <w:color w:val="auto"/>
              </w:rPr>
            </w:pPr>
          </w:p>
        </w:tc>
        <w:tc>
          <w:tcPr>
            <w:tcW w:w="1400" w:type="dxa"/>
            <w:vAlign w:val="bottom"/>
            <w:shd w:val="clear" w:color="auto" w:fill="0063A6"/>
          </w:tcPr>
          <w:p>
            <w:pPr>
              <w:jc w:val="center"/>
              <w:ind w:right="48"/>
              <w:spacing w:after="0" w:line="159" w:lineRule="exact"/>
              <w:rPr>
                <w:sz w:val="20"/>
                <w:szCs w:val="20"/>
                <w:color w:val="auto"/>
              </w:rPr>
            </w:pPr>
            <w:r>
              <w:rPr>
                <w:rFonts w:ascii="Arial" w:cs="Arial" w:eastAsia="Arial" w:hAnsi="Arial"/>
                <w:sz w:val="14"/>
                <w:szCs w:val="14"/>
                <w:b w:val="1"/>
                <w:bCs w:val="1"/>
                <w:color w:val="FFFFFF"/>
                <w:w w:val="98"/>
              </w:rPr>
              <w:t>Compensation</w:t>
            </w:r>
          </w:p>
        </w:tc>
        <w:tc>
          <w:tcPr>
            <w:tcW w:w="1340" w:type="dxa"/>
            <w:vAlign w:val="bottom"/>
            <w:shd w:val="clear" w:color="auto" w:fill="0063A6"/>
          </w:tcPr>
          <w:p>
            <w:pPr>
              <w:jc w:val="center"/>
              <w:ind w:left="148"/>
              <w:spacing w:after="0" w:line="159" w:lineRule="exact"/>
              <w:rPr>
                <w:sz w:val="20"/>
                <w:szCs w:val="20"/>
                <w:color w:val="auto"/>
              </w:rPr>
            </w:pPr>
            <w:r>
              <w:rPr>
                <w:rFonts w:ascii="Arial" w:cs="Arial" w:eastAsia="Arial" w:hAnsi="Arial"/>
                <w:sz w:val="14"/>
                <w:szCs w:val="14"/>
                <w:b w:val="1"/>
                <w:bCs w:val="1"/>
                <w:color w:val="FFFFFF"/>
                <w:w w:val="98"/>
              </w:rPr>
              <w:t>Compensation</w:t>
            </w:r>
          </w:p>
        </w:tc>
        <w:tc>
          <w:tcPr>
            <w:tcW w:w="460" w:type="dxa"/>
            <w:vAlign w:val="bottom"/>
            <w:shd w:val="clear" w:color="auto" w:fill="0063A6"/>
          </w:tcPr>
          <w:p>
            <w:pPr>
              <w:spacing w:after="0"/>
              <w:rPr>
                <w:sz w:val="13"/>
                <w:szCs w:val="13"/>
                <w:color w:val="auto"/>
              </w:rPr>
            </w:pPr>
          </w:p>
        </w:tc>
        <w:tc>
          <w:tcPr>
            <w:tcW w:w="1200" w:type="dxa"/>
            <w:vAlign w:val="bottom"/>
            <w:shd w:val="clear" w:color="auto" w:fill="0063A6"/>
          </w:tcPr>
          <w:p>
            <w:pPr>
              <w:jc w:val="right"/>
              <w:ind w:right="468"/>
              <w:spacing w:after="0" w:line="159"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46"/>
        </w:trPr>
        <w:tc>
          <w:tcPr>
            <w:tcW w:w="268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 and Principal Position</w:t>
            </w:r>
          </w:p>
        </w:tc>
        <w:tc>
          <w:tcPr>
            <w:tcW w:w="680" w:type="dxa"/>
            <w:vAlign w:val="bottom"/>
            <w:tcBorders>
              <w:bottom w:val="single" w:sz="8" w:color="0063A6"/>
            </w:tcBorders>
            <w:shd w:val="clear" w:color="auto" w:fill="0063A6"/>
          </w:tcPr>
          <w:p>
            <w:pPr>
              <w:ind w:left="200"/>
              <w:spacing w:after="0"/>
              <w:rPr>
                <w:sz w:val="20"/>
                <w:szCs w:val="20"/>
                <w:color w:val="auto"/>
              </w:rPr>
            </w:pPr>
            <w:r>
              <w:rPr>
                <w:rFonts w:ascii="Arial" w:cs="Arial" w:eastAsia="Arial" w:hAnsi="Arial"/>
                <w:sz w:val="14"/>
                <w:szCs w:val="14"/>
                <w:b w:val="1"/>
                <w:bCs w:val="1"/>
                <w:color w:val="FFFFFF"/>
              </w:rPr>
              <w:t>Year</w:t>
            </w:r>
          </w:p>
        </w:tc>
        <w:tc>
          <w:tcPr>
            <w:tcW w:w="9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3"/>
              </w:rPr>
              <w:t>($)</w:t>
            </w:r>
          </w:p>
        </w:tc>
        <w:tc>
          <w:tcPr>
            <w:tcW w:w="880" w:type="dxa"/>
            <w:vAlign w:val="bottom"/>
            <w:tcBorders>
              <w:bottom w:val="single" w:sz="8" w:color="0063A6"/>
            </w:tcBorders>
            <w:shd w:val="clear" w:color="auto" w:fill="0063A6"/>
          </w:tcPr>
          <w:p>
            <w:pPr>
              <w:jc w:val="center"/>
              <w:ind w:right="8"/>
              <w:spacing w:after="0"/>
              <w:rPr>
                <w:sz w:val="20"/>
                <w:szCs w:val="20"/>
                <w:color w:val="auto"/>
              </w:rPr>
            </w:pPr>
            <w:r>
              <w:rPr>
                <w:rFonts w:ascii="Arial" w:cs="Arial" w:eastAsia="Arial" w:hAnsi="Arial"/>
                <w:sz w:val="14"/>
                <w:szCs w:val="14"/>
                <w:b w:val="1"/>
                <w:bCs w:val="1"/>
                <w:color w:val="FFFFFF"/>
                <w:w w:val="93"/>
              </w:rPr>
              <w:t>($)</w:t>
            </w:r>
          </w:p>
        </w:tc>
        <w:tc>
          <w:tcPr>
            <w:tcW w:w="1220" w:type="dxa"/>
            <w:vAlign w:val="bottom"/>
            <w:tcBorders>
              <w:bottom w:val="single" w:sz="8" w:color="0063A6"/>
            </w:tcBorders>
            <w:shd w:val="clear" w:color="auto" w:fill="0063A6"/>
          </w:tcPr>
          <w:p>
            <w:pPr>
              <w:jc w:val="center"/>
              <w:ind w:left="268"/>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(1)</w:t>
            </w:r>
          </w:p>
        </w:tc>
        <w:tc>
          <w:tcPr>
            <w:tcW w:w="460" w:type="dxa"/>
            <w:vAlign w:val="bottom"/>
            <w:tcBorders>
              <w:bottom w:val="single" w:sz="8" w:color="0063A6"/>
            </w:tcBorders>
            <w:shd w:val="clear" w:color="auto" w:fill="0063A6"/>
          </w:tcPr>
          <w:p>
            <w:pPr>
              <w:spacing w:after="0"/>
              <w:rPr>
                <w:sz w:val="21"/>
                <w:szCs w:val="21"/>
                <w:color w:val="auto"/>
              </w:rPr>
            </w:pPr>
          </w:p>
        </w:tc>
        <w:tc>
          <w:tcPr>
            <w:tcW w:w="1400" w:type="dxa"/>
            <w:vAlign w:val="bottom"/>
            <w:tcBorders>
              <w:bottom w:val="single" w:sz="8" w:color="0063A6"/>
            </w:tcBorders>
            <w:shd w:val="clear" w:color="auto" w:fill="0063A6"/>
          </w:tcPr>
          <w:p>
            <w:pPr>
              <w:jc w:val="center"/>
              <w:ind w:right="48"/>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(2)</w:t>
            </w:r>
          </w:p>
        </w:tc>
        <w:tc>
          <w:tcPr>
            <w:tcW w:w="1340" w:type="dxa"/>
            <w:vAlign w:val="bottom"/>
            <w:tcBorders>
              <w:bottom w:val="single" w:sz="8" w:color="0063A6"/>
            </w:tcBorders>
            <w:shd w:val="clear" w:color="auto" w:fill="0063A6"/>
          </w:tcPr>
          <w:p>
            <w:pPr>
              <w:jc w:val="center"/>
              <w:ind w:left="148"/>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(3)</w:t>
            </w:r>
          </w:p>
        </w:tc>
        <w:tc>
          <w:tcPr>
            <w:tcW w:w="460" w:type="dxa"/>
            <w:vAlign w:val="bottom"/>
            <w:tcBorders>
              <w:bottom w:val="single" w:sz="8" w:color="0063A6"/>
            </w:tcBorders>
            <w:shd w:val="clear" w:color="auto" w:fill="0063A6"/>
          </w:tcPr>
          <w:p>
            <w:pPr>
              <w:spacing w:after="0"/>
              <w:rPr>
                <w:sz w:val="21"/>
                <w:szCs w:val="21"/>
                <w:color w:val="auto"/>
              </w:rPr>
            </w:pPr>
          </w:p>
        </w:tc>
        <w:tc>
          <w:tcPr>
            <w:tcW w:w="1200" w:type="dxa"/>
            <w:vAlign w:val="bottom"/>
            <w:tcBorders>
              <w:bottom w:val="single" w:sz="8" w:color="0063A6"/>
            </w:tcBorders>
            <w:shd w:val="clear" w:color="auto" w:fill="0063A6"/>
          </w:tcPr>
          <w:p>
            <w:pPr>
              <w:jc w:val="right"/>
              <w:ind w:right="50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38"/>
        </w:trPr>
        <w:tc>
          <w:tcPr>
            <w:tcW w:w="2680" w:type="dxa"/>
            <w:vAlign w:val="bottom"/>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Andrew W. Houston</w:t>
            </w:r>
          </w:p>
        </w:tc>
        <w:tc>
          <w:tcPr>
            <w:tcW w:w="680" w:type="dxa"/>
            <w:vAlign w:val="bottom"/>
            <w:vMerge w:val="restart"/>
            <w:shd w:val="clear" w:color="auto" w:fill="F2F2F2"/>
          </w:tcPr>
          <w:p>
            <w:pPr>
              <w:ind w:left="180"/>
              <w:spacing w:after="0"/>
              <w:rPr>
                <w:sz w:val="20"/>
                <w:szCs w:val="20"/>
                <w:color w:val="auto"/>
              </w:rPr>
            </w:pPr>
            <w:r>
              <w:rPr>
                <w:rFonts w:ascii="Arial" w:cs="Arial" w:eastAsia="Arial" w:hAnsi="Arial"/>
                <w:sz w:val="14"/>
                <w:szCs w:val="14"/>
                <w:color w:val="auto"/>
              </w:rPr>
              <w:t>2023</w:t>
            </w:r>
          </w:p>
        </w:tc>
        <w:tc>
          <w:tcPr>
            <w:tcW w:w="9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625,000</w:t>
            </w:r>
          </w:p>
        </w:tc>
        <w:tc>
          <w:tcPr>
            <w:tcW w:w="880" w:type="dxa"/>
            <w:vAlign w:val="bottom"/>
            <w:vMerge w:val="restart"/>
            <w:shd w:val="clear" w:color="auto" w:fill="F2F2F2"/>
          </w:tcPr>
          <w:p>
            <w:pPr>
              <w:jc w:val="center"/>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F2F2F2"/>
          </w:tcPr>
          <w:p>
            <w:pPr>
              <w:spacing w:after="0"/>
              <w:rPr>
                <w:sz w:val="12"/>
                <w:szCs w:val="12"/>
                <w:color w:val="auto"/>
              </w:rPr>
            </w:pPr>
          </w:p>
        </w:tc>
        <w:tc>
          <w:tcPr>
            <w:tcW w:w="1400" w:type="dxa"/>
            <w:vAlign w:val="bottom"/>
            <w:vMerge w:val="restart"/>
            <w:shd w:val="clear" w:color="auto" w:fill="F2F2F2"/>
          </w:tcPr>
          <w:p>
            <w:pPr>
              <w:jc w:val="center"/>
              <w:ind w:right="48"/>
              <w:spacing w:after="0"/>
              <w:rPr>
                <w:sz w:val="20"/>
                <w:szCs w:val="20"/>
                <w:color w:val="auto"/>
              </w:rPr>
            </w:pPr>
            <w:r>
              <w:rPr>
                <w:rFonts w:ascii="Arial" w:cs="Arial" w:eastAsia="Arial" w:hAnsi="Arial"/>
                <w:sz w:val="14"/>
                <w:szCs w:val="14"/>
                <w:color w:val="auto"/>
              </w:rPr>
              <w:t>485,000</w:t>
            </w:r>
          </w:p>
        </w:tc>
        <w:tc>
          <w:tcPr>
            <w:tcW w:w="1340" w:type="dxa"/>
            <w:vAlign w:val="bottom"/>
            <w:vMerge w:val="restart"/>
            <w:shd w:val="clear" w:color="auto" w:fill="F2F2F2"/>
          </w:tcPr>
          <w:p>
            <w:pPr>
              <w:jc w:val="center"/>
              <w:ind w:right="28"/>
              <w:spacing w:after="0"/>
              <w:rPr>
                <w:sz w:val="20"/>
                <w:szCs w:val="20"/>
                <w:color w:val="auto"/>
              </w:rPr>
            </w:pPr>
            <w:r>
              <w:rPr>
                <w:rFonts w:ascii="Arial" w:cs="Arial" w:eastAsia="Arial" w:hAnsi="Arial"/>
                <w:sz w:val="14"/>
                <w:szCs w:val="14"/>
                <w:color w:val="auto"/>
              </w:rPr>
              <w:t>429,577</w:t>
            </w:r>
          </w:p>
        </w:tc>
        <w:tc>
          <w:tcPr>
            <w:tcW w:w="460" w:type="dxa"/>
            <w:vAlign w:val="bottom"/>
            <w:shd w:val="clear" w:color="auto" w:fill="F2F2F2"/>
          </w:tcPr>
          <w:p>
            <w:pPr>
              <w:jc w:val="right"/>
              <w:ind w:right="233"/>
              <w:spacing w:after="0"/>
              <w:rPr>
                <w:sz w:val="20"/>
                <w:szCs w:val="20"/>
                <w:color w:val="auto"/>
              </w:rPr>
            </w:pPr>
            <w:r>
              <w:rPr>
                <w:rFonts w:ascii="Arial" w:cs="Arial" w:eastAsia="Arial" w:hAnsi="Arial"/>
                <w:sz w:val="9"/>
                <w:szCs w:val="9"/>
                <w:color w:val="auto"/>
              </w:rPr>
              <w:t>(4)</w:t>
            </w:r>
          </w:p>
        </w:tc>
        <w:tc>
          <w:tcPr>
            <w:tcW w:w="1200" w:type="dxa"/>
            <w:vAlign w:val="bottom"/>
            <w:vMerge w:val="restart"/>
            <w:shd w:val="clear" w:color="auto" w:fill="F2F2F2"/>
          </w:tcPr>
          <w:p>
            <w:pPr>
              <w:jc w:val="right"/>
              <w:ind w:right="208"/>
              <w:spacing w:after="0"/>
              <w:rPr>
                <w:sz w:val="20"/>
                <w:szCs w:val="20"/>
                <w:color w:val="auto"/>
              </w:rPr>
            </w:pPr>
            <w:r>
              <w:rPr>
                <w:rFonts w:ascii="Arial" w:cs="Arial" w:eastAsia="Arial" w:hAnsi="Arial"/>
                <w:sz w:val="14"/>
                <w:szCs w:val="14"/>
                <w:color w:val="auto"/>
              </w:rPr>
              <w:t>1,539,577</w:t>
            </w:r>
          </w:p>
        </w:tc>
        <w:tc>
          <w:tcPr>
            <w:tcW w:w="0" w:type="dxa"/>
            <w:vAlign w:val="bottom"/>
          </w:tcPr>
          <w:p>
            <w:pPr>
              <w:spacing w:after="0"/>
              <w:rPr>
                <w:sz w:val="1"/>
                <w:szCs w:val="1"/>
                <w:color w:val="auto"/>
              </w:rPr>
            </w:pPr>
          </w:p>
        </w:tc>
      </w:tr>
      <w:tr>
        <w:trPr>
          <w:trHeight w:val="97"/>
        </w:trPr>
        <w:tc>
          <w:tcPr>
            <w:tcW w:w="2680" w:type="dxa"/>
            <w:vAlign w:val="bottom"/>
            <w:vMerge w:val="continue"/>
            <w:shd w:val="clear" w:color="auto" w:fill="F2F2F2"/>
          </w:tcPr>
          <w:p>
            <w:pPr>
              <w:spacing w:after="0"/>
              <w:rPr>
                <w:sz w:val="8"/>
                <w:szCs w:val="8"/>
                <w:color w:val="auto"/>
              </w:rPr>
            </w:pPr>
          </w:p>
        </w:tc>
        <w:tc>
          <w:tcPr>
            <w:tcW w:w="680" w:type="dxa"/>
            <w:vAlign w:val="bottom"/>
            <w:vMerge w:val="continue"/>
            <w:shd w:val="clear" w:color="auto" w:fill="F2F2F2"/>
          </w:tcPr>
          <w:p>
            <w:pPr>
              <w:spacing w:after="0"/>
              <w:rPr>
                <w:sz w:val="8"/>
                <w:szCs w:val="8"/>
                <w:color w:val="auto"/>
              </w:rPr>
            </w:pPr>
          </w:p>
        </w:tc>
        <w:tc>
          <w:tcPr>
            <w:tcW w:w="920" w:type="dxa"/>
            <w:vAlign w:val="bottom"/>
            <w:vMerge w:val="continue"/>
            <w:shd w:val="clear" w:color="auto" w:fill="F2F2F2"/>
          </w:tcPr>
          <w:p>
            <w:pPr>
              <w:spacing w:after="0"/>
              <w:rPr>
                <w:sz w:val="8"/>
                <w:szCs w:val="8"/>
                <w:color w:val="auto"/>
              </w:rPr>
            </w:pPr>
          </w:p>
        </w:tc>
        <w:tc>
          <w:tcPr>
            <w:tcW w:w="880" w:type="dxa"/>
            <w:vAlign w:val="bottom"/>
            <w:vMerge w:val="continue"/>
            <w:shd w:val="clear" w:color="auto" w:fill="F2F2F2"/>
          </w:tcPr>
          <w:p>
            <w:pPr>
              <w:spacing w:after="0"/>
              <w:rPr>
                <w:sz w:val="8"/>
                <w:szCs w:val="8"/>
                <w:color w:val="auto"/>
              </w:rPr>
            </w:pPr>
          </w:p>
        </w:tc>
        <w:tc>
          <w:tcPr>
            <w:tcW w:w="1220" w:type="dxa"/>
            <w:vAlign w:val="bottom"/>
            <w:vMerge w:val="continue"/>
            <w:shd w:val="clear" w:color="auto" w:fill="F2F2F2"/>
          </w:tcPr>
          <w:p>
            <w:pPr>
              <w:spacing w:after="0"/>
              <w:rPr>
                <w:sz w:val="8"/>
                <w:szCs w:val="8"/>
                <w:color w:val="auto"/>
              </w:rPr>
            </w:pPr>
          </w:p>
        </w:tc>
        <w:tc>
          <w:tcPr>
            <w:tcW w:w="460" w:type="dxa"/>
            <w:vAlign w:val="bottom"/>
            <w:shd w:val="clear" w:color="auto" w:fill="F2F2F2"/>
          </w:tcPr>
          <w:p>
            <w:pPr>
              <w:spacing w:after="0"/>
              <w:rPr>
                <w:sz w:val="8"/>
                <w:szCs w:val="8"/>
                <w:color w:val="auto"/>
              </w:rPr>
            </w:pPr>
          </w:p>
        </w:tc>
        <w:tc>
          <w:tcPr>
            <w:tcW w:w="1400" w:type="dxa"/>
            <w:vAlign w:val="bottom"/>
            <w:vMerge w:val="continue"/>
            <w:shd w:val="clear" w:color="auto" w:fill="F2F2F2"/>
          </w:tcPr>
          <w:p>
            <w:pPr>
              <w:spacing w:after="0"/>
              <w:rPr>
                <w:sz w:val="8"/>
                <w:szCs w:val="8"/>
                <w:color w:val="auto"/>
              </w:rPr>
            </w:pPr>
          </w:p>
        </w:tc>
        <w:tc>
          <w:tcPr>
            <w:tcW w:w="1340" w:type="dxa"/>
            <w:vAlign w:val="bottom"/>
            <w:vMerge w:val="continue"/>
            <w:shd w:val="clear" w:color="auto" w:fill="F2F2F2"/>
          </w:tcPr>
          <w:p>
            <w:pPr>
              <w:spacing w:after="0"/>
              <w:rPr>
                <w:sz w:val="8"/>
                <w:szCs w:val="8"/>
                <w:color w:val="auto"/>
              </w:rPr>
            </w:pPr>
          </w:p>
        </w:tc>
        <w:tc>
          <w:tcPr>
            <w:tcW w:w="460" w:type="dxa"/>
            <w:vAlign w:val="bottom"/>
            <w:shd w:val="clear" w:color="auto" w:fill="F2F2F2"/>
          </w:tcPr>
          <w:p>
            <w:pPr>
              <w:spacing w:after="0"/>
              <w:rPr>
                <w:sz w:val="8"/>
                <w:szCs w:val="8"/>
                <w:color w:val="auto"/>
              </w:rPr>
            </w:pPr>
          </w:p>
        </w:tc>
        <w:tc>
          <w:tcPr>
            <w:tcW w:w="120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680" w:type="dxa"/>
            <w:vAlign w:val="bottom"/>
            <w:vMerge w:val="continue"/>
            <w:shd w:val="clear" w:color="auto" w:fill="F2F2F2"/>
          </w:tcPr>
          <w:p>
            <w:pPr>
              <w:spacing w:after="0"/>
              <w:rPr>
                <w:sz w:val="4"/>
                <w:szCs w:val="4"/>
                <w:color w:val="auto"/>
              </w:rPr>
            </w:pPr>
          </w:p>
        </w:tc>
        <w:tc>
          <w:tcPr>
            <w:tcW w:w="680" w:type="dxa"/>
            <w:vAlign w:val="bottom"/>
            <w:shd w:val="clear" w:color="auto" w:fill="F2F2F2"/>
          </w:tcPr>
          <w:p>
            <w:pPr>
              <w:spacing w:after="0"/>
              <w:rPr>
                <w:sz w:val="4"/>
                <w:szCs w:val="4"/>
                <w:color w:val="auto"/>
              </w:rPr>
            </w:pPr>
          </w:p>
        </w:tc>
        <w:tc>
          <w:tcPr>
            <w:tcW w:w="920" w:type="dxa"/>
            <w:vAlign w:val="bottom"/>
            <w:shd w:val="clear" w:color="auto" w:fill="F2F2F2"/>
          </w:tcPr>
          <w:p>
            <w:pPr>
              <w:spacing w:after="0"/>
              <w:rPr>
                <w:sz w:val="4"/>
                <w:szCs w:val="4"/>
                <w:color w:val="auto"/>
              </w:rPr>
            </w:pPr>
          </w:p>
        </w:tc>
        <w:tc>
          <w:tcPr>
            <w:tcW w:w="880" w:type="dxa"/>
            <w:vAlign w:val="bottom"/>
            <w:shd w:val="clear" w:color="auto" w:fill="F2F2F2"/>
          </w:tcPr>
          <w:p>
            <w:pPr>
              <w:spacing w:after="0"/>
              <w:rPr>
                <w:sz w:val="4"/>
                <w:szCs w:val="4"/>
                <w:color w:val="auto"/>
              </w:rPr>
            </w:pPr>
          </w:p>
        </w:tc>
        <w:tc>
          <w:tcPr>
            <w:tcW w:w="1220" w:type="dxa"/>
            <w:vAlign w:val="bottom"/>
            <w:shd w:val="clear" w:color="auto" w:fill="F2F2F2"/>
          </w:tcPr>
          <w:p>
            <w:pPr>
              <w:spacing w:after="0"/>
              <w:rPr>
                <w:sz w:val="4"/>
                <w:szCs w:val="4"/>
                <w:color w:val="auto"/>
              </w:rPr>
            </w:pPr>
          </w:p>
        </w:tc>
        <w:tc>
          <w:tcPr>
            <w:tcW w:w="460" w:type="dxa"/>
            <w:vAlign w:val="bottom"/>
            <w:shd w:val="clear" w:color="auto" w:fill="F2F2F2"/>
          </w:tcPr>
          <w:p>
            <w:pPr>
              <w:spacing w:after="0"/>
              <w:rPr>
                <w:sz w:val="4"/>
                <w:szCs w:val="4"/>
                <w:color w:val="auto"/>
              </w:rPr>
            </w:pPr>
          </w:p>
        </w:tc>
        <w:tc>
          <w:tcPr>
            <w:tcW w:w="1400" w:type="dxa"/>
            <w:vAlign w:val="bottom"/>
            <w:shd w:val="clear" w:color="auto" w:fill="F2F2F2"/>
          </w:tcPr>
          <w:p>
            <w:pPr>
              <w:spacing w:after="0"/>
              <w:rPr>
                <w:sz w:val="4"/>
                <w:szCs w:val="4"/>
                <w:color w:val="auto"/>
              </w:rPr>
            </w:pPr>
          </w:p>
        </w:tc>
        <w:tc>
          <w:tcPr>
            <w:tcW w:w="1340" w:type="dxa"/>
            <w:vAlign w:val="bottom"/>
            <w:shd w:val="clear" w:color="auto" w:fill="F2F2F2"/>
          </w:tcPr>
          <w:p>
            <w:pPr>
              <w:spacing w:after="0"/>
              <w:rPr>
                <w:sz w:val="4"/>
                <w:szCs w:val="4"/>
                <w:color w:val="auto"/>
              </w:rPr>
            </w:pPr>
          </w:p>
        </w:tc>
        <w:tc>
          <w:tcPr>
            <w:tcW w:w="460" w:type="dxa"/>
            <w:vAlign w:val="bottom"/>
            <w:vMerge w:val="restart"/>
            <w:shd w:val="clear" w:color="auto" w:fill="F2F2F2"/>
          </w:tcPr>
          <w:p>
            <w:pPr>
              <w:jc w:val="right"/>
              <w:ind w:right="233"/>
              <w:spacing w:after="0"/>
              <w:rPr>
                <w:sz w:val="20"/>
                <w:szCs w:val="20"/>
                <w:color w:val="auto"/>
              </w:rPr>
            </w:pPr>
            <w:r>
              <w:rPr>
                <w:rFonts w:ascii="Arial" w:cs="Arial" w:eastAsia="Arial" w:hAnsi="Arial"/>
                <w:sz w:val="9"/>
                <w:szCs w:val="9"/>
                <w:color w:val="auto"/>
              </w:rPr>
              <w:t>(4)</w:t>
            </w:r>
          </w:p>
        </w:tc>
        <w:tc>
          <w:tcPr>
            <w:tcW w:w="120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680" w:type="dxa"/>
            <w:vAlign w:val="bottom"/>
            <w:vMerge w:val="restart"/>
            <w:shd w:val="clear" w:color="auto" w:fill="F2F2F2"/>
          </w:tcPr>
          <w:p>
            <w:pPr>
              <w:ind w:left="80"/>
              <w:spacing w:after="0"/>
              <w:rPr>
                <w:sz w:val="20"/>
                <w:szCs w:val="20"/>
                <w:color w:val="auto"/>
              </w:rPr>
            </w:pPr>
            <w:r>
              <w:rPr>
                <w:rFonts w:ascii="Arial" w:cs="Arial" w:eastAsia="Arial" w:hAnsi="Arial"/>
                <w:sz w:val="14"/>
                <w:szCs w:val="14"/>
                <w:i w:val="1"/>
                <w:iCs w:val="1"/>
                <w:color w:val="auto"/>
              </w:rPr>
              <w:t>Chief Executive Officer</w:t>
            </w:r>
          </w:p>
        </w:tc>
        <w:tc>
          <w:tcPr>
            <w:tcW w:w="680" w:type="dxa"/>
            <w:vAlign w:val="bottom"/>
            <w:vMerge w:val="restart"/>
            <w:shd w:val="clear" w:color="auto" w:fill="F2F2F2"/>
          </w:tcPr>
          <w:p>
            <w:pPr>
              <w:ind w:left="180"/>
              <w:spacing w:after="0"/>
              <w:rPr>
                <w:sz w:val="20"/>
                <w:szCs w:val="20"/>
                <w:color w:val="auto"/>
              </w:rPr>
            </w:pPr>
            <w:r>
              <w:rPr>
                <w:rFonts w:ascii="Arial" w:cs="Arial" w:eastAsia="Arial" w:hAnsi="Arial"/>
                <w:sz w:val="14"/>
                <w:szCs w:val="14"/>
                <w:color w:val="auto"/>
              </w:rPr>
              <w:t>2022</w:t>
            </w:r>
          </w:p>
        </w:tc>
        <w:tc>
          <w:tcPr>
            <w:tcW w:w="9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625,000</w:t>
            </w:r>
          </w:p>
        </w:tc>
        <w:tc>
          <w:tcPr>
            <w:tcW w:w="880" w:type="dxa"/>
            <w:vAlign w:val="bottom"/>
            <w:vMerge w:val="restart"/>
            <w:shd w:val="clear" w:color="auto" w:fill="F2F2F2"/>
          </w:tcPr>
          <w:p>
            <w:pPr>
              <w:jc w:val="center"/>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F2F2F2"/>
          </w:tcPr>
          <w:p>
            <w:pPr>
              <w:spacing w:after="0"/>
              <w:rPr>
                <w:sz w:val="9"/>
                <w:szCs w:val="9"/>
                <w:color w:val="auto"/>
              </w:rPr>
            </w:pPr>
          </w:p>
        </w:tc>
        <w:tc>
          <w:tcPr>
            <w:tcW w:w="1400" w:type="dxa"/>
            <w:vAlign w:val="bottom"/>
            <w:vMerge w:val="restart"/>
            <w:shd w:val="clear" w:color="auto" w:fill="F2F2F2"/>
          </w:tcPr>
          <w:p>
            <w:pPr>
              <w:jc w:val="center"/>
              <w:ind w:right="48"/>
              <w:spacing w:after="0"/>
              <w:rPr>
                <w:sz w:val="20"/>
                <w:szCs w:val="20"/>
                <w:color w:val="auto"/>
              </w:rPr>
            </w:pPr>
            <w:r>
              <w:rPr>
                <w:rFonts w:ascii="Arial" w:cs="Arial" w:eastAsia="Arial" w:hAnsi="Arial"/>
                <w:sz w:val="14"/>
                <w:szCs w:val="14"/>
                <w:color w:val="auto"/>
              </w:rPr>
              <w:t>500,000</w:t>
            </w:r>
          </w:p>
        </w:tc>
        <w:tc>
          <w:tcPr>
            <w:tcW w:w="1340" w:type="dxa"/>
            <w:vAlign w:val="bottom"/>
            <w:vMerge w:val="restart"/>
            <w:shd w:val="clear" w:color="auto" w:fill="F2F2F2"/>
          </w:tcPr>
          <w:p>
            <w:pPr>
              <w:jc w:val="center"/>
              <w:ind w:right="28"/>
              <w:spacing w:after="0"/>
              <w:rPr>
                <w:sz w:val="20"/>
                <w:szCs w:val="20"/>
                <w:color w:val="auto"/>
              </w:rPr>
            </w:pPr>
            <w:r>
              <w:rPr>
                <w:rFonts w:ascii="Arial" w:cs="Arial" w:eastAsia="Arial" w:hAnsi="Arial"/>
                <w:sz w:val="14"/>
                <w:szCs w:val="14"/>
                <w:color w:val="auto"/>
              </w:rPr>
              <w:t>21,000</w:t>
            </w:r>
          </w:p>
        </w:tc>
        <w:tc>
          <w:tcPr>
            <w:tcW w:w="460" w:type="dxa"/>
            <w:vAlign w:val="bottom"/>
            <w:vMerge w:val="continue"/>
            <w:shd w:val="clear" w:color="auto" w:fill="F2F2F2"/>
          </w:tcPr>
          <w:p>
            <w:pPr>
              <w:spacing w:after="0"/>
              <w:rPr>
                <w:sz w:val="9"/>
                <w:szCs w:val="9"/>
                <w:color w:val="auto"/>
              </w:rPr>
            </w:pPr>
          </w:p>
        </w:tc>
        <w:tc>
          <w:tcPr>
            <w:tcW w:w="1200" w:type="dxa"/>
            <w:vAlign w:val="bottom"/>
            <w:vMerge w:val="restart"/>
            <w:shd w:val="clear" w:color="auto" w:fill="F2F2F2"/>
          </w:tcPr>
          <w:p>
            <w:pPr>
              <w:jc w:val="right"/>
              <w:ind w:right="208"/>
              <w:spacing w:after="0"/>
              <w:rPr>
                <w:sz w:val="20"/>
                <w:szCs w:val="20"/>
                <w:color w:val="auto"/>
              </w:rPr>
            </w:pPr>
            <w:r>
              <w:rPr>
                <w:rFonts w:ascii="Arial" w:cs="Arial" w:eastAsia="Arial" w:hAnsi="Arial"/>
                <w:sz w:val="14"/>
                <w:szCs w:val="14"/>
                <w:color w:val="auto"/>
              </w:rPr>
              <w:t>1,146,000</w:t>
            </w:r>
          </w:p>
        </w:tc>
        <w:tc>
          <w:tcPr>
            <w:tcW w:w="0" w:type="dxa"/>
            <w:vAlign w:val="bottom"/>
          </w:tcPr>
          <w:p>
            <w:pPr>
              <w:spacing w:after="0"/>
              <w:rPr>
                <w:sz w:val="1"/>
                <w:szCs w:val="1"/>
                <w:color w:val="auto"/>
              </w:rPr>
            </w:pPr>
          </w:p>
        </w:tc>
      </w:tr>
      <w:tr>
        <w:trPr>
          <w:trHeight w:val="71"/>
        </w:trPr>
        <w:tc>
          <w:tcPr>
            <w:tcW w:w="2680" w:type="dxa"/>
            <w:vAlign w:val="bottom"/>
            <w:vMerge w:val="continue"/>
            <w:shd w:val="clear" w:color="auto" w:fill="F2F2F2"/>
          </w:tcPr>
          <w:p>
            <w:pPr>
              <w:spacing w:after="0"/>
              <w:rPr>
                <w:sz w:val="6"/>
                <w:szCs w:val="6"/>
                <w:color w:val="auto"/>
              </w:rPr>
            </w:pPr>
          </w:p>
        </w:tc>
        <w:tc>
          <w:tcPr>
            <w:tcW w:w="680" w:type="dxa"/>
            <w:vAlign w:val="bottom"/>
            <w:vMerge w:val="continue"/>
            <w:shd w:val="clear" w:color="auto" w:fill="F2F2F2"/>
          </w:tcPr>
          <w:p>
            <w:pPr>
              <w:spacing w:after="0"/>
              <w:rPr>
                <w:sz w:val="6"/>
                <w:szCs w:val="6"/>
                <w:color w:val="auto"/>
              </w:rPr>
            </w:pPr>
          </w:p>
        </w:tc>
        <w:tc>
          <w:tcPr>
            <w:tcW w:w="920" w:type="dxa"/>
            <w:vAlign w:val="bottom"/>
            <w:vMerge w:val="continue"/>
            <w:shd w:val="clear" w:color="auto" w:fill="F2F2F2"/>
          </w:tcPr>
          <w:p>
            <w:pPr>
              <w:spacing w:after="0"/>
              <w:rPr>
                <w:sz w:val="6"/>
                <w:szCs w:val="6"/>
                <w:color w:val="auto"/>
              </w:rPr>
            </w:pPr>
          </w:p>
        </w:tc>
        <w:tc>
          <w:tcPr>
            <w:tcW w:w="880" w:type="dxa"/>
            <w:vAlign w:val="bottom"/>
            <w:vMerge w:val="continue"/>
            <w:shd w:val="clear" w:color="auto" w:fill="F2F2F2"/>
          </w:tcPr>
          <w:p>
            <w:pPr>
              <w:spacing w:after="0"/>
              <w:rPr>
                <w:sz w:val="6"/>
                <w:szCs w:val="6"/>
                <w:color w:val="auto"/>
              </w:rPr>
            </w:pPr>
          </w:p>
        </w:tc>
        <w:tc>
          <w:tcPr>
            <w:tcW w:w="1220" w:type="dxa"/>
            <w:vAlign w:val="bottom"/>
            <w:vMerge w:val="continue"/>
            <w:shd w:val="clear" w:color="auto" w:fill="F2F2F2"/>
          </w:tcPr>
          <w:p>
            <w:pPr>
              <w:spacing w:after="0"/>
              <w:rPr>
                <w:sz w:val="6"/>
                <w:szCs w:val="6"/>
                <w:color w:val="auto"/>
              </w:rPr>
            </w:pPr>
          </w:p>
        </w:tc>
        <w:tc>
          <w:tcPr>
            <w:tcW w:w="460" w:type="dxa"/>
            <w:vAlign w:val="bottom"/>
            <w:shd w:val="clear" w:color="auto" w:fill="F2F2F2"/>
          </w:tcPr>
          <w:p>
            <w:pPr>
              <w:spacing w:after="0"/>
              <w:rPr>
                <w:sz w:val="6"/>
                <w:szCs w:val="6"/>
                <w:color w:val="auto"/>
              </w:rPr>
            </w:pPr>
          </w:p>
        </w:tc>
        <w:tc>
          <w:tcPr>
            <w:tcW w:w="1400" w:type="dxa"/>
            <w:vAlign w:val="bottom"/>
            <w:vMerge w:val="continue"/>
            <w:shd w:val="clear" w:color="auto" w:fill="F2F2F2"/>
          </w:tcPr>
          <w:p>
            <w:pPr>
              <w:spacing w:after="0"/>
              <w:rPr>
                <w:sz w:val="6"/>
                <w:szCs w:val="6"/>
                <w:color w:val="auto"/>
              </w:rPr>
            </w:pPr>
          </w:p>
        </w:tc>
        <w:tc>
          <w:tcPr>
            <w:tcW w:w="1340" w:type="dxa"/>
            <w:vAlign w:val="bottom"/>
            <w:vMerge w:val="continue"/>
            <w:shd w:val="clear" w:color="auto" w:fill="F2F2F2"/>
          </w:tcPr>
          <w:p>
            <w:pPr>
              <w:spacing w:after="0"/>
              <w:rPr>
                <w:sz w:val="6"/>
                <w:szCs w:val="6"/>
                <w:color w:val="auto"/>
              </w:rPr>
            </w:pPr>
          </w:p>
        </w:tc>
        <w:tc>
          <w:tcPr>
            <w:tcW w:w="460" w:type="dxa"/>
            <w:vAlign w:val="bottom"/>
            <w:shd w:val="clear" w:color="auto" w:fill="F2F2F2"/>
          </w:tcPr>
          <w:p>
            <w:pPr>
              <w:spacing w:after="0"/>
              <w:rPr>
                <w:sz w:val="6"/>
                <w:szCs w:val="6"/>
                <w:color w:val="auto"/>
              </w:rPr>
            </w:pPr>
          </w:p>
        </w:tc>
        <w:tc>
          <w:tcPr>
            <w:tcW w:w="120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680" w:type="dxa"/>
            <w:vAlign w:val="bottom"/>
            <w:shd w:val="clear" w:color="auto" w:fill="F2F2F2"/>
          </w:tcPr>
          <w:p>
            <w:pPr>
              <w:ind w:left="80"/>
              <w:spacing w:after="0"/>
              <w:rPr>
                <w:sz w:val="20"/>
                <w:szCs w:val="20"/>
                <w:color w:val="auto"/>
              </w:rPr>
            </w:pPr>
            <w:r>
              <w:rPr>
                <w:rFonts w:ascii="Arial" w:cs="Arial" w:eastAsia="Arial" w:hAnsi="Arial"/>
                <w:sz w:val="14"/>
                <w:szCs w:val="14"/>
                <w:i w:val="1"/>
                <w:iCs w:val="1"/>
                <w:color w:val="auto"/>
              </w:rPr>
              <w:t>and Co-Founder</w:t>
            </w:r>
          </w:p>
        </w:tc>
        <w:tc>
          <w:tcPr>
            <w:tcW w:w="680" w:type="dxa"/>
            <w:vAlign w:val="bottom"/>
            <w:vMerge w:val="restart"/>
            <w:shd w:val="clear" w:color="auto" w:fill="F2F2F2"/>
          </w:tcPr>
          <w:p>
            <w:pPr>
              <w:ind w:left="180"/>
              <w:spacing w:after="0"/>
              <w:rPr>
                <w:sz w:val="20"/>
                <w:szCs w:val="20"/>
                <w:color w:val="auto"/>
              </w:rPr>
            </w:pPr>
            <w:r>
              <w:rPr>
                <w:rFonts w:ascii="Arial" w:cs="Arial" w:eastAsia="Arial" w:hAnsi="Arial"/>
                <w:sz w:val="14"/>
                <w:szCs w:val="14"/>
                <w:color w:val="auto"/>
              </w:rPr>
              <w:t>2021</w:t>
            </w:r>
          </w:p>
        </w:tc>
        <w:tc>
          <w:tcPr>
            <w:tcW w:w="9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606,250</w:t>
            </w:r>
          </w:p>
        </w:tc>
        <w:tc>
          <w:tcPr>
            <w:tcW w:w="880" w:type="dxa"/>
            <w:vAlign w:val="bottom"/>
            <w:vMerge w:val="restart"/>
            <w:shd w:val="clear" w:color="auto" w:fill="F2F2F2"/>
          </w:tcPr>
          <w:p>
            <w:pPr>
              <w:jc w:val="center"/>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F2F2F2"/>
          </w:tcPr>
          <w:p>
            <w:pPr>
              <w:spacing w:after="0"/>
              <w:rPr>
                <w:sz w:val="16"/>
                <w:szCs w:val="16"/>
                <w:color w:val="auto"/>
              </w:rPr>
            </w:pPr>
          </w:p>
        </w:tc>
        <w:tc>
          <w:tcPr>
            <w:tcW w:w="1400" w:type="dxa"/>
            <w:vAlign w:val="bottom"/>
            <w:vMerge w:val="restart"/>
            <w:shd w:val="clear" w:color="auto" w:fill="F2F2F2"/>
          </w:tcPr>
          <w:p>
            <w:pPr>
              <w:jc w:val="center"/>
              <w:ind w:right="48"/>
              <w:spacing w:after="0"/>
              <w:rPr>
                <w:sz w:val="20"/>
                <w:szCs w:val="20"/>
                <w:color w:val="auto"/>
              </w:rPr>
            </w:pPr>
            <w:r>
              <w:rPr>
                <w:rFonts w:ascii="Arial" w:cs="Arial" w:eastAsia="Arial" w:hAnsi="Arial"/>
                <w:sz w:val="14"/>
                <w:szCs w:val="14"/>
                <w:color w:val="auto"/>
              </w:rPr>
              <w:t>883,679</w:t>
            </w:r>
          </w:p>
        </w:tc>
        <w:tc>
          <w:tcPr>
            <w:tcW w:w="1340" w:type="dxa"/>
            <w:vAlign w:val="bottom"/>
            <w:vMerge w:val="restart"/>
            <w:shd w:val="clear" w:color="auto" w:fill="F2F2F2"/>
          </w:tcPr>
          <w:p>
            <w:pPr>
              <w:jc w:val="center"/>
              <w:ind w:right="28"/>
              <w:spacing w:after="0"/>
              <w:rPr>
                <w:sz w:val="20"/>
                <w:szCs w:val="20"/>
                <w:color w:val="auto"/>
              </w:rPr>
            </w:pPr>
            <w:r>
              <w:rPr>
                <w:rFonts w:ascii="Arial" w:cs="Arial" w:eastAsia="Arial" w:hAnsi="Arial"/>
                <w:sz w:val="14"/>
                <w:szCs w:val="14"/>
                <w:color w:val="auto"/>
              </w:rPr>
              <w:t>25,340</w:t>
            </w:r>
          </w:p>
        </w:tc>
        <w:tc>
          <w:tcPr>
            <w:tcW w:w="460" w:type="dxa"/>
            <w:vAlign w:val="bottom"/>
            <w:shd w:val="clear" w:color="auto" w:fill="F2F2F2"/>
          </w:tcPr>
          <w:p>
            <w:pPr>
              <w:jc w:val="right"/>
              <w:ind w:right="233"/>
              <w:spacing w:after="0"/>
              <w:rPr>
                <w:sz w:val="20"/>
                <w:szCs w:val="20"/>
                <w:color w:val="auto"/>
              </w:rPr>
            </w:pPr>
            <w:r>
              <w:rPr>
                <w:rFonts w:ascii="Arial" w:cs="Arial" w:eastAsia="Arial" w:hAnsi="Arial"/>
                <w:sz w:val="9"/>
                <w:szCs w:val="9"/>
                <w:color w:val="auto"/>
              </w:rPr>
              <w:t>(4)</w:t>
            </w:r>
          </w:p>
        </w:tc>
        <w:tc>
          <w:tcPr>
            <w:tcW w:w="1200" w:type="dxa"/>
            <w:vAlign w:val="bottom"/>
            <w:vMerge w:val="restart"/>
            <w:shd w:val="clear" w:color="auto" w:fill="F2F2F2"/>
          </w:tcPr>
          <w:p>
            <w:pPr>
              <w:jc w:val="right"/>
              <w:ind w:right="208"/>
              <w:spacing w:after="0"/>
              <w:rPr>
                <w:sz w:val="20"/>
                <w:szCs w:val="20"/>
                <w:color w:val="auto"/>
              </w:rPr>
            </w:pPr>
            <w:r>
              <w:rPr>
                <w:rFonts w:ascii="Arial" w:cs="Arial" w:eastAsia="Arial" w:hAnsi="Arial"/>
                <w:sz w:val="14"/>
                <w:szCs w:val="14"/>
                <w:color w:val="auto"/>
              </w:rPr>
              <w:t>1,515,269</w:t>
            </w:r>
          </w:p>
        </w:tc>
        <w:tc>
          <w:tcPr>
            <w:tcW w:w="0" w:type="dxa"/>
            <w:vAlign w:val="bottom"/>
          </w:tcPr>
          <w:p>
            <w:pPr>
              <w:spacing w:after="0"/>
              <w:rPr>
                <w:sz w:val="1"/>
                <w:szCs w:val="1"/>
                <w:color w:val="auto"/>
              </w:rPr>
            </w:pPr>
          </w:p>
        </w:tc>
      </w:tr>
      <w:tr>
        <w:trPr>
          <w:trHeight w:val="96"/>
        </w:trPr>
        <w:tc>
          <w:tcPr>
            <w:tcW w:w="2680" w:type="dxa"/>
            <w:vAlign w:val="bottom"/>
            <w:tcBorders>
              <w:bottom w:val="single" w:sz="8" w:color="F2F2F2"/>
            </w:tcBorders>
            <w:shd w:val="clear" w:color="auto" w:fill="F2F2F2"/>
          </w:tcPr>
          <w:p>
            <w:pPr>
              <w:spacing w:after="0"/>
              <w:rPr>
                <w:sz w:val="8"/>
                <w:szCs w:val="8"/>
                <w:color w:val="auto"/>
              </w:rPr>
            </w:pPr>
          </w:p>
        </w:tc>
        <w:tc>
          <w:tcPr>
            <w:tcW w:w="680" w:type="dxa"/>
            <w:vAlign w:val="bottom"/>
            <w:tcBorders>
              <w:bottom w:val="single" w:sz="8" w:color="F2F2F2"/>
            </w:tcBorders>
            <w:vMerge w:val="continue"/>
            <w:shd w:val="clear" w:color="auto" w:fill="F2F2F2"/>
          </w:tcPr>
          <w:p>
            <w:pPr>
              <w:spacing w:after="0"/>
              <w:rPr>
                <w:sz w:val="8"/>
                <w:szCs w:val="8"/>
                <w:color w:val="auto"/>
              </w:rPr>
            </w:pPr>
          </w:p>
        </w:tc>
        <w:tc>
          <w:tcPr>
            <w:tcW w:w="920" w:type="dxa"/>
            <w:vAlign w:val="bottom"/>
            <w:tcBorders>
              <w:bottom w:val="single" w:sz="8" w:color="F2F2F2"/>
            </w:tcBorders>
            <w:vMerge w:val="continue"/>
            <w:shd w:val="clear" w:color="auto" w:fill="F2F2F2"/>
          </w:tcPr>
          <w:p>
            <w:pPr>
              <w:spacing w:after="0"/>
              <w:rPr>
                <w:sz w:val="8"/>
                <w:szCs w:val="8"/>
                <w:color w:val="auto"/>
              </w:rPr>
            </w:pPr>
          </w:p>
        </w:tc>
        <w:tc>
          <w:tcPr>
            <w:tcW w:w="880" w:type="dxa"/>
            <w:vAlign w:val="bottom"/>
            <w:tcBorders>
              <w:bottom w:val="single" w:sz="8" w:color="F2F2F2"/>
            </w:tcBorders>
            <w:vMerge w:val="continue"/>
            <w:shd w:val="clear" w:color="auto" w:fill="F2F2F2"/>
          </w:tcPr>
          <w:p>
            <w:pPr>
              <w:spacing w:after="0"/>
              <w:rPr>
                <w:sz w:val="8"/>
                <w:szCs w:val="8"/>
                <w:color w:val="auto"/>
              </w:rPr>
            </w:pPr>
          </w:p>
        </w:tc>
        <w:tc>
          <w:tcPr>
            <w:tcW w:w="1220" w:type="dxa"/>
            <w:vAlign w:val="bottom"/>
            <w:tcBorders>
              <w:bottom w:val="single" w:sz="8" w:color="F2F2F2"/>
            </w:tcBorders>
            <w:vMerge w:val="continue"/>
            <w:shd w:val="clear" w:color="auto" w:fill="F2F2F2"/>
          </w:tcPr>
          <w:p>
            <w:pPr>
              <w:spacing w:after="0"/>
              <w:rPr>
                <w:sz w:val="8"/>
                <w:szCs w:val="8"/>
                <w:color w:val="auto"/>
              </w:rPr>
            </w:pPr>
          </w:p>
        </w:tc>
        <w:tc>
          <w:tcPr>
            <w:tcW w:w="460" w:type="dxa"/>
            <w:vAlign w:val="bottom"/>
            <w:tcBorders>
              <w:bottom w:val="single" w:sz="8" w:color="F2F2F2"/>
            </w:tcBorders>
            <w:shd w:val="clear" w:color="auto" w:fill="F2F2F2"/>
          </w:tcPr>
          <w:p>
            <w:pPr>
              <w:spacing w:after="0"/>
              <w:rPr>
                <w:sz w:val="8"/>
                <w:szCs w:val="8"/>
                <w:color w:val="auto"/>
              </w:rPr>
            </w:pPr>
          </w:p>
        </w:tc>
        <w:tc>
          <w:tcPr>
            <w:tcW w:w="1400" w:type="dxa"/>
            <w:vAlign w:val="bottom"/>
            <w:tcBorders>
              <w:bottom w:val="single" w:sz="8" w:color="F2F2F2"/>
            </w:tcBorders>
            <w:vMerge w:val="continue"/>
            <w:shd w:val="clear" w:color="auto" w:fill="F2F2F2"/>
          </w:tcPr>
          <w:p>
            <w:pPr>
              <w:spacing w:after="0"/>
              <w:rPr>
                <w:sz w:val="8"/>
                <w:szCs w:val="8"/>
                <w:color w:val="auto"/>
              </w:rPr>
            </w:pPr>
          </w:p>
        </w:tc>
        <w:tc>
          <w:tcPr>
            <w:tcW w:w="1340" w:type="dxa"/>
            <w:vAlign w:val="bottom"/>
            <w:tcBorders>
              <w:bottom w:val="single" w:sz="8" w:color="F2F2F2"/>
            </w:tcBorders>
            <w:vMerge w:val="continue"/>
            <w:shd w:val="clear" w:color="auto" w:fill="F2F2F2"/>
          </w:tcPr>
          <w:p>
            <w:pPr>
              <w:spacing w:after="0"/>
              <w:rPr>
                <w:sz w:val="8"/>
                <w:szCs w:val="8"/>
                <w:color w:val="auto"/>
              </w:rPr>
            </w:pPr>
          </w:p>
        </w:tc>
        <w:tc>
          <w:tcPr>
            <w:tcW w:w="460" w:type="dxa"/>
            <w:vAlign w:val="bottom"/>
            <w:tcBorders>
              <w:bottom w:val="single" w:sz="8" w:color="F2F2F2"/>
            </w:tcBorders>
            <w:shd w:val="clear" w:color="auto" w:fill="F2F2F2"/>
          </w:tcPr>
          <w:p>
            <w:pPr>
              <w:spacing w:after="0"/>
              <w:rPr>
                <w:sz w:val="8"/>
                <w:szCs w:val="8"/>
                <w:color w:val="auto"/>
              </w:rPr>
            </w:pPr>
          </w:p>
        </w:tc>
        <w:tc>
          <w:tcPr>
            <w:tcW w:w="1200" w:type="dxa"/>
            <w:vAlign w:val="bottom"/>
            <w:tcBorders>
              <w:bottom w:val="single" w:sz="8" w:color="F2F2F2"/>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680" w:type="dxa"/>
            <w:vAlign w:val="bottom"/>
          </w:tcPr>
          <w:p>
            <w:pPr>
              <w:spacing w:after="0"/>
              <w:rPr>
                <w:sz w:val="12"/>
                <w:szCs w:val="12"/>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auto"/>
              </w:rPr>
              <w:t>2023</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560,000</w:t>
            </w:r>
          </w:p>
        </w:tc>
        <w:tc>
          <w:tcPr>
            <w:tcW w:w="88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4,761,200</w:t>
            </w:r>
          </w:p>
        </w:tc>
        <w:tc>
          <w:tcPr>
            <w:tcW w:w="460" w:type="dxa"/>
            <w:vAlign w:val="bottom"/>
          </w:tcPr>
          <w:p>
            <w:pPr>
              <w:jc w:val="right"/>
              <w:ind w:right="113"/>
              <w:spacing w:after="0"/>
              <w:rPr>
                <w:sz w:val="20"/>
                <w:szCs w:val="20"/>
                <w:color w:val="auto"/>
              </w:rPr>
            </w:pPr>
            <w:r>
              <w:rPr>
                <w:rFonts w:ascii="Arial" w:cs="Arial" w:eastAsia="Arial" w:hAnsi="Arial"/>
                <w:sz w:val="9"/>
                <w:szCs w:val="9"/>
                <w:color w:val="auto"/>
              </w:rPr>
              <w:t>(1)</w:t>
            </w:r>
          </w:p>
        </w:tc>
        <w:tc>
          <w:tcPr>
            <w:tcW w:w="1400" w:type="dxa"/>
            <w:vAlign w:val="bottom"/>
            <w:vMerge w:val="restart"/>
          </w:tcPr>
          <w:p>
            <w:pPr>
              <w:jc w:val="center"/>
              <w:ind w:right="48"/>
              <w:spacing w:after="0"/>
              <w:rPr>
                <w:sz w:val="20"/>
                <w:szCs w:val="20"/>
                <w:color w:val="auto"/>
              </w:rPr>
            </w:pPr>
            <w:r>
              <w:rPr>
                <w:rFonts w:ascii="Arial" w:cs="Arial" w:eastAsia="Arial" w:hAnsi="Arial"/>
                <w:sz w:val="14"/>
                <w:szCs w:val="14"/>
                <w:color w:val="auto"/>
              </w:rPr>
              <w:t>348,000</w:t>
            </w:r>
          </w:p>
        </w:tc>
        <w:tc>
          <w:tcPr>
            <w:tcW w:w="1340" w:type="dxa"/>
            <w:vAlign w:val="bottom"/>
            <w:vMerge w:val="restart"/>
          </w:tcPr>
          <w:p>
            <w:pPr>
              <w:jc w:val="center"/>
              <w:ind w:right="28"/>
              <w:spacing w:after="0"/>
              <w:rPr>
                <w:sz w:val="20"/>
                <w:szCs w:val="20"/>
                <w:color w:val="auto"/>
              </w:rPr>
            </w:pPr>
            <w:r>
              <w:rPr>
                <w:rFonts w:ascii="Arial" w:cs="Arial" w:eastAsia="Arial" w:hAnsi="Arial"/>
                <w:sz w:val="14"/>
                <w:szCs w:val="14"/>
                <w:color w:val="auto"/>
              </w:rPr>
              <w:t>6,000</w:t>
            </w:r>
          </w:p>
        </w:tc>
        <w:tc>
          <w:tcPr>
            <w:tcW w:w="460" w:type="dxa"/>
            <w:vAlign w:val="bottom"/>
          </w:tcPr>
          <w:p>
            <w:pPr>
              <w:spacing w:after="0"/>
              <w:rPr>
                <w:sz w:val="12"/>
                <w:szCs w:val="12"/>
                <w:color w:val="auto"/>
              </w:rPr>
            </w:pPr>
          </w:p>
        </w:tc>
        <w:tc>
          <w:tcPr>
            <w:tcW w:w="1200" w:type="dxa"/>
            <w:vAlign w:val="bottom"/>
            <w:vMerge w:val="restart"/>
          </w:tcPr>
          <w:p>
            <w:pPr>
              <w:jc w:val="right"/>
              <w:ind w:right="208"/>
              <w:spacing w:after="0"/>
              <w:rPr>
                <w:sz w:val="20"/>
                <w:szCs w:val="20"/>
                <w:color w:val="auto"/>
              </w:rPr>
            </w:pPr>
            <w:r>
              <w:rPr>
                <w:rFonts w:ascii="Arial" w:cs="Arial" w:eastAsia="Arial" w:hAnsi="Arial"/>
                <w:sz w:val="14"/>
                <w:szCs w:val="14"/>
                <w:color w:val="auto"/>
              </w:rPr>
              <w:t>5,675,200</w:t>
            </w:r>
          </w:p>
        </w:tc>
        <w:tc>
          <w:tcPr>
            <w:tcW w:w="0" w:type="dxa"/>
            <w:vAlign w:val="bottom"/>
          </w:tcPr>
          <w:p>
            <w:pPr>
              <w:spacing w:after="0"/>
              <w:rPr>
                <w:sz w:val="1"/>
                <w:szCs w:val="1"/>
                <w:color w:val="auto"/>
              </w:rPr>
            </w:pPr>
          </w:p>
        </w:tc>
      </w:tr>
      <w:tr>
        <w:trPr>
          <w:trHeight w:val="97"/>
        </w:trPr>
        <w:tc>
          <w:tcPr>
            <w:tcW w:w="2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Timothy Regan</w:t>
            </w:r>
          </w:p>
        </w:tc>
        <w:tc>
          <w:tcPr>
            <w:tcW w:w="6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80" w:type="dxa"/>
            <w:vAlign w:val="bottom"/>
            <w:vMerge w:val="continue"/>
          </w:tcPr>
          <w:p>
            <w:pPr>
              <w:spacing w:after="0"/>
              <w:rPr>
                <w:sz w:val="11"/>
                <w:szCs w:val="11"/>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auto"/>
              </w:rPr>
              <w:t>2022</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518,333</w:t>
            </w:r>
          </w:p>
        </w:tc>
        <w:tc>
          <w:tcPr>
            <w:tcW w:w="88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4,692,710</w:t>
            </w:r>
          </w:p>
        </w:tc>
        <w:tc>
          <w:tcPr>
            <w:tcW w:w="460" w:type="dxa"/>
            <w:vAlign w:val="bottom"/>
          </w:tcPr>
          <w:p>
            <w:pPr>
              <w:jc w:val="right"/>
              <w:ind w:right="113"/>
              <w:spacing w:after="0"/>
              <w:rPr>
                <w:sz w:val="20"/>
                <w:szCs w:val="20"/>
                <w:color w:val="auto"/>
              </w:rPr>
            </w:pPr>
            <w:r>
              <w:rPr>
                <w:rFonts w:ascii="Arial" w:cs="Arial" w:eastAsia="Arial" w:hAnsi="Arial"/>
                <w:sz w:val="9"/>
                <w:szCs w:val="9"/>
                <w:color w:val="auto"/>
              </w:rPr>
              <w:t>(1)</w:t>
            </w:r>
          </w:p>
        </w:tc>
        <w:tc>
          <w:tcPr>
            <w:tcW w:w="1400" w:type="dxa"/>
            <w:vAlign w:val="bottom"/>
            <w:vMerge w:val="restart"/>
          </w:tcPr>
          <w:p>
            <w:pPr>
              <w:jc w:val="center"/>
              <w:ind w:right="48"/>
              <w:spacing w:after="0"/>
              <w:rPr>
                <w:sz w:val="20"/>
                <w:szCs w:val="20"/>
                <w:color w:val="auto"/>
              </w:rPr>
            </w:pPr>
            <w:r>
              <w:rPr>
                <w:rFonts w:ascii="Arial" w:cs="Arial" w:eastAsia="Arial" w:hAnsi="Arial"/>
                <w:sz w:val="14"/>
                <w:szCs w:val="14"/>
                <w:color w:val="auto"/>
              </w:rPr>
              <w:t>270,000</w:t>
            </w:r>
          </w:p>
        </w:tc>
        <w:tc>
          <w:tcPr>
            <w:tcW w:w="1340" w:type="dxa"/>
            <w:vAlign w:val="bottom"/>
            <w:vMerge w:val="restart"/>
          </w:tcPr>
          <w:p>
            <w:pPr>
              <w:jc w:val="center"/>
              <w:ind w:right="28"/>
              <w:spacing w:after="0"/>
              <w:rPr>
                <w:sz w:val="20"/>
                <w:szCs w:val="20"/>
                <w:color w:val="auto"/>
              </w:rPr>
            </w:pPr>
            <w:r>
              <w:rPr>
                <w:rFonts w:ascii="Arial" w:cs="Arial" w:eastAsia="Arial" w:hAnsi="Arial"/>
                <w:sz w:val="14"/>
                <w:szCs w:val="14"/>
                <w:color w:val="auto"/>
              </w:rPr>
              <w:t>6,000</w:t>
            </w:r>
          </w:p>
        </w:tc>
        <w:tc>
          <w:tcPr>
            <w:tcW w:w="460" w:type="dxa"/>
            <w:vAlign w:val="bottom"/>
          </w:tcPr>
          <w:p>
            <w:pPr>
              <w:spacing w:after="0"/>
              <w:rPr>
                <w:sz w:val="11"/>
                <w:szCs w:val="11"/>
                <w:color w:val="auto"/>
              </w:rPr>
            </w:pPr>
          </w:p>
        </w:tc>
        <w:tc>
          <w:tcPr>
            <w:tcW w:w="1200" w:type="dxa"/>
            <w:vAlign w:val="bottom"/>
            <w:vMerge w:val="restart"/>
          </w:tcPr>
          <w:p>
            <w:pPr>
              <w:jc w:val="right"/>
              <w:ind w:right="208"/>
              <w:spacing w:after="0"/>
              <w:rPr>
                <w:sz w:val="20"/>
                <w:szCs w:val="20"/>
                <w:color w:val="auto"/>
              </w:rPr>
            </w:pPr>
            <w:r>
              <w:rPr>
                <w:rFonts w:ascii="Arial" w:cs="Arial" w:eastAsia="Arial" w:hAnsi="Arial"/>
                <w:sz w:val="14"/>
                <w:szCs w:val="14"/>
                <w:color w:val="auto"/>
              </w:rPr>
              <w:t>5,487,043</w:t>
            </w:r>
          </w:p>
        </w:tc>
        <w:tc>
          <w:tcPr>
            <w:tcW w:w="0" w:type="dxa"/>
            <w:vAlign w:val="bottom"/>
          </w:tcPr>
          <w:p>
            <w:pPr>
              <w:spacing w:after="0"/>
              <w:rPr>
                <w:sz w:val="1"/>
                <w:szCs w:val="1"/>
                <w:color w:val="auto"/>
              </w:rPr>
            </w:pPr>
          </w:p>
        </w:tc>
      </w:tr>
      <w:tr>
        <w:trPr>
          <w:trHeight w:val="121"/>
        </w:trPr>
        <w:tc>
          <w:tcPr>
            <w:tcW w:w="268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Chief Financial Officer</w:t>
            </w: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8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auto"/>
              </w:rPr>
              <w:t>2021</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470,833</w:t>
            </w:r>
          </w:p>
        </w:tc>
        <w:tc>
          <w:tcPr>
            <w:tcW w:w="880" w:type="dxa"/>
            <w:vAlign w:val="bottom"/>
            <w:vMerge w:val="restart"/>
          </w:tcPr>
          <w:p>
            <w:pPr>
              <w:jc w:val="center"/>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4,671,019</w:t>
            </w:r>
          </w:p>
        </w:tc>
        <w:tc>
          <w:tcPr>
            <w:tcW w:w="460" w:type="dxa"/>
            <w:vAlign w:val="bottom"/>
            <w:vMerge w:val="restart"/>
          </w:tcPr>
          <w:p>
            <w:pPr>
              <w:jc w:val="right"/>
              <w:ind w:right="113"/>
              <w:spacing w:after="0"/>
              <w:rPr>
                <w:sz w:val="20"/>
                <w:szCs w:val="20"/>
                <w:color w:val="auto"/>
              </w:rPr>
            </w:pPr>
            <w:r>
              <w:rPr>
                <w:rFonts w:ascii="Arial" w:cs="Arial" w:eastAsia="Arial" w:hAnsi="Arial"/>
                <w:sz w:val="9"/>
                <w:szCs w:val="9"/>
                <w:color w:val="auto"/>
              </w:rPr>
              <w:t>(1)</w:t>
            </w:r>
          </w:p>
        </w:tc>
        <w:tc>
          <w:tcPr>
            <w:tcW w:w="1400" w:type="dxa"/>
            <w:vAlign w:val="bottom"/>
            <w:vMerge w:val="restart"/>
          </w:tcPr>
          <w:p>
            <w:pPr>
              <w:jc w:val="center"/>
              <w:ind w:right="48"/>
              <w:spacing w:after="0"/>
              <w:rPr>
                <w:sz w:val="20"/>
                <w:szCs w:val="20"/>
                <w:color w:val="auto"/>
              </w:rPr>
            </w:pPr>
            <w:r>
              <w:rPr>
                <w:rFonts w:ascii="Arial" w:cs="Arial" w:eastAsia="Arial" w:hAnsi="Arial"/>
                <w:sz w:val="14"/>
                <w:szCs w:val="14"/>
                <w:color w:val="auto"/>
              </w:rPr>
              <w:t>515,012</w:t>
            </w:r>
          </w:p>
        </w:tc>
        <w:tc>
          <w:tcPr>
            <w:tcW w:w="1340" w:type="dxa"/>
            <w:vAlign w:val="bottom"/>
            <w:vMerge w:val="restart"/>
          </w:tcPr>
          <w:p>
            <w:pPr>
              <w:jc w:val="center"/>
              <w:ind w:right="28"/>
              <w:spacing w:after="0"/>
              <w:rPr>
                <w:sz w:val="20"/>
                <w:szCs w:val="20"/>
                <w:color w:val="auto"/>
              </w:rPr>
            </w:pPr>
            <w:r>
              <w:rPr>
                <w:rFonts w:ascii="Arial" w:cs="Arial" w:eastAsia="Arial" w:hAnsi="Arial"/>
                <w:sz w:val="14"/>
                <w:szCs w:val="14"/>
                <w:color w:val="auto"/>
              </w:rPr>
              <w:t>6,000</w:t>
            </w:r>
          </w:p>
        </w:tc>
        <w:tc>
          <w:tcPr>
            <w:tcW w:w="460" w:type="dxa"/>
            <w:vAlign w:val="bottom"/>
          </w:tcPr>
          <w:p>
            <w:pPr>
              <w:spacing w:after="0"/>
              <w:rPr>
                <w:sz w:val="5"/>
                <w:szCs w:val="5"/>
                <w:color w:val="auto"/>
              </w:rPr>
            </w:pPr>
          </w:p>
        </w:tc>
        <w:tc>
          <w:tcPr>
            <w:tcW w:w="1200" w:type="dxa"/>
            <w:vAlign w:val="bottom"/>
            <w:vMerge w:val="restart"/>
          </w:tcPr>
          <w:p>
            <w:pPr>
              <w:jc w:val="right"/>
              <w:ind w:right="208"/>
              <w:spacing w:after="0"/>
              <w:rPr>
                <w:sz w:val="20"/>
                <w:szCs w:val="20"/>
                <w:color w:val="auto"/>
              </w:rPr>
            </w:pPr>
            <w:r>
              <w:rPr>
                <w:rFonts w:ascii="Arial" w:cs="Arial" w:eastAsia="Arial" w:hAnsi="Arial"/>
                <w:sz w:val="14"/>
                <w:szCs w:val="14"/>
                <w:color w:val="auto"/>
              </w:rPr>
              <w:t>5,662,864</w:t>
            </w:r>
          </w:p>
        </w:tc>
        <w:tc>
          <w:tcPr>
            <w:tcW w:w="0" w:type="dxa"/>
            <w:vAlign w:val="bottom"/>
          </w:tcPr>
          <w:p>
            <w:pPr>
              <w:spacing w:after="0"/>
              <w:rPr>
                <w:sz w:val="1"/>
                <w:szCs w:val="1"/>
                <w:color w:val="auto"/>
              </w:rPr>
            </w:pPr>
          </w:p>
        </w:tc>
      </w:tr>
      <w:tr>
        <w:trPr>
          <w:trHeight w:val="92"/>
        </w:trPr>
        <w:tc>
          <w:tcPr>
            <w:tcW w:w="26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6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680" w:type="dxa"/>
            <w:vAlign w:val="bottom"/>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Timothy Young</w:t>
            </w:r>
          </w:p>
        </w:tc>
        <w:tc>
          <w:tcPr>
            <w:tcW w:w="680" w:type="dxa"/>
            <w:vAlign w:val="bottom"/>
            <w:shd w:val="clear" w:color="auto" w:fill="F2F2F2"/>
          </w:tcPr>
          <w:p>
            <w:pPr>
              <w:ind w:left="180"/>
              <w:spacing w:after="0"/>
              <w:rPr>
                <w:sz w:val="20"/>
                <w:szCs w:val="20"/>
                <w:color w:val="auto"/>
              </w:rPr>
            </w:pPr>
            <w:r>
              <w:rPr>
                <w:rFonts w:ascii="Arial" w:cs="Arial" w:eastAsia="Arial" w:hAnsi="Arial"/>
                <w:sz w:val="14"/>
                <w:szCs w:val="14"/>
                <w:color w:val="auto"/>
              </w:rPr>
              <w:t>2023</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125,000</w:t>
            </w:r>
          </w:p>
        </w:tc>
        <w:tc>
          <w:tcPr>
            <w:tcW w:w="880" w:type="dxa"/>
            <w:vAlign w:val="bottom"/>
            <w:shd w:val="clear" w:color="auto" w:fill="F2F2F2"/>
          </w:tcPr>
          <w:p>
            <w:pPr>
              <w:jc w:val="center"/>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F2F2F2"/>
          </w:tcPr>
          <w:p>
            <w:pPr>
              <w:spacing w:after="0"/>
              <w:rPr>
                <w:sz w:val="24"/>
                <w:szCs w:val="24"/>
                <w:color w:val="auto"/>
              </w:rPr>
            </w:pPr>
          </w:p>
        </w:tc>
        <w:tc>
          <w:tcPr>
            <w:tcW w:w="1400" w:type="dxa"/>
            <w:vAlign w:val="bottom"/>
            <w:shd w:val="clear" w:color="auto" w:fill="F2F2F2"/>
          </w:tcPr>
          <w:p>
            <w:pPr>
              <w:jc w:val="center"/>
              <w:ind w:right="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F2F2F2"/>
          </w:tcPr>
          <w:p>
            <w:pPr>
              <w:jc w:val="center"/>
              <w:ind w:right="48"/>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F2F2F2"/>
          </w:tcPr>
          <w:p>
            <w:pPr>
              <w:spacing w:after="0"/>
              <w:rPr>
                <w:sz w:val="24"/>
                <w:szCs w:val="24"/>
                <w:color w:val="auto"/>
              </w:rPr>
            </w:pPr>
          </w:p>
        </w:tc>
        <w:tc>
          <w:tcPr>
            <w:tcW w:w="120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125,000</w:t>
            </w:r>
          </w:p>
        </w:tc>
        <w:tc>
          <w:tcPr>
            <w:tcW w:w="0" w:type="dxa"/>
            <w:vAlign w:val="bottom"/>
          </w:tcPr>
          <w:p>
            <w:pPr>
              <w:spacing w:after="0"/>
              <w:rPr>
                <w:sz w:val="1"/>
                <w:szCs w:val="1"/>
                <w:color w:val="auto"/>
              </w:rPr>
            </w:pPr>
          </w:p>
        </w:tc>
      </w:tr>
      <w:tr>
        <w:trPr>
          <w:trHeight w:val="109"/>
        </w:trPr>
        <w:tc>
          <w:tcPr>
            <w:tcW w:w="2680" w:type="dxa"/>
            <w:vAlign w:val="bottom"/>
            <w:vMerge w:val="continue"/>
            <w:shd w:val="clear" w:color="auto" w:fill="F2F2F2"/>
          </w:tcPr>
          <w:p>
            <w:pPr>
              <w:spacing w:after="0"/>
              <w:rPr>
                <w:sz w:val="9"/>
                <w:szCs w:val="9"/>
                <w:color w:val="auto"/>
              </w:rPr>
            </w:pPr>
          </w:p>
        </w:tc>
        <w:tc>
          <w:tcPr>
            <w:tcW w:w="680" w:type="dxa"/>
            <w:vAlign w:val="bottom"/>
            <w:vMerge w:val="restart"/>
            <w:shd w:val="clear" w:color="auto" w:fill="F2F2F2"/>
          </w:tcPr>
          <w:p>
            <w:pPr>
              <w:ind w:left="180"/>
              <w:spacing w:after="0"/>
              <w:rPr>
                <w:sz w:val="20"/>
                <w:szCs w:val="20"/>
                <w:color w:val="auto"/>
              </w:rPr>
            </w:pPr>
            <w:r>
              <w:rPr>
                <w:rFonts w:ascii="Arial" w:cs="Arial" w:eastAsia="Arial" w:hAnsi="Arial"/>
                <w:sz w:val="14"/>
                <w:szCs w:val="14"/>
                <w:color w:val="auto"/>
              </w:rPr>
              <w:t>2022</w:t>
            </w:r>
          </w:p>
        </w:tc>
        <w:tc>
          <w:tcPr>
            <w:tcW w:w="9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600,000</w:t>
            </w:r>
          </w:p>
        </w:tc>
        <w:tc>
          <w:tcPr>
            <w:tcW w:w="880" w:type="dxa"/>
            <w:vAlign w:val="bottom"/>
            <w:vMerge w:val="restart"/>
            <w:shd w:val="clear" w:color="auto" w:fill="F2F2F2"/>
          </w:tcPr>
          <w:p>
            <w:pPr>
              <w:jc w:val="center"/>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F2F2F2"/>
          </w:tcPr>
          <w:p>
            <w:pPr>
              <w:spacing w:after="0"/>
              <w:rPr>
                <w:sz w:val="9"/>
                <w:szCs w:val="9"/>
                <w:color w:val="auto"/>
              </w:rPr>
            </w:pPr>
          </w:p>
        </w:tc>
        <w:tc>
          <w:tcPr>
            <w:tcW w:w="1400" w:type="dxa"/>
            <w:vAlign w:val="bottom"/>
            <w:vMerge w:val="restart"/>
            <w:shd w:val="clear" w:color="auto" w:fill="F2F2F2"/>
          </w:tcPr>
          <w:p>
            <w:pPr>
              <w:jc w:val="center"/>
              <w:ind w:right="48"/>
              <w:spacing w:after="0"/>
              <w:rPr>
                <w:sz w:val="20"/>
                <w:szCs w:val="20"/>
                <w:color w:val="auto"/>
              </w:rPr>
            </w:pPr>
            <w:r>
              <w:rPr>
                <w:rFonts w:ascii="Arial" w:cs="Arial" w:eastAsia="Arial" w:hAnsi="Arial"/>
                <w:sz w:val="14"/>
                <w:szCs w:val="14"/>
                <w:color w:val="auto"/>
              </w:rPr>
              <w:t>468,600</w:t>
            </w:r>
          </w:p>
        </w:tc>
        <w:tc>
          <w:tcPr>
            <w:tcW w:w="1340" w:type="dxa"/>
            <w:vAlign w:val="bottom"/>
            <w:vMerge w:val="restart"/>
            <w:shd w:val="clear" w:color="auto" w:fill="F2F2F2"/>
          </w:tcPr>
          <w:p>
            <w:pPr>
              <w:jc w:val="center"/>
              <w:ind w:right="28"/>
              <w:spacing w:after="0"/>
              <w:rPr>
                <w:sz w:val="20"/>
                <w:szCs w:val="20"/>
                <w:color w:val="auto"/>
              </w:rPr>
            </w:pPr>
            <w:r>
              <w:rPr>
                <w:rFonts w:ascii="Arial" w:cs="Arial" w:eastAsia="Arial" w:hAnsi="Arial"/>
                <w:sz w:val="14"/>
                <w:szCs w:val="14"/>
                <w:color w:val="auto"/>
              </w:rPr>
              <w:t>10,000</w:t>
            </w:r>
          </w:p>
        </w:tc>
        <w:tc>
          <w:tcPr>
            <w:tcW w:w="460" w:type="dxa"/>
            <w:vAlign w:val="bottom"/>
            <w:shd w:val="clear" w:color="auto" w:fill="F2F2F2"/>
          </w:tcPr>
          <w:p>
            <w:pPr>
              <w:jc w:val="right"/>
              <w:ind w:right="233"/>
              <w:spacing w:after="0"/>
              <w:rPr>
                <w:sz w:val="20"/>
                <w:szCs w:val="20"/>
                <w:color w:val="auto"/>
              </w:rPr>
            </w:pPr>
            <w:r>
              <w:rPr>
                <w:rFonts w:ascii="Arial" w:cs="Arial" w:eastAsia="Arial" w:hAnsi="Arial"/>
                <w:sz w:val="9"/>
                <w:szCs w:val="9"/>
                <w:color w:val="auto"/>
              </w:rPr>
              <w:t>(4)</w:t>
            </w:r>
          </w:p>
        </w:tc>
        <w:tc>
          <w:tcPr>
            <w:tcW w:w="1200" w:type="dxa"/>
            <w:vAlign w:val="bottom"/>
            <w:vMerge w:val="restart"/>
            <w:shd w:val="clear" w:color="auto" w:fill="F2F2F2"/>
          </w:tcPr>
          <w:p>
            <w:pPr>
              <w:jc w:val="right"/>
              <w:ind w:right="208"/>
              <w:spacing w:after="0"/>
              <w:rPr>
                <w:sz w:val="20"/>
                <w:szCs w:val="20"/>
                <w:color w:val="auto"/>
              </w:rPr>
            </w:pPr>
            <w:r>
              <w:rPr>
                <w:rFonts w:ascii="Arial" w:cs="Arial" w:eastAsia="Arial" w:hAnsi="Arial"/>
                <w:sz w:val="14"/>
                <w:szCs w:val="14"/>
                <w:color w:val="auto"/>
              </w:rPr>
              <w:t>1,078,600</w:t>
            </w:r>
          </w:p>
        </w:tc>
        <w:tc>
          <w:tcPr>
            <w:tcW w:w="0" w:type="dxa"/>
            <w:vAlign w:val="bottom"/>
          </w:tcPr>
          <w:p>
            <w:pPr>
              <w:spacing w:after="0"/>
              <w:rPr>
                <w:sz w:val="1"/>
                <w:szCs w:val="1"/>
                <w:color w:val="auto"/>
              </w:rPr>
            </w:pPr>
          </w:p>
        </w:tc>
      </w:tr>
      <w:tr>
        <w:trPr>
          <w:trHeight w:val="169"/>
        </w:trPr>
        <w:tc>
          <w:tcPr>
            <w:tcW w:w="2680" w:type="dxa"/>
            <w:vAlign w:val="bottom"/>
            <w:shd w:val="clear" w:color="auto" w:fill="F2F2F2"/>
          </w:tcPr>
          <w:p>
            <w:pPr>
              <w:ind w:left="80"/>
              <w:spacing w:after="0"/>
              <w:rPr>
                <w:sz w:val="20"/>
                <w:szCs w:val="20"/>
                <w:color w:val="auto"/>
              </w:rPr>
            </w:pPr>
            <w:r>
              <w:rPr>
                <w:rFonts w:ascii="Arial" w:cs="Arial" w:eastAsia="Arial" w:hAnsi="Arial"/>
                <w:sz w:val="14"/>
                <w:szCs w:val="14"/>
                <w:i w:val="1"/>
                <w:iCs w:val="1"/>
                <w:color w:val="auto"/>
              </w:rPr>
              <w:t>President</w:t>
            </w:r>
          </w:p>
        </w:tc>
        <w:tc>
          <w:tcPr>
            <w:tcW w:w="680" w:type="dxa"/>
            <w:vAlign w:val="bottom"/>
            <w:vMerge w:val="continue"/>
            <w:shd w:val="clear" w:color="auto" w:fill="F2F2F2"/>
          </w:tcPr>
          <w:p>
            <w:pPr>
              <w:spacing w:after="0"/>
              <w:rPr>
                <w:sz w:val="14"/>
                <w:szCs w:val="14"/>
                <w:color w:val="auto"/>
              </w:rPr>
            </w:pPr>
          </w:p>
        </w:tc>
        <w:tc>
          <w:tcPr>
            <w:tcW w:w="920" w:type="dxa"/>
            <w:vAlign w:val="bottom"/>
            <w:vMerge w:val="continue"/>
            <w:shd w:val="clear" w:color="auto" w:fill="F2F2F2"/>
          </w:tcPr>
          <w:p>
            <w:pPr>
              <w:spacing w:after="0"/>
              <w:rPr>
                <w:sz w:val="14"/>
                <w:szCs w:val="14"/>
                <w:color w:val="auto"/>
              </w:rPr>
            </w:pPr>
          </w:p>
        </w:tc>
        <w:tc>
          <w:tcPr>
            <w:tcW w:w="880" w:type="dxa"/>
            <w:vAlign w:val="bottom"/>
            <w:vMerge w:val="continue"/>
            <w:shd w:val="clear" w:color="auto" w:fill="F2F2F2"/>
          </w:tcPr>
          <w:p>
            <w:pPr>
              <w:spacing w:after="0"/>
              <w:rPr>
                <w:sz w:val="14"/>
                <w:szCs w:val="14"/>
                <w:color w:val="auto"/>
              </w:rPr>
            </w:pPr>
          </w:p>
        </w:tc>
        <w:tc>
          <w:tcPr>
            <w:tcW w:w="1220" w:type="dxa"/>
            <w:vAlign w:val="bottom"/>
            <w:vMerge w:val="continue"/>
            <w:shd w:val="clear" w:color="auto" w:fill="F2F2F2"/>
          </w:tcPr>
          <w:p>
            <w:pPr>
              <w:spacing w:after="0"/>
              <w:rPr>
                <w:sz w:val="14"/>
                <w:szCs w:val="14"/>
                <w:color w:val="auto"/>
              </w:rPr>
            </w:pPr>
          </w:p>
        </w:tc>
        <w:tc>
          <w:tcPr>
            <w:tcW w:w="460" w:type="dxa"/>
            <w:vAlign w:val="bottom"/>
            <w:shd w:val="clear" w:color="auto" w:fill="F2F2F2"/>
          </w:tcPr>
          <w:p>
            <w:pPr>
              <w:spacing w:after="0"/>
              <w:rPr>
                <w:sz w:val="14"/>
                <w:szCs w:val="14"/>
                <w:color w:val="auto"/>
              </w:rPr>
            </w:pPr>
          </w:p>
        </w:tc>
        <w:tc>
          <w:tcPr>
            <w:tcW w:w="1400" w:type="dxa"/>
            <w:vAlign w:val="bottom"/>
            <w:vMerge w:val="continue"/>
            <w:shd w:val="clear" w:color="auto" w:fill="F2F2F2"/>
          </w:tcPr>
          <w:p>
            <w:pPr>
              <w:spacing w:after="0"/>
              <w:rPr>
                <w:sz w:val="14"/>
                <w:szCs w:val="14"/>
                <w:color w:val="auto"/>
              </w:rPr>
            </w:pPr>
          </w:p>
        </w:tc>
        <w:tc>
          <w:tcPr>
            <w:tcW w:w="1340" w:type="dxa"/>
            <w:vAlign w:val="bottom"/>
            <w:vMerge w:val="continue"/>
            <w:shd w:val="clear" w:color="auto" w:fill="F2F2F2"/>
          </w:tcPr>
          <w:p>
            <w:pPr>
              <w:spacing w:after="0"/>
              <w:rPr>
                <w:sz w:val="14"/>
                <w:szCs w:val="14"/>
                <w:color w:val="auto"/>
              </w:rPr>
            </w:pPr>
          </w:p>
        </w:tc>
        <w:tc>
          <w:tcPr>
            <w:tcW w:w="460" w:type="dxa"/>
            <w:vAlign w:val="bottom"/>
            <w:vMerge w:val="restart"/>
            <w:shd w:val="clear" w:color="auto" w:fill="F2F2F2"/>
          </w:tcPr>
          <w:p>
            <w:pPr>
              <w:jc w:val="right"/>
              <w:ind w:right="233"/>
              <w:spacing w:after="0"/>
              <w:rPr>
                <w:sz w:val="20"/>
                <w:szCs w:val="20"/>
                <w:color w:val="auto"/>
              </w:rPr>
            </w:pPr>
            <w:r>
              <w:rPr>
                <w:rFonts w:ascii="Arial" w:cs="Arial" w:eastAsia="Arial" w:hAnsi="Arial"/>
                <w:sz w:val="9"/>
                <w:szCs w:val="9"/>
                <w:color w:val="auto"/>
              </w:rPr>
              <w:t>(4)</w:t>
            </w:r>
          </w:p>
        </w:tc>
        <w:tc>
          <w:tcPr>
            <w:tcW w:w="1200" w:type="dxa"/>
            <w:vAlign w:val="bottom"/>
            <w:vMerge w:val="continue"/>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680" w:type="dxa"/>
            <w:vAlign w:val="bottom"/>
            <w:shd w:val="clear" w:color="auto" w:fill="F2F2F2"/>
          </w:tcPr>
          <w:p>
            <w:pPr>
              <w:spacing w:after="0"/>
              <w:rPr>
                <w:sz w:val="12"/>
                <w:szCs w:val="12"/>
                <w:color w:val="auto"/>
              </w:rPr>
            </w:pPr>
          </w:p>
        </w:tc>
        <w:tc>
          <w:tcPr>
            <w:tcW w:w="680" w:type="dxa"/>
            <w:vAlign w:val="bottom"/>
            <w:vMerge w:val="restart"/>
            <w:shd w:val="clear" w:color="auto" w:fill="F2F2F2"/>
          </w:tcPr>
          <w:p>
            <w:pPr>
              <w:ind w:left="180"/>
              <w:spacing w:after="0"/>
              <w:rPr>
                <w:sz w:val="20"/>
                <w:szCs w:val="20"/>
                <w:color w:val="auto"/>
              </w:rPr>
            </w:pPr>
            <w:r>
              <w:rPr>
                <w:rFonts w:ascii="Arial" w:cs="Arial" w:eastAsia="Arial" w:hAnsi="Arial"/>
                <w:sz w:val="14"/>
                <w:szCs w:val="14"/>
                <w:color w:val="auto"/>
              </w:rPr>
              <w:t>2021</w:t>
            </w:r>
          </w:p>
        </w:tc>
        <w:tc>
          <w:tcPr>
            <w:tcW w:w="9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600,000</w:t>
            </w:r>
          </w:p>
        </w:tc>
        <w:tc>
          <w:tcPr>
            <w:tcW w:w="880" w:type="dxa"/>
            <w:vAlign w:val="bottom"/>
            <w:vMerge w:val="restart"/>
            <w:shd w:val="clear" w:color="auto" w:fill="F2F2F2"/>
          </w:tcPr>
          <w:p>
            <w:pPr>
              <w:jc w:val="center"/>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F2F2F2"/>
          </w:tcPr>
          <w:p>
            <w:pPr>
              <w:spacing w:after="0"/>
              <w:rPr>
                <w:sz w:val="12"/>
                <w:szCs w:val="12"/>
                <w:color w:val="auto"/>
              </w:rPr>
            </w:pPr>
          </w:p>
        </w:tc>
        <w:tc>
          <w:tcPr>
            <w:tcW w:w="1400" w:type="dxa"/>
            <w:vAlign w:val="bottom"/>
            <w:vMerge w:val="restart"/>
            <w:shd w:val="clear" w:color="auto" w:fill="F2F2F2"/>
          </w:tcPr>
          <w:p>
            <w:pPr>
              <w:jc w:val="center"/>
              <w:ind w:right="48"/>
              <w:spacing w:after="0"/>
              <w:rPr>
                <w:sz w:val="20"/>
                <w:szCs w:val="20"/>
                <w:color w:val="auto"/>
              </w:rPr>
            </w:pPr>
            <w:r>
              <w:rPr>
                <w:rFonts w:ascii="Arial" w:cs="Arial" w:eastAsia="Arial" w:hAnsi="Arial"/>
                <w:sz w:val="14"/>
                <w:szCs w:val="14"/>
                <w:color w:val="auto"/>
              </w:rPr>
              <w:t>874,200</w:t>
            </w:r>
          </w:p>
        </w:tc>
        <w:tc>
          <w:tcPr>
            <w:tcW w:w="1340" w:type="dxa"/>
            <w:vAlign w:val="bottom"/>
            <w:vMerge w:val="restart"/>
            <w:shd w:val="clear" w:color="auto" w:fill="F2F2F2"/>
          </w:tcPr>
          <w:p>
            <w:pPr>
              <w:jc w:val="center"/>
              <w:ind w:right="28"/>
              <w:spacing w:after="0"/>
              <w:rPr>
                <w:sz w:val="20"/>
                <w:szCs w:val="20"/>
                <w:color w:val="auto"/>
              </w:rPr>
            </w:pPr>
            <w:r>
              <w:rPr>
                <w:rFonts w:ascii="Arial" w:cs="Arial" w:eastAsia="Arial" w:hAnsi="Arial"/>
                <w:sz w:val="14"/>
                <w:szCs w:val="14"/>
                <w:color w:val="auto"/>
              </w:rPr>
              <w:t>23,500</w:t>
            </w:r>
          </w:p>
        </w:tc>
        <w:tc>
          <w:tcPr>
            <w:tcW w:w="460" w:type="dxa"/>
            <w:vAlign w:val="bottom"/>
            <w:vMerge w:val="continue"/>
            <w:shd w:val="clear" w:color="auto" w:fill="F2F2F2"/>
          </w:tcPr>
          <w:p>
            <w:pPr>
              <w:spacing w:after="0"/>
              <w:rPr>
                <w:sz w:val="12"/>
                <w:szCs w:val="12"/>
                <w:color w:val="auto"/>
              </w:rPr>
            </w:pPr>
          </w:p>
        </w:tc>
        <w:tc>
          <w:tcPr>
            <w:tcW w:w="1200" w:type="dxa"/>
            <w:vAlign w:val="bottom"/>
            <w:vMerge w:val="restart"/>
            <w:shd w:val="clear" w:color="auto" w:fill="F2F2F2"/>
          </w:tcPr>
          <w:p>
            <w:pPr>
              <w:jc w:val="right"/>
              <w:ind w:right="208"/>
              <w:spacing w:after="0"/>
              <w:rPr>
                <w:sz w:val="20"/>
                <w:szCs w:val="20"/>
                <w:color w:val="auto"/>
              </w:rPr>
            </w:pPr>
            <w:r>
              <w:rPr>
                <w:rFonts w:ascii="Arial" w:cs="Arial" w:eastAsia="Arial" w:hAnsi="Arial"/>
                <w:sz w:val="14"/>
                <w:szCs w:val="14"/>
                <w:color w:val="auto"/>
              </w:rPr>
              <w:t>1,497,700</w:t>
            </w:r>
          </w:p>
        </w:tc>
        <w:tc>
          <w:tcPr>
            <w:tcW w:w="0" w:type="dxa"/>
            <w:vAlign w:val="bottom"/>
          </w:tcPr>
          <w:p>
            <w:pPr>
              <w:spacing w:after="0"/>
              <w:rPr>
                <w:sz w:val="1"/>
                <w:szCs w:val="1"/>
                <w:color w:val="auto"/>
              </w:rPr>
            </w:pPr>
          </w:p>
        </w:tc>
      </w:tr>
      <w:tr>
        <w:trPr>
          <w:trHeight w:val="98"/>
        </w:trPr>
        <w:tc>
          <w:tcPr>
            <w:tcW w:w="2680" w:type="dxa"/>
            <w:vAlign w:val="bottom"/>
            <w:tcBorders>
              <w:bottom w:val="single" w:sz="8" w:color="F2F2F2"/>
            </w:tcBorders>
            <w:shd w:val="clear" w:color="auto" w:fill="F2F2F2"/>
          </w:tcPr>
          <w:p>
            <w:pPr>
              <w:spacing w:after="0"/>
              <w:rPr>
                <w:sz w:val="8"/>
                <w:szCs w:val="8"/>
                <w:color w:val="auto"/>
              </w:rPr>
            </w:pPr>
          </w:p>
        </w:tc>
        <w:tc>
          <w:tcPr>
            <w:tcW w:w="680" w:type="dxa"/>
            <w:vAlign w:val="bottom"/>
            <w:tcBorders>
              <w:bottom w:val="single" w:sz="8" w:color="F2F2F2"/>
            </w:tcBorders>
            <w:vMerge w:val="continue"/>
            <w:shd w:val="clear" w:color="auto" w:fill="F2F2F2"/>
          </w:tcPr>
          <w:p>
            <w:pPr>
              <w:spacing w:after="0"/>
              <w:rPr>
                <w:sz w:val="8"/>
                <w:szCs w:val="8"/>
                <w:color w:val="auto"/>
              </w:rPr>
            </w:pPr>
          </w:p>
        </w:tc>
        <w:tc>
          <w:tcPr>
            <w:tcW w:w="920" w:type="dxa"/>
            <w:vAlign w:val="bottom"/>
            <w:tcBorders>
              <w:bottom w:val="single" w:sz="8" w:color="F2F2F2"/>
            </w:tcBorders>
            <w:vMerge w:val="continue"/>
            <w:shd w:val="clear" w:color="auto" w:fill="F2F2F2"/>
          </w:tcPr>
          <w:p>
            <w:pPr>
              <w:spacing w:after="0"/>
              <w:rPr>
                <w:sz w:val="8"/>
                <w:szCs w:val="8"/>
                <w:color w:val="auto"/>
              </w:rPr>
            </w:pPr>
          </w:p>
        </w:tc>
        <w:tc>
          <w:tcPr>
            <w:tcW w:w="880" w:type="dxa"/>
            <w:vAlign w:val="bottom"/>
            <w:tcBorders>
              <w:bottom w:val="single" w:sz="8" w:color="F2F2F2"/>
            </w:tcBorders>
            <w:vMerge w:val="continue"/>
            <w:shd w:val="clear" w:color="auto" w:fill="F2F2F2"/>
          </w:tcPr>
          <w:p>
            <w:pPr>
              <w:spacing w:after="0"/>
              <w:rPr>
                <w:sz w:val="8"/>
                <w:szCs w:val="8"/>
                <w:color w:val="auto"/>
              </w:rPr>
            </w:pPr>
          </w:p>
        </w:tc>
        <w:tc>
          <w:tcPr>
            <w:tcW w:w="1220" w:type="dxa"/>
            <w:vAlign w:val="bottom"/>
            <w:tcBorders>
              <w:bottom w:val="single" w:sz="8" w:color="F2F2F2"/>
            </w:tcBorders>
            <w:vMerge w:val="continue"/>
            <w:shd w:val="clear" w:color="auto" w:fill="F2F2F2"/>
          </w:tcPr>
          <w:p>
            <w:pPr>
              <w:spacing w:after="0"/>
              <w:rPr>
                <w:sz w:val="8"/>
                <w:szCs w:val="8"/>
                <w:color w:val="auto"/>
              </w:rPr>
            </w:pPr>
          </w:p>
        </w:tc>
        <w:tc>
          <w:tcPr>
            <w:tcW w:w="460" w:type="dxa"/>
            <w:vAlign w:val="bottom"/>
            <w:tcBorders>
              <w:bottom w:val="single" w:sz="8" w:color="F2F2F2"/>
            </w:tcBorders>
            <w:shd w:val="clear" w:color="auto" w:fill="F2F2F2"/>
          </w:tcPr>
          <w:p>
            <w:pPr>
              <w:spacing w:after="0"/>
              <w:rPr>
                <w:sz w:val="8"/>
                <w:szCs w:val="8"/>
                <w:color w:val="auto"/>
              </w:rPr>
            </w:pPr>
          </w:p>
        </w:tc>
        <w:tc>
          <w:tcPr>
            <w:tcW w:w="1400" w:type="dxa"/>
            <w:vAlign w:val="bottom"/>
            <w:tcBorders>
              <w:bottom w:val="single" w:sz="8" w:color="F2F2F2"/>
            </w:tcBorders>
            <w:vMerge w:val="continue"/>
            <w:shd w:val="clear" w:color="auto" w:fill="F2F2F2"/>
          </w:tcPr>
          <w:p>
            <w:pPr>
              <w:spacing w:after="0"/>
              <w:rPr>
                <w:sz w:val="8"/>
                <w:szCs w:val="8"/>
                <w:color w:val="auto"/>
              </w:rPr>
            </w:pPr>
          </w:p>
        </w:tc>
        <w:tc>
          <w:tcPr>
            <w:tcW w:w="1340" w:type="dxa"/>
            <w:vAlign w:val="bottom"/>
            <w:tcBorders>
              <w:bottom w:val="single" w:sz="8" w:color="F2F2F2"/>
            </w:tcBorders>
            <w:vMerge w:val="continue"/>
            <w:shd w:val="clear" w:color="auto" w:fill="F2F2F2"/>
          </w:tcPr>
          <w:p>
            <w:pPr>
              <w:spacing w:after="0"/>
              <w:rPr>
                <w:sz w:val="8"/>
                <w:szCs w:val="8"/>
                <w:color w:val="auto"/>
              </w:rPr>
            </w:pPr>
          </w:p>
        </w:tc>
        <w:tc>
          <w:tcPr>
            <w:tcW w:w="460" w:type="dxa"/>
            <w:vAlign w:val="bottom"/>
            <w:tcBorders>
              <w:bottom w:val="single" w:sz="8" w:color="F2F2F2"/>
            </w:tcBorders>
            <w:shd w:val="clear" w:color="auto" w:fill="F2F2F2"/>
          </w:tcPr>
          <w:p>
            <w:pPr>
              <w:spacing w:after="0"/>
              <w:rPr>
                <w:sz w:val="8"/>
                <w:szCs w:val="8"/>
                <w:color w:val="auto"/>
              </w:rPr>
            </w:pPr>
          </w:p>
        </w:tc>
        <w:tc>
          <w:tcPr>
            <w:tcW w:w="1200" w:type="dxa"/>
            <w:vAlign w:val="bottom"/>
            <w:tcBorders>
              <w:bottom w:val="single" w:sz="8" w:color="F2F2F2"/>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680" w:type="dxa"/>
            <w:vAlign w:val="bottom"/>
          </w:tcPr>
          <w:p>
            <w:pPr>
              <w:spacing w:after="0"/>
              <w:rPr>
                <w:sz w:val="12"/>
                <w:szCs w:val="12"/>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auto"/>
              </w:rPr>
              <w:t>2023</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508,570</w:t>
            </w:r>
          </w:p>
        </w:tc>
        <w:tc>
          <w:tcPr>
            <w:tcW w:w="880" w:type="dxa"/>
            <w:vAlign w:val="bottom"/>
            <w:vMerge w:val="restart"/>
          </w:tcPr>
          <w:p>
            <w:pPr>
              <w:jc w:val="center"/>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3,438,639</w:t>
            </w:r>
          </w:p>
        </w:tc>
        <w:tc>
          <w:tcPr>
            <w:tcW w:w="460" w:type="dxa"/>
            <w:vAlign w:val="bottom"/>
          </w:tcPr>
          <w:p>
            <w:pPr>
              <w:jc w:val="right"/>
              <w:ind w:right="113"/>
              <w:spacing w:after="0"/>
              <w:rPr>
                <w:sz w:val="20"/>
                <w:szCs w:val="20"/>
                <w:color w:val="auto"/>
              </w:rPr>
            </w:pPr>
            <w:r>
              <w:rPr>
                <w:rFonts w:ascii="Arial" w:cs="Arial" w:eastAsia="Arial" w:hAnsi="Arial"/>
                <w:sz w:val="9"/>
                <w:szCs w:val="9"/>
                <w:color w:val="auto"/>
              </w:rPr>
              <w:t>(1)</w:t>
            </w:r>
          </w:p>
        </w:tc>
        <w:tc>
          <w:tcPr>
            <w:tcW w:w="1400" w:type="dxa"/>
            <w:vAlign w:val="bottom"/>
            <w:vMerge w:val="restart"/>
          </w:tcPr>
          <w:p>
            <w:pPr>
              <w:jc w:val="center"/>
              <w:ind w:right="48"/>
              <w:spacing w:after="0"/>
              <w:rPr>
                <w:sz w:val="20"/>
                <w:szCs w:val="20"/>
                <w:color w:val="auto"/>
              </w:rPr>
            </w:pPr>
            <w:r>
              <w:rPr>
                <w:rFonts w:ascii="Arial" w:cs="Arial" w:eastAsia="Arial" w:hAnsi="Arial"/>
                <w:sz w:val="14"/>
                <w:szCs w:val="14"/>
                <w:color w:val="auto"/>
              </w:rPr>
              <w:t>287,000</w:t>
            </w:r>
          </w:p>
        </w:tc>
        <w:tc>
          <w:tcPr>
            <w:tcW w:w="1340" w:type="dxa"/>
            <w:vAlign w:val="bottom"/>
            <w:vMerge w:val="restart"/>
          </w:tcPr>
          <w:p>
            <w:pPr>
              <w:jc w:val="center"/>
              <w:ind w:right="28"/>
              <w:spacing w:after="0"/>
              <w:rPr>
                <w:sz w:val="20"/>
                <w:szCs w:val="20"/>
                <w:color w:val="auto"/>
              </w:rPr>
            </w:pPr>
            <w:r>
              <w:rPr>
                <w:rFonts w:ascii="Arial" w:cs="Arial" w:eastAsia="Arial" w:hAnsi="Arial"/>
                <w:sz w:val="14"/>
                <w:szCs w:val="14"/>
                <w:color w:val="auto"/>
              </w:rPr>
              <w:t>6,000</w:t>
            </w:r>
          </w:p>
        </w:tc>
        <w:tc>
          <w:tcPr>
            <w:tcW w:w="460" w:type="dxa"/>
            <w:vAlign w:val="bottom"/>
          </w:tcPr>
          <w:p>
            <w:pPr>
              <w:spacing w:after="0"/>
              <w:rPr>
                <w:sz w:val="12"/>
                <w:szCs w:val="12"/>
                <w:color w:val="auto"/>
              </w:rPr>
            </w:pPr>
          </w:p>
        </w:tc>
        <w:tc>
          <w:tcPr>
            <w:tcW w:w="1200" w:type="dxa"/>
            <w:vAlign w:val="bottom"/>
            <w:vMerge w:val="restart"/>
          </w:tcPr>
          <w:p>
            <w:pPr>
              <w:jc w:val="right"/>
              <w:ind w:right="208"/>
              <w:spacing w:after="0"/>
              <w:rPr>
                <w:sz w:val="20"/>
                <w:szCs w:val="20"/>
                <w:color w:val="auto"/>
              </w:rPr>
            </w:pPr>
            <w:r>
              <w:rPr>
                <w:rFonts w:ascii="Arial" w:cs="Arial" w:eastAsia="Arial" w:hAnsi="Arial"/>
                <w:sz w:val="14"/>
                <w:szCs w:val="14"/>
                <w:color w:val="auto"/>
              </w:rPr>
              <w:t>4,240,209</w:t>
            </w:r>
          </w:p>
        </w:tc>
        <w:tc>
          <w:tcPr>
            <w:tcW w:w="0" w:type="dxa"/>
            <w:vAlign w:val="bottom"/>
          </w:tcPr>
          <w:p>
            <w:pPr>
              <w:spacing w:after="0"/>
              <w:rPr>
                <w:sz w:val="1"/>
                <w:szCs w:val="1"/>
                <w:color w:val="auto"/>
              </w:rPr>
            </w:pPr>
          </w:p>
        </w:tc>
      </w:tr>
      <w:tr>
        <w:trPr>
          <w:trHeight w:val="97"/>
        </w:trPr>
        <w:tc>
          <w:tcPr>
            <w:tcW w:w="2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Bart E. Volkmer</w:t>
            </w:r>
          </w:p>
        </w:tc>
        <w:tc>
          <w:tcPr>
            <w:tcW w:w="6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680" w:type="dxa"/>
            <w:vAlign w:val="bottom"/>
            <w:vMerge w:val="continue"/>
          </w:tcPr>
          <w:p>
            <w:pPr>
              <w:spacing w:after="0"/>
              <w:rPr>
                <w:sz w:val="11"/>
                <w:szCs w:val="11"/>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auto"/>
              </w:rPr>
              <w:t>2022</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475,000</w:t>
            </w:r>
          </w:p>
        </w:tc>
        <w:tc>
          <w:tcPr>
            <w:tcW w:w="880" w:type="dxa"/>
            <w:vAlign w:val="bottom"/>
            <w:vMerge w:val="restart"/>
          </w:tcPr>
          <w:p>
            <w:pPr>
              <w:jc w:val="center"/>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3,128,474</w:t>
            </w:r>
          </w:p>
        </w:tc>
        <w:tc>
          <w:tcPr>
            <w:tcW w:w="460" w:type="dxa"/>
            <w:vAlign w:val="bottom"/>
          </w:tcPr>
          <w:p>
            <w:pPr>
              <w:jc w:val="right"/>
              <w:ind w:right="113"/>
              <w:spacing w:after="0"/>
              <w:rPr>
                <w:sz w:val="20"/>
                <w:szCs w:val="20"/>
                <w:color w:val="auto"/>
              </w:rPr>
            </w:pPr>
            <w:r>
              <w:rPr>
                <w:rFonts w:ascii="Arial" w:cs="Arial" w:eastAsia="Arial" w:hAnsi="Arial"/>
                <w:sz w:val="9"/>
                <w:szCs w:val="9"/>
                <w:color w:val="auto"/>
              </w:rPr>
              <w:t>(1)</w:t>
            </w:r>
          </w:p>
        </w:tc>
        <w:tc>
          <w:tcPr>
            <w:tcW w:w="1400" w:type="dxa"/>
            <w:vAlign w:val="bottom"/>
            <w:vMerge w:val="restart"/>
          </w:tcPr>
          <w:p>
            <w:pPr>
              <w:jc w:val="center"/>
              <w:ind w:right="48"/>
              <w:spacing w:after="0"/>
              <w:rPr>
                <w:sz w:val="20"/>
                <w:szCs w:val="20"/>
                <w:color w:val="auto"/>
              </w:rPr>
            </w:pPr>
            <w:r>
              <w:rPr>
                <w:rFonts w:ascii="Arial" w:cs="Arial" w:eastAsia="Arial" w:hAnsi="Arial"/>
                <w:sz w:val="14"/>
                <w:szCs w:val="14"/>
                <w:color w:val="auto"/>
              </w:rPr>
              <w:t>245,000</w:t>
            </w:r>
          </w:p>
        </w:tc>
        <w:tc>
          <w:tcPr>
            <w:tcW w:w="1340" w:type="dxa"/>
            <w:vAlign w:val="bottom"/>
            <w:vMerge w:val="restart"/>
          </w:tcPr>
          <w:p>
            <w:pPr>
              <w:jc w:val="center"/>
              <w:ind w:right="28"/>
              <w:spacing w:after="0"/>
              <w:rPr>
                <w:sz w:val="20"/>
                <w:szCs w:val="20"/>
                <w:color w:val="auto"/>
              </w:rPr>
            </w:pPr>
            <w:r>
              <w:rPr>
                <w:rFonts w:ascii="Arial" w:cs="Arial" w:eastAsia="Arial" w:hAnsi="Arial"/>
                <w:sz w:val="14"/>
                <w:szCs w:val="14"/>
                <w:color w:val="auto"/>
              </w:rPr>
              <w:t>6,000</w:t>
            </w:r>
          </w:p>
        </w:tc>
        <w:tc>
          <w:tcPr>
            <w:tcW w:w="460" w:type="dxa"/>
            <w:vAlign w:val="bottom"/>
          </w:tcPr>
          <w:p>
            <w:pPr>
              <w:spacing w:after="0"/>
              <w:rPr>
                <w:sz w:val="11"/>
                <w:szCs w:val="11"/>
                <w:color w:val="auto"/>
              </w:rPr>
            </w:pPr>
          </w:p>
        </w:tc>
        <w:tc>
          <w:tcPr>
            <w:tcW w:w="1200" w:type="dxa"/>
            <w:vAlign w:val="bottom"/>
            <w:vMerge w:val="restart"/>
          </w:tcPr>
          <w:p>
            <w:pPr>
              <w:jc w:val="right"/>
              <w:ind w:right="208"/>
              <w:spacing w:after="0"/>
              <w:rPr>
                <w:sz w:val="20"/>
                <w:szCs w:val="20"/>
                <w:color w:val="auto"/>
              </w:rPr>
            </w:pPr>
            <w:r>
              <w:rPr>
                <w:rFonts w:ascii="Arial" w:cs="Arial" w:eastAsia="Arial" w:hAnsi="Arial"/>
                <w:sz w:val="14"/>
                <w:szCs w:val="14"/>
                <w:color w:val="auto"/>
              </w:rPr>
              <w:t>3,854,474</w:t>
            </w:r>
          </w:p>
        </w:tc>
        <w:tc>
          <w:tcPr>
            <w:tcW w:w="0" w:type="dxa"/>
            <w:vAlign w:val="bottom"/>
          </w:tcPr>
          <w:p>
            <w:pPr>
              <w:spacing w:after="0"/>
              <w:rPr>
                <w:sz w:val="1"/>
                <w:szCs w:val="1"/>
                <w:color w:val="auto"/>
              </w:rPr>
            </w:pPr>
          </w:p>
        </w:tc>
      </w:tr>
      <w:tr>
        <w:trPr>
          <w:trHeight w:val="121"/>
        </w:trPr>
        <w:tc>
          <w:tcPr>
            <w:tcW w:w="268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Chief Legal Officer</w:t>
            </w:r>
          </w:p>
        </w:tc>
        <w:tc>
          <w:tcPr>
            <w:tcW w:w="6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68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4"/>
                <w:szCs w:val="14"/>
                <w:color w:val="auto"/>
              </w:rPr>
              <w:t>2021</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475,000</w:t>
            </w:r>
          </w:p>
        </w:tc>
        <w:tc>
          <w:tcPr>
            <w:tcW w:w="880" w:type="dxa"/>
            <w:vAlign w:val="bottom"/>
            <w:vMerge w:val="restart"/>
          </w:tcPr>
          <w:p>
            <w:pPr>
              <w:jc w:val="center"/>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3,113,995</w:t>
            </w:r>
          </w:p>
        </w:tc>
        <w:tc>
          <w:tcPr>
            <w:tcW w:w="460" w:type="dxa"/>
            <w:vAlign w:val="bottom"/>
            <w:vMerge w:val="restart"/>
          </w:tcPr>
          <w:p>
            <w:pPr>
              <w:jc w:val="right"/>
              <w:ind w:right="113"/>
              <w:spacing w:after="0"/>
              <w:rPr>
                <w:sz w:val="20"/>
                <w:szCs w:val="20"/>
                <w:color w:val="auto"/>
              </w:rPr>
            </w:pPr>
            <w:r>
              <w:rPr>
                <w:rFonts w:ascii="Arial" w:cs="Arial" w:eastAsia="Arial" w:hAnsi="Arial"/>
                <w:sz w:val="9"/>
                <w:szCs w:val="9"/>
                <w:color w:val="auto"/>
              </w:rPr>
              <w:t>(1)</w:t>
            </w:r>
          </w:p>
        </w:tc>
        <w:tc>
          <w:tcPr>
            <w:tcW w:w="1400" w:type="dxa"/>
            <w:vAlign w:val="bottom"/>
            <w:vMerge w:val="restart"/>
          </w:tcPr>
          <w:p>
            <w:pPr>
              <w:jc w:val="center"/>
              <w:ind w:right="48"/>
              <w:spacing w:after="0"/>
              <w:rPr>
                <w:sz w:val="20"/>
                <w:szCs w:val="20"/>
                <w:color w:val="auto"/>
              </w:rPr>
            </w:pPr>
            <w:r>
              <w:rPr>
                <w:rFonts w:ascii="Arial" w:cs="Arial" w:eastAsia="Arial" w:hAnsi="Arial"/>
                <w:sz w:val="14"/>
                <w:szCs w:val="14"/>
                <w:color w:val="auto"/>
              </w:rPr>
              <w:t>517,326</w:t>
            </w:r>
          </w:p>
        </w:tc>
        <w:tc>
          <w:tcPr>
            <w:tcW w:w="1340" w:type="dxa"/>
            <w:vAlign w:val="bottom"/>
            <w:vMerge w:val="restart"/>
          </w:tcPr>
          <w:p>
            <w:pPr>
              <w:jc w:val="center"/>
              <w:ind w:right="28"/>
              <w:spacing w:after="0"/>
              <w:rPr>
                <w:sz w:val="20"/>
                <w:szCs w:val="20"/>
                <w:color w:val="auto"/>
              </w:rPr>
            </w:pPr>
            <w:r>
              <w:rPr>
                <w:rFonts w:ascii="Arial" w:cs="Arial" w:eastAsia="Arial" w:hAnsi="Arial"/>
                <w:sz w:val="14"/>
                <w:szCs w:val="14"/>
                <w:color w:val="auto"/>
              </w:rPr>
              <w:t>6,000</w:t>
            </w:r>
          </w:p>
        </w:tc>
        <w:tc>
          <w:tcPr>
            <w:tcW w:w="460" w:type="dxa"/>
            <w:vAlign w:val="bottom"/>
          </w:tcPr>
          <w:p>
            <w:pPr>
              <w:spacing w:after="0"/>
              <w:rPr>
                <w:sz w:val="5"/>
                <w:szCs w:val="5"/>
                <w:color w:val="auto"/>
              </w:rPr>
            </w:pPr>
          </w:p>
        </w:tc>
        <w:tc>
          <w:tcPr>
            <w:tcW w:w="1200" w:type="dxa"/>
            <w:vAlign w:val="bottom"/>
            <w:vMerge w:val="restart"/>
          </w:tcPr>
          <w:p>
            <w:pPr>
              <w:jc w:val="right"/>
              <w:ind w:right="228"/>
              <w:spacing w:after="0"/>
              <w:rPr>
                <w:sz w:val="20"/>
                <w:szCs w:val="20"/>
                <w:color w:val="auto"/>
              </w:rPr>
            </w:pPr>
            <w:r>
              <w:rPr>
                <w:rFonts w:ascii="Arial" w:cs="Arial" w:eastAsia="Arial" w:hAnsi="Arial"/>
                <w:sz w:val="14"/>
                <w:szCs w:val="14"/>
                <w:color w:val="auto"/>
              </w:rPr>
              <w:t>4,112,321</w:t>
            </w:r>
          </w:p>
        </w:tc>
        <w:tc>
          <w:tcPr>
            <w:tcW w:w="0" w:type="dxa"/>
            <w:vAlign w:val="bottom"/>
          </w:tcPr>
          <w:p>
            <w:pPr>
              <w:spacing w:after="0"/>
              <w:rPr>
                <w:sz w:val="1"/>
                <w:szCs w:val="1"/>
                <w:color w:val="auto"/>
              </w:rPr>
            </w:pPr>
          </w:p>
        </w:tc>
      </w:tr>
      <w:tr>
        <w:trPr>
          <w:trHeight w:val="92"/>
        </w:trPr>
        <w:tc>
          <w:tcPr>
            <w:tcW w:w="26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6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680" w:type="dxa"/>
            <w:vAlign w:val="bottom"/>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Eric Cox</w:t>
            </w:r>
          </w:p>
        </w:tc>
        <w:tc>
          <w:tcPr>
            <w:tcW w:w="680" w:type="dxa"/>
            <w:vAlign w:val="bottom"/>
            <w:shd w:val="clear" w:color="auto" w:fill="F2F2F2"/>
          </w:tcPr>
          <w:p>
            <w:pPr>
              <w:ind w:left="180"/>
              <w:spacing w:after="0"/>
              <w:rPr>
                <w:sz w:val="20"/>
                <w:szCs w:val="20"/>
                <w:color w:val="auto"/>
              </w:rPr>
            </w:pPr>
            <w:r>
              <w:rPr>
                <w:rFonts w:ascii="Arial" w:cs="Arial" w:eastAsia="Arial" w:hAnsi="Arial"/>
                <w:sz w:val="14"/>
                <w:szCs w:val="14"/>
                <w:color w:val="auto"/>
              </w:rPr>
              <w:t>2023</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20,833</w:t>
            </w:r>
          </w:p>
        </w:tc>
        <w:tc>
          <w:tcPr>
            <w:tcW w:w="880" w:type="dxa"/>
            <w:vAlign w:val="bottom"/>
            <w:shd w:val="clear" w:color="auto" w:fill="F2F2F2"/>
          </w:tcPr>
          <w:p>
            <w:pPr>
              <w:jc w:val="center"/>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F2F2F2"/>
          </w:tcPr>
          <w:p>
            <w:pPr>
              <w:spacing w:after="0"/>
              <w:rPr>
                <w:sz w:val="24"/>
                <w:szCs w:val="24"/>
                <w:color w:val="auto"/>
              </w:rPr>
            </w:pPr>
          </w:p>
        </w:tc>
        <w:tc>
          <w:tcPr>
            <w:tcW w:w="1400" w:type="dxa"/>
            <w:vAlign w:val="bottom"/>
            <w:shd w:val="clear" w:color="auto" w:fill="F2F2F2"/>
          </w:tcPr>
          <w:p>
            <w:pPr>
              <w:jc w:val="center"/>
              <w:ind w:right="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F2F2F2"/>
          </w:tcPr>
          <w:p>
            <w:pPr>
              <w:jc w:val="center"/>
              <w:ind w:right="48"/>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F2F2F2"/>
          </w:tcPr>
          <w:p>
            <w:pPr>
              <w:spacing w:after="0"/>
              <w:rPr>
                <w:sz w:val="24"/>
                <w:szCs w:val="24"/>
                <w:color w:val="auto"/>
              </w:rPr>
            </w:pPr>
          </w:p>
        </w:tc>
        <w:tc>
          <w:tcPr>
            <w:tcW w:w="120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20,833</w:t>
            </w:r>
          </w:p>
        </w:tc>
        <w:tc>
          <w:tcPr>
            <w:tcW w:w="0" w:type="dxa"/>
            <w:vAlign w:val="bottom"/>
          </w:tcPr>
          <w:p>
            <w:pPr>
              <w:spacing w:after="0"/>
              <w:rPr>
                <w:sz w:val="1"/>
                <w:szCs w:val="1"/>
                <w:color w:val="auto"/>
              </w:rPr>
            </w:pPr>
          </w:p>
        </w:tc>
      </w:tr>
      <w:tr>
        <w:trPr>
          <w:trHeight w:val="163"/>
        </w:trPr>
        <w:tc>
          <w:tcPr>
            <w:tcW w:w="2680" w:type="dxa"/>
            <w:vAlign w:val="bottom"/>
            <w:vMerge w:val="continue"/>
            <w:shd w:val="clear" w:color="auto" w:fill="F2F2F2"/>
          </w:tcPr>
          <w:p>
            <w:pPr>
              <w:spacing w:after="0"/>
              <w:rPr>
                <w:sz w:val="14"/>
                <w:szCs w:val="14"/>
                <w:color w:val="auto"/>
              </w:rPr>
            </w:pPr>
          </w:p>
        </w:tc>
        <w:tc>
          <w:tcPr>
            <w:tcW w:w="680" w:type="dxa"/>
            <w:vAlign w:val="bottom"/>
            <w:vMerge w:val="restart"/>
            <w:shd w:val="clear" w:color="auto" w:fill="F2F2F2"/>
          </w:tcPr>
          <w:p>
            <w:pPr>
              <w:ind w:left="180"/>
              <w:spacing w:after="0"/>
              <w:rPr>
                <w:sz w:val="20"/>
                <w:szCs w:val="20"/>
                <w:color w:val="auto"/>
              </w:rPr>
            </w:pPr>
            <w:r>
              <w:rPr>
                <w:rFonts w:ascii="Arial" w:cs="Arial" w:eastAsia="Arial" w:hAnsi="Arial"/>
                <w:sz w:val="14"/>
                <w:szCs w:val="14"/>
                <w:color w:val="auto"/>
              </w:rPr>
              <w:t>2022</w:t>
            </w:r>
          </w:p>
        </w:tc>
        <w:tc>
          <w:tcPr>
            <w:tcW w:w="9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F2F2F2"/>
          </w:tcPr>
          <w:p>
            <w:pPr>
              <w:jc w:val="center"/>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F2F2F2"/>
          </w:tcPr>
          <w:p>
            <w:pPr>
              <w:spacing w:after="0"/>
              <w:rPr>
                <w:sz w:val="14"/>
                <w:szCs w:val="14"/>
                <w:color w:val="auto"/>
              </w:rPr>
            </w:pPr>
          </w:p>
        </w:tc>
        <w:tc>
          <w:tcPr>
            <w:tcW w:w="1400" w:type="dxa"/>
            <w:vAlign w:val="bottom"/>
            <w:vMerge w:val="restart"/>
            <w:shd w:val="clear" w:color="auto" w:fill="F2F2F2"/>
          </w:tcPr>
          <w:p>
            <w:pPr>
              <w:jc w:val="center"/>
              <w:ind w:right="4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F2F2F2"/>
          </w:tcPr>
          <w:p>
            <w:pPr>
              <w:jc w:val="center"/>
              <w:ind w:right="48"/>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F2F2F2"/>
          </w:tcPr>
          <w:p>
            <w:pPr>
              <w:spacing w:after="0"/>
              <w:rPr>
                <w:sz w:val="14"/>
                <w:szCs w:val="14"/>
                <w:color w:val="auto"/>
              </w:rPr>
            </w:pPr>
          </w:p>
        </w:tc>
        <w:tc>
          <w:tcPr>
            <w:tcW w:w="1200" w:type="dxa"/>
            <w:vAlign w:val="bottom"/>
            <w:vMerge w:val="restart"/>
            <w:shd w:val="clear" w:color="auto" w:fill="F2F2F2"/>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680" w:type="dxa"/>
            <w:vAlign w:val="bottom"/>
            <w:shd w:val="clear" w:color="auto" w:fill="F2F2F2"/>
          </w:tcPr>
          <w:p>
            <w:pPr>
              <w:ind w:left="80"/>
              <w:spacing w:after="0"/>
              <w:rPr>
                <w:sz w:val="20"/>
                <w:szCs w:val="20"/>
                <w:color w:val="auto"/>
              </w:rPr>
            </w:pPr>
            <w:r>
              <w:rPr>
                <w:rFonts w:ascii="Arial" w:cs="Arial" w:eastAsia="Arial" w:hAnsi="Arial"/>
                <w:sz w:val="14"/>
                <w:szCs w:val="14"/>
                <w:i w:val="1"/>
                <w:iCs w:val="1"/>
                <w:color w:val="auto"/>
              </w:rPr>
              <w:t>Chief Commercial Officer</w:t>
            </w:r>
          </w:p>
        </w:tc>
        <w:tc>
          <w:tcPr>
            <w:tcW w:w="680" w:type="dxa"/>
            <w:vAlign w:val="bottom"/>
            <w:vMerge w:val="continue"/>
            <w:shd w:val="clear" w:color="auto" w:fill="F2F2F2"/>
          </w:tcPr>
          <w:p>
            <w:pPr>
              <w:spacing w:after="0"/>
              <w:rPr>
                <w:sz w:val="14"/>
                <w:szCs w:val="14"/>
                <w:color w:val="auto"/>
              </w:rPr>
            </w:pPr>
          </w:p>
        </w:tc>
        <w:tc>
          <w:tcPr>
            <w:tcW w:w="920" w:type="dxa"/>
            <w:vAlign w:val="bottom"/>
            <w:vMerge w:val="continue"/>
            <w:shd w:val="clear" w:color="auto" w:fill="F2F2F2"/>
          </w:tcPr>
          <w:p>
            <w:pPr>
              <w:spacing w:after="0"/>
              <w:rPr>
                <w:sz w:val="14"/>
                <w:szCs w:val="14"/>
                <w:color w:val="auto"/>
              </w:rPr>
            </w:pPr>
          </w:p>
        </w:tc>
        <w:tc>
          <w:tcPr>
            <w:tcW w:w="880" w:type="dxa"/>
            <w:vAlign w:val="bottom"/>
            <w:vMerge w:val="continue"/>
            <w:shd w:val="clear" w:color="auto" w:fill="F2F2F2"/>
          </w:tcPr>
          <w:p>
            <w:pPr>
              <w:spacing w:after="0"/>
              <w:rPr>
                <w:sz w:val="14"/>
                <w:szCs w:val="14"/>
                <w:color w:val="auto"/>
              </w:rPr>
            </w:pPr>
          </w:p>
        </w:tc>
        <w:tc>
          <w:tcPr>
            <w:tcW w:w="1220" w:type="dxa"/>
            <w:vAlign w:val="bottom"/>
            <w:vMerge w:val="continue"/>
            <w:shd w:val="clear" w:color="auto" w:fill="F2F2F2"/>
          </w:tcPr>
          <w:p>
            <w:pPr>
              <w:spacing w:after="0"/>
              <w:rPr>
                <w:sz w:val="14"/>
                <w:szCs w:val="14"/>
                <w:color w:val="auto"/>
              </w:rPr>
            </w:pPr>
          </w:p>
        </w:tc>
        <w:tc>
          <w:tcPr>
            <w:tcW w:w="460" w:type="dxa"/>
            <w:vAlign w:val="bottom"/>
            <w:shd w:val="clear" w:color="auto" w:fill="F2F2F2"/>
          </w:tcPr>
          <w:p>
            <w:pPr>
              <w:spacing w:after="0"/>
              <w:rPr>
                <w:sz w:val="14"/>
                <w:szCs w:val="14"/>
                <w:color w:val="auto"/>
              </w:rPr>
            </w:pPr>
          </w:p>
        </w:tc>
        <w:tc>
          <w:tcPr>
            <w:tcW w:w="1400" w:type="dxa"/>
            <w:vAlign w:val="bottom"/>
            <w:vMerge w:val="continue"/>
            <w:shd w:val="clear" w:color="auto" w:fill="F2F2F2"/>
          </w:tcPr>
          <w:p>
            <w:pPr>
              <w:spacing w:after="0"/>
              <w:rPr>
                <w:sz w:val="14"/>
                <w:szCs w:val="14"/>
                <w:color w:val="auto"/>
              </w:rPr>
            </w:pPr>
          </w:p>
        </w:tc>
        <w:tc>
          <w:tcPr>
            <w:tcW w:w="1340" w:type="dxa"/>
            <w:vAlign w:val="bottom"/>
            <w:vMerge w:val="continue"/>
            <w:shd w:val="clear" w:color="auto" w:fill="F2F2F2"/>
          </w:tcPr>
          <w:p>
            <w:pPr>
              <w:spacing w:after="0"/>
              <w:rPr>
                <w:sz w:val="14"/>
                <w:szCs w:val="14"/>
                <w:color w:val="auto"/>
              </w:rPr>
            </w:pPr>
          </w:p>
        </w:tc>
        <w:tc>
          <w:tcPr>
            <w:tcW w:w="460" w:type="dxa"/>
            <w:vAlign w:val="bottom"/>
            <w:shd w:val="clear" w:color="auto" w:fill="F2F2F2"/>
          </w:tcPr>
          <w:p>
            <w:pPr>
              <w:spacing w:after="0"/>
              <w:rPr>
                <w:sz w:val="14"/>
                <w:szCs w:val="14"/>
                <w:color w:val="auto"/>
              </w:rPr>
            </w:pPr>
          </w:p>
        </w:tc>
        <w:tc>
          <w:tcPr>
            <w:tcW w:w="1200" w:type="dxa"/>
            <w:vAlign w:val="bottom"/>
            <w:vMerge w:val="continue"/>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2680" w:type="dxa"/>
            <w:vAlign w:val="bottom"/>
            <w:shd w:val="clear" w:color="auto" w:fill="F2F2F2"/>
          </w:tcPr>
          <w:p>
            <w:pPr>
              <w:spacing w:after="0"/>
              <w:rPr>
                <w:sz w:val="24"/>
                <w:szCs w:val="24"/>
                <w:color w:val="auto"/>
              </w:rPr>
            </w:pPr>
          </w:p>
        </w:tc>
        <w:tc>
          <w:tcPr>
            <w:tcW w:w="680" w:type="dxa"/>
            <w:vAlign w:val="bottom"/>
            <w:shd w:val="clear" w:color="auto" w:fill="F2F2F2"/>
          </w:tcPr>
          <w:p>
            <w:pPr>
              <w:ind w:left="180"/>
              <w:spacing w:after="0"/>
              <w:rPr>
                <w:sz w:val="20"/>
                <w:szCs w:val="20"/>
                <w:color w:val="auto"/>
              </w:rPr>
            </w:pPr>
            <w:r>
              <w:rPr>
                <w:rFonts w:ascii="Arial" w:cs="Arial" w:eastAsia="Arial" w:hAnsi="Arial"/>
                <w:sz w:val="14"/>
                <w:szCs w:val="14"/>
                <w:color w:val="auto"/>
              </w:rPr>
              <w:t>2021</w:t>
            </w:r>
          </w:p>
        </w:tc>
        <w:tc>
          <w:tcPr>
            <w:tcW w:w="9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880" w:type="dxa"/>
            <w:vAlign w:val="bottom"/>
            <w:shd w:val="clear" w:color="auto" w:fill="F2F2F2"/>
          </w:tcPr>
          <w:p>
            <w:pPr>
              <w:jc w:val="center"/>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F2F2F2"/>
          </w:tcPr>
          <w:p>
            <w:pPr>
              <w:spacing w:after="0"/>
              <w:rPr>
                <w:sz w:val="24"/>
                <w:szCs w:val="24"/>
                <w:color w:val="auto"/>
              </w:rPr>
            </w:pPr>
          </w:p>
        </w:tc>
        <w:tc>
          <w:tcPr>
            <w:tcW w:w="1400" w:type="dxa"/>
            <w:vAlign w:val="bottom"/>
            <w:shd w:val="clear" w:color="auto" w:fill="F2F2F2"/>
          </w:tcPr>
          <w:p>
            <w:pPr>
              <w:jc w:val="center"/>
              <w:ind w:right="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F2F2F2"/>
          </w:tcPr>
          <w:p>
            <w:pPr>
              <w:jc w:val="center"/>
              <w:ind w:right="48"/>
              <w:spacing w:after="0"/>
              <w:rPr>
                <w:sz w:val="20"/>
                <w:szCs w:val="20"/>
                <w:color w:val="auto"/>
              </w:rPr>
            </w:pPr>
            <w:r>
              <w:rPr>
                <w:rFonts w:ascii="Arial" w:cs="Arial" w:eastAsia="Arial" w:hAnsi="Arial"/>
                <w:sz w:val="14"/>
                <w:szCs w:val="14"/>
                <w:color w:val="auto"/>
                <w:w w:val="99"/>
              </w:rPr>
              <w:t>—</w:t>
            </w:r>
          </w:p>
        </w:tc>
        <w:tc>
          <w:tcPr>
            <w:tcW w:w="460" w:type="dxa"/>
            <w:vAlign w:val="bottom"/>
            <w:shd w:val="clear" w:color="auto" w:fill="F2F2F2"/>
          </w:tcPr>
          <w:p>
            <w:pPr>
              <w:spacing w:after="0"/>
              <w:rPr>
                <w:sz w:val="24"/>
                <w:szCs w:val="24"/>
                <w:color w:val="auto"/>
              </w:rPr>
            </w:pPr>
          </w:p>
        </w:tc>
        <w:tc>
          <w:tcPr>
            <w:tcW w:w="120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680" w:type="dxa"/>
            <w:vAlign w:val="bottom"/>
            <w:shd w:val="clear" w:color="auto" w:fill="F2F2F2"/>
          </w:tcPr>
          <w:p>
            <w:pPr>
              <w:spacing w:after="0" w:line="20" w:lineRule="exact"/>
              <w:rPr>
                <w:sz w:val="1"/>
                <w:szCs w:val="1"/>
                <w:color w:val="auto"/>
              </w:rPr>
            </w:pPr>
          </w:p>
        </w:tc>
        <w:tc>
          <w:tcPr>
            <w:tcW w:w="680" w:type="dxa"/>
            <w:vAlign w:val="bottom"/>
            <w:shd w:val="clear" w:color="auto" w:fill="F2F2F2"/>
          </w:tcPr>
          <w:p>
            <w:pPr>
              <w:spacing w:after="0" w:line="20" w:lineRule="exact"/>
              <w:rPr>
                <w:sz w:val="1"/>
                <w:szCs w:val="1"/>
                <w:color w:val="auto"/>
              </w:rPr>
            </w:pPr>
          </w:p>
        </w:tc>
        <w:tc>
          <w:tcPr>
            <w:tcW w:w="920" w:type="dxa"/>
            <w:vAlign w:val="bottom"/>
            <w:shd w:val="clear" w:color="auto" w:fill="F2F2F2"/>
          </w:tcPr>
          <w:p>
            <w:pPr>
              <w:spacing w:after="0" w:line="20" w:lineRule="exact"/>
              <w:rPr>
                <w:sz w:val="1"/>
                <w:szCs w:val="1"/>
                <w:color w:val="auto"/>
              </w:rPr>
            </w:pPr>
          </w:p>
        </w:tc>
        <w:tc>
          <w:tcPr>
            <w:tcW w:w="880" w:type="dxa"/>
            <w:vAlign w:val="bottom"/>
            <w:shd w:val="clear" w:color="auto" w:fill="F2F2F2"/>
          </w:tcPr>
          <w:p>
            <w:pPr>
              <w:spacing w:after="0" w:line="20" w:lineRule="exact"/>
              <w:rPr>
                <w:sz w:val="1"/>
                <w:szCs w:val="1"/>
                <w:color w:val="auto"/>
              </w:rPr>
            </w:pPr>
          </w:p>
        </w:tc>
        <w:tc>
          <w:tcPr>
            <w:tcW w:w="1220" w:type="dxa"/>
            <w:vAlign w:val="bottom"/>
            <w:shd w:val="clear" w:color="auto" w:fill="F2F2F2"/>
          </w:tcPr>
          <w:p>
            <w:pPr>
              <w:spacing w:after="0" w:line="20" w:lineRule="exact"/>
              <w:rPr>
                <w:sz w:val="1"/>
                <w:szCs w:val="1"/>
                <w:color w:val="auto"/>
              </w:rPr>
            </w:pPr>
          </w:p>
        </w:tc>
        <w:tc>
          <w:tcPr>
            <w:tcW w:w="460" w:type="dxa"/>
            <w:vAlign w:val="bottom"/>
            <w:shd w:val="clear" w:color="auto" w:fill="F2F2F2"/>
          </w:tcPr>
          <w:p>
            <w:pPr>
              <w:spacing w:after="0" w:line="20" w:lineRule="exact"/>
              <w:rPr>
                <w:sz w:val="1"/>
                <w:szCs w:val="1"/>
                <w:color w:val="auto"/>
              </w:rPr>
            </w:pPr>
          </w:p>
        </w:tc>
        <w:tc>
          <w:tcPr>
            <w:tcW w:w="1400" w:type="dxa"/>
            <w:vAlign w:val="bottom"/>
            <w:shd w:val="clear" w:color="auto" w:fill="F2F2F2"/>
          </w:tcPr>
          <w:p>
            <w:pPr>
              <w:spacing w:after="0" w:line="20" w:lineRule="exact"/>
              <w:rPr>
                <w:sz w:val="1"/>
                <w:szCs w:val="1"/>
                <w:color w:val="auto"/>
              </w:rPr>
            </w:pPr>
          </w:p>
        </w:tc>
        <w:tc>
          <w:tcPr>
            <w:tcW w:w="1340" w:type="dxa"/>
            <w:vAlign w:val="bottom"/>
            <w:shd w:val="clear" w:color="auto" w:fill="F2F2F2"/>
          </w:tcPr>
          <w:p>
            <w:pPr>
              <w:spacing w:after="0" w:line="20" w:lineRule="exact"/>
              <w:rPr>
                <w:sz w:val="1"/>
                <w:szCs w:val="1"/>
                <w:color w:val="auto"/>
              </w:rPr>
            </w:pPr>
          </w:p>
        </w:tc>
        <w:tc>
          <w:tcPr>
            <w:tcW w:w="460" w:type="dxa"/>
            <w:vAlign w:val="bottom"/>
            <w:shd w:val="clear" w:color="auto" w:fill="F2F2F2"/>
          </w:tcPr>
          <w:p>
            <w:pPr>
              <w:spacing w:after="0" w:line="20" w:lineRule="exact"/>
              <w:rPr>
                <w:sz w:val="1"/>
                <w:szCs w:val="1"/>
                <w:color w:val="auto"/>
              </w:rPr>
            </w:pPr>
          </w:p>
        </w:tc>
        <w:tc>
          <w:tcPr>
            <w:tcW w:w="1200" w:type="dxa"/>
            <w:vAlign w:val="bottom"/>
            <w:shd w:val="clear" w:color="auto" w:fill="F2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right="80" w:hanging="332"/>
        <w:spacing w:after="0" w:line="222" w:lineRule="auto"/>
        <w:tabs>
          <w:tab w:leader="none" w:pos="333" w:val="left"/>
        </w:tabs>
        <w:numPr>
          <w:ilvl w:val="0"/>
          <w:numId w:val="75"/>
        </w:numPr>
        <w:rPr>
          <w:rFonts w:ascii="Arial" w:cs="Arial" w:eastAsia="Arial" w:hAnsi="Arial"/>
          <w:sz w:val="19"/>
          <w:szCs w:val="19"/>
          <w:color w:val="auto"/>
          <w:vertAlign w:val="superscript"/>
        </w:rPr>
      </w:pPr>
      <w:r>
        <w:rPr>
          <w:rFonts w:ascii="Arial" w:cs="Arial" w:eastAsia="Arial" w:hAnsi="Arial"/>
          <w:sz w:val="14"/>
          <w:szCs w:val="14"/>
          <w:color w:val="auto"/>
        </w:rPr>
        <w:t>Unless otherwise described in the footnotes below, the amounts reported represent the aggregate grant date fair value of the stock awards based on the closing price for a share of our Class A common stock as reported by Nasdaq on the day immediately preceding the grant date, calculated in accordance with ASC Topic 718.</w:t>
      </w:r>
    </w:p>
    <w:p>
      <w:pPr>
        <w:ind w:left="340" w:right="220" w:hanging="332"/>
        <w:spacing w:after="0" w:line="252" w:lineRule="auto"/>
        <w:tabs>
          <w:tab w:leader="none" w:pos="333" w:val="left"/>
        </w:tabs>
        <w:numPr>
          <w:ilvl w:val="0"/>
          <w:numId w:val="75"/>
        </w:numPr>
        <w:rPr>
          <w:rFonts w:ascii="Arial" w:cs="Arial" w:eastAsia="Arial" w:hAnsi="Arial"/>
          <w:sz w:val="9"/>
          <w:szCs w:val="9"/>
          <w:color w:val="auto"/>
        </w:rPr>
      </w:pPr>
      <w:r>
        <w:rPr>
          <w:rFonts w:ascii="Arial" w:cs="Arial" w:eastAsia="Arial" w:hAnsi="Arial"/>
          <w:sz w:val="14"/>
          <w:szCs w:val="14"/>
          <w:color w:val="auto"/>
        </w:rPr>
        <w:t>The amounts reported represent the amounts payable under our cash bonus plans for 2021, 2022, and 2023, respectively. See “</w:t>
      </w:r>
      <w:r>
        <w:rPr>
          <w:rFonts w:ascii="Arial" w:cs="Arial" w:eastAsia="Arial" w:hAnsi="Arial"/>
          <w:sz w:val="14"/>
          <w:szCs w:val="14"/>
          <w:i w:val="1"/>
          <w:iCs w:val="1"/>
          <w:color w:val="auto"/>
        </w:rPr>
        <w:t>Compensation Elements—Annual Cash</w:t>
      </w:r>
      <w:r>
        <w:rPr>
          <w:rFonts w:ascii="Arial" w:cs="Arial" w:eastAsia="Arial" w:hAnsi="Arial"/>
          <w:sz w:val="14"/>
          <w:szCs w:val="14"/>
          <w:color w:val="auto"/>
        </w:rPr>
        <w:t xml:space="preserve"> </w:t>
      </w:r>
      <w:r>
        <w:rPr>
          <w:rFonts w:ascii="Arial" w:cs="Arial" w:eastAsia="Arial" w:hAnsi="Arial"/>
          <w:sz w:val="14"/>
          <w:szCs w:val="14"/>
          <w:i w:val="1"/>
          <w:iCs w:val="1"/>
          <w:color w:val="auto"/>
        </w:rPr>
        <w:t>Bonuses</w:t>
      </w:r>
      <w:r>
        <w:rPr>
          <w:rFonts w:ascii="Arial" w:cs="Arial" w:eastAsia="Arial" w:hAnsi="Arial"/>
          <w:sz w:val="14"/>
          <w:szCs w:val="14"/>
          <w:color w:val="auto"/>
        </w:rPr>
        <w:t>” above.</w:t>
      </w:r>
    </w:p>
    <w:p>
      <w:pPr>
        <w:ind w:left="320" w:hanging="312"/>
        <w:spacing w:after="0" w:line="206" w:lineRule="auto"/>
        <w:tabs>
          <w:tab w:leader="none" w:pos="320" w:val="left"/>
        </w:tabs>
        <w:numPr>
          <w:ilvl w:val="0"/>
          <w:numId w:val="75"/>
        </w:numPr>
        <w:rPr>
          <w:rFonts w:ascii="Arial" w:cs="Arial" w:eastAsia="Arial" w:hAnsi="Arial"/>
          <w:sz w:val="19"/>
          <w:szCs w:val="19"/>
          <w:color w:val="auto"/>
          <w:vertAlign w:val="superscript"/>
        </w:rPr>
      </w:pPr>
      <w:r>
        <w:rPr>
          <w:rFonts w:ascii="Arial" w:cs="Arial" w:eastAsia="Arial" w:hAnsi="Arial"/>
          <w:sz w:val="14"/>
          <w:szCs w:val="14"/>
          <w:color w:val="auto"/>
        </w:rPr>
        <w:t>Unless otherwise noted, the amount reported reflects matching 401(k) contributions in 2021, 2022 and 2023.</w:t>
      </w:r>
    </w:p>
    <w:p>
      <w:pPr>
        <w:ind w:left="320" w:hanging="312"/>
        <w:spacing w:after="0" w:line="193" w:lineRule="auto"/>
        <w:tabs>
          <w:tab w:leader="none" w:pos="320" w:val="left"/>
        </w:tabs>
        <w:numPr>
          <w:ilvl w:val="0"/>
          <w:numId w:val="75"/>
        </w:numPr>
        <w:rPr>
          <w:rFonts w:ascii="Arial" w:cs="Arial" w:eastAsia="Arial" w:hAnsi="Arial"/>
          <w:sz w:val="19"/>
          <w:szCs w:val="19"/>
          <w:color w:val="auto"/>
          <w:vertAlign w:val="superscript"/>
        </w:rPr>
      </w:pPr>
      <w:r>
        <w:rPr>
          <w:rFonts w:ascii="Arial" w:cs="Arial" w:eastAsia="Arial" w:hAnsi="Arial"/>
          <w:sz w:val="14"/>
          <w:szCs w:val="14"/>
          <w:color w:val="auto"/>
        </w:rPr>
        <w:t>Includes expenses related to security programs and related costs.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212"/>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color w:val="0063A6"/>
        </w:rPr>
        <w:t>Grants of Plan-Based Awards in 2023</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all plan-based awards granted to our named executive officers during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132080</wp:posOffset>
            </wp:positionV>
            <wp:extent cx="4509135" cy="14147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09135" cy="141478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680" w:type="dxa"/>
            <w:vAlign w:val="bottom"/>
            <w:shd w:val="clear" w:color="auto" w:fill="0063A6"/>
          </w:tcPr>
          <w:p>
            <w:pPr>
              <w:spacing w:after="0"/>
              <w:rPr>
                <w:sz w:val="22"/>
                <w:szCs w:val="22"/>
                <w:color w:val="auto"/>
              </w:rPr>
            </w:pPr>
          </w:p>
        </w:tc>
        <w:tc>
          <w:tcPr>
            <w:tcW w:w="1240" w:type="dxa"/>
            <w:vAlign w:val="bottom"/>
            <w:shd w:val="clear" w:color="auto" w:fill="0063A6"/>
          </w:tcPr>
          <w:p>
            <w:pPr>
              <w:spacing w:after="0"/>
              <w:rPr>
                <w:sz w:val="22"/>
                <w:szCs w:val="22"/>
                <w:color w:val="auto"/>
              </w:rPr>
            </w:pPr>
          </w:p>
        </w:tc>
        <w:tc>
          <w:tcPr>
            <w:tcW w:w="1240" w:type="dxa"/>
            <w:vAlign w:val="bottom"/>
            <w:shd w:val="clear" w:color="auto" w:fill="0063A6"/>
          </w:tcPr>
          <w:p>
            <w:pPr>
              <w:spacing w:after="0"/>
              <w:rPr>
                <w:sz w:val="22"/>
                <w:szCs w:val="22"/>
                <w:color w:val="auto"/>
              </w:rPr>
            </w:pPr>
          </w:p>
        </w:tc>
        <w:tc>
          <w:tcPr>
            <w:tcW w:w="3440" w:type="dxa"/>
            <w:vAlign w:val="bottom"/>
            <w:gridSpan w:val="3"/>
            <w:shd w:val="clear" w:color="auto" w:fill="0063A6"/>
          </w:tcPr>
          <w:p>
            <w:pPr>
              <w:jc w:val="center"/>
              <w:spacing w:after="0"/>
              <w:rPr>
                <w:sz w:val="20"/>
                <w:szCs w:val="20"/>
                <w:color w:val="auto"/>
              </w:rPr>
            </w:pPr>
            <w:r>
              <w:rPr>
                <w:rFonts w:ascii="Arial" w:cs="Arial" w:eastAsia="Arial" w:hAnsi="Arial"/>
                <w:sz w:val="14"/>
                <w:szCs w:val="14"/>
                <w:b w:val="1"/>
                <w:bCs w:val="1"/>
                <w:color w:val="FFFFFF"/>
              </w:rPr>
              <w:t>Estimated Future Payouts Under</w:t>
            </w: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All Other</w:t>
            </w:r>
          </w:p>
        </w:tc>
        <w:tc>
          <w:tcPr>
            <w:tcW w:w="1480" w:type="dxa"/>
            <w:vAlign w:val="bottom"/>
            <w:shd w:val="clear" w:color="auto" w:fill="0063A6"/>
          </w:tcPr>
          <w:p>
            <w:pPr>
              <w:spacing w:after="0"/>
              <w:rPr>
                <w:sz w:val="22"/>
                <w:szCs w:val="22"/>
                <w:color w:val="auto"/>
              </w:rPr>
            </w:pPr>
          </w:p>
        </w:tc>
      </w:tr>
      <w:tr>
        <w:trPr>
          <w:trHeight w:val="171"/>
        </w:trPr>
        <w:tc>
          <w:tcPr>
            <w:tcW w:w="2680" w:type="dxa"/>
            <w:vAlign w:val="bottom"/>
            <w:shd w:val="clear" w:color="auto" w:fill="0063A6"/>
          </w:tcPr>
          <w:p>
            <w:pPr>
              <w:spacing w:after="0"/>
              <w:rPr>
                <w:sz w:val="14"/>
                <w:szCs w:val="14"/>
                <w:color w:val="auto"/>
              </w:rPr>
            </w:pPr>
          </w:p>
        </w:tc>
        <w:tc>
          <w:tcPr>
            <w:tcW w:w="1240" w:type="dxa"/>
            <w:vAlign w:val="bottom"/>
            <w:shd w:val="clear" w:color="auto" w:fill="0063A6"/>
          </w:tcPr>
          <w:p>
            <w:pPr>
              <w:spacing w:after="0"/>
              <w:rPr>
                <w:sz w:val="14"/>
                <w:szCs w:val="14"/>
                <w:color w:val="auto"/>
              </w:rPr>
            </w:pPr>
          </w:p>
        </w:tc>
        <w:tc>
          <w:tcPr>
            <w:tcW w:w="1240" w:type="dxa"/>
            <w:vAlign w:val="bottom"/>
            <w:shd w:val="clear" w:color="auto" w:fill="0063A6"/>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15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Non-Equity Incentive</w:t>
            </w:r>
          </w:p>
        </w:tc>
        <w:tc>
          <w:tcPr>
            <w:tcW w:w="960" w:type="dxa"/>
            <w:vAlign w:val="bottom"/>
            <w:shd w:val="clear" w:color="auto" w:fill="0063A6"/>
          </w:tcPr>
          <w:p>
            <w:pPr>
              <w:spacing w:after="0"/>
              <w:rPr>
                <w:sz w:val="14"/>
                <w:szCs w:val="14"/>
                <w:color w:val="auto"/>
              </w:rPr>
            </w:pP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Stock</w:t>
            </w:r>
          </w:p>
        </w:tc>
        <w:tc>
          <w:tcPr>
            <w:tcW w:w="1480" w:type="dxa"/>
            <w:vAlign w:val="bottom"/>
            <w:shd w:val="clear" w:color="auto" w:fill="0063A6"/>
          </w:tcPr>
          <w:p>
            <w:pPr>
              <w:spacing w:after="0"/>
              <w:rPr>
                <w:sz w:val="14"/>
                <w:szCs w:val="14"/>
                <w:color w:val="auto"/>
              </w:rPr>
            </w:pPr>
          </w:p>
        </w:tc>
      </w:tr>
      <w:tr>
        <w:trPr>
          <w:trHeight w:val="162"/>
        </w:trPr>
        <w:tc>
          <w:tcPr>
            <w:tcW w:w="2680" w:type="dxa"/>
            <w:vAlign w:val="bottom"/>
            <w:shd w:val="clear" w:color="auto" w:fill="0063A6"/>
          </w:tcPr>
          <w:p>
            <w:pPr>
              <w:spacing w:after="0"/>
              <w:rPr>
                <w:sz w:val="14"/>
                <w:szCs w:val="14"/>
                <w:color w:val="auto"/>
              </w:rPr>
            </w:pPr>
          </w:p>
        </w:tc>
        <w:tc>
          <w:tcPr>
            <w:tcW w:w="1240" w:type="dxa"/>
            <w:vAlign w:val="bottom"/>
            <w:shd w:val="clear" w:color="auto" w:fill="0063A6"/>
          </w:tcPr>
          <w:p>
            <w:pPr>
              <w:spacing w:after="0"/>
              <w:rPr>
                <w:sz w:val="14"/>
                <w:szCs w:val="14"/>
                <w:color w:val="auto"/>
              </w:rPr>
            </w:pPr>
          </w:p>
        </w:tc>
        <w:tc>
          <w:tcPr>
            <w:tcW w:w="1240" w:type="dxa"/>
            <w:vAlign w:val="bottom"/>
            <w:shd w:val="clear" w:color="auto" w:fill="0063A6"/>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1520" w:type="dxa"/>
            <w:vAlign w:val="bottom"/>
            <w:shd w:val="clear" w:color="auto" w:fill="0063A6"/>
          </w:tcPr>
          <w:p>
            <w:pPr>
              <w:jc w:val="center"/>
              <w:spacing w:after="0" w:line="162" w:lineRule="exact"/>
              <w:rPr>
                <w:sz w:val="20"/>
                <w:szCs w:val="20"/>
                <w:color w:val="auto"/>
              </w:rPr>
            </w:pPr>
            <w:r>
              <w:rPr>
                <w:rFonts w:ascii="Arial" w:cs="Arial" w:eastAsia="Arial" w:hAnsi="Arial"/>
                <w:sz w:val="14"/>
                <w:szCs w:val="14"/>
                <w:b w:val="1"/>
                <w:bCs w:val="1"/>
                <w:color w:val="FFFFFF"/>
                <w:w w:val="98"/>
              </w:rPr>
              <w:t>Plan Awards ($)</w:t>
            </w:r>
            <w:r>
              <w:rPr>
                <w:rFonts w:ascii="Arial" w:cs="Arial" w:eastAsia="Arial" w:hAnsi="Arial"/>
                <w:sz w:val="18"/>
                <w:szCs w:val="18"/>
                <w:b w:val="1"/>
                <w:bCs w:val="1"/>
                <w:color w:val="FFFFFF"/>
                <w:w w:val="98"/>
                <w:vertAlign w:val="superscript"/>
              </w:rPr>
              <w:t>(1)</w:t>
            </w:r>
          </w:p>
        </w:tc>
        <w:tc>
          <w:tcPr>
            <w:tcW w:w="960" w:type="dxa"/>
            <w:vAlign w:val="bottom"/>
            <w:shd w:val="clear" w:color="auto" w:fill="0063A6"/>
          </w:tcPr>
          <w:p>
            <w:pPr>
              <w:spacing w:after="0"/>
              <w:rPr>
                <w:sz w:val="14"/>
                <w:szCs w:val="14"/>
                <w:color w:val="auto"/>
              </w:rPr>
            </w:pPr>
          </w:p>
        </w:tc>
        <w:tc>
          <w:tcPr>
            <w:tcW w:w="11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Awards:</w:t>
            </w:r>
          </w:p>
        </w:tc>
        <w:tc>
          <w:tcPr>
            <w:tcW w:w="1480" w:type="dxa"/>
            <w:vAlign w:val="bottom"/>
            <w:shd w:val="clear" w:color="auto" w:fill="0063A6"/>
          </w:tcPr>
          <w:p>
            <w:pPr>
              <w:spacing w:after="0"/>
              <w:rPr>
                <w:sz w:val="14"/>
                <w:szCs w:val="14"/>
                <w:color w:val="auto"/>
              </w:rPr>
            </w:pPr>
          </w:p>
        </w:tc>
      </w:tr>
      <w:tr>
        <w:trPr>
          <w:trHeight w:val="153"/>
        </w:trPr>
        <w:tc>
          <w:tcPr>
            <w:tcW w:w="2680" w:type="dxa"/>
            <w:vAlign w:val="bottom"/>
            <w:shd w:val="clear" w:color="auto" w:fill="0063A6"/>
          </w:tcPr>
          <w:p>
            <w:pPr>
              <w:spacing w:after="0"/>
              <w:rPr>
                <w:sz w:val="13"/>
                <w:szCs w:val="13"/>
                <w:color w:val="auto"/>
              </w:rPr>
            </w:pPr>
          </w:p>
        </w:tc>
        <w:tc>
          <w:tcPr>
            <w:tcW w:w="1240" w:type="dxa"/>
            <w:vAlign w:val="bottom"/>
            <w:shd w:val="clear" w:color="auto" w:fill="0063A6"/>
          </w:tcPr>
          <w:p>
            <w:pPr>
              <w:spacing w:after="0"/>
              <w:rPr>
                <w:sz w:val="13"/>
                <w:szCs w:val="13"/>
                <w:color w:val="auto"/>
              </w:rPr>
            </w:pPr>
          </w:p>
        </w:tc>
        <w:tc>
          <w:tcPr>
            <w:tcW w:w="1240" w:type="dxa"/>
            <w:vAlign w:val="bottom"/>
            <w:shd w:val="clear" w:color="auto" w:fill="0063A6"/>
          </w:tcPr>
          <w:p>
            <w:pPr>
              <w:spacing w:after="0"/>
              <w:rPr>
                <w:sz w:val="13"/>
                <w:szCs w:val="13"/>
                <w:color w:val="auto"/>
              </w:rPr>
            </w:pPr>
          </w:p>
        </w:tc>
        <w:tc>
          <w:tcPr>
            <w:tcW w:w="960" w:type="dxa"/>
            <w:vAlign w:val="bottom"/>
            <w:shd w:val="clear" w:color="auto" w:fill="0063A6"/>
          </w:tcPr>
          <w:p>
            <w:pPr>
              <w:spacing w:after="0"/>
              <w:rPr>
                <w:sz w:val="13"/>
                <w:szCs w:val="13"/>
                <w:color w:val="auto"/>
              </w:rPr>
            </w:pPr>
          </w:p>
        </w:tc>
        <w:tc>
          <w:tcPr>
            <w:tcW w:w="1520" w:type="dxa"/>
            <w:vAlign w:val="bottom"/>
            <w:shd w:val="clear" w:color="auto" w:fill="0063A6"/>
          </w:tcPr>
          <w:p>
            <w:pPr>
              <w:spacing w:after="0"/>
              <w:rPr>
                <w:sz w:val="13"/>
                <w:szCs w:val="13"/>
                <w:color w:val="auto"/>
              </w:rPr>
            </w:pPr>
          </w:p>
        </w:tc>
        <w:tc>
          <w:tcPr>
            <w:tcW w:w="960" w:type="dxa"/>
            <w:vAlign w:val="bottom"/>
            <w:shd w:val="clear" w:color="auto" w:fill="0063A6"/>
          </w:tcPr>
          <w:p>
            <w:pPr>
              <w:spacing w:after="0"/>
              <w:rPr>
                <w:sz w:val="13"/>
                <w:szCs w:val="13"/>
                <w:color w:val="auto"/>
              </w:rPr>
            </w:pPr>
          </w:p>
        </w:tc>
        <w:tc>
          <w:tcPr>
            <w:tcW w:w="1160" w:type="dxa"/>
            <w:vAlign w:val="bottom"/>
            <w:shd w:val="clear" w:color="auto" w:fill="0063A6"/>
          </w:tcPr>
          <w:p>
            <w:pPr>
              <w:jc w:val="center"/>
              <w:spacing w:after="0" w:line="153" w:lineRule="exact"/>
              <w:rPr>
                <w:sz w:val="20"/>
                <w:szCs w:val="20"/>
                <w:color w:val="auto"/>
              </w:rPr>
            </w:pPr>
            <w:r>
              <w:rPr>
                <w:rFonts w:ascii="Arial" w:cs="Arial" w:eastAsia="Arial" w:hAnsi="Arial"/>
                <w:sz w:val="14"/>
                <w:szCs w:val="14"/>
                <w:b w:val="1"/>
                <w:bCs w:val="1"/>
                <w:color w:val="FFFFFF"/>
              </w:rPr>
              <w:t>Number of</w:t>
            </w:r>
          </w:p>
        </w:tc>
        <w:tc>
          <w:tcPr>
            <w:tcW w:w="1480" w:type="dxa"/>
            <w:vAlign w:val="bottom"/>
            <w:shd w:val="clear" w:color="auto" w:fill="0063A6"/>
          </w:tcPr>
          <w:p>
            <w:pPr>
              <w:jc w:val="center"/>
              <w:spacing w:after="0" w:line="153" w:lineRule="exact"/>
              <w:rPr>
                <w:sz w:val="20"/>
                <w:szCs w:val="20"/>
                <w:color w:val="auto"/>
              </w:rPr>
            </w:pPr>
            <w:r>
              <w:rPr>
                <w:rFonts w:ascii="Arial" w:cs="Arial" w:eastAsia="Arial" w:hAnsi="Arial"/>
                <w:sz w:val="14"/>
                <w:szCs w:val="14"/>
                <w:b w:val="1"/>
                <w:bCs w:val="1"/>
                <w:color w:val="FFFFFF"/>
              </w:rPr>
              <w:t>Grant Date</w:t>
            </w:r>
          </w:p>
        </w:tc>
      </w:tr>
      <w:tr>
        <w:trPr>
          <w:trHeight w:val="246"/>
        </w:trPr>
        <w:tc>
          <w:tcPr>
            <w:tcW w:w="268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p>
        </w:tc>
        <w:tc>
          <w:tcPr>
            <w:tcW w:w="1240" w:type="dxa"/>
            <w:vAlign w:val="bottom"/>
            <w:tcBorders>
              <w:bottom w:val="single" w:sz="8" w:color="0063A6"/>
            </w:tcBorders>
            <w:shd w:val="clear" w:color="auto" w:fill="0063A6"/>
          </w:tcPr>
          <w:p>
            <w:pPr>
              <w:ind w:left="260"/>
              <w:spacing w:after="0"/>
              <w:rPr>
                <w:sz w:val="20"/>
                <w:szCs w:val="20"/>
                <w:color w:val="auto"/>
              </w:rPr>
            </w:pPr>
            <w:r>
              <w:rPr>
                <w:rFonts w:ascii="Arial" w:cs="Arial" w:eastAsia="Arial" w:hAnsi="Arial"/>
                <w:sz w:val="14"/>
                <w:szCs w:val="14"/>
                <w:b w:val="1"/>
                <w:bCs w:val="1"/>
                <w:color w:val="FFFFFF"/>
              </w:rPr>
              <w:t>Grant Date</w:t>
            </w:r>
          </w:p>
        </w:tc>
        <w:tc>
          <w:tcPr>
            <w:tcW w:w="1240" w:type="dxa"/>
            <w:vAlign w:val="bottom"/>
            <w:tcBorders>
              <w:bottom w:val="single" w:sz="8" w:color="0063A6"/>
            </w:tcBorders>
            <w:shd w:val="clear" w:color="auto" w:fill="0063A6"/>
          </w:tcPr>
          <w:p>
            <w:pPr>
              <w:ind w:left="140"/>
              <w:spacing w:after="0"/>
              <w:rPr>
                <w:sz w:val="20"/>
                <w:szCs w:val="20"/>
                <w:color w:val="auto"/>
              </w:rPr>
            </w:pPr>
            <w:r>
              <w:rPr>
                <w:rFonts w:ascii="Arial" w:cs="Arial" w:eastAsia="Arial" w:hAnsi="Arial"/>
                <w:sz w:val="14"/>
                <w:szCs w:val="14"/>
                <w:b w:val="1"/>
                <w:bCs w:val="1"/>
                <w:color w:val="FFFFFF"/>
              </w:rPr>
              <w:t>Approval Date</w:t>
            </w:r>
          </w:p>
        </w:tc>
        <w:tc>
          <w:tcPr>
            <w:tcW w:w="960" w:type="dxa"/>
            <w:vAlign w:val="bottom"/>
            <w:tcBorders>
              <w:bottom w:val="single" w:sz="8" w:color="0063A6"/>
            </w:tcBorders>
            <w:shd w:val="clear" w:color="auto" w:fill="0063A6"/>
          </w:tcPr>
          <w:p>
            <w:pPr>
              <w:ind w:left="240"/>
              <w:spacing w:after="0"/>
              <w:rPr>
                <w:sz w:val="20"/>
                <w:szCs w:val="20"/>
                <w:color w:val="auto"/>
              </w:rPr>
            </w:pPr>
            <w:r>
              <w:rPr>
                <w:rFonts w:ascii="Arial" w:cs="Arial" w:eastAsia="Arial" w:hAnsi="Arial"/>
                <w:sz w:val="14"/>
                <w:szCs w:val="14"/>
                <w:b w:val="1"/>
                <w:bCs w:val="1"/>
                <w:color w:val="FFFFFF"/>
              </w:rPr>
              <w:t>Threshold</w:t>
            </w:r>
          </w:p>
        </w:tc>
        <w:tc>
          <w:tcPr>
            <w:tcW w:w="15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96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Maximum</w:t>
            </w:r>
          </w:p>
        </w:tc>
        <w:tc>
          <w:tcPr>
            <w:tcW w:w="11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w:t>
            </w:r>
          </w:p>
        </w:tc>
        <w:tc>
          <w:tcPr>
            <w:tcW w:w="14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7"/>
              </w:rPr>
              <w:t>Fair Value ($)</w:t>
            </w:r>
            <w:r>
              <w:rPr>
                <w:rFonts w:ascii="Arial" w:cs="Arial" w:eastAsia="Arial" w:hAnsi="Arial"/>
                <w:sz w:val="18"/>
                <w:szCs w:val="18"/>
                <w:b w:val="1"/>
                <w:bCs w:val="1"/>
                <w:color w:val="FFFFFF"/>
                <w:w w:val="97"/>
                <w:vertAlign w:val="superscript"/>
              </w:rPr>
              <w:t>(2)</w:t>
            </w:r>
          </w:p>
        </w:tc>
      </w:tr>
      <w:tr>
        <w:trPr>
          <w:trHeight w:val="223"/>
        </w:trPr>
        <w:tc>
          <w:tcPr>
            <w:tcW w:w="26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F2F2F2"/>
            </w:tcBorders>
            <w:shd w:val="clear" w:color="auto" w:fill="F2F2F2"/>
          </w:tcPr>
          <w:p>
            <w:pPr>
              <w:jc w:val="center"/>
              <w:ind w:left="122"/>
              <w:spacing w:after="0"/>
              <w:rPr>
                <w:sz w:val="20"/>
                <w:szCs w:val="20"/>
                <w:color w:val="auto"/>
              </w:rPr>
            </w:pPr>
            <w:r>
              <w:rPr>
                <w:rFonts w:ascii="Arial" w:cs="Arial" w:eastAsia="Arial" w:hAnsi="Arial"/>
                <w:sz w:val="16"/>
                <w:szCs w:val="16"/>
                <w:color w:val="auto"/>
              </w:rPr>
              <w:t>234,375</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625,000</w:t>
            </w:r>
          </w:p>
        </w:tc>
        <w:tc>
          <w:tcPr>
            <w:tcW w:w="960" w:type="dxa"/>
            <w:vAlign w:val="bottom"/>
            <w:tcBorders>
              <w:bottom w:val="single" w:sz="8" w:color="F2F2F2"/>
            </w:tcBorders>
            <w:shd w:val="clear" w:color="auto" w:fill="F2F2F2"/>
          </w:tcPr>
          <w:p>
            <w:pPr>
              <w:jc w:val="center"/>
              <w:ind w:right="81"/>
              <w:spacing w:after="0"/>
              <w:rPr>
                <w:sz w:val="20"/>
                <w:szCs w:val="20"/>
                <w:color w:val="auto"/>
              </w:rPr>
            </w:pPr>
            <w:r>
              <w:rPr>
                <w:rFonts w:ascii="Arial" w:cs="Arial" w:eastAsia="Arial" w:hAnsi="Arial"/>
                <w:sz w:val="16"/>
                <w:szCs w:val="16"/>
                <w:color w:val="auto"/>
              </w:rPr>
              <w:t>1,171,875</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r>
      <w:tr>
        <w:trPr>
          <w:trHeight w:val="215"/>
        </w:trPr>
        <w:tc>
          <w:tcPr>
            <w:tcW w:w="268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ind w:left="122"/>
              <w:spacing w:after="0"/>
              <w:rPr>
                <w:sz w:val="20"/>
                <w:szCs w:val="20"/>
                <w:color w:val="auto"/>
              </w:rPr>
            </w:pPr>
            <w:r>
              <w:rPr>
                <w:rFonts w:ascii="Arial" w:cs="Arial" w:eastAsia="Arial" w:hAnsi="Arial"/>
                <w:sz w:val="16"/>
                <w:szCs w:val="16"/>
                <w:color w:val="auto"/>
              </w:rPr>
              <w:t>168,143</w:t>
            </w:r>
          </w:p>
        </w:tc>
        <w:tc>
          <w:tcPr>
            <w:tcW w:w="1520" w:type="dxa"/>
            <w:vAlign w:val="bottom"/>
          </w:tcPr>
          <w:p>
            <w:pPr>
              <w:jc w:val="center"/>
              <w:spacing w:after="0"/>
              <w:rPr>
                <w:sz w:val="20"/>
                <w:szCs w:val="20"/>
                <w:color w:val="auto"/>
              </w:rPr>
            </w:pPr>
            <w:r>
              <w:rPr>
                <w:rFonts w:ascii="Arial" w:cs="Arial" w:eastAsia="Arial" w:hAnsi="Arial"/>
                <w:sz w:val="16"/>
                <w:szCs w:val="16"/>
                <w:color w:val="auto"/>
              </w:rPr>
              <w:t>448,383</w:t>
            </w:r>
          </w:p>
        </w:tc>
        <w:tc>
          <w:tcPr>
            <w:tcW w:w="960" w:type="dxa"/>
            <w:vAlign w:val="bottom"/>
          </w:tcPr>
          <w:p>
            <w:pPr>
              <w:jc w:val="center"/>
              <w:ind w:right="101"/>
              <w:spacing w:after="0"/>
              <w:rPr>
                <w:sz w:val="20"/>
                <w:szCs w:val="20"/>
                <w:color w:val="auto"/>
              </w:rPr>
            </w:pPr>
            <w:r>
              <w:rPr>
                <w:rFonts w:ascii="Arial" w:cs="Arial" w:eastAsia="Arial" w:hAnsi="Arial"/>
                <w:sz w:val="16"/>
                <w:szCs w:val="16"/>
                <w:color w:val="auto"/>
              </w:rPr>
              <w:t>840,718</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2"/>
        </w:trPr>
        <w:tc>
          <w:tcPr>
            <w:tcW w:w="26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4/1/2023</w:t>
            </w:r>
          </w:p>
        </w:tc>
        <w:tc>
          <w:tcPr>
            <w:tcW w:w="1240" w:type="dxa"/>
            <w:vAlign w:val="bottom"/>
          </w:tcPr>
          <w:p>
            <w:pPr>
              <w:jc w:val="center"/>
              <w:spacing w:after="0"/>
              <w:rPr>
                <w:sz w:val="20"/>
                <w:szCs w:val="20"/>
                <w:color w:val="auto"/>
              </w:rPr>
            </w:pPr>
            <w:r>
              <w:rPr>
                <w:rFonts w:ascii="Arial" w:cs="Arial" w:eastAsia="Arial" w:hAnsi="Arial"/>
                <w:sz w:val="16"/>
                <w:szCs w:val="16"/>
                <w:color w:val="auto"/>
              </w:rPr>
              <w:t>3/1/2023</w:t>
            </w:r>
          </w:p>
        </w:tc>
        <w:tc>
          <w:tcPr>
            <w:tcW w:w="9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220,222</w:t>
            </w:r>
          </w:p>
        </w:tc>
        <w:tc>
          <w:tcPr>
            <w:tcW w:w="1480" w:type="dxa"/>
            <w:vAlign w:val="bottom"/>
          </w:tcPr>
          <w:p>
            <w:pPr>
              <w:jc w:val="center"/>
              <w:spacing w:after="0"/>
              <w:rPr>
                <w:sz w:val="20"/>
                <w:szCs w:val="20"/>
                <w:color w:val="auto"/>
              </w:rPr>
            </w:pPr>
            <w:r>
              <w:rPr>
                <w:rFonts w:ascii="Arial" w:cs="Arial" w:eastAsia="Arial" w:hAnsi="Arial"/>
                <w:sz w:val="16"/>
                <w:szCs w:val="16"/>
                <w:color w:val="auto"/>
              </w:rPr>
              <w:t>4,761,200</w:t>
            </w:r>
          </w:p>
        </w:tc>
      </w:tr>
      <w:tr>
        <w:trPr>
          <w:trHeight w:val="29"/>
        </w:trPr>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26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F2F2F2"/>
            </w:tcBorders>
            <w:shd w:val="clear" w:color="auto" w:fill="F2F2F2"/>
          </w:tcPr>
          <w:p>
            <w:pPr>
              <w:jc w:val="center"/>
              <w:ind w:left="122"/>
              <w:spacing w:after="0"/>
              <w:rPr>
                <w:sz w:val="20"/>
                <w:szCs w:val="20"/>
                <w:color w:val="auto"/>
              </w:rPr>
            </w:pPr>
            <w:r>
              <w:rPr>
                <w:rFonts w:ascii="Arial" w:cs="Arial" w:eastAsia="Arial" w:hAnsi="Arial"/>
                <w:sz w:val="16"/>
                <w:szCs w:val="16"/>
                <w:color w:val="auto"/>
                <w:w w:val="99"/>
              </w:rPr>
              <w:t>—</w:t>
            </w:r>
          </w:p>
        </w:tc>
        <w:tc>
          <w:tcPr>
            <w:tcW w:w="15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Borders>
              <w:bottom w:val="single" w:sz="8" w:color="F2F2F2"/>
            </w:tcBorders>
            <w:shd w:val="clear" w:color="auto" w:fill="F2F2F2"/>
          </w:tcPr>
          <w:p>
            <w:pPr>
              <w:jc w:val="center"/>
              <w:ind w:right="81"/>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r>
      <w:tr>
        <w:trPr>
          <w:trHeight w:val="215"/>
        </w:trPr>
        <w:tc>
          <w:tcPr>
            <w:tcW w:w="268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tcPr>
          <w:p>
            <w:pPr>
              <w:jc w:val="center"/>
              <w:ind w:left="122"/>
              <w:spacing w:after="0"/>
              <w:rPr>
                <w:sz w:val="20"/>
                <w:szCs w:val="20"/>
                <w:color w:val="auto"/>
              </w:rPr>
            </w:pPr>
            <w:r>
              <w:rPr>
                <w:rFonts w:ascii="Arial" w:cs="Arial" w:eastAsia="Arial" w:hAnsi="Arial"/>
                <w:sz w:val="16"/>
                <w:szCs w:val="16"/>
                <w:color w:val="auto"/>
              </w:rPr>
              <w:t>138,736</w:t>
            </w:r>
          </w:p>
        </w:tc>
        <w:tc>
          <w:tcPr>
            <w:tcW w:w="1520" w:type="dxa"/>
            <w:vAlign w:val="bottom"/>
          </w:tcPr>
          <w:p>
            <w:pPr>
              <w:jc w:val="center"/>
              <w:spacing w:after="0"/>
              <w:rPr>
                <w:sz w:val="20"/>
                <w:szCs w:val="20"/>
                <w:color w:val="auto"/>
              </w:rPr>
            </w:pPr>
            <w:r>
              <w:rPr>
                <w:rFonts w:ascii="Arial" w:cs="Arial" w:eastAsia="Arial" w:hAnsi="Arial"/>
                <w:sz w:val="16"/>
                <w:szCs w:val="16"/>
                <w:color w:val="auto"/>
              </w:rPr>
              <w:t>369,965</w:t>
            </w:r>
          </w:p>
        </w:tc>
        <w:tc>
          <w:tcPr>
            <w:tcW w:w="960" w:type="dxa"/>
            <w:vAlign w:val="bottom"/>
          </w:tcPr>
          <w:p>
            <w:pPr>
              <w:jc w:val="center"/>
              <w:ind w:right="101"/>
              <w:spacing w:after="0"/>
              <w:rPr>
                <w:sz w:val="20"/>
                <w:szCs w:val="20"/>
                <w:color w:val="auto"/>
              </w:rPr>
            </w:pPr>
            <w:r>
              <w:rPr>
                <w:rFonts w:ascii="Arial" w:cs="Arial" w:eastAsia="Arial" w:hAnsi="Arial"/>
                <w:sz w:val="16"/>
                <w:szCs w:val="16"/>
                <w:color w:val="auto"/>
              </w:rPr>
              <w:t>693,684</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42"/>
        </w:trPr>
        <w:tc>
          <w:tcPr>
            <w:tcW w:w="26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4/1/2023</w:t>
            </w:r>
          </w:p>
        </w:tc>
        <w:tc>
          <w:tcPr>
            <w:tcW w:w="1240" w:type="dxa"/>
            <w:vAlign w:val="bottom"/>
          </w:tcPr>
          <w:p>
            <w:pPr>
              <w:jc w:val="center"/>
              <w:spacing w:after="0"/>
              <w:rPr>
                <w:sz w:val="20"/>
                <w:szCs w:val="20"/>
                <w:color w:val="auto"/>
              </w:rPr>
            </w:pPr>
            <w:r>
              <w:rPr>
                <w:rFonts w:ascii="Arial" w:cs="Arial" w:eastAsia="Arial" w:hAnsi="Arial"/>
                <w:sz w:val="16"/>
                <w:szCs w:val="16"/>
                <w:color w:val="auto"/>
              </w:rPr>
              <w:t>3/1/2023</w:t>
            </w:r>
          </w:p>
        </w:tc>
        <w:tc>
          <w:tcPr>
            <w:tcW w:w="9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rPr>
              <w:t>159,049</w:t>
            </w:r>
          </w:p>
        </w:tc>
        <w:tc>
          <w:tcPr>
            <w:tcW w:w="1480" w:type="dxa"/>
            <w:vAlign w:val="bottom"/>
          </w:tcPr>
          <w:p>
            <w:pPr>
              <w:jc w:val="center"/>
              <w:spacing w:after="0"/>
              <w:rPr>
                <w:sz w:val="20"/>
                <w:szCs w:val="20"/>
                <w:color w:val="auto"/>
              </w:rPr>
            </w:pPr>
            <w:r>
              <w:rPr>
                <w:rFonts w:ascii="Arial" w:cs="Arial" w:eastAsia="Arial" w:hAnsi="Arial"/>
                <w:sz w:val="16"/>
                <w:szCs w:val="16"/>
                <w:color w:val="auto"/>
              </w:rPr>
              <w:t>3,438,639</w:t>
            </w:r>
          </w:p>
        </w:tc>
      </w:tr>
      <w:tr>
        <w:trPr>
          <w:trHeight w:val="29"/>
        </w:trPr>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5"/>
        </w:trPr>
        <w:tc>
          <w:tcPr>
            <w:tcW w:w="2680" w:type="dxa"/>
            <w:vAlign w:val="bottom"/>
            <w:shd w:val="clear" w:color="auto" w:fill="F2F2F2"/>
          </w:tcPr>
          <w:p>
            <w:pPr>
              <w:ind w:left="60"/>
              <w:spacing w:after="0"/>
              <w:rPr>
                <w:sz w:val="20"/>
                <w:szCs w:val="20"/>
                <w:color w:val="auto"/>
              </w:rPr>
            </w:pPr>
            <w:r>
              <w:rPr>
                <w:rFonts w:ascii="Arial" w:cs="Arial" w:eastAsia="Arial" w:hAnsi="Arial"/>
                <w:sz w:val="16"/>
                <w:szCs w:val="16"/>
                <w:color w:val="auto"/>
              </w:rPr>
              <w:t>Eric Cox</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2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F2F2F2"/>
          </w:tcPr>
          <w:p>
            <w:pPr>
              <w:jc w:val="center"/>
              <w:ind w:left="122"/>
              <w:spacing w:after="0"/>
              <w:rPr>
                <w:sz w:val="20"/>
                <w:szCs w:val="20"/>
                <w:color w:val="auto"/>
              </w:rPr>
            </w:pPr>
            <w:r>
              <w:rPr>
                <w:rFonts w:ascii="Arial" w:cs="Arial" w:eastAsia="Arial" w:hAnsi="Arial"/>
                <w:sz w:val="16"/>
                <w:szCs w:val="16"/>
                <w:color w:val="auto"/>
                <w:w w:val="99"/>
              </w:rPr>
              <w:t>—</w:t>
            </w:r>
          </w:p>
        </w:tc>
        <w:tc>
          <w:tcPr>
            <w:tcW w:w="15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F2F2F2"/>
          </w:tcPr>
          <w:p>
            <w:pPr>
              <w:jc w:val="center"/>
              <w:ind w:right="81"/>
              <w:spacing w:after="0"/>
              <w:rPr>
                <w:sz w:val="20"/>
                <w:szCs w:val="20"/>
                <w:color w:val="auto"/>
              </w:rPr>
            </w:pPr>
            <w:r>
              <w:rPr>
                <w:rFonts w:ascii="Arial" w:cs="Arial" w:eastAsia="Arial" w:hAnsi="Arial"/>
                <w:sz w:val="16"/>
                <w:szCs w:val="16"/>
                <w:color w:val="auto"/>
                <w:w w:val="99"/>
              </w:rPr>
              <w:t>—</w:t>
            </w:r>
          </w:p>
        </w:tc>
        <w:tc>
          <w:tcPr>
            <w:tcW w:w="11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r>
      <w:tr>
        <w:trPr>
          <w:trHeight w:val="28"/>
        </w:trPr>
        <w:tc>
          <w:tcPr>
            <w:tcW w:w="2680" w:type="dxa"/>
            <w:vAlign w:val="bottom"/>
            <w:shd w:val="clear" w:color="auto" w:fill="F2F2F2"/>
          </w:tcPr>
          <w:p>
            <w:pPr>
              <w:spacing w:after="0"/>
              <w:rPr>
                <w:sz w:val="2"/>
                <w:szCs w:val="2"/>
                <w:color w:val="auto"/>
              </w:rPr>
            </w:pPr>
          </w:p>
        </w:tc>
        <w:tc>
          <w:tcPr>
            <w:tcW w:w="1240" w:type="dxa"/>
            <w:vAlign w:val="bottom"/>
            <w:shd w:val="clear" w:color="auto" w:fill="F2F2F2"/>
          </w:tcPr>
          <w:p>
            <w:pPr>
              <w:spacing w:after="0"/>
              <w:rPr>
                <w:sz w:val="2"/>
                <w:szCs w:val="2"/>
                <w:color w:val="auto"/>
              </w:rPr>
            </w:pPr>
          </w:p>
        </w:tc>
        <w:tc>
          <w:tcPr>
            <w:tcW w:w="1240" w:type="dxa"/>
            <w:vAlign w:val="bottom"/>
            <w:shd w:val="clear" w:color="auto" w:fill="F2F2F2"/>
          </w:tcPr>
          <w:p>
            <w:pPr>
              <w:spacing w:after="0"/>
              <w:rPr>
                <w:sz w:val="2"/>
                <w:szCs w:val="2"/>
                <w:color w:val="auto"/>
              </w:rPr>
            </w:pPr>
          </w:p>
        </w:tc>
        <w:tc>
          <w:tcPr>
            <w:tcW w:w="960" w:type="dxa"/>
            <w:vAlign w:val="bottom"/>
            <w:shd w:val="clear" w:color="auto" w:fill="F2F2F2"/>
          </w:tcPr>
          <w:p>
            <w:pPr>
              <w:spacing w:after="0"/>
              <w:rPr>
                <w:sz w:val="2"/>
                <w:szCs w:val="2"/>
                <w:color w:val="auto"/>
              </w:rPr>
            </w:pPr>
          </w:p>
        </w:tc>
        <w:tc>
          <w:tcPr>
            <w:tcW w:w="1520" w:type="dxa"/>
            <w:vAlign w:val="bottom"/>
            <w:shd w:val="clear" w:color="auto" w:fill="F2F2F2"/>
          </w:tcPr>
          <w:p>
            <w:pPr>
              <w:spacing w:after="0"/>
              <w:rPr>
                <w:sz w:val="2"/>
                <w:szCs w:val="2"/>
                <w:color w:val="auto"/>
              </w:rPr>
            </w:pPr>
          </w:p>
        </w:tc>
        <w:tc>
          <w:tcPr>
            <w:tcW w:w="960" w:type="dxa"/>
            <w:vAlign w:val="bottom"/>
            <w:shd w:val="clear" w:color="auto" w:fill="F2F2F2"/>
          </w:tcPr>
          <w:p>
            <w:pPr>
              <w:spacing w:after="0"/>
              <w:rPr>
                <w:sz w:val="2"/>
                <w:szCs w:val="2"/>
                <w:color w:val="auto"/>
              </w:rPr>
            </w:pPr>
          </w:p>
        </w:tc>
        <w:tc>
          <w:tcPr>
            <w:tcW w:w="1160" w:type="dxa"/>
            <w:vAlign w:val="bottom"/>
            <w:shd w:val="clear" w:color="auto" w:fill="F2F2F2"/>
          </w:tcPr>
          <w:p>
            <w:pPr>
              <w:spacing w:after="0"/>
              <w:rPr>
                <w:sz w:val="2"/>
                <w:szCs w:val="2"/>
                <w:color w:val="auto"/>
              </w:rPr>
            </w:pPr>
          </w:p>
        </w:tc>
        <w:tc>
          <w:tcPr>
            <w:tcW w:w="1480" w:type="dxa"/>
            <w:vAlign w:val="bottom"/>
            <w:shd w:val="clear" w:color="auto" w:fill="F2F2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-153670</wp:posOffset>
            </wp:positionV>
            <wp:extent cx="17145"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-153670</wp:posOffset>
            </wp:positionV>
            <wp:extent cx="17145"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-153670</wp:posOffset>
            </wp:positionV>
            <wp:extent cx="17145"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-153670</wp:posOffset>
            </wp:positionV>
            <wp:extent cx="17145"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-153670</wp:posOffset>
            </wp:positionV>
            <wp:extent cx="17145"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-153670</wp:posOffset>
            </wp:positionV>
            <wp:extent cx="17145"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-153670</wp:posOffset>
            </wp:positionV>
            <wp:extent cx="17145"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65"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9"/>
          <w:szCs w:val="9"/>
          <w:color w:val="auto"/>
        </w:rPr>
      </w:pPr>
      <w:r>
        <w:rPr>
          <w:rFonts w:ascii="Arial" w:cs="Arial" w:eastAsia="Arial" w:hAnsi="Arial"/>
          <w:sz w:val="14"/>
          <w:szCs w:val="14"/>
          <w:color w:val="auto"/>
        </w:rPr>
        <w:t>Each of these grants were made pursuant to our 2023 Cash Bonus Plan, as described in greater detail under “</w:t>
      </w:r>
      <w:r>
        <w:rPr>
          <w:rFonts w:ascii="Arial" w:cs="Arial" w:eastAsia="Arial" w:hAnsi="Arial"/>
          <w:sz w:val="14"/>
          <w:szCs w:val="14"/>
          <w:i w:val="1"/>
          <w:iCs w:val="1"/>
          <w:color w:val="auto"/>
        </w:rPr>
        <w:t>Compensation Elements – Annual Cash Bonuses</w:t>
      </w:r>
      <w:r>
        <w:rPr>
          <w:rFonts w:ascii="Arial" w:cs="Arial" w:eastAsia="Arial" w:hAnsi="Arial"/>
          <w:sz w:val="14"/>
          <w:szCs w:val="14"/>
          <w:color w:val="auto"/>
        </w:rPr>
        <w:t>” above.</w:t>
      </w:r>
    </w:p>
    <w:p>
      <w:pPr>
        <w:spacing w:after="0" w:line="29" w:lineRule="exact"/>
        <w:rPr>
          <w:rFonts w:ascii="Arial" w:cs="Arial" w:eastAsia="Arial" w:hAnsi="Arial"/>
          <w:sz w:val="9"/>
          <w:szCs w:val="9"/>
          <w:color w:val="auto"/>
        </w:rPr>
      </w:pPr>
    </w:p>
    <w:p>
      <w:pPr>
        <w:ind w:left="340" w:right="20" w:hanging="332"/>
        <w:spacing w:after="0" w:line="221" w:lineRule="auto"/>
        <w:tabs>
          <w:tab w:leader="none" w:pos="333"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Amounts reported represent the aggregate grant date fair value of the RSUs based on the closing price for a share of our Class A common stock as reported by Nasdaq on the day immediately preceding the grant date, calculated in accordance with ASC Topic 718.</w:t>
      </w:r>
    </w:p>
    <w:p>
      <w:pPr>
        <w:spacing w:after="0" w:line="200" w:lineRule="exact"/>
        <w:rPr>
          <w:sz w:val="20"/>
          <w:szCs w:val="20"/>
          <w:color w:val="auto"/>
        </w:rPr>
      </w:pPr>
    </w:p>
    <w:p>
      <w:pPr>
        <w:spacing w:after="0" w:line="313" w:lineRule="exact"/>
        <w:rPr>
          <w:sz w:val="20"/>
          <w:szCs w:val="20"/>
          <w:color w:val="auto"/>
        </w:rPr>
      </w:pPr>
    </w:p>
    <w:p>
      <w:pPr>
        <w:ind w:left="580" w:hanging="554"/>
        <w:spacing w:after="0"/>
        <w:tabs>
          <w:tab w:leader="none" w:pos="580" w:val="left"/>
        </w:tabs>
        <w:numPr>
          <w:ilvl w:val="0"/>
          <w:numId w:val="77"/>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color w:val="0063A6"/>
        </w:rPr>
        <w:t>Outstanding Equity Awards at 2023 Year-End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1431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214312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2080" w:type="dxa"/>
            <w:vAlign w:val="bottom"/>
            <w:shd w:val="clear" w:color="auto" w:fill="0063A6"/>
          </w:tcPr>
          <w:p>
            <w:pPr>
              <w:spacing w:after="0"/>
              <w:rPr>
                <w:sz w:val="24"/>
                <w:szCs w:val="24"/>
                <w:color w:val="auto"/>
              </w:rPr>
            </w:pPr>
          </w:p>
        </w:tc>
        <w:tc>
          <w:tcPr>
            <w:tcW w:w="660" w:type="dxa"/>
            <w:vAlign w:val="bottom"/>
            <w:shd w:val="clear" w:color="auto" w:fill="0063A6"/>
          </w:tcPr>
          <w:p>
            <w:pPr>
              <w:spacing w:after="0"/>
              <w:rPr>
                <w:sz w:val="24"/>
                <w:szCs w:val="24"/>
                <w:color w:val="auto"/>
              </w:rPr>
            </w:pPr>
          </w:p>
        </w:tc>
        <w:tc>
          <w:tcPr>
            <w:tcW w:w="540" w:type="dxa"/>
            <w:vAlign w:val="bottom"/>
            <w:shd w:val="clear" w:color="auto" w:fill="0063A6"/>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2600" w:type="dxa"/>
            <w:vAlign w:val="bottom"/>
            <w:gridSpan w:val="2"/>
            <w:shd w:val="clear" w:color="auto" w:fill="0063A6"/>
          </w:tcPr>
          <w:p>
            <w:pPr>
              <w:ind w:left="800"/>
              <w:spacing w:after="0"/>
              <w:rPr>
                <w:sz w:val="20"/>
                <w:szCs w:val="20"/>
                <w:color w:val="auto"/>
              </w:rPr>
            </w:pPr>
            <w:r>
              <w:rPr>
                <w:rFonts w:ascii="Arial" w:cs="Arial" w:eastAsia="Arial" w:hAnsi="Arial"/>
                <w:sz w:val="14"/>
                <w:szCs w:val="14"/>
                <w:b w:val="1"/>
                <w:bCs w:val="1"/>
                <w:color w:val="FFFFFF"/>
              </w:rPr>
              <w:t>Option awards</w:t>
            </w:r>
          </w:p>
        </w:tc>
        <w:tc>
          <w:tcPr>
            <w:tcW w:w="1020" w:type="dxa"/>
            <w:vAlign w:val="bottom"/>
            <w:shd w:val="clear" w:color="auto" w:fill="0063A6"/>
          </w:tcPr>
          <w:p>
            <w:pPr>
              <w:spacing w:after="0"/>
              <w:rPr>
                <w:sz w:val="24"/>
                <w:szCs w:val="24"/>
                <w:color w:val="auto"/>
              </w:rPr>
            </w:pPr>
          </w:p>
        </w:tc>
        <w:tc>
          <w:tcPr>
            <w:tcW w:w="1140" w:type="dxa"/>
            <w:vAlign w:val="bottom"/>
            <w:shd w:val="clear" w:color="auto" w:fill="0063A6"/>
          </w:tcPr>
          <w:p>
            <w:pPr>
              <w:spacing w:after="0"/>
              <w:rPr>
                <w:sz w:val="24"/>
                <w:szCs w:val="24"/>
                <w:color w:val="auto"/>
              </w:rPr>
            </w:pPr>
          </w:p>
        </w:tc>
        <w:tc>
          <w:tcPr>
            <w:tcW w:w="3040" w:type="dxa"/>
            <w:vAlign w:val="bottom"/>
            <w:gridSpan w:val="2"/>
            <w:shd w:val="clear" w:color="auto" w:fill="0063A6"/>
          </w:tcPr>
          <w:p>
            <w:pPr>
              <w:jc w:val="right"/>
              <w:ind w:right="1028"/>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303"/>
        </w:trPr>
        <w:tc>
          <w:tcPr>
            <w:tcW w:w="2080" w:type="dxa"/>
            <w:vAlign w:val="bottom"/>
            <w:shd w:val="clear" w:color="auto" w:fill="0063A6"/>
          </w:tcPr>
          <w:p>
            <w:pPr>
              <w:spacing w:after="0"/>
              <w:rPr>
                <w:sz w:val="24"/>
                <w:szCs w:val="24"/>
                <w:color w:val="auto"/>
              </w:rPr>
            </w:pPr>
          </w:p>
        </w:tc>
        <w:tc>
          <w:tcPr>
            <w:tcW w:w="660" w:type="dxa"/>
            <w:vAlign w:val="bottom"/>
            <w:shd w:val="clear" w:color="auto" w:fill="0063A6"/>
          </w:tcPr>
          <w:p>
            <w:pPr>
              <w:spacing w:after="0"/>
              <w:rPr>
                <w:sz w:val="24"/>
                <w:szCs w:val="24"/>
                <w:color w:val="auto"/>
              </w:rPr>
            </w:pPr>
          </w:p>
        </w:tc>
        <w:tc>
          <w:tcPr>
            <w:tcW w:w="540" w:type="dxa"/>
            <w:vAlign w:val="bottom"/>
            <w:shd w:val="clear" w:color="auto" w:fill="0063A6"/>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w:t>
            </w: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w:t>
            </w:r>
          </w:p>
        </w:tc>
        <w:tc>
          <w:tcPr>
            <w:tcW w:w="1020" w:type="dxa"/>
            <w:vAlign w:val="bottom"/>
            <w:shd w:val="clear" w:color="auto" w:fill="0063A6"/>
          </w:tcPr>
          <w:p>
            <w:pPr>
              <w:spacing w:after="0"/>
              <w:rPr>
                <w:sz w:val="24"/>
                <w:szCs w:val="24"/>
                <w:color w:val="auto"/>
              </w:rPr>
            </w:pPr>
          </w:p>
        </w:tc>
        <w:tc>
          <w:tcPr>
            <w:tcW w:w="1140" w:type="dxa"/>
            <w:vAlign w:val="bottom"/>
            <w:shd w:val="clear" w:color="auto" w:fill="0063A6"/>
          </w:tcPr>
          <w:p>
            <w:pPr>
              <w:spacing w:after="0"/>
              <w:rPr>
                <w:sz w:val="24"/>
                <w:szCs w:val="24"/>
                <w:color w:val="auto"/>
              </w:rPr>
            </w:pPr>
          </w:p>
        </w:tc>
        <w:tc>
          <w:tcPr>
            <w:tcW w:w="1620" w:type="dxa"/>
            <w:vAlign w:val="bottom"/>
            <w:shd w:val="clear" w:color="auto" w:fill="0063A6"/>
          </w:tcPr>
          <w:p>
            <w:pPr>
              <w:spacing w:after="0"/>
              <w:rPr>
                <w:sz w:val="24"/>
                <w:szCs w:val="24"/>
                <w:color w:val="auto"/>
              </w:rPr>
            </w:pPr>
          </w:p>
        </w:tc>
        <w:tc>
          <w:tcPr>
            <w:tcW w:w="142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0063A6"/>
          </w:tcPr>
          <w:p>
            <w:pPr>
              <w:spacing w:after="0"/>
              <w:rPr>
                <w:sz w:val="15"/>
                <w:szCs w:val="15"/>
                <w:color w:val="auto"/>
              </w:rPr>
            </w:pPr>
          </w:p>
        </w:tc>
        <w:tc>
          <w:tcPr>
            <w:tcW w:w="660" w:type="dxa"/>
            <w:vAlign w:val="bottom"/>
            <w:shd w:val="clear" w:color="auto" w:fill="0063A6"/>
          </w:tcPr>
          <w:p>
            <w:pPr>
              <w:spacing w:after="0"/>
              <w:rPr>
                <w:sz w:val="15"/>
                <w:szCs w:val="15"/>
                <w:color w:val="auto"/>
              </w:rPr>
            </w:pPr>
          </w:p>
        </w:tc>
        <w:tc>
          <w:tcPr>
            <w:tcW w:w="540" w:type="dxa"/>
            <w:vAlign w:val="bottom"/>
            <w:shd w:val="clear" w:color="auto" w:fill="0063A6"/>
          </w:tcPr>
          <w:p>
            <w:pPr>
              <w:spacing w:after="0"/>
              <w:rPr>
                <w:sz w:val="15"/>
                <w:szCs w:val="15"/>
                <w:color w:val="auto"/>
              </w:rPr>
            </w:pPr>
          </w:p>
        </w:tc>
        <w:tc>
          <w:tcPr>
            <w:tcW w:w="160" w:type="dxa"/>
            <w:vAlign w:val="bottom"/>
            <w:shd w:val="clear" w:color="auto" w:fill="0063A6"/>
          </w:tcPr>
          <w:p>
            <w:pPr>
              <w:spacing w:after="0"/>
              <w:rPr>
                <w:sz w:val="15"/>
                <w:szCs w:val="15"/>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Securities</w:t>
            </w: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Securities</w:t>
            </w:r>
          </w:p>
        </w:tc>
        <w:tc>
          <w:tcPr>
            <w:tcW w:w="1020" w:type="dxa"/>
            <w:vAlign w:val="bottom"/>
            <w:shd w:val="clear" w:color="auto" w:fill="0063A6"/>
          </w:tcPr>
          <w:p>
            <w:pPr>
              <w:spacing w:after="0"/>
              <w:rPr>
                <w:sz w:val="15"/>
                <w:szCs w:val="15"/>
                <w:color w:val="auto"/>
              </w:rPr>
            </w:pPr>
          </w:p>
        </w:tc>
        <w:tc>
          <w:tcPr>
            <w:tcW w:w="1140" w:type="dxa"/>
            <w:vAlign w:val="bottom"/>
            <w:shd w:val="clear" w:color="auto" w:fill="0063A6"/>
          </w:tcPr>
          <w:p>
            <w:pPr>
              <w:spacing w:after="0"/>
              <w:rPr>
                <w:sz w:val="15"/>
                <w:szCs w:val="15"/>
                <w:color w:val="auto"/>
              </w:rPr>
            </w:pPr>
          </w:p>
        </w:tc>
        <w:tc>
          <w:tcPr>
            <w:tcW w:w="1620" w:type="dxa"/>
            <w:vAlign w:val="bottom"/>
            <w:shd w:val="clear" w:color="auto" w:fill="0063A6"/>
          </w:tcPr>
          <w:p>
            <w:pPr>
              <w:jc w:val="center"/>
              <w:ind w:right="28"/>
              <w:spacing w:after="0"/>
              <w:rPr>
                <w:sz w:val="20"/>
                <w:szCs w:val="20"/>
                <w:color w:val="auto"/>
              </w:rPr>
            </w:pPr>
            <w:r>
              <w:rPr>
                <w:rFonts w:ascii="Arial" w:cs="Arial" w:eastAsia="Arial" w:hAnsi="Arial"/>
                <w:sz w:val="14"/>
                <w:szCs w:val="14"/>
                <w:b w:val="1"/>
                <w:bCs w:val="1"/>
                <w:color w:val="FFFFFF"/>
              </w:rPr>
              <w:t>Number of</w:t>
            </w:r>
          </w:p>
        </w:tc>
        <w:tc>
          <w:tcPr>
            <w:tcW w:w="14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Market value</w:t>
            </w:r>
          </w:p>
        </w:tc>
        <w:tc>
          <w:tcPr>
            <w:tcW w:w="0" w:type="dxa"/>
            <w:vAlign w:val="bottom"/>
          </w:tcPr>
          <w:p>
            <w:pPr>
              <w:spacing w:after="0"/>
              <w:rPr>
                <w:sz w:val="1"/>
                <w:szCs w:val="1"/>
                <w:color w:val="auto"/>
              </w:rPr>
            </w:pPr>
          </w:p>
        </w:tc>
      </w:tr>
      <w:tr>
        <w:trPr>
          <w:trHeight w:val="162"/>
        </w:trPr>
        <w:tc>
          <w:tcPr>
            <w:tcW w:w="208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5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Underlying</w:t>
            </w: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Underlying</w:t>
            </w:r>
          </w:p>
        </w:tc>
        <w:tc>
          <w:tcPr>
            <w:tcW w:w="1020" w:type="dxa"/>
            <w:vAlign w:val="bottom"/>
            <w:shd w:val="clear" w:color="auto" w:fill="0063A6"/>
          </w:tcPr>
          <w:p>
            <w:pPr>
              <w:spacing w:after="0"/>
              <w:rPr>
                <w:sz w:val="14"/>
                <w:szCs w:val="14"/>
                <w:color w:val="auto"/>
              </w:rPr>
            </w:pPr>
          </w:p>
        </w:tc>
        <w:tc>
          <w:tcPr>
            <w:tcW w:w="1140" w:type="dxa"/>
            <w:vAlign w:val="bottom"/>
            <w:shd w:val="clear" w:color="auto" w:fill="0063A6"/>
          </w:tcPr>
          <w:p>
            <w:pPr>
              <w:spacing w:after="0"/>
              <w:rPr>
                <w:sz w:val="14"/>
                <w:szCs w:val="14"/>
                <w:color w:val="auto"/>
              </w:rPr>
            </w:pPr>
          </w:p>
        </w:tc>
        <w:tc>
          <w:tcPr>
            <w:tcW w:w="1620" w:type="dxa"/>
            <w:vAlign w:val="bottom"/>
            <w:shd w:val="clear" w:color="auto" w:fill="0063A6"/>
          </w:tcPr>
          <w:p>
            <w:pPr>
              <w:jc w:val="center"/>
              <w:ind w:right="28"/>
              <w:spacing w:after="0"/>
              <w:rPr>
                <w:sz w:val="20"/>
                <w:szCs w:val="20"/>
                <w:color w:val="auto"/>
              </w:rPr>
            </w:pPr>
            <w:r>
              <w:rPr>
                <w:rFonts w:ascii="Arial" w:cs="Arial" w:eastAsia="Arial" w:hAnsi="Arial"/>
                <w:sz w:val="14"/>
                <w:szCs w:val="14"/>
                <w:b w:val="1"/>
                <w:bCs w:val="1"/>
                <w:color w:val="FFFFFF"/>
              </w:rPr>
              <w:t>shares or</w:t>
            </w:r>
          </w:p>
        </w:tc>
        <w:tc>
          <w:tcPr>
            <w:tcW w:w="1420" w:type="dxa"/>
            <w:vAlign w:val="bottom"/>
            <w:shd w:val="clear" w:color="auto" w:fill="0063A6"/>
          </w:tcPr>
          <w:p>
            <w:pPr>
              <w:jc w:val="center"/>
              <w:ind w:left="8"/>
              <w:spacing w:after="0"/>
              <w:rPr>
                <w:sz w:val="20"/>
                <w:szCs w:val="20"/>
                <w:color w:val="auto"/>
              </w:rPr>
            </w:pPr>
            <w:r>
              <w:rPr>
                <w:rFonts w:ascii="Arial" w:cs="Arial" w:eastAsia="Arial" w:hAnsi="Arial"/>
                <w:sz w:val="14"/>
                <w:szCs w:val="14"/>
                <w:b w:val="1"/>
                <w:bCs w:val="1"/>
                <w:color w:val="FFFFFF"/>
              </w:rPr>
              <w:t>of shares or</w:t>
            </w:r>
          </w:p>
        </w:tc>
        <w:tc>
          <w:tcPr>
            <w:tcW w:w="0" w:type="dxa"/>
            <w:vAlign w:val="bottom"/>
          </w:tcPr>
          <w:p>
            <w:pPr>
              <w:spacing w:after="0"/>
              <w:rPr>
                <w:sz w:val="1"/>
                <w:szCs w:val="1"/>
                <w:color w:val="auto"/>
              </w:rPr>
            </w:pPr>
          </w:p>
        </w:tc>
      </w:tr>
      <w:tr>
        <w:trPr>
          <w:trHeight w:val="162"/>
        </w:trPr>
        <w:tc>
          <w:tcPr>
            <w:tcW w:w="208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5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Unexercised</w:t>
            </w: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Unexercised</w:t>
            </w:r>
          </w:p>
        </w:tc>
        <w:tc>
          <w:tcPr>
            <w:tcW w:w="1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w:t>
            </w:r>
          </w:p>
        </w:tc>
        <w:tc>
          <w:tcPr>
            <w:tcW w:w="1140" w:type="dxa"/>
            <w:vAlign w:val="bottom"/>
            <w:shd w:val="clear" w:color="auto" w:fill="0063A6"/>
          </w:tcPr>
          <w:p>
            <w:pPr>
              <w:jc w:val="center"/>
              <w:ind w:right="68"/>
              <w:spacing w:after="0"/>
              <w:rPr>
                <w:sz w:val="20"/>
                <w:szCs w:val="20"/>
                <w:color w:val="auto"/>
              </w:rPr>
            </w:pPr>
            <w:r>
              <w:rPr>
                <w:rFonts w:ascii="Arial" w:cs="Arial" w:eastAsia="Arial" w:hAnsi="Arial"/>
                <w:sz w:val="14"/>
                <w:szCs w:val="14"/>
                <w:b w:val="1"/>
                <w:bCs w:val="1"/>
                <w:color w:val="FFFFFF"/>
              </w:rPr>
              <w:t>Option</w:t>
            </w:r>
          </w:p>
        </w:tc>
        <w:tc>
          <w:tcPr>
            <w:tcW w:w="1620" w:type="dxa"/>
            <w:vAlign w:val="bottom"/>
            <w:shd w:val="clear" w:color="auto" w:fill="0063A6"/>
          </w:tcPr>
          <w:p>
            <w:pPr>
              <w:jc w:val="center"/>
              <w:ind w:right="8"/>
              <w:spacing w:after="0"/>
              <w:rPr>
                <w:sz w:val="20"/>
                <w:szCs w:val="20"/>
                <w:color w:val="auto"/>
              </w:rPr>
            </w:pPr>
            <w:r>
              <w:rPr>
                <w:rFonts w:ascii="Arial" w:cs="Arial" w:eastAsia="Arial" w:hAnsi="Arial"/>
                <w:sz w:val="14"/>
                <w:szCs w:val="14"/>
                <w:b w:val="1"/>
                <w:bCs w:val="1"/>
                <w:color w:val="FFFFFF"/>
              </w:rPr>
              <w:t>units of stock</w:t>
            </w:r>
          </w:p>
        </w:tc>
        <w:tc>
          <w:tcPr>
            <w:tcW w:w="1420" w:type="dxa"/>
            <w:vAlign w:val="bottom"/>
            <w:shd w:val="clear" w:color="auto" w:fill="0063A6"/>
          </w:tcPr>
          <w:p>
            <w:pPr>
              <w:jc w:val="center"/>
              <w:ind w:left="8"/>
              <w:spacing w:after="0"/>
              <w:rPr>
                <w:sz w:val="20"/>
                <w:szCs w:val="20"/>
                <w:color w:val="auto"/>
              </w:rPr>
            </w:pPr>
            <w:r>
              <w:rPr>
                <w:rFonts w:ascii="Arial" w:cs="Arial" w:eastAsia="Arial" w:hAnsi="Arial"/>
                <w:sz w:val="14"/>
                <w:szCs w:val="14"/>
                <w:b w:val="1"/>
                <w:bCs w:val="1"/>
                <w:color w:val="FFFFFF"/>
              </w:rPr>
              <w:t>units of stock</w:t>
            </w:r>
          </w:p>
        </w:tc>
        <w:tc>
          <w:tcPr>
            <w:tcW w:w="0" w:type="dxa"/>
            <w:vAlign w:val="bottom"/>
          </w:tcPr>
          <w:p>
            <w:pPr>
              <w:spacing w:after="0"/>
              <w:rPr>
                <w:sz w:val="1"/>
                <w:szCs w:val="1"/>
                <w:color w:val="auto"/>
              </w:rPr>
            </w:pPr>
          </w:p>
        </w:tc>
      </w:tr>
      <w:tr>
        <w:trPr>
          <w:trHeight w:val="162"/>
        </w:trPr>
        <w:tc>
          <w:tcPr>
            <w:tcW w:w="2080" w:type="dxa"/>
            <w:vAlign w:val="bottom"/>
            <w:shd w:val="clear" w:color="auto" w:fill="0063A6"/>
          </w:tcPr>
          <w:p>
            <w:pPr>
              <w:spacing w:after="0"/>
              <w:rPr>
                <w:sz w:val="14"/>
                <w:szCs w:val="14"/>
                <w:color w:val="auto"/>
              </w:rPr>
            </w:pPr>
          </w:p>
        </w:tc>
        <w:tc>
          <w:tcPr>
            <w:tcW w:w="660" w:type="dxa"/>
            <w:vAlign w:val="bottom"/>
            <w:shd w:val="clear" w:color="auto" w:fill="0063A6"/>
          </w:tcPr>
          <w:p>
            <w:pPr>
              <w:spacing w:after="0"/>
              <w:rPr>
                <w:sz w:val="14"/>
                <w:szCs w:val="14"/>
                <w:color w:val="auto"/>
              </w:rPr>
            </w:pPr>
          </w:p>
        </w:tc>
        <w:tc>
          <w:tcPr>
            <w:tcW w:w="540" w:type="dxa"/>
            <w:vAlign w:val="bottom"/>
            <w:shd w:val="clear" w:color="auto" w:fill="0063A6"/>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Options</w:t>
            </w: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Options</w:t>
            </w:r>
          </w:p>
        </w:tc>
        <w:tc>
          <w:tcPr>
            <w:tcW w:w="1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w:t>
            </w:r>
          </w:p>
        </w:tc>
        <w:tc>
          <w:tcPr>
            <w:tcW w:w="1140" w:type="dxa"/>
            <w:vAlign w:val="bottom"/>
            <w:shd w:val="clear" w:color="auto" w:fill="0063A6"/>
          </w:tcPr>
          <w:p>
            <w:pPr>
              <w:jc w:val="center"/>
              <w:ind w:right="68"/>
              <w:spacing w:after="0"/>
              <w:rPr>
                <w:sz w:val="20"/>
                <w:szCs w:val="20"/>
                <w:color w:val="auto"/>
              </w:rPr>
            </w:pPr>
            <w:r>
              <w:rPr>
                <w:rFonts w:ascii="Arial" w:cs="Arial" w:eastAsia="Arial" w:hAnsi="Arial"/>
                <w:sz w:val="14"/>
                <w:szCs w:val="14"/>
                <w:b w:val="1"/>
                <w:bCs w:val="1"/>
                <w:color w:val="FFFFFF"/>
              </w:rPr>
              <w:t>Expiration</w:t>
            </w:r>
          </w:p>
        </w:tc>
        <w:tc>
          <w:tcPr>
            <w:tcW w:w="1620" w:type="dxa"/>
            <w:vAlign w:val="bottom"/>
            <w:shd w:val="clear" w:color="auto" w:fill="0063A6"/>
          </w:tcPr>
          <w:p>
            <w:pPr>
              <w:jc w:val="center"/>
              <w:ind w:right="8"/>
              <w:spacing w:after="0"/>
              <w:rPr>
                <w:sz w:val="20"/>
                <w:szCs w:val="20"/>
                <w:color w:val="auto"/>
              </w:rPr>
            </w:pPr>
            <w:r>
              <w:rPr>
                <w:rFonts w:ascii="Arial" w:cs="Arial" w:eastAsia="Arial" w:hAnsi="Arial"/>
                <w:sz w:val="14"/>
                <w:szCs w:val="14"/>
                <w:b w:val="1"/>
                <w:bCs w:val="1"/>
                <w:color w:val="FFFFFF"/>
              </w:rPr>
              <w:t>that have not</w:t>
            </w:r>
          </w:p>
        </w:tc>
        <w:tc>
          <w:tcPr>
            <w:tcW w:w="1420" w:type="dxa"/>
            <w:vAlign w:val="bottom"/>
            <w:shd w:val="clear" w:color="auto" w:fill="0063A6"/>
          </w:tcPr>
          <w:p>
            <w:pPr>
              <w:jc w:val="center"/>
              <w:ind w:left="8"/>
              <w:spacing w:after="0"/>
              <w:rPr>
                <w:sz w:val="20"/>
                <w:szCs w:val="20"/>
                <w:color w:val="auto"/>
              </w:rPr>
            </w:pPr>
            <w:r>
              <w:rPr>
                <w:rFonts w:ascii="Arial" w:cs="Arial" w:eastAsia="Arial" w:hAnsi="Arial"/>
                <w:sz w:val="14"/>
                <w:szCs w:val="14"/>
                <w:b w:val="1"/>
                <w:bCs w:val="1"/>
                <w:color w:val="FFFFFF"/>
              </w:rPr>
              <w:t>that have not</w:t>
            </w:r>
          </w:p>
        </w:tc>
        <w:tc>
          <w:tcPr>
            <w:tcW w:w="0" w:type="dxa"/>
            <w:vAlign w:val="bottom"/>
          </w:tcPr>
          <w:p>
            <w:pPr>
              <w:spacing w:after="0"/>
              <w:rPr>
                <w:sz w:val="1"/>
                <w:szCs w:val="1"/>
                <w:color w:val="auto"/>
              </w:rPr>
            </w:pPr>
          </w:p>
        </w:tc>
      </w:tr>
      <w:tr>
        <w:trPr>
          <w:trHeight w:val="246"/>
        </w:trPr>
        <w:tc>
          <w:tcPr>
            <w:tcW w:w="2080" w:type="dxa"/>
            <w:vAlign w:val="bottom"/>
            <w:tcBorders>
              <w:bottom w:val="single" w:sz="8" w:color="0063A6"/>
            </w:tcBorders>
            <w:shd w:val="clear" w:color="auto" w:fill="0063A6"/>
          </w:tcPr>
          <w:p>
            <w:pPr>
              <w:ind w:left="840"/>
              <w:spacing w:after="0"/>
              <w:rPr>
                <w:sz w:val="20"/>
                <w:szCs w:val="20"/>
                <w:color w:val="auto"/>
              </w:rPr>
            </w:pPr>
            <w:r>
              <w:rPr>
                <w:rFonts w:ascii="Arial" w:cs="Arial" w:eastAsia="Arial" w:hAnsi="Arial"/>
                <w:sz w:val="14"/>
                <w:szCs w:val="14"/>
                <w:b w:val="1"/>
                <w:bCs w:val="1"/>
                <w:color w:val="FFFFFF"/>
              </w:rPr>
              <w:t>Name</w:t>
            </w:r>
          </w:p>
        </w:tc>
        <w:tc>
          <w:tcPr>
            <w:tcW w:w="1360" w:type="dxa"/>
            <w:vAlign w:val="bottom"/>
            <w:tcBorders>
              <w:bottom w:val="single" w:sz="8" w:color="0063A6"/>
            </w:tcBorders>
            <w:gridSpan w:val="3"/>
            <w:shd w:val="clear" w:color="auto" w:fill="0063A6"/>
          </w:tcPr>
          <w:p>
            <w:pPr>
              <w:jc w:val="right"/>
              <w:ind w:right="273"/>
              <w:spacing w:after="0"/>
              <w:rPr>
                <w:sz w:val="20"/>
                <w:szCs w:val="20"/>
                <w:color w:val="auto"/>
              </w:rPr>
            </w:pPr>
            <w:r>
              <w:rPr>
                <w:rFonts w:ascii="Arial" w:cs="Arial" w:eastAsia="Arial" w:hAnsi="Arial"/>
                <w:sz w:val="14"/>
                <w:szCs w:val="14"/>
                <w:b w:val="1"/>
                <w:bCs w:val="1"/>
                <w:color w:val="FFFFFF"/>
              </w:rPr>
              <w:t>Grant date</w:t>
            </w:r>
          </w:p>
        </w:tc>
        <w:tc>
          <w:tcPr>
            <w:tcW w:w="12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Exercisable</w:t>
            </w:r>
          </w:p>
        </w:tc>
        <w:tc>
          <w:tcPr>
            <w:tcW w:w="13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Unexercisable</w:t>
            </w:r>
          </w:p>
        </w:tc>
        <w:tc>
          <w:tcPr>
            <w:tcW w:w="10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Price ($)</w:t>
            </w:r>
          </w:p>
        </w:tc>
        <w:tc>
          <w:tcPr>
            <w:tcW w:w="1140" w:type="dxa"/>
            <w:vAlign w:val="bottom"/>
            <w:tcBorders>
              <w:bottom w:val="single" w:sz="8" w:color="0063A6"/>
            </w:tcBorders>
            <w:shd w:val="clear" w:color="auto" w:fill="0063A6"/>
          </w:tcPr>
          <w:p>
            <w:pPr>
              <w:jc w:val="center"/>
              <w:ind w:right="28"/>
              <w:spacing w:after="0"/>
              <w:rPr>
                <w:sz w:val="20"/>
                <w:szCs w:val="20"/>
                <w:color w:val="auto"/>
              </w:rPr>
            </w:pPr>
            <w:r>
              <w:rPr>
                <w:rFonts w:ascii="Arial" w:cs="Arial" w:eastAsia="Arial" w:hAnsi="Arial"/>
                <w:sz w:val="14"/>
                <w:szCs w:val="14"/>
                <w:b w:val="1"/>
                <w:bCs w:val="1"/>
                <w:color w:val="FFFFFF"/>
              </w:rPr>
              <w:t>Date</w:t>
            </w:r>
          </w:p>
        </w:tc>
        <w:tc>
          <w:tcPr>
            <w:tcW w:w="16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vested</w:t>
            </w:r>
          </w:p>
        </w:tc>
        <w:tc>
          <w:tcPr>
            <w:tcW w:w="1420" w:type="dxa"/>
            <w:vAlign w:val="bottom"/>
            <w:tcBorders>
              <w:bottom w:val="single" w:sz="8" w:color="0063A6"/>
            </w:tcBorders>
            <w:shd w:val="clear" w:color="auto" w:fill="0063A6"/>
          </w:tcPr>
          <w:p>
            <w:pPr>
              <w:jc w:val="center"/>
              <w:ind w:left="8"/>
              <w:spacing w:after="0"/>
              <w:rPr>
                <w:sz w:val="20"/>
                <w:szCs w:val="20"/>
                <w:color w:val="auto"/>
              </w:rPr>
            </w:pPr>
            <w:r>
              <w:rPr>
                <w:rFonts w:ascii="Arial" w:cs="Arial" w:eastAsia="Arial" w:hAnsi="Arial"/>
                <w:sz w:val="14"/>
                <w:szCs w:val="14"/>
                <w:b w:val="1"/>
                <w:bCs w:val="1"/>
                <w:color w:val="FFFFFF"/>
                <w:w w:val="97"/>
              </w:rPr>
              <w:t>vested ($)</w:t>
            </w:r>
            <w:r>
              <w:rPr>
                <w:rFonts w:ascii="Arial" w:cs="Arial" w:eastAsia="Arial" w:hAnsi="Arial"/>
                <w:sz w:val="18"/>
                <w:szCs w:val="18"/>
                <w:b w:val="1"/>
                <w:bCs w:val="1"/>
                <w:color w:val="FFFFFF"/>
                <w:w w:val="97"/>
                <w:vertAlign w:val="superscript"/>
              </w:rPr>
              <w:t>(1)</w:t>
            </w:r>
          </w:p>
        </w:tc>
        <w:tc>
          <w:tcPr>
            <w:tcW w:w="0" w:type="dxa"/>
            <w:vAlign w:val="bottom"/>
          </w:tcPr>
          <w:p>
            <w:pPr>
              <w:spacing w:after="0"/>
              <w:rPr>
                <w:sz w:val="1"/>
                <w:szCs w:val="1"/>
                <w:color w:val="auto"/>
              </w:rPr>
            </w:pPr>
          </w:p>
        </w:tc>
      </w:tr>
      <w:tr>
        <w:trPr>
          <w:trHeight w:val="233"/>
        </w:trPr>
        <w:tc>
          <w:tcPr>
            <w:tcW w:w="2080" w:type="dxa"/>
            <w:vAlign w:val="bottom"/>
            <w:vMerge w:val="restart"/>
            <w:shd w:val="clear" w:color="auto" w:fill="F2F2F2"/>
          </w:tcPr>
          <w:p>
            <w:pPr>
              <w:ind w:left="20"/>
              <w:spacing w:after="0"/>
              <w:rPr>
                <w:sz w:val="20"/>
                <w:szCs w:val="20"/>
                <w:color w:val="auto"/>
              </w:rPr>
            </w:pPr>
            <w:r>
              <w:rPr>
                <w:rFonts w:ascii="Arial" w:cs="Arial" w:eastAsia="Arial" w:hAnsi="Arial"/>
                <w:sz w:val="14"/>
                <w:szCs w:val="14"/>
                <w:color w:val="auto"/>
              </w:rPr>
              <w:t>Andrew W. Houston</w:t>
            </w:r>
          </w:p>
        </w:tc>
        <w:tc>
          <w:tcPr>
            <w:tcW w:w="660" w:type="dxa"/>
            <w:vAlign w:val="bottom"/>
            <w:shd w:val="clear" w:color="auto" w:fill="F2F2F2"/>
          </w:tcPr>
          <w:p>
            <w:pPr>
              <w:spacing w:after="0"/>
              <w:rPr>
                <w:sz w:val="20"/>
                <w:szCs w:val="20"/>
                <w:color w:val="auto"/>
              </w:rPr>
            </w:pPr>
          </w:p>
        </w:tc>
        <w:tc>
          <w:tcPr>
            <w:tcW w:w="540" w:type="dxa"/>
            <w:vAlign w:val="bottom"/>
            <w:vMerge w:val="restart"/>
            <w:shd w:val="clear" w:color="auto" w:fill="F2F2F2"/>
          </w:tcPr>
          <w:p>
            <w:pPr>
              <w:spacing w:after="0"/>
              <w:rPr>
                <w:sz w:val="20"/>
                <w:szCs w:val="20"/>
                <w:color w:val="auto"/>
              </w:rPr>
            </w:pPr>
            <w:r>
              <w:rPr>
                <w:rFonts w:ascii="Arial" w:cs="Arial" w:eastAsia="Arial" w:hAnsi="Arial"/>
                <w:sz w:val="14"/>
                <w:szCs w:val="14"/>
                <w:color w:val="auto"/>
                <w:w w:val="95"/>
                <w:shd w:val="clear" w:color="auto" w:fill="F2F2F2"/>
              </w:rPr>
              <w:t>12/12/17</w:t>
            </w:r>
          </w:p>
        </w:tc>
        <w:tc>
          <w:tcPr>
            <w:tcW w:w="160" w:type="dxa"/>
            <w:vAlign w:val="bottom"/>
            <w:shd w:val="clear" w:color="auto" w:fill="F2F2F2"/>
          </w:tcPr>
          <w:p>
            <w:pPr>
              <w:jc w:val="right"/>
              <w:spacing w:after="0"/>
              <w:rPr>
                <w:sz w:val="20"/>
                <w:szCs w:val="20"/>
                <w:color w:val="auto"/>
              </w:rPr>
            </w:pPr>
            <w:r>
              <w:rPr>
                <w:rFonts w:ascii="Arial" w:cs="Arial" w:eastAsia="Arial" w:hAnsi="Arial"/>
                <w:sz w:val="9"/>
                <w:szCs w:val="9"/>
                <w:color w:val="auto"/>
                <w:w w:val="90"/>
                <w:shd w:val="clear" w:color="auto" w:fill="F2F2F2"/>
              </w:rPr>
              <w:t>(2)</w:t>
            </w:r>
          </w:p>
        </w:tc>
        <w:tc>
          <w:tcPr>
            <w:tcW w:w="124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vMerge w:val="restart"/>
            <w:shd w:val="clear" w:color="auto" w:fill="F2F2F2"/>
          </w:tcPr>
          <w:p>
            <w:pPr>
              <w:jc w:val="center"/>
              <w:ind w:right="28"/>
              <w:spacing w:after="0"/>
              <w:rPr>
                <w:sz w:val="20"/>
                <w:szCs w:val="20"/>
                <w:color w:val="auto"/>
              </w:rPr>
            </w:pPr>
            <w:r>
              <w:rPr>
                <w:rFonts w:ascii="Arial" w:cs="Arial" w:eastAsia="Arial" w:hAnsi="Arial"/>
                <w:sz w:val="14"/>
                <w:szCs w:val="14"/>
                <w:color w:val="auto"/>
              </w:rPr>
              <w:t>—</w:t>
            </w:r>
          </w:p>
        </w:tc>
        <w:tc>
          <w:tcPr>
            <w:tcW w:w="1620" w:type="dxa"/>
            <w:vAlign w:val="bottom"/>
            <w:vMerge w:val="restart"/>
            <w:shd w:val="clear" w:color="auto" w:fill="F2F2F2"/>
          </w:tcPr>
          <w:p>
            <w:pPr>
              <w:jc w:val="right"/>
              <w:ind w:right="188"/>
              <w:spacing w:after="0"/>
              <w:rPr>
                <w:sz w:val="20"/>
                <w:szCs w:val="20"/>
                <w:color w:val="auto"/>
              </w:rPr>
            </w:pPr>
            <w:r>
              <w:rPr>
                <w:rFonts w:ascii="Arial" w:cs="Arial" w:eastAsia="Arial" w:hAnsi="Arial"/>
                <w:sz w:val="14"/>
                <w:szCs w:val="14"/>
                <w:color w:val="auto"/>
              </w:rPr>
              <w:t>8,266,666</w:t>
            </w:r>
          </w:p>
        </w:tc>
        <w:tc>
          <w:tcPr>
            <w:tcW w:w="142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243,701,314</w:t>
            </w:r>
          </w:p>
        </w:tc>
        <w:tc>
          <w:tcPr>
            <w:tcW w:w="0" w:type="dxa"/>
            <w:vAlign w:val="bottom"/>
          </w:tcPr>
          <w:p>
            <w:pPr>
              <w:spacing w:after="0"/>
              <w:rPr>
                <w:sz w:val="1"/>
                <w:szCs w:val="1"/>
                <w:color w:val="auto"/>
              </w:rPr>
            </w:pPr>
          </w:p>
        </w:tc>
      </w:tr>
      <w:tr>
        <w:trPr>
          <w:trHeight w:val="51"/>
        </w:trPr>
        <w:tc>
          <w:tcPr>
            <w:tcW w:w="2080" w:type="dxa"/>
            <w:vAlign w:val="bottom"/>
            <w:vMerge w:val="continue"/>
            <w:shd w:val="clear" w:color="auto" w:fill="F2F2F2"/>
          </w:tcPr>
          <w:p>
            <w:pPr>
              <w:spacing w:after="0"/>
              <w:rPr>
                <w:sz w:val="4"/>
                <w:szCs w:val="4"/>
                <w:color w:val="auto"/>
              </w:rPr>
            </w:pPr>
          </w:p>
        </w:tc>
        <w:tc>
          <w:tcPr>
            <w:tcW w:w="660" w:type="dxa"/>
            <w:vAlign w:val="bottom"/>
            <w:shd w:val="clear" w:color="auto" w:fill="F2F2F2"/>
          </w:tcPr>
          <w:p>
            <w:pPr>
              <w:spacing w:after="0"/>
              <w:rPr>
                <w:sz w:val="4"/>
                <w:szCs w:val="4"/>
                <w:color w:val="auto"/>
              </w:rPr>
            </w:pPr>
          </w:p>
        </w:tc>
        <w:tc>
          <w:tcPr>
            <w:tcW w:w="540" w:type="dxa"/>
            <w:vAlign w:val="bottom"/>
            <w:vMerge w:val="continue"/>
            <w:shd w:val="clear" w:color="auto" w:fill="F2F2F2"/>
          </w:tcPr>
          <w:p>
            <w:pPr>
              <w:spacing w:after="0"/>
              <w:rPr>
                <w:sz w:val="4"/>
                <w:szCs w:val="4"/>
                <w:color w:val="auto"/>
              </w:rPr>
            </w:pPr>
          </w:p>
        </w:tc>
        <w:tc>
          <w:tcPr>
            <w:tcW w:w="160" w:type="dxa"/>
            <w:vAlign w:val="bottom"/>
            <w:shd w:val="clear" w:color="auto" w:fill="F2F2F2"/>
          </w:tcPr>
          <w:p>
            <w:pPr>
              <w:spacing w:after="0"/>
              <w:rPr>
                <w:sz w:val="4"/>
                <w:szCs w:val="4"/>
                <w:color w:val="auto"/>
              </w:rPr>
            </w:pPr>
          </w:p>
        </w:tc>
        <w:tc>
          <w:tcPr>
            <w:tcW w:w="1240" w:type="dxa"/>
            <w:vAlign w:val="bottom"/>
            <w:vMerge w:val="continue"/>
            <w:shd w:val="clear" w:color="auto" w:fill="F2F2F2"/>
          </w:tcPr>
          <w:p>
            <w:pPr>
              <w:spacing w:after="0"/>
              <w:rPr>
                <w:sz w:val="4"/>
                <w:szCs w:val="4"/>
                <w:color w:val="auto"/>
              </w:rPr>
            </w:pPr>
          </w:p>
        </w:tc>
        <w:tc>
          <w:tcPr>
            <w:tcW w:w="1360" w:type="dxa"/>
            <w:vAlign w:val="bottom"/>
            <w:vMerge w:val="continue"/>
            <w:shd w:val="clear" w:color="auto" w:fill="F2F2F2"/>
          </w:tcPr>
          <w:p>
            <w:pPr>
              <w:spacing w:after="0"/>
              <w:rPr>
                <w:sz w:val="4"/>
                <w:szCs w:val="4"/>
                <w:color w:val="auto"/>
              </w:rPr>
            </w:pPr>
          </w:p>
        </w:tc>
        <w:tc>
          <w:tcPr>
            <w:tcW w:w="1020" w:type="dxa"/>
            <w:vAlign w:val="bottom"/>
            <w:vMerge w:val="continue"/>
            <w:shd w:val="clear" w:color="auto" w:fill="F2F2F2"/>
          </w:tcPr>
          <w:p>
            <w:pPr>
              <w:spacing w:after="0"/>
              <w:rPr>
                <w:sz w:val="4"/>
                <w:szCs w:val="4"/>
                <w:color w:val="auto"/>
              </w:rPr>
            </w:pPr>
          </w:p>
        </w:tc>
        <w:tc>
          <w:tcPr>
            <w:tcW w:w="1140" w:type="dxa"/>
            <w:vAlign w:val="bottom"/>
            <w:vMerge w:val="continue"/>
            <w:shd w:val="clear" w:color="auto" w:fill="F2F2F2"/>
          </w:tcPr>
          <w:p>
            <w:pPr>
              <w:spacing w:after="0"/>
              <w:rPr>
                <w:sz w:val="4"/>
                <w:szCs w:val="4"/>
                <w:color w:val="auto"/>
              </w:rPr>
            </w:pPr>
          </w:p>
        </w:tc>
        <w:tc>
          <w:tcPr>
            <w:tcW w:w="1620" w:type="dxa"/>
            <w:vAlign w:val="bottom"/>
            <w:vMerge w:val="continue"/>
            <w:shd w:val="clear" w:color="auto" w:fill="F2F2F2"/>
          </w:tcPr>
          <w:p>
            <w:pPr>
              <w:spacing w:after="0"/>
              <w:rPr>
                <w:sz w:val="4"/>
                <w:szCs w:val="4"/>
                <w:color w:val="auto"/>
              </w:rPr>
            </w:pPr>
          </w:p>
        </w:tc>
        <w:tc>
          <w:tcPr>
            <w:tcW w:w="1420" w:type="dxa"/>
            <w:vAlign w:val="bottom"/>
            <w:vMerge w:val="continue"/>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80" w:type="dxa"/>
            <w:vAlign w:val="bottom"/>
            <w:shd w:val="clear" w:color="auto" w:fill="F2F2F2"/>
          </w:tcPr>
          <w:p>
            <w:pPr>
              <w:spacing w:after="0"/>
              <w:rPr>
                <w:sz w:val="8"/>
                <w:szCs w:val="8"/>
                <w:color w:val="auto"/>
              </w:rPr>
            </w:pPr>
          </w:p>
        </w:tc>
        <w:tc>
          <w:tcPr>
            <w:tcW w:w="660" w:type="dxa"/>
            <w:vAlign w:val="bottom"/>
            <w:shd w:val="clear" w:color="auto" w:fill="F2F2F2"/>
          </w:tcPr>
          <w:p>
            <w:pPr>
              <w:spacing w:after="0"/>
              <w:rPr>
                <w:sz w:val="8"/>
                <w:szCs w:val="8"/>
                <w:color w:val="auto"/>
              </w:rPr>
            </w:pPr>
          </w:p>
        </w:tc>
        <w:tc>
          <w:tcPr>
            <w:tcW w:w="540" w:type="dxa"/>
            <w:vAlign w:val="bottom"/>
            <w:shd w:val="clear" w:color="auto" w:fill="F2F2F2"/>
          </w:tcPr>
          <w:p>
            <w:pPr>
              <w:spacing w:after="0"/>
              <w:rPr>
                <w:sz w:val="8"/>
                <w:szCs w:val="8"/>
                <w:color w:val="auto"/>
              </w:rPr>
            </w:pPr>
          </w:p>
        </w:tc>
        <w:tc>
          <w:tcPr>
            <w:tcW w:w="160" w:type="dxa"/>
            <w:vAlign w:val="bottom"/>
            <w:shd w:val="clear" w:color="auto" w:fill="F2F2F2"/>
          </w:tcPr>
          <w:p>
            <w:pPr>
              <w:spacing w:after="0"/>
              <w:rPr>
                <w:sz w:val="8"/>
                <w:szCs w:val="8"/>
                <w:color w:val="auto"/>
              </w:rPr>
            </w:pPr>
          </w:p>
        </w:tc>
        <w:tc>
          <w:tcPr>
            <w:tcW w:w="1240" w:type="dxa"/>
            <w:vAlign w:val="bottom"/>
            <w:shd w:val="clear" w:color="auto" w:fill="F2F2F2"/>
          </w:tcPr>
          <w:p>
            <w:pPr>
              <w:spacing w:after="0"/>
              <w:rPr>
                <w:sz w:val="8"/>
                <w:szCs w:val="8"/>
                <w:color w:val="auto"/>
              </w:rPr>
            </w:pPr>
          </w:p>
        </w:tc>
        <w:tc>
          <w:tcPr>
            <w:tcW w:w="1360" w:type="dxa"/>
            <w:vAlign w:val="bottom"/>
            <w:shd w:val="clear" w:color="auto" w:fill="F2F2F2"/>
          </w:tcPr>
          <w:p>
            <w:pPr>
              <w:spacing w:after="0"/>
              <w:rPr>
                <w:sz w:val="8"/>
                <w:szCs w:val="8"/>
                <w:color w:val="auto"/>
              </w:rPr>
            </w:pPr>
          </w:p>
        </w:tc>
        <w:tc>
          <w:tcPr>
            <w:tcW w:w="1020" w:type="dxa"/>
            <w:vAlign w:val="bottom"/>
            <w:shd w:val="clear" w:color="auto" w:fill="F2F2F2"/>
          </w:tcPr>
          <w:p>
            <w:pPr>
              <w:spacing w:after="0"/>
              <w:rPr>
                <w:sz w:val="8"/>
                <w:szCs w:val="8"/>
                <w:color w:val="auto"/>
              </w:rPr>
            </w:pPr>
          </w:p>
        </w:tc>
        <w:tc>
          <w:tcPr>
            <w:tcW w:w="1140" w:type="dxa"/>
            <w:vAlign w:val="bottom"/>
            <w:shd w:val="clear" w:color="auto" w:fill="F2F2F2"/>
          </w:tcPr>
          <w:p>
            <w:pPr>
              <w:spacing w:after="0"/>
              <w:rPr>
                <w:sz w:val="8"/>
                <w:szCs w:val="8"/>
                <w:color w:val="auto"/>
              </w:rPr>
            </w:pPr>
          </w:p>
        </w:tc>
        <w:tc>
          <w:tcPr>
            <w:tcW w:w="1620" w:type="dxa"/>
            <w:vAlign w:val="bottom"/>
            <w:shd w:val="clear" w:color="auto" w:fill="F2F2F2"/>
          </w:tcPr>
          <w:p>
            <w:pPr>
              <w:spacing w:after="0"/>
              <w:rPr>
                <w:sz w:val="8"/>
                <w:szCs w:val="8"/>
                <w:color w:val="auto"/>
              </w:rPr>
            </w:pPr>
          </w:p>
        </w:tc>
        <w:tc>
          <w:tcPr>
            <w:tcW w:w="142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346"/>
        </w:trPr>
        <w:tc>
          <w:tcPr>
            <w:tcW w:w="2080" w:type="dxa"/>
            <w:vAlign w:val="bottom"/>
          </w:tcPr>
          <w:p>
            <w:pPr>
              <w:ind w:left="20"/>
              <w:spacing w:after="0"/>
              <w:rPr>
                <w:sz w:val="20"/>
                <w:szCs w:val="20"/>
                <w:color w:val="auto"/>
              </w:rPr>
            </w:pPr>
            <w:r>
              <w:rPr>
                <w:rFonts w:ascii="Arial" w:cs="Arial" w:eastAsia="Arial" w:hAnsi="Arial"/>
                <w:sz w:val="14"/>
                <w:szCs w:val="14"/>
                <w:color w:val="auto"/>
              </w:rPr>
              <w:t>Timothy Regan</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4/1/2020</w:t>
            </w:r>
            <w:r>
              <w:rPr>
                <w:rFonts w:ascii="Arial" w:cs="Arial" w:eastAsia="Arial" w:hAnsi="Arial"/>
                <w:sz w:val="18"/>
                <w:szCs w:val="18"/>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3,486</w:t>
            </w:r>
          </w:p>
        </w:tc>
        <w:tc>
          <w:tcPr>
            <w:tcW w:w="1420" w:type="dxa"/>
            <w:vAlign w:val="bottom"/>
          </w:tcPr>
          <w:p>
            <w:pPr>
              <w:jc w:val="right"/>
              <w:spacing w:after="0"/>
              <w:rPr>
                <w:sz w:val="20"/>
                <w:szCs w:val="20"/>
                <w:color w:val="auto"/>
              </w:rPr>
            </w:pPr>
            <w:r>
              <w:rPr>
                <w:rFonts w:ascii="Arial" w:cs="Arial" w:eastAsia="Arial" w:hAnsi="Arial"/>
                <w:sz w:val="14"/>
                <w:szCs w:val="14"/>
                <w:color w:val="auto"/>
              </w:rPr>
              <w:t>102,767</w:t>
            </w:r>
          </w:p>
        </w:tc>
        <w:tc>
          <w:tcPr>
            <w:tcW w:w="0" w:type="dxa"/>
            <w:vAlign w:val="bottom"/>
          </w:tcPr>
          <w:p>
            <w:pPr>
              <w:spacing w:after="0"/>
              <w:rPr>
                <w:sz w:val="1"/>
                <w:szCs w:val="1"/>
                <w:color w:val="auto"/>
              </w:rPr>
            </w:pPr>
          </w:p>
        </w:tc>
      </w:tr>
      <w:tr>
        <w:trPr>
          <w:trHeight w:val="364"/>
        </w:trPr>
        <w:tc>
          <w:tcPr>
            <w:tcW w:w="20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10/1/2020</w:t>
            </w:r>
            <w:r>
              <w:rPr>
                <w:rFonts w:ascii="Arial" w:cs="Arial" w:eastAsia="Arial" w:hAnsi="Arial"/>
                <w:sz w:val="18"/>
                <w:szCs w:val="18"/>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37,832</w:t>
            </w:r>
          </w:p>
        </w:tc>
        <w:tc>
          <w:tcPr>
            <w:tcW w:w="1420" w:type="dxa"/>
            <w:vAlign w:val="bottom"/>
          </w:tcPr>
          <w:p>
            <w:pPr>
              <w:jc w:val="right"/>
              <w:spacing w:after="0"/>
              <w:rPr>
                <w:sz w:val="20"/>
                <w:szCs w:val="20"/>
                <w:color w:val="auto"/>
              </w:rPr>
            </w:pPr>
            <w:r>
              <w:rPr>
                <w:rFonts w:ascii="Arial" w:cs="Arial" w:eastAsia="Arial" w:hAnsi="Arial"/>
                <w:sz w:val="14"/>
                <w:szCs w:val="14"/>
                <w:color w:val="auto"/>
              </w:rPr>
              <w:t>1,115,287</w:t>
            </w:r>
          </w:p>
        </w:tc>
        <w:tc>
          <w:tcPr>
            <w:tcW w:w="0" w:type="dxa"/>
            <w:vAlign w:val="bottom"/>
          </w:tcPr>
          <w:p>
            <w:pPr>
              <w:spacing w:after="0"/>
              <w:rPr>
                <w:sz w:val="1"/>
                <w:szCs w:val="1"/>
                <w:color w:val="auto"/>
              </w:rPr>
            </w:pPr>
          </w:p>
        </w:tc>
      </w:tr>
      <w:tr>
        <w:trPr>
          <w:trHeight w:val="364"/>
        </w:trPr>
        <w:tc>
          <w:tcPr>
            <w:tcW w:w="20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4/1/2021</w:t>
            </w:r>
            <w:r>
              <w:rPr>
                <w:rFonts w:ascii="Arial" w:cs="Arial" w:eastAsia="Arial" w:hAnsi="Arial"/>
                <w:sz w:val="18"/>
                <w:szCs w:val="18"/>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54,752</w:t>
            </w:r>
          </w:p>
        </w:tc>
        <w:tc>
          <w:tcPr>
            <w:tcW w:w="1420" w:type="dxa"/>
            <w:vAlign w:val="bottom"/>
          </w:tcPr>
          <w:p>
            <w:pPr>
              <w:jc w:val="right"/>
              <w:spacing w:after="0"/>
              <w:rPr>
                <w:sz w:val="20"/>
                <w:szCs w:val="20"/>
                <w:color w:val="auto"/>
              </w:rPr>
            </w:pPr>
            <w:r>
              <w:rPr>
                <w:rFonts w:ascii="Arial" w:cs="Arial" w:eastAsia="Arial" w:hAnsi="Arial"/>
                <w:sz w:val="14"/>
                <w:szCs w:val="14"/>
                <w:color w:val="auto"/>
              </w:rPr>
              <w:t>1,614,089</w:t>
            </w:r>
          </w:p>
        </w:tc>
        <w:tc>
          <w:tcPr>
            <w:tcW w:w="0" w:type="dxa"/>
            <w:vAlign w:val="bottom"/>
          </w:tcPr>
          <w:p>
            <w:pPr>
              <w:spacing w:after="0"/>
              <w:rPr>
                <w:sz w:val="1"/>
                <w:szCs w:val="1"/>
                <w:color w:val="auto"/>
              </w:rPr>
            </w:pPr>
          </w:p>
        </w:tc>
      </w:tr>
      <w:tr>
        <w:trPr>
          <w:trHeight w:val="365"/>
        </w:trPr>
        <w:tc>
          <w:tcPr>
            <w:tcW w:w="20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4/1/2022</w:t>
            </w:r>
            <w:r>
              <w:rPr>
                <w:rFonts w:ascii="Arial" w:cs="Arial" w:eastAsia="Arial" w:hAnsi="Arial"/>
                <w:sz w:val="18"/>
                <w:szCs w:val="18"/>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113,533</w:t>
            </w:r>
          </w:p>
        </w:tc>
        <w:tc>
          <w:tcPr>
            <w:tcW w:w="1420" w:type="dxa"/>
            <w:vAlign w:val="bottom"/>
          </w:tcPr>
          <w:p>
            <w:pPr>
              <w:jc w:val="right"/>
              <w:spacing w:after="0"/>
              <w:rPr>
                <w:sz w:val="20"/>
                <w:szCs w:val="20"/>
                <w:color w:val="auto"/>
              </w:rPr>
            </w:pPr>
            <w:r>
              <w:rPr>
                <w:rFonts w:ascii="Arial" w:cs="Arial" w:eastAsia="Arial" w:hAnsi="Arial"/>
                <w:sz w:val="14"/>
                <w:szCs w:val="14"/>
                <w:color w:val="auto"/>
              </w:rPr>
              <w:t>3,346,953</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360" w:type="dxa"/>
            <w:vAlign w:val="bottom"/>
            <w:gridSpan w:val="3"/>
          </w:tcPr>
          <w:p>
            <w:pPr>
              <w:ind w:left="660"/>
              <w:spacing w:after="0"/>
              <w:rPr>
                <w:sz w:val="20"/>
                <w:szCs w:val="20"/>
                <w:color w:val="auto"/>
              </w:rPr>
            </w:pPr>
            <w:r>
              <w:rPr>
                <w:rFonts w:ascii="Arial" w:cs="Arial" w:eastAsia="Arial" w:hAnsi="Arial"/>
                <w:sz w:val="14"/>
                <w:szCs w:val="14"/>
                <w:color w:val="auto"/>
                <w:w w:val="98"/>
              </w:rPr>
              <w:t>4/1/2023</w:t>
            </w:r>
            <w:r>
              <w:rPr>
                <w:rFonts w:ascii="Arial" w:cs="Arial" w:eastAsia="Arial" w:hAnsi="Arial"/>
                <w:sz w:val="18"/>
                <w:szCs w:val="18"/>
                <w:color w:val="auto"/>
                <w:w w:val="98"/>
                <w:vertAlign w:val="superscript"/>
              </w:rPr>
              <w:t>(3)</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178,930</w:t>
            </w:r>
          </w:p>
        </w:tc>
        <w:tc>
          <w:tcPr>
            <w:tcW w:w="1420" w:type="dxa"/>
            <w:vAlign w:val="bottom"/>
          </w:tcPr>
          <w:p>
            <w:pPr>
              <w:jc w:val="right"/>
              <w:spacing w:after="0"/>
              <w:rPr>
                <w:sz w:val="20"/>
                <w:szCs w:val="20"/>
                <w:color w:val="auto"/>
              </w:rPr>
            </w:pPr>
            <w:r>
              <w:rPr>
                <w:rFonts w:ascii="Arial" w:cs="Arial" w:eastAsia="Arial" w:hAnsi="Arial"/>
                <w:sz w:val="14"/>
                <w:szCs w:val="14"/>
                <w:color w:val="auto"/>
              </w:rPr>
              <w:t>5,274,856</w:t>
            </w:r>
          </w:p>
        </w:tc>
        <w:tc>
          <w:tcPr>
            <w:tcW w:w="0" w:type="dxa"/>
            <w:vAlign w:val="bottom"/>
          </w:tcPr>
          <w:p>
            <w:pPr>
              <w:spacing w:after="0"/>
              <w:rPr>
                <w:sz w:val="1"/>
                <w:szCs w:val="1"/>
                <w:color w:val="auto"/>
              </w:rPr>
            </w:pPr>
          </w:p>
        </w:tc>
      </w:tr>
      <w:tr>
        <w:trPr>
          <w:trHeight w:val="216"/>
        </w:trPr>
        <w:tc>
          <w:tcPr>
            <w:tcW w:w="2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Timothy Young</w:t>
            </w:r>
          </w:p>
        </w:tc>
        <w:tc>
          <w:tcPr>
            <w:tcW w:w="660" w:type="dxa"/>
            <w:vAlign w:val="bottom"/>
            <w:shd w:val="clear" w:color="auto" w:fill="F2F2F2"/>
          </w:tcPr>
          <w:p>
            <w:pPr>
              <w:spacing w:after="0"/>
              <w:rPr>
                <w:sz w:val="18"/>
                <w:szCs w:val="18"/>
                <w:color w:val="auto"/>
              </w:rPr>
            </w:pPr>
          </w:p>
        </w:tc>
        <w:tc>
          <w:tcPr>
            <w:tcW w:w="540" w:type="dxa"/>
            <w:vAlign w:val="bottom"/>
            <w:shd w:val="clear" w:color="auto" w:fill="F2F2F2"/>
          </w:tcPr>
          <w:p>
            <w:pPr>
              <w:spacing w:after="0"/>
              <w:rPr>
                <w:sz w:val="18"/>
                <w:szCs w:val="18"/>
                <w:color w:val="auto"/>
              </w:rPr>
            </w:pPr>
          </w:p>
        </w:tc>
        <w:tc>
          <w:tcPr>
            <w:tcW w:w="160" w:type="dxa"/>
            <w:vAlign w:val="bottom"/>
            <w:shd w:val="clear" w:color="auto" w:fill="F2F2F2"/>
          </w:tcPr>
          <w:p>
            <w:pPr>
              <w:spacing w:after="0"/>
              <w:rPr>
                <w:sz w:val="18"/>
                <w:szCs w:val="18"/>
                <w:color w:val="auto"/>
              </w:rPr>
            </w:pPr>
          </w:p>
        </w:tc>
        <w:tc>
          <w:tcPr>
            <w:tcW w:w="12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F2F2F2"/>
          </w:tcPr>
          <w:p>
            <w:pPr>
              <w:jc w:val="center"/>
              <w:ind w:right="28"/>
              <w:spacing w:after="0"/>
              <w:rPr>
                <w:sz w:val="20"/>
                <w:szCs w:val="20"/>
                <w:color w:val="auto"/>
              </w:rPr>
            </w:pPr>
            <w:r>
              <w:rPr>
                <w:rFonts w:ascii="Arial" w:cs="Arial" w:eastAsia="Arial" w:hAnsi="Arial"/>
                <w:sz w:val="14"/>
                <w:szCs w:val="14"/>
                <w:color w:val="auto"/>
              </w:rPr>
              <w:t>—</w:t>
            </w:r>
          </w:p>
        </w:tc>
        <w:tc>
          <w:tcPr>
            <w:tcW w:w="162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6"/>
        </w:trPr>
        <w:tc>
          <w:tcPr>
            <w:tcW w:w="2080" w:type="dxa"/>
            <w:vAlign w:val="bottom"/>
          </w:tcPr>
          <w:p>
            <w:pPr>
              <w:ind w:left="20"/>
              <w:spacing w:after="0"/>
              <w:rPr>
                <w:sz w:val="20"/>
                <w:szCs w:val="20"/>
                <w:color w:val="auto"/>
              </w:rPr>
            </w:pPr>
            <w:r>
              <w:rPr>
                <w:rFonts w:ascii="Arial" w:cs="Arial" w:eastAsia="Arial" w:hAnsi="Arial"/>
                <w:sz w:val="14"/>
                <w:szCs w:val="14"/>
                <w:color w:val="auto"/>
              </w:rPr>
              <w:t>Bart E. Volkmer</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4/1/2020</w:t>
            </w:r>
            <w:r>
              <w:rPr>
                <w:rFonts w:ascii="Arial" w:cs="Arial" w:eastAsia="Arial" w:hAnsi="Arial"/>
                <w:sz w:val="18"/>
                <w:szCs w:val="18"/>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8,365</w:t>
            </w:r>
          </w:p>
        </w:tc>
        <w:tc>
          <w:tcPr>
            <w:tcW w:w="1420" w:type="dxa"/>
            <w:vAlign w:val="bottom"/>
          </w:tcPr>
          <w:p>
            <w:pPr>
              <w:jc w:val="right"/>
              <w:spacing w:after="0"/>
              <w:rPr>
                <w:sz w:val="20"/>
                <w:szCs w:val="20"/>
                <w:color w:val="auto"/>
              </w:rPr>
            </w:pPr>
            <w:r>
              <w:rPr>
                <w:rFonts w:ascii="Arial" w:cs="Arial" w:eastAsia="Arial" w:hAnsi="Arial"/>
                <w:sz w:val="14"/>
                <w:szCs w:val="14"/>
                <w:color w:val="auto"/>
              </w:rPr>
              <w:t>246,600</w:t>
            </w:r>
          </w:p>
        </w:tc>
        <w:tc>
          <w:tcPr>
            <w:tcW w:w="0" w:type="dxa"/>
            <w:vAlign w:val="bottom"/>
          </w:tcPr>
          <w:p>
            <w:pPr>
              <w:spacing w:after="0"/>
              <w:rPr>
                <w:sz w:val="1"/>
                <w:szCs w:val="1"/>
                <w:color w:val="auto"/>
              </w:rPr>
            </w:pPr>
          </w:p>
        </w:tc>
      </w:tr>
      <w:tr>
        <w:trPr>
          <w:trHeight w:val="364"/>
        </w:trPr>
        <w:tc>
          <w:tcPr>
            <w:tcW w:w="20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4/1/2021</w:t>
            </w:r>
            <w:r>
              <w:rPr>
                <w:rFonts w:ascii="Arial" w:cs="Arial" w:eastAsia="Arial" w:hAnsi="Arial"/>
                <w:sz w:val="18"/>
                <w:szCs w:val="18"/>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36,501</w:t>
            </w:r>
          </w:p>
        </w:tc>
        <w:tc>
          <w:tcPr>
            <w:tcW w:w="1420" w:type="dxa"/>
            <w:vAlign w:val="bottom"/>
          </w:tcPr>
          <w:p>
            <w:pPr>
              <w:jc w:val="right"/>
              <w:spacing w:after="0"/>
              <w:rPr>
                <w:sz w:val="20"/>
                <w:szCs w:val="20"/>
                <w:color w:val="auto"/>
              </w:rPr>
            </w:pPr>
            <w:r>
              <w:rPr>
                <w:rFonts w:ascii="Arial" w:cs="Arial" w:eastAsia="Arial" w:hAnsi="Arial"/>
                <w:sz w:val="14"/>
                <w:szCs w:val="14"/>
                <w:color w:val="auto"/>
              </w:rPr>
              <w:t>1,076,049</w:t>
            </w:r>
          </w:p>
        </w:tc>
        <w:tc>
          <w:tcPr>
            <w:tcW w:w="0" w:type="dxa"/>
            <w:vAlign w:val="bottom"/>
          </w:tcPr>
          <w:p>
            <w:pPr>
              <w:spacing w:after="0"/>
              <w:rPr>
                <w:sz w:val="1"/>
                <w:szCs w:val="1"/>
                <w:color w:val="auto"/>
              </w:rPr>
            </w:pPr>
          </w:p>
        </w:tc>
      </w:tr>
      <w:tr>
        <w:trPr>
          <w:trHeight w:val="364"/>
        </w:trPr>
        <w:tc>
          <w:tcPr>
            <w:tcW w:w="20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4/1/2022</w:t>
            </w:r>
            <w:r>
              <w:rPr>
                <w:rFonts w:ascii="Arial" w:cs="Arial" w:eastAsia="Arial" w:hAnsi="Arial"/>
                <w:sz w:val="18"/>
                <w:szCs w:val="18"/>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75,689</w:t>
            </w:r>
          </w:p>
        </w:tc>
        <w:tc>
          <w:tcPr>
            <w:tcW w:w="1420" w:type="dxa"/>
            <w:vAlign w:val="bottom"/>
          </w:tcPr>
          <w:p>
            <w:pPr>
              <w:jc w:val="right"/>
              <w:spacing w:after="0"/>
              <w:rPr>
                <w:sz w:val="20"/>
                <w:szCs w:val="20"/>
                <w:color w:val="auto"/>
              </w:rPr>
            </w:pPr>
            <w:r>
              <w:rPr>
                <w:rFonts w:ascii="Arial" w:cs="Arial" w:eastAsia="Arial" w:hAnsi="Arial"/>
                <w:sz w:val="14"/>
                <w:szCs w:val="14"/>
                <w:color w:val="auto"/>
              </w:rPr>
              <w:t>2,231,312</w:t>
            </w:r>
          </w:p>
        </w:tc>
        <w:tc>
          <w:tcPr>
            <w:tcW w:w="0" w:type="dxa"/>
            <w:vAlign w:val="bottom"/>
          </w:tcPr>
          <w:p>
            <w:pPr>
              <w:spacing w:after="0"/>
              <w:rPr>
                <w:sz w:val="1"/>
                <w:szCs w:val="1"/>
                <w:color w:val="auto"/>
              </w:rPr>
            </w:pPr>
          </w:p>
        </w:tc>
      </w:tr>
      <w:tr>
        <w:trPr>
          <w:trHeight w:val="353"/>
        </w:trPr>
        <w:tc>
          <w:tcPr>
            <w:tcW w:w="20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4/1/2023</w:t>
            </w:r>
            <w:r>
              <w:rPr>
                <w:rFonts w:ascii="Arial" w:cs="Arial" w:eastAsia="Arial" w:hAnsi="Arial"/>
                <w:sz w:val="18"/>
                <w:szCs w:val="18"/>
                <w:color w:val="auto"/>
                <w:vertAlign w:val="superscript"/>
              </w:rPr>
              <w:t>(3)</w:t>
            </w: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88"/>
              <w:spacing w:after="0"/>
              <w:rPr>
                <w:sz w:val="20"/>
                <w:szCs w:val="20"/>
                <w:color w:val="auto"/>
              </w:rPr>
            </w:pPr>
            <w:r>
              <w:rPr>
                <w:rFonts w:ascii="Arial" w:cs="Arial" w:eastAsia="Arial" w:hAnsi="Arial"/>
                <w:sz w:val="14"/>
                <w:szCs w:val="14"/>
                <w:color w:val="auto"/>
              </w:rPr>
              <w:t>129,227</w:t>
            </w:r>
          </w:p>
        </w:tc>
        <w:tc>
          <w:tcPr>
            <w:tcW w:w="1420" w:type="dxa"/>
            <w:vAlign w:val="bottom"/>
          </w:tcPr>
          <w:p>
            <w:pPr>
              <w:jc w:val="right"/>
              <w:spacing w:after="0"/>
              <w:rPr>
                <w:sz w:val="20"/>
                <w:szCs w:val="20"/>
                <w:color w:val="auto"/>
              </w:rPr>
            </w:pPr>
            <w:r>
              <w:rPr>
                <w:rFonts w:ascii="Arial" w:cs="Arial" w:eastAsia="Arial" w:hAnsi="Arial"/>
                <w:sz w:val="14"/>
                <w:szCs w:val="14"/>
                <w:color w:val="auto"/>
              </w:rPr>
              <w:t>3,809,612</w:t>
            </w:r>
          </w:p>
        </w:tc>
        <w:tc>
          <w:tcPr>
            <w:tcW w:w="0" w:type="dxa"/>
            <w:vAlign w:val="bottom"/>
          </w:tcPr>
          <w:p>
            <w:pPr>
              <w:spacing w:after="0"/>
              <w:rPr>
                <w:sz w:val="1"/>
                <w:szCs w:val="1"/>
                <w:color w:val="auto"/>
              </w:rPr>
            </w:pPr>
          </w:p>
        </w:tc>
      </w:tr>
      <w:tr>
        <w:trPr>
          <w:trHeight w:val="218"/>
        </w:trPr>
        <w:tc>
          <w:tcPr>
            <w:tcW w:w="2080" w:type="dxa"/>
            <w:vAlign w:val="bottom"/>
            <w:shd w:val="clear" w:color="auto" w:fill="F2F2F2"/>
          </w:tcPr>
          <w:p>
            <w:pPr>
              <w:ind w:left="20"/>
              <w:spacing w:after="0"/>
              <w:rPr>
                <w:sz w:val="20"/>
                <w:szCs w:val="20"/>
                <w:color w:val="auto"/>
              </w:rPr>
            </w:pPr>
            <w:r>
              <w:rPr>
                <w:rFonts w:ascii="Arial" w:cs="Arial" w:eastAsia="Arial" w:hAnsi="Arial"/>
                <w:sz w:val="14"/>
                <w:szCs w:val="14"/>
                <w:color w:val="auto"/>
              </w:rPr>
              <w:t>Eric Cox</w:t>
            </w:r>
          </w:p>
        </w:tc>
        <w:tc>
          <w:tcPr>
            <w:tcW w:w="660" w:type="dxa"/>
            <w:vAlign w:val="bottom"/>
            <w:shd w:val="clear" w:color="auto" w:fill="F2F2F2"/>
          </w:tcPr>
          <w:p>
            <w:pPr>
              <w:spacing w:after="0"/>
              <w:rPr>
                <w:sz w:val="19"/>
                <w:szCs w:val="19"/>
                <w:color w:val="auto"/>
              </w:rPr>
            </w:pPr>
          </w:p>
        </w:tc>
        <w:tc>
          <w:tcPr>
            <w:tcW w:w="540" w:type="dxa"/>
            <w:vAlign w:val="bottom"/>
            <w:shd w:val="clear" w:color="auto" w:fill="F2F2F2"/>
          </w:tcPr>
          <w:p>
            <w:pPr>
              <w:spacing w:after="0"/>
              <w:rPr>
                <w:sz w:val="19"/>
                <w:szCs w:val="19"/>
                <w:color w:val="auto"/>
              </w:rPr>
            </w:pPr>
          </w:p>
        </w:tc>
        <w:tc>
          <w:tcPr>
            <w:tcW w:w="160" w:type="dxa"/>
            <w:vAlign w:val="bottom"/>
            <w:shd w:val="clear" w:color="auto" w:fill="F2F2F2"/>
          </w:tcPr>
          <w:p>
            <w:pPr>
              <w:spacing w:after="0"/>
              <w:rPr>
                <w:sz w:val="19"/>
                <w:szCs w:val="19"/>
                <w:color w:val="auto"/>
              </w:rPr>
            </w:pPr>
          </w:p>
        </w:tc>
        <w:tc>
          <w:tcPr>
            <w:tcW w:w="12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shd w:val="clear" w:color="auto" w:fill="F2F2F2"/>
          </w:tcPr>
          <w:p>
            <w:pPr>
              <w:jc w:val="center"/>
              <w:ind w:right="28"/>
              <w:spacing w:after="0"/>
              <w:rPr>
                <w:sz w:val="20"/>
                <w:szCs w:val="20"/>
                <w:color w:val="auto"/>
              </w:rPr>
            </w:pPr>
            <w:r>
              <w:rPr>
                <w:rFonts w:ascii="Arial" w:cs="Arial" w:eastAsia="Arial" w:hAnsi="Arial"/>
                <w:sz w:val="14"/>
                <w:szCs w:val="14"/>
                <w:color w:val="auto"/>
              </w:rPr>
              <w:t>—</w:t>
            </w:r>
          </w:p>
        </w:tc>
        <w:tc>
          <w:tcPr>
            <w:tcW w:w="1620" w:type="dxa"/>
            <w:vAlign w:val="bottom"/>
            <w:shd w:val="clear" w:color="auto" w:fill="F2F2F2"/>
          </w:tcPr>
          <w:p>
            <w:pPr>
              <w:jc w:val="right"/>
              <w:ind w:right="2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-1182370</wp:posOffset>
            </wp:positionV>
            <wp:extent cx="17145" cy="11830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 cy="11830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-1182370</wp:posOffset>
            </wp:positionV>
            <wp:extent cx="17145" cy="11830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 cy="118300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-1182370</wp:posOffset>
            </wp:positionV>
            <wp:extent cx="17145" cy="11830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145" cy="118300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-1182370</wp:posOffset>
            </wp:positionV>
            <wp:extent cx="17145" cy="1183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 cy="118300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-1182370</wp:posOffset>
            </wp:positionV>
            <wp:extent cx="17145" cy="11830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145" cy="118300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-1182370</wp:posOffset>
            </wp:positionV>
            <wp:extent cx="17145" cy="1183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 cy="118300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-1182370</wp:posOffset>
            </wp:positionV>
            <wp:extent cx="17145" cy="1183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145" cy="1183005"/>
                    </a:xfrm>
                    <a:prstGeom prst="rect">
                      <a:avLst/>
                    </a:prstGeom>
                    <a:noFill/>
                  </pic:spPr>
                </pic:pic>
              </a:graphicData>
            </a:graphic>
          </wp:anchor>
        </w:drawing>
      </w:r>
    </w:p>
    <w:p>
      <w:pPr>
        <w:spacing w:after="0" w:line="36"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The closing price of our Class A common stock on December 29, 2023, the last trading day of the year, was $29.48.</w:t>
      </w:r>
    </w:p>
    <w:p>
      <w:pPr>
        <w:ind w:left="340" w:right="120" w:hanging="332"/>
        <w:spacing w:after="0" w:line="248" w:lineRule="auto"/>
        <w:tabs>
          <w:tab w:leader="none" w:pos="333" w:val="left"/>
        </w:tabs>
        <w:numPr>
          <w:ilvl w:val="0"/>
          <w:numId w:val="78"/>
        </w:numPr>
        <w:rPr>
          <w:rFonts w:ascii="Arial" w:cs="Arial" w:eastAsia="Arial" w:hAnsi="Arial"/>
          <w:sz w:val="9"/>
          <w:szCs w:val="9"/>
          <w:color w:val="auto"/>
        </w:rPr>
      </w:pPr>
      <w:r>
        <w:rPr>
          <w:rFonts w:ascii="Arial" w:cs="Arial" w:eastAsia="Arial" w:hAnsi="Arial"/>
          <w:sz w:val="14"/>
          <w:szCs w:val="14"/>
          <w:color w:val="auto"/>
        </w:rPr>
        <w:t>This award represents RSAs granted to Mr. Houston pursuant to a stand-alone restricted stock award agreement. The shares underlying the RSAs are Class A common stock. RSAs vest over a period of up to ten years upon achievement of service-based, market-based, and liquidity event-related performance vesting conditions. See “</w:t>
      </w:r>
      <w:r>
        <w:rPr>
          <w:rFonts w:ascii="Arial" w:cs="Arial" w:eastAsia="Arial" w:hAnsi="Arial"/>
          <w:sz w:val="14"/>
          <w:szCs w:val="14"/>
          <w:i w:val="1"/>
          <w:iCs w:val="1"/>
          <w:color w:val="auto"/>
        </w:rPr>
        <w:t>Co-Founder Grant</w:t>
      </w:r>
      <w:r>
        <w:rPr>
          <w:rFonts w:ascii="Arial" w:cs="Arial" w:eastAsia="Arial" w:hAnsi="Arial"/>
          <w:sz w:val="14"/>
          <w:szCs w:val="14"/>
          <w:color w:val="auto"/>
        </w:rPr>
        <w:t>” below.</w:t>
      </w:r>
    </w:p>
    <w:p>
      <w:pPr>
        <w:ind w:left="340" w:right="360" w:hanging="332"/>
        <w:spacing w:after="0" w:line="264" w:lineRule="auto"/>
        <w:tabs>
          <w:tab w:leader="none" w:pos="333" w:val="left"/>
        </w:tabs>
        <w:numPr>
          <w:ilvl w:val="0"/>
          <w:numId w:val="78"/>
        </w:numPr>
        <w:rPr>
          <w:rFonts w:ascii="Arial" w:cs="Arial" w:eastAsia="Arial" w:hAnsi="Arial"/>
          <w:sz w:val="9"/>
          <w:szCs w:val="9"/>
          <w:color w:val="auto"/>
        </w:rPr>
      </w:pPr>
      <w:r>
        <w:rPr>
          <w:rFonts w:ascii="Arial" w:cs="Arial" w:eastAsia="Arial" w:hAnsi="Arial"/>
          <w:sz w:val="14"/>
          <w:szCs w:val="14"/>
          <w:color w:val="auto"/>
        </w:rPr>
        <w:t>1/16th of the total number of shares of our Class A common stock underlying the RSUs vests in equal quarterly installments on the Quarterly Vesting Dates, subject to continued service through each such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6"/>
          <w:szCs w:val="26"/>
          <w:color w:val="0063A6"/>
        </w:rPr>
        <w:t>Co-Founder Grant</w:t>
      </w:r>
    </w:p>
    <w:p>
      <w:pPr>
        <w:spacing w:after="0" w:line="165"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In December 2017, our board of directors approved the Co-Founder Grant. The Co-Founder Grant has service-based, market-based, and performance-based vesting conditions as described above in “</w:t>
      </w:r>
      <w:r>
        <w:rPr>
          <w:rFonts w:ascii="Arial" w:cs="Arial" w:eastAsia="Arial" w:hAnsi="Arial"/>
          <w:sz w:val="16"/>
          <w:szCs w:val="16"/>
          <w:i w:val="1"/>
          <w:iCs w:val="1"/>
          <w:color w:val="auto"/>
        </w:rPr>
        <w:t>Performance Achievement of Mr. Houston’s Co-Founder Grant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303" w:lineRule="exact"/>
        <w:rPr>
          <w:sz w:val="20"/>
          <w:szCs w:val="20"/>
          <w:color w:val="auto"/>
        </w:rPr>
      </w:pPr>
    </w:p>
    <w:p>
      <w:pPr>
        <w:spacing w:after="0"/>
        <w:rPr>
          <w:sz w:val="20"/>
          <w:szCs w:val="20"/>
          <w:color w:val="auto"/>
        </w:rPr>
      </w:pPr>
      <w:r>
        <w:rPr>
          <w:rFonts w:ascii="Arial" w:cs="Arial" w:eastAsia="Arial" w:hAnsi="Arial"/>
          <w:sz w:val="26"/>
          <w:szCs w:val="26"/>
          <w:color w:val="0063A6"/>
        </w:rPr>
        <w:t>Option Exercises and Stock Vested in 2023</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all stock awards vested, and value realized upon vesting, by our named executive officers during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140970</wp:posOffset>
            </wp:positionV>
            <wp:extent cx="4783455" cy="13970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83455" cy="139700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720" w:type="dxa"/>
            <w:vAlign w:val="bottom"/>
            <w:shd w:val="clear" w:color="auto" w:fill="0063A6"/>
          </w:tcPr>
          <w:p>
            <w:pPr>
              <w:spacing w:after="0"/>
              <w:rPr>
                <w:sz w:val="23"/>
                <w:szCs w:val="23"/>
                <w:color w:val="auto"/>
              </w:rPr>
            </w:pPr>
          </w:p>
        </w:tc>
        <w:tc>
          <w:tcPr>
            <w:tcW w:w="3880" w:type="dxa"/>
            <w:vAlign w:val="bottom"/>
            <w:gridSpan w:val="2"/>
            <w:shd w:val="clear" w:color="auto" w:fill="0063A6"/>
          </w:tcPr>
          <w:p>
            <w:pPr>
              <w:ind w:left="1420"/>
              <w:spacing w:after="0"/>
              <w:rPr>
                <w:sz w:val="20"/>
                <w:szCs w:val="20"/>
                <w:color w:val="auto"/>
              </w:rPr>
            </w:pPr>
            <w:r>
              <w:rPr>
                <w:rFonts w:ascii="Arial" w:cs="Arial" w:eastAsia="Arial" w:hAnsi="Arial"/>
                <w:sz w:val="14"/>
                <w:szCs w:val="14"/>
                <w:b w:val="1"/>
                <w:bCs w:val="1"/>
                <w:color w:val="FFFFFF"/>
              </w:rPr>
              <w:t>Option Awards</w:t>
            </w:r>
          </w:p>
        </w:tc>
        <w:tc>
          <w:tcPr>
            <w:tcW w:w="2300" w:type="dxa"/>
            <w:vAlign w:val="bottom"/>
            <w:shd w:val="clear" w:color="auto" w:fill="0063A6"/>
          </w:tcPr>
          <w:p>
            <w:pPr>
              <w:ind w:left="1340"/>
              <w:spacing w:after="0"/>
              <w:rPr>
                <w:sz w:val="20"/>
                <w:szCs w:val="20"/>
                <w:color w:val="auto"/>
              </w:rPr>
            </w:pPr>
            <w:r>
              <w:rPr>
                <w:rFonts w:ascii="Arial" w:cs="Arial" w:eastAsia="Arial" w:hAnsi="Arial"/>
                <w:sz w:val="14"/>
                <w:szCs w:val="14"/>
                <w:b w:val="1"/>
                <w:bCs w:val="1"/>
                <w:color w:val="FFFFFF"/>
              </w:rPr>
              <w:t>Stock Awards</w:t>
            </w:r>
          </w:p>
        </w:tc>
        <w:tc>
          <w:tcPr>
            <w:tcW w:w="1340" w:type="dxa"/>
            <w:vAlign w:val="bottom"/>
            <w:shd w:val="clear" w:color="auto" w:fill="0063A6"/>
          </w:tcPr>
          <w:p>
            <w:pPr>
              <w:spacing w:after="0"/>
              <w:rPr>
                <w:sz w:val="23"/>
                <w:szCs w:val="23"/>
                <w:color w:val="auto"/>
              </w:rPr>
            </w:pPr>
          </w:p>
        </w:tc>
      </w:tr>
      <w:tr>
        <w:trPr>
          <w:trHeight w:val="290"/>
        </w:trPr>
        <w:tc>
          <w:tcPr>
            <w:tcW w:w="3720" w:type="dxa"/>
            <w:vAlign w:val="bottom"/>
            <w:shd w:val="clear" w:color="auto" w:fill="0063A6"/>
          </w:tcPr>
          <w:p>
            <w:pPr>
              <w:spacing w:after="0"/>
              <w:rPr>
                <w:sz w:val="24"/>
                <w:szCs w:val="24"/>
                <w:color w:val="auto"/>
              </w:rPr>
            </w:pPr>
          </w:p>
        </w:tc>
        <w:tc>
          <w:tcPr>
            <w:tcW w:w="2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 Awards –</w:t>
            </w:r>
          </w:p>
        </w:tc>
        <w:tc>
          <w:tcPr>
            <w:tcW w:w="18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Option Awards –</w:t>
            </w:r>
          </w:p>
        </w:tc>
        <w:tc>
          <w:tcPr>
            <w:tcW w:w="2300" w:type="dxa"/>
            <w:vAlign w:val="bottom"/>
            <w:shd w:val="clear" w:color="auto" w:fill="0063A6"/>
          </w:tcPr>
          <w:p>
            <w:pPr>
              <w:jc w:val="center"/>
              <w:ind w:right="463"/>
              <w:spacing w:after="0"/>
              <w:rPr>
                <w:sz w:val="20"/>
                <w:szCs w:val="20"/>
                <w:color w:val="auto"/>
              </w:rPr>
            </w:pPr>
            <w:r>
              <w:rPr>
                <w:rFonts w:ascii="Arial" w:cs="Arial" w:eastAsia="Arial" w:hAnsi="Arial"/>
                <w:sz w:val="14"/>
                <w:szCs w:val="14"/>
                <w:b w:val="1"/>
                <w:bCs w:val="1"/>
                <w:color w:val="FFFFFF"/>
              </w:rPr>
              <w:t>Number of Shares</w:t>
            </w:r>
          </w:p>
        </w:tc>
        <w:tc>
          <w:tcPr>
            <w:tcW w:w="1340" w:type="dxa"/>
            <w:vAlign w:val="bottom"/>
            <w:shd w:val="clear" w:color="auto" w:fill="0063A6"/>
          </w:tcPr>
          <w:p>
            <w:pPr>
              <w:jc w:val="center"/>
              <w:ind w:right="402"/>
              <w:spacing w:after="0"/>
              <w:rPr>
                <w:sz w:val="20"/>
                <w:szCs w:val="20"/>
                <w:color w:val="auto"/>
              </w:rPr>
            </w:pPr>
            <w:r>
              <w:rPr>
                <w:rFonts w:ascii="Arial" w:cs="Arial" w:eastAsia="Arial" w:hAnsi="Arial"/>
                <w:sz w:val="14"/>
                <w:szCs w:val="14"/>
                <w:b w:val="1"/>
                <w:bCs w:val="1"/>
                <w:color w:val="FFFFFF"/>
              </w:rPr>
              <w:t>Value</w:t>
            </w:r>
          </w:p>
        </w:tc>
      </w:tr>
      <w:tr>
        <w:trPr>
          <w:trHeight w:val="173"/>
        </w:trPr>
        <w:tc>
          <w:tcPr>
            <w:tcW w:w="3720" w:type="dxa"/>
            <w:vAlign w:val="bottom"/>
            <w:shd w:val="clear" w:color="auto" w:fill="0063A6"/>
          </w:tcPr>
          <w:p>
            <w:pPr>
              <w:spacing w:after="0"/>
              <w:rPr>
                <w:sz w:val="15"/>
                <w:szCs w:val="15"/>
                <w:color w:val="auto"/>
              </w:rPr>
            </w:pPr>
          </w:p>
        </w:tc>
        <w:tc>
          <w:tcPr>
            <w:tcW w:w="20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Acquired on</w:t>
            </w:r>
          </w:p>
        </w:tc>
        <w:tc>
          <w:tcPr>
            <w:tcW w:w="18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Value Realized on</w:t>
            </w:r>
          </w:p>
        </w:tc>
        <w:tc>
          <w:tcPr>
            <w:tcW w:w="2300" w:type="dxa"/>
            <w:vAlign w:val="bottom"/>
            <w:shd w:val="clear" w:color="auto" w:fill="0063A6"/>
          </w:tcPr>
          <w:p>
            <w:pPr>
              <w:jc w:val="center"/>
              <w:ind w:right="463"/>
              <w:spacing w:after="0"/>
              <w:rPr>
                <w:sz w:val="20"/>
                <w:szCs w:val="20"/>
                <w:color w:val="auto"/>
              </w:rPr>
            </w:pPr>
            <w:r>
              <w:rPr>
                <w:rFonts w:ascii="Arial" w:cs="Arial" w:eastAsia="Arial" w:hAnsi="Arial"/>
                <w:sz w:val="14"/>
                <w:szCs w:val="14"/>
                <w:b w:val="1"/>
                <w:bCs w:val="1"/>
                <w:color w:val="FFFFFF"/>
              </w:rPr>
              <w:t>Acquired on</w:t>
            </w:r>
          </w:p>
        </w:tc>
        <w:tc>
          <w:tcPr>
            <w:tcW w:w="1340" w:type="dxa"/>
            <w:vAlign w:val="bottom"/>
            <w:shd w:val="clear" w:color="auto" w:fill="0063A6"/>
          </w:tcPr>
          <w:p>
            <w:pPr>
              <w:jc w:val="center"/>
              <w:ind w:right="382"/>
              <w:spacing w:after="0"/>
              <w:rPr>
                <w:sz w:val="20"/>
                <w:szCs w:val="20"/>
                <w:color w:val="auto"/>
              </w:rPr>
            </w:pPr>
            <w:r>
              <w:rPr>
                <w:rFonts w:ascii="Arial" w:cs="Arial" w:eastAsia="Arial" w:hAnsi="Arial"/>
                <w:sz w:val="14"/>
                <w:szCs w:val="14"/>
                <w:b w:val="1"/>
                <w:bCs w:val="1"/>
                <w:color w:val="FFFFFF"/>
              </w:rPr>
              <w:t>Realized on</w:t>
            </w:r>
          </w:p>
        </w:tc>
      </w:tr>
      <w:tr>
        <w:trPr>
          <w:trHeight w:val="235"/>
        </w:trPr>
        <w:tc>
          <w:tcPr>
            <w:tcW w:w="372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w:t>
            </w:r>
          </w:p>
        </w:tc>
        <w:tc>
          <w:tcPr>
            <w:tcW w:w="20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w:t>
            </w:r>
          </w:p>
        </w:tc>
        <w:tc>
          <w:tcPr>
            <w:tcW w:w="18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 ($)</w:t>
            </w:r>
          </w:p>
        </w:tc>
        <w:tc>
          <w:tcPr>
            <w:tcW w:w="2300" w:type="dxa"/>
            <w:vAlign w:val="bottom"/>
            <w:tcBorders>
              <w:bottom w:val="single" w:sz="8" w:color="0063A6"/>
            </w:tcBorders>
            <w:shd w:val="clear" w:color="auto" w:fill="0063A6"/>
          </w:tcPr>
          <w:p>
            <w:pPr>
              <w:jc w:val="center"/>
              <w:ind w:right="403"/>
              <w:spacing w:after="0"/>
              <w:rPr>
                <w:sz w:val="20"/>
                <w:szCs w:val="20"/>
                <w:color w:val="auto"/>
              </w:rPr>
            </w:pPr>
            <w:r>
              <w:rPr>
                <w:rFonts w:ascii="Arial" w:cs="Arial" w:eastAsia="Arial" w:hAnsi="Arial"/>
                <w:sz w:val="14"/>
                <w:szCs w:val="14"/>
                <w:b w:val="1"/>
                <w:bCs w:val="1"/>
                <w:color w:val="FFFFFF"/>
                <w:w w:val="98"/>
              </w:rPr>
              <w:t>Vesting</w:t>
            </w:r>
          </w:p>
        </w:tc>
        <w:tc>
          <w:tcPr>
            <w:tcW w:w="1340" w:type="dxa"/>
            <w:vAlign w:val="bottom"/>
            <w:tcBorders>
              <w:bottom w:val="single" w:sz="8" w:color="0063A6"/>
            </w:tcBorders>
            <w:shd w:val="clear" w:color="auto" w:fill="0063A6"/>
          </w:tcPr>
          <w:p>
            <w:pPr>
              <w:jc w:val="center"/>
              <w:ind w:right="382"/>
              <w:spacing w:after="0" w:line="201" w:lineRule="exact"/>
              <w:rPr>
                <w:sz w:val="20"/>
                <w:szCs w:val="20"/>
                <w:color w:val="auto"/>
              </w:rPr>
            </w:pPr>
            <w:r>
              <w:rPr>
                <w:rFonts w:ascii="Arial" w:cs="Arial" w:eastAsia="Arial" w:hAnsi="Arial"/>
                <w:sz w:val="14"/>
                <w:szCs w:val="14"/>
                <w:b w:val="1"/>
                <w:bCs w:val="1"/>
                <w:color w:val="FFFFFF"/>
                <w:w w:val="97"/>
              </w:rPr>
              <w:t>Vesting ($)</w:t>
            </w:r>
            <w:r>
              <w:rPr>
                <w:rFonts w:ascii="Arial" w:cs="Arial" w:eastAsia="Arial" w:hAnsi="Arial"/>
                <w:sz w:val="18"/>
                <w:szCs w:val="18"/>
                <w:b w:val="1"/>
                <w:bCs w:val="1"/>
                <w:color w:val="FFFFFF"/>
                <w:w w:val="97"/>
                <w:vertAlign w:val="superscript"/>
              </w:rPr>
              <w:t>(1)</w:t>
            </w:r>
          </w:p>
        </w:tc>
      </w:tr>
      <w:tr>
        <w:trPr>
          <w:trHeight w:val="223"/>
        </w:trPr>
        <w:tc>
          <w:tcPr>
            <w:tcW w:w="37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Borders>
              <w:bottom w:val="single" w:sz="8" w:color="F2F2F2"/>
            </w:tcBorders>
            <w:shd w:val="clear" w:color="auto" w:fill="F2F2F2"/>
          </w:tcPr>
          <w:p>
            <w:pPr>
              <w:jc w:val="center"/>
              <w:ind w:right="423"/>
              <w:spacing w:after="0"/>
              <w:rPr>
                <w:sz w:val="20"/>
                <w:szCs w:val="20"/>
                <w:color w:val="auto"/>
              </w:rPr>
            </w:pPr>
            <w:r>
              <w:rPr>
                <w:rFonts w:ascii="Arial" w:cs="Arial" w:eastAsia="Arial" w:hAnsi="Arial"/>
                <w:sz w:val="16"/>
                <w:szCs w:val="16"/>
                <w:color w:val="auto"/>
                <w:w w:val="99"/>
              </w:rPr>
              <w:t>—</w:t>
            </w:r>
          </w:p>
        </w:tc>
        <w:tc>
          <w:tcPr>
            <w:tcW w:w="1340" w:type="dxa"/>
            <w:vAlign w:val="bottom"/>
            <w:tcBorders>
              <w:bottom w:val="single" w:sz="8" w:color="F2F2F2"/>
            </w:tcBorders>
            <w:shd w:val="clear" w:color="auto" w:fill="F2F2F2"/>
          </w:tcPr>
          <w:p>
            <w:pPr>
              <w:jc w:val="center"/>
              <w:ind w:right="382"/>
              <w:spacing w:after="0"/>
              <w:rPr>
                <w:sz w:val="20"/>
                <w:szCs w:val="20"/>
                <w:color w:val="auto"/>
              </w:rPr>
            </w:pPr>
            <w:r>
              <w:rPr>
                <w:rFonts w:ascii="Arial" w:cs="Arial" w:eastAsia="Arial" w:hAnsi="Arial"/>
                <w:sz w:val="16"/>
                <w:szCs w:val="16"/>
                <w:color w:val="auto"/>
                <w:w w:val="99"/>
              </w:rPr>
              <w:t>—</w:t>
            </w:r>
          </w:p>
        </w:tc>
      </w:tr>
      <w:tr>
        <w:trPr>
          <w:trHeight w:val="215"/>
        </w:trPr>
        <w:tc>
          <w:tcPr>
            <w:tcW w:w="372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2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Pr>
          <w:p>
            <w:pPr>
              <w:jc w:val="center"/>
              <w:ind w:right="403"/>
              <w:spacing w:after="0"/>
              <w:rPr>
                <w:sz w:val="20"/>
                <w:szCs w:val="20"/>
                <w:color w:val="auto"/>
              </w:rPr>
            </w:pPr>
            <w:r>
              <w:rPr>
                <w:rFonts w:ascii="Arial" w:cs="Arial" w:eastAsia="Arial" w:hAnsi="Arial"/>
                <w:sz w:val="16"/>
                <w:szCs w:val="16"/>
                <w:color w:val="auto"/>
              </w:rPr>
              <w:t>203,005</w:t>
            </w:r>
          </w:p>
        </w:tc>
        <w:tc>
          <w:tcPr>
            <w:tcW w:w="1340" w:type="dxa"/>
            <w:vAlign w:val="bottom"/>
          </w:tcPr>
          <w:p>
            <w:pPr>
              <w:jc w:val="center"/>
              <w:ind w:right="382"/>
              <w:spacing w:after="0"/>
              <w:rPr>
                <w:sz w:val="20"/>
                <w:szCs w:val="20"/>
                <w:color w:val="auto"/>
              </w:rPr>
            </w:pPr>
            <w:r>
              <w:rPr>
                <w:rFonts w:ascii="Arial" w:cs="Arial" w:eastAsia="Arial" w:hAnsi="Arial"/>
                <w:sz w:val="16"/>
                <w:szCs w:val="16"/>
                <w:color w:val="auto"/>
              </w:rPr>
              <w:t>5,180,392</w:t>
            </w:r>
          </w:p>
        </w:tc>
      </w:tr>
      <w:tr>
        <w:trPr>
          <w:trHeight w:val="28"/>
        </w:trPr>
        <w:tc>
          <w:tcPr>
            <w:tcW w:w="3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37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Borders>
              <w:bottom w:val="single" w:sz="8" w:color="F2F2F2"/>
            </w:tcBorders>
            <w:shd w:val="clear" w:color="auto" w:fill="F2F2F2"/>
          </w:tcPr>
          <w:p>
            <w:pPr>
              <w:jc w:val="center"/>
              <w:ind w:right="403"/>
              <w:spacing w:after="0"/>
              <w:rPr>
                <w:sz w:val="20"/>
                <w:szCs w:val="20"/>
                <w:color w:val="auto"/>
              </w:rPr>
            </w:pPr>
            <w:r>
              <w:rPr>
                <w:rFonts w:ascii="Arial" w:cs="Arial" w:eastAsia="Arial" w:hAnsi="Arial"/>
                <w:sz w:val="16"/>
                <w:szCs w:val="16"/>
                <w:color w:val="auto"/>
              </w:rPr>
              <w:t>242,341</w:t>
            </w:r>
          </w:p>
        </w:tc>
        <w:tc>
          <w:tcPr>
            <w:tcW w:w="1340" w:type="dxa"/>
            <w:vAlign w:val="bottom"/>
            <w:tcBorders>
              <w:bottom w:val="single" w:sz="8" w:color="F2F2F2"/>
            </w:tcBorders>
            <w:shd w:val="clear" w:color="auto" w:fill="F2F2F2"/>
          </w:tcPr>
          <w:p>
            <w:pPr>
              <w:jc w:val="center"/>
              <w:ind w:right="382"/>
              <w:spacing w:after="0"/>
              <w:rPr>
                <w:sz w:val="20"/>
                <w:szCs w:val="20"/>
                <w:color w:val="auto"/>
              </w:rPr>
            </w:pPr>
            <w:r>
              <w:rPr>
                <w:rFonts w:ascii="Arial" w:cs="Arial" w:eastAsia="Arial" w:hAnsi="Arial"/>
                <w:sz w:val="16"/>
                <w:szCs w:val="16"/>
                <w:color w:val="auto"/>
              </w:rPr>
              <w:t>5,816,184</w:t>
            </w:r>
          </w:p>
        </w:tc>
      </w:tr>
      <w:tr>
        <w:trPr>
          <w:trHeight w:val="215"/>
        </w:trPr>
        <w:tc>
          <w:tcPr>
            <w:tcW w:w="372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20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tcPr>
          <w:p>
            <w:pPr>
              <w:jc w:val="center"/>
              <w:ind w:right="403"/>
              <w:spacing w:after="0"/>
              <w:rPr>
                <w:sz w:val="20"/>
                <w:szCs w:val="20"/>
                <w:color w:val="auto"/>
              </w:rPr>
            </w:pPr>
            <w:r>
              <w:rPr>
                <w:rFonts w:ascii="Arial" w:cs="Arial" w:eastAsia="Arial" w:hAnsi="Arial"/>
                <w:sz w:val="16"/>
                <w:szCs w:val="16"/>
                <w:color w:val="auto"/>
              </w:rPr>
              <w:t>132,813</w:t>
            </w:r>
          </w:p>
        </w:tc>
        <w:tc>
          <w:tcPr>
            <w:tcW w:w="1340" w:type="dxa"/>
            <w:vAlign w:val="bottom"/>
          </w:tcPr>
          <w:p>
            <w:pPr>
              <w:jc w:val="center"/>
              <w:ind w:right="382"/>
              <w:spacing w:after="0"/>
              <w:rPr>
                <w:sz w:val="20"/>
                <w:szCs w:val="20"/>
                <w:color w:val="auto"/>
              </w:rPr>
            </w:pPr>
            <w:r>
              <w:rPr>
                <w:rFonts w:ascii="Arial" w:cs="Arial" w:eastAsia="Arial" w:hAnsi="Arial"/>
                <w:sz w:val="16"/>
                <w:szCs w:val="16"/>
                <w:color w:val="auto"/>
              </w:rPr>
              <w:t>3,383,788</w:t>
            </w:r>
          </w:p>
        </w:tc>
      </w:tr>
      <w:tr>
        <w:trPr>
          <w:trHeight w:val="28"/>
        </w:trPr>
        <w:tc>
          <w:tcPr>
            <w:tcW w:w="3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5"/>
        </w:trPr>
        <w:tc>
          <w:tcPr>
            <w:tcW w:w="3720" w:type="dxa"/>
            <w:vAlign w:val="bottom"/>
            <w:shd w:val="clear" w:color="auto" w:fill="F2F2F2"/>
          </w:tcPr>
          <w:p>
            <w:pPr>
              <w:ind w:left="60"/>
              <w:spacing w:after="0"/>
              <w:rPr>
                <w:sz w:val="20"/>
                <w:szCs w:val="20"/>
                <w:color w:val="auto"/>
              </w:rPr>
            </w:pPr>
            <w:r>
              <w:rPr>
                <w:rFonts w:ascii="Arial" w:cs="Arial" w:eastAsia="Arial" w:hAnsi="Arial"/>
                <w:sz w:val="16"/>
                <w:szCs w:val="16"/>
                <w:color w:val="auto"/>
              </w:rPr>
              <w:t>Eric Cox</w:t>
            </w:r>
          </w:p>
        </w:tc>
        <w:tc>
          <w:tcPr>
            <w:tcW w:w="20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8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2300" w:type="dxa"/>
            <w:vAlign w:val="bottom"/>
            <w:shd w:val="clear" w:color="auto" w:fill="F2F2F2"/>
          </w:tcPr>
          <w:p>
            <w:pPr>
              <w:jc w:val="center"/>
              <w:ind w:right="423"/>
              <w:spacing w:after="0"/>
              <w:rPr>
                <w:sz w:val="20"/>
                <w:szCs w:val="20"/>
                <w:color w:val="auto"/>
              </w:rPr>
            </w:pPr>
            <w:r>
              <w:rPr>
                <w:rFonts w:ascii="Arial" w:cs="Arial" w:eastAsia="Arial" w:hAnsi="Arial"/>
                <w:sz w:val="16"/>
                <w:szCs w:val="16"/>
                <w:color w:val="auto"/>
                <w:w w:val="99"/>
              </w:rPr>
              <w:t>—</w:t>
            </w:r>
          </w:p>
        </w:tc>
        <w:tc>
          <w:tcPr>
            <w:tcW w:w="1340" w:type="dxa"/>
            <w:vAlign w:val="bottom"/>
            <w:shd w:val="clear" w:color="auto" w:fill="F2F2F2"/>
          </w:tcPr>
          <w:p>
            <w:pPr>
              <w:jc w:val="center"/>
              <w:ind w:right="382"/>
              <w:spacing w:after="0"/>
              <w:rPr>
                <w:sz w:val="20"/>
                <w:szCs w:val="20"/>
                <w:color w:val="auto"/>
              </w:rPr>
            </w:pPr>
            <w:r>
              <w:rPr>
                <w:rFonts w:ascii="Arial" w:cs="Arial" w:eastAsia="Arial" w:hAnsi="Arial"/>
                <w:sz w:val="16"/>
                <w:szCs w:val="16"/>
                <w:color w:val="auto"/>
                <w:w w:val="99"/>
              </w:rPr>
              <w:t>—</w:t>
            </w:r>
          </w:p>
        </w:tc>
      </w:tr>
      <w:tr>
        <w:trPr>
          <w:trHeight w:val="28"/>
        </w:trPr>
        <w:tc>
          <w:tcPr>
            <w:tcW w:w="3720" w:type="dxa"/>
            <w:vAlign w:val="bottom"/>
            <w:shd w:val="clear" w:color="auto" w:fill="F2F2F2"/>
          </w:tcPr>
          <w:p>
            <w:pPr>
              <w:spacing w:after="0"/>
              <w:rPr>
                <w:sz w:val="2"/>
                <w:szCs w:val="2"/>
                <w:color w:val="auto"/>
              </w:rPr>
            </w:pPr>
          </w:p>
        </w:tc>
        <w:tc>
          <w:tcPr>
            <w:tcW w:w="2060" w:type="dxa"/>
            <w:vAlign w:val="bottom"/>
            <w:shd w:val="clear" w:color="auto" w:fill="F2F2F2"/>
          </w:tcPr>
          <w:p>
            <w:pPr>
              <w:spacing w:after="0"/>
              <w:rPr>
                <w:sz w:val="2"/>
                <w:szCs w:val="2"/>
                <w:color w:val="auto"/>
              </w:rPr>
            </w:pPr>
          </w:p>
        </w:tc>
        <w:tc>
          <w:tcPr>
            <w:tcW w:w="1820" w:type="dxa"/>
            <w:vAlign w:val="bottom"/>
            <w:shd w:val="clear" w:color="auto" w:fill="F2F2F2"/>
          </w:tcPr>
          <w:p>
            <w:pPr>
              <w:spacing w:after="0"/>
              <w:rPr>
                <w:sz w:val="2"/>
                <w:szCs w:val="2"/>
                <w:color w:val="auto"/>
              </w:rPr>
            </w:pPr>
          </w:p>
        </w:tc>
        <w:tc>
          <w:tcPr>
            <w:tcW w:w="2300" w:type="dxa"/>
            <w:vAlign w:val="bottom"/>
            <w:shd w:val="clear" w:color="auto" w:fill="F2F2F2"/>
          </w:tcPr>
          <w:p>
            <w:pPr>
              <w:spacing w:after="0"/>
              <w:rPr>
                <w:sz w:val="2"/>
                <w:szCs w:val="2"/>
                <w:color w:val="auto"/>
              </w:rPr>
            </w:pPr>
          </w:p>
        </w:tc>
        <w:tc>
          <w:tcPr>
            <w:tcW w:w="1340" w:type="dxa"/>
            <w:vAlign w:val="bottom"/>
            <w:shd w:val="clear" w:color="auto" w:fill="F2F2F2"/>
          </w:tcPr>
          <w:p>
            <w:pPr>
              <w:spacing w:after="0"/>
              <w:rPr>
                <w:sz w:val="2"/>
                <w:szCs w:val="2"/>
                <w:color w:val="auto"/>
              </w:rPr>
            </w:pPr>
          </w:p>
        </w:tc>
      </w:tr>
    </w:tbl>
    <w:p>
      <w:pPr>
        <w:spacing w:after="0" w:line="85" w:lineRule="exact"/>
        <w:rPr>
          <w:sz w:val="20"/>
          <w:szCs w:val="20"/>
          <w:color w:val="auto"/>
        </w:rPr>
      </w:pPr>
    </w:p>
    <w:p>
      <w:pPr>
        <w:ind w:left="340" w:right="220" w:hanging="332"/>
        <w:spacing w:after="0" w:line="228" w:lineRule="auto"/>
        <w:tabs>
          <w:tab w:leader="none" w:pos="333" w:val="left"/>
        </w:tabs>
        <w:numPr>
          <w:ilvl w:val="0"/>
          <w:numId w:val="79"/>
        </w:numPr>
        <w:rPr>
          <w:rFonts w:ascii="Arial" w:cs="Arial" w:eastAsia="Arial" w:hAnsi="Arial"/>
          <w:sz w:val="19"/>
          <w:szCs w:val="19"/>
          <w:color w:val="auto"/>
          <w:vertAlign w:val="superscript"/>
        </w:rPr>
      </w:pPr>
      <w:r>
        <w:rPr>
          <w:rFonts w:ascii="Arial" w:cs="Arial" w:eastAsia="Arial" w:hAnsi="Arial"/>
          <w:sz w:val="14"/>
          <w:szCs w:val="14"/>
          <w:color w:val="auto"/>
        </w:rPr>
        <w:t>The value realized upon vesting of RSAs or RSUs, as applicable, is calculated by multiplying the number of shares vested by the closing price for a share of our Class A common stock on the vest date (or, in the event the vest date occurs on a holiday or weekend, the closing price for a share of our Class A common stock on the immediately preceding trading day).</w:t>
      </w:r>
    </w:p>
    <w:p>
      <w:pPr>
        <w:spacing w:after="0" w:line="354" w:lineRule="exact"/>
        <w:rPr>
          <w:sz w:val="20"/>
          <w:szCs w:val="20"/>
          <w:color w:val="auto"/>
        </w:rPr>
      </w:pPr>
    </w:p>
    <w:p>
      <w:pPr>
        <w:spacing w:after="0"/>
        <w:rPr>
          <w:sz w:val="20"/>
          <w:szCs w:val="20"/>
          <w:color w:val="auto"/>
        </w:rPr>
      </w:pPr>
      <w:r>
        <w:rPr>
          <w:rFonts w:ascii="Arial" w:cs="Arial" w:eastAsia="Arial" w:hAnsi="Arial"/>
          <w:sz w:val="26"/>
          <w:szCs w:val="26"/>
          <w:color w:val="0063A6"/>
        </w:rPr>
        <w:t>Potential Payments on Termination or Change in Control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Change in Control and Severance Agreements</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order to recruit and maintain a stable and effective management team, the talent and compensation committee believes it is appropriate and necessary to provide assurance of certain severance and change in control benefits approved by the talent and compensation committee, in consultation with Compensia. We entered into change in control and severance agreements with each of our named executive officers that provide for the severance and change in control benefits described below. As noted above, Mr. Young’s employment ended on March 15, 2023, and he is no longer eligible to receive any benefit under his change in control and severance agreement.</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Basic Severance</w:t>
      </w:r>
    </w:p>
    <w:p>
      <w:pPr>
        <w:spacing w:after="0" w:line="11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If a named executive officer’s employment is terminated by us other than for “cause,” death, or “disability” or they resign for “good reason” (as such terms are defined in their change in control and severance agreement), in either case, outside the Change in Control Period (as defined below), they will be eligible to receive the following payments and benefits:</w:t>
      </w:r>
    </w:p>
    <w:p>
      <w:pPr>
        <w:spacing w:after="0" w:line="124" w:lineRule="exact"/>
        <w:rPr>
          <w:sz w:val="20"/>
          <w:szCs w:val="20"/>
          <w:color w:val="auto"/>
        </w:rPr>
      </w:pPr>
    </w:p>
    <w:p>
      <w:pPr>
        <w:ind w:left="340" w:right="20" w:hanging="332"/>
        <w:spacing w:after="0" w:line="286" w:lineRule="auto"/>
        <w:tabs>
          <w:tab w:leader="none" w:pos="329" w:val="left"/>
        </w:tabs>
        <w:numPr>
          <w:ilvl w:val="0"/>
          <w:numId w:val="80"/>
        </w:numPr>
        <w:rPr>
          <w:rFonts w:ascii="Arial" w:cs="Arial" w:eastAsia="Arial" w:hAnsi="Arial"/>
          <w:sz w:val="16"/>
          <w:szCs w:val="16"/>
          <w:color w:val="0063A6"/>
        </w:rPr>
      </w:pPr>
      <w:r>
        <w:rPr>
          <w:rFonts w:ascii="Arial" w:cs="Arial" w:eastAsia="Arial" w:hAnsi="Arial"/>
          <w:sz w:val="16"/>
          <w:szCs w:val="16"/>
          <w:color w:val="auto"/>
        </w:rPr>
        <w:t>a lump-sum payment equal to 50% of annual base salary as of immediately before their termination (or, if the termination is due to a resignation for good reason based on a material reduction in base salary, then as of immediately before such reduction);</w:t>
      </w:r>
    </w:p>
    <w:p>
      <w:pPr>
        <w:spacing w:after="0" w:line="101" w:lineRule="exact"/>
        <w:rPr>
          <w:rFonts w:ascii="Arial" w:cs="Arial" w:eastAsia="Arial" w:hAnsi="Arial"/>
          <w:sz w:val="16"/>
          <w:szCs w:val="16"/>
          <w:color w:val="0063A6"/>
        </w:rPr>
      </w:pPr>
    </w:p>
    <w:p>
      <w:pPr>
        <w:ind w:left="340" w:right="60" w:hanging="332"/>
        <w:spacing w:after="0" w:line="268" w:lineRule="auto"/>
        <w:tabs>
          <w:tab w:leader="none" w:pos="329" w:val="left"/>
        </w:tabs>
        <w:numPr>
          <w:ilvl w:val="0"/>
          <w:numId w:val="80"/>
        </w:numPr>
        <w:rPr>
          <w:rFonts w:ascii="Arial" w:cs="Arial" w:eastAsia="Arial" w:hAnsi="Arial"/>
          <w:sz w:val="16"/>
          <w:szCs w:val="16"/>
          <w:color w:val="0063A6"/>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6 months (or monthly taxable payments to him or her in lieu of our payment of such premiums);</w:t>
      </w:r>
    </w:p>
    <w:p>
      <w:pPr>
        <w:spacing w:after="0" w:line="115" w:lineRule="exact"/>
        <w:rPr>
          <w:rFonts w:ascii="Arial" w:cs="Arial" w:eastAsia="Arial" w:hAnsi="Arial"/>
          <w:sz w:val="16"/>
          <w:szCs w:val="16"/>
          <w:color w:val="0063A6"/>
        </w:rPr>
      </w:pPr>
    </w:p>
    <w:p>
      <w:pPr>
        <w:ind w:left="340" w:right="20" w:hanging="332"/>
        <w:spacing w:after="0" w:line="266" w:lineRule="auto"/>
        <w:tabs>
          <w:tab w:leader="none" w:pos="329" w:val="left"/>
        </w:tabs>
        <w:numPr>
          <w:ilvl w:val="0"/>
          <w:numId w:val="80"/>
        </w:numPr>
        <w:rPr>
          <w:rFonts w:ascii="Arial" w:cs="Arial" w:eastAsia="Arial" w:hAnsi="Arial"/>
          <w:sz w:val="16"/>
          <w:szCs w:val="16"/>
          <w:color w:val="0063A6"/>
        </w:rPr>
      </w:pPr>
      <w:r>
        <w:rPr>
          <w:rFonts w:ascii="Arial" w:cs="Arial" w:eastAsia="Arial" w:hAnsi="Arial"/>
          <w:sz w:val="16"/>
          <w:szCs w:val="16"/>
          <w:color w:val="auto"/>
        </w:rPr>
        <w:t>in the case of Mr. Volkmer, 25%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w:t>
      </w:r>
    </w:p>
    <w:p>
      <w:pPr>
        <w:spacing w:after="0" w:line="117" w:lineRule="exact"/>
        <w:rPr>
          <w:rFonts w:ascii="Arial" w:cs="Arial" w:eastAsia="Arial" w:hAnsi="Arial"/>
          <w:sz w:val="16"/>
          <w:szCs w:val="16"/>
          <w:color w:val="0063A6"/>
        </w:rPr>
      </w:pPr>
    </w:p>
    <w:p>
      <w:pPr>
        <w:ind w:left="340" w:right="440" w:hanging="332"/>
        <w:spacing w:after="0" w:line="268" w:lineRule="auto"/>
        <w:tabs>
          <w:tab w:leader="none" w:pos="329"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case of Mr. Cox, with respect to equity awards with performance-based vesting, as specified in the award agreements governing such equity awards; and</w:t>
      </w:r>
    </w:p>
    <w:p>
      <w:pPr>
        <w:spacing w:after="0" w:line="115" w:lineRule="exact"/>
        <w:rPr>
          <w:rFonts w:ascii="Arial" w:cs="Arial" w:eastAsia="Arial" w:hAnsi="Arial"/>
          <w:sz w:val="16"/>
          <w:szCs w:val="16"/>
          <w:color w:val="auto"/>
        </w:rPr>
      </w:pPr>
    </w:p>
    <w:p>
      <w:pPr>
        <w:ind w:left="340" w:right="140" w:hanging="332"/>
        <w:spacing w:after="0" w:line="286" w:lineRule="auto"/>
        <w:tabs>
          <w:tab w:leader="none" w:pos="329" w:val="left"/>
        </w:tabs>
        <w:numPr>
          <w:ilvl w:val="0"/>
          <w:numId w:val="80"/>
        </w:numPr>
        <w:rPr>
          <w:rFonts w:ascii="Arial" w:cs="Arial" w:eastAsia="Arial" w:hAnsi="Arial"/>
          <w:sz w:val="16"/>
          <w:szCs w:val="16"/>
          <w:color w:val="0063A6"/>
        </w:rPr>
      </w:pPr>
      <w:r>
        <w:rPr>
          <w:rFonts w:ascii="Arial" w:cs="Arial" w:eastAsia="Arial" w:hAnsi="Arial"/>
          <w:sz w:val="16"/>
          <w:szCs w:val="16"/>
          <w:color w:val="auto"/>
        </w:rPr>
        <w:t>in the case of Mr. Regan and Mr. Cox and, prior to his departure, Mr. Young, 3 months’ accelerated vesting of the unvested portion of outstanding time-based equity awards.</w:t>
      </w:r>
    </w:p>
    <w:p>
      <w:pPr>
        <w:spacing w:after="0" w:line="10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200" w:lineRule="exact"/>
        <w:rPr>
          <w:sz w:val="20"/>
          <w:szCs w:val="20"/>
          <w:color w:val="auto"/>
        </w:rPr>
      </w:pPr>
    </w:p>
    <w:p>
      <w:pPr>
        <w:spacing w:after="0" w:line="284" w:lineRule="exact"/>
        <w:rPr>
          <w:sz w:val="20"/>
          <w:szCs w:val="20"/>
          <w:color w:val="auto"/>
        </w:rPr>
      </w:pPr>
    </w:p>
    <w:p>
      <w:pPr>
        <w:ind w:left="580" w:hanging="554"/>
        <w:spacing w:after="0"/>
        <w:tabs>
          <w:tab w:leader="none" w:pos="580" w:val="left"/>
        </w:tabs>
        <w:numPr>
          <w:ilvl w:val="0"/>
          <w:numId w:val="81"/>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Change in Control Severance</w:t>
      </w:r>
    </w:p>
    <w:p>
      <w:pPr>
        <w:spacing w:after="0" w:line="100"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If, within the three-month period prior to a change in control or during the 12-month period following a change in control (such period, the “</w:t>
      </w:r>
      <w:r>
        <w:rPr>
          <w:rFonts w:ascii="Arial" w:cs="Arial" w:eastAsia="Arial" w:hAnsi="Arial"/>
          <w:sz w:val="16"/>
          <w:szCs w:val="16"/>
          <w:b w:val="1"/>
          <w:bCs w:val="1"/>
          <w:i w:val="1"/>
          <w:iCs w:val="1"/>
          <w:color w:val="auto"/>
        </w:rPr>
        <w:t>Change in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Control Period</w:t>
      </w:r>
      <w:r>
        <w:rPr>
          <w:rFonts w:ascii="Arial" w:cs="Arial" w:eastAsia="Arial" w:hAnsi="Arial"/>
          <w:sz w:val="16"/>
          <w:szCs w:val="16"/>
          <w:color w:val="auto"/>
        </w:rPr>
        <w:t>”), a named executive officer’s employment is terminated by us other than for cause, death, or disability or they resign for “good reason”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defined in their change in control and severance agreement), they will be entitled to the following benefits:</w:t>
      </w:r>
    </w:p>
    <w:p>
      <w:pPr>
        <w:spacing w:after="0" w:line="124" w:lineRule="exact"/>
        <w:rPr>
          <w:sz w:val="20"/>
          <w:szCs w:val="20"/>
          <w:color w:val="auto"/>
        </w:rPr>
      </w:pPr>
    </w:p>
    <w:p>
      <w:pPr>
        <w:jc w:val="both"/>
        <w:ind w:left="340" w:right="20" w:hanging="332"/>
        <w:spacing w:after="0" w:line="266" w:lineRule="auto"/>
        <w:tabs>
          <w:tab w:leader="none" w:pos="329" w:val="left"/>
        </w:tabs>
        <w:numPr>
          <w:ilvl w:val="0"/>
          <w:numId w:val="82"/>
        </w:numPr>
        <w:rPr>
          <w:rFonts w:ascii="Arial" w:cs="Arial" w:eastAsia="Arial" w:hAnsi="Arial"/>
          <w:sz w:val="16"/>
          <w:szCs w:val="16"/>
          <w:color w:val="0063A6"/>
        </w:rPr>
      </w:pPr>
      <w:r>
        <w:rPr>
          <w:rFonts w:ascii="Arial" w:cs="Arial" w:eastAsia="Arial" w:hAnsi="Arial"/>
          <w:sz w:val="16"/>
          <w:szCs w:val="16"/>
          <w:color w:val="auto"/>
        </w:rPr>
        <w:t>a lump-sum payment equal to 100% of their annual base salary as of immediately before their termination (or if the termination is due to a resignation for good reason based on a material reduction in base salary, then as of immediately before such reduction) or, if such amount is greater, as of immediately before the change in control;</w:t>
      </w:r>
    </w:p>
    <w:p>
      <w:pPr>
        <w:spacing w:after="0" w:line="117" w:lineRule="exact"/>
        <w:rPr>
          <w:rFonts w:ascii="Arial" w:cs="Arial" w:eastAsia="Arial" w:hAnsi="Arial"/>
          <w:sz w:val="16"/>
          <w:szCs w:val="16"/>
          <w:color w:val="0063A6"/>
        </w:rPr>
      </w:pPr>
    </w:p>
    <w:p>
      <w:pPr>
        <w:ind w:left="320" w:hanging="312"/>
        <w:spacing w:after="0"/>
        <w:tabs>
          <w:tab w:leader="none" w:pos="320" w:val="left"/>
        </w:tabs>
        <w:numPr>
          <w:ilvl w:val="0"/>
          <w:numId w:val="82"/>
        </w:numPr>
        <w:rPr>
          <w:rFonts w:ascii="Arial" w:cs="Arial" w:eastAsia="Arial" w:hAnsi="Arial"/>
          <w:sz w:val="16"/>
          <w:szCs w:val="16"/>
          <w:color w:val="0063A6"/>
        </w:rPr>
      </w:pPr>
      <w:r>
        <w:rPr>
          <w:rFonts w:ascii="Arial" w:cs="Arial" w:eastAsia="Arial" w:hAnsi="Arial"/>
          <w:sz w:val="16"/>
          <w:szCs w:val="16"/>
          <w:color w:val="auto"/>
        </w:rPr>
        <w:t>a lump-sum payment equal to 100% of their target annual bonus (for the year of their termination);</w:t>
      </w:r>
    </w:p>
    <w:p>
      <w:pPr>
        <w:spacing w:after="0" w:line="153" w:lineRule="exact"/>
        <w:rPr>
          <w:rFonts w:ascii="Arial" w:cs="Arial" w:eastAsia="Arial" w:hAnsi="Arial"/>
          <w:sz w:val="16"/>
          <w:szCs w:val="16"/>
          <w:color w:val="0063A6"/>
        </w:rPr>
      </w:pPr>
    </w:p>
    <w:p>
      <w:pPr>
        <w:ind w:left="340" w:right="60" w:hanging="332"/>
        <w:spacing w:after="0" w:line="286" w:lineRule="auto"/>
        <w:tabs>
          <w:tab w:leader="none" w:pos="329" w:val="left"/>
        </w:tabs>
        <w:numPr>
          <w:ilvl w:val="0"/>
          <w:numId w:val="82"/>
        </w:numPr>
        <w:rPr>
          <w:rFonts w:ascii="Arial" w:cs="Arial" w:eastAsia="Arial" w:hAnsi="Arial"/>
          <w:sz w:val="16"/>
          <w:szCs w:val="16"/>
          <w:color w:val="0063A6"/>
        </w:rPr>
      </w:pPr>
      <w:r>
        <w:rPr>
          <w:rFonts w:ascii="Arial" w:cs="Arial" w:eastAsia="Arial" w:hAnsi="Arial"/>
          <w:sz w:val="16"/>
          <w:szCs w:val="16"/>
          <w:color w:val="auto"/>
        </w:rPr>
        <w:t>if they elect to continue health insurance coverage for themselves and their eligible dependents under COBRA, our payment of the monthly premium for such COBRA continuation coverage for up to 12 months (or monthly taxable payments to him or her in lieu of our payment of such premiums); and</w:t>
      </w:r>
    </w:p>
    <w:p>
      <w:pPr>
        <w:spacing w:after="0" w:line="101" w:lineRule="exact"/>
        <w:rPr>
          <w:rFonts w:ascii="Arial" w:cs="Arial" w:eastAsia="Arial" w:hAnsi="Arial"/>
          <w:sz w:val="16"/>
          <w:szCs w:val="16"/>
          <w:color w:val="0063A6"/>
        </w:rPr>
      </w:pPr>
    </w:p>
    <w:p>
      <w:pPr>
        <w:ind w:left="340" w:right="280" w:hanging="332"/>
        <w:spacing w:after="0" w:line="266" w:lineRule="auto"/>
        <w:tabs>
          <w:tab w:leader="none" w:pos="329" w:val="left"/>
        </w:tabs>
        <w:numPr>
          <w:ilvl w:val="0"/>
          <w:numId w:val="82"/>
        </w:numPr>
        <w:rPr>
          <w:rFonts w:ascii="Arial" w:cs="Arial" w:eastAsia="Arial" w:hAnsi="Arial"/>
          <w:sz w:val="16"/>
          <w:szCs w:val="16"/>
          <w:color w:val="0063A6"/>
        </w:rPr>
      </w:pPr>
      <w:r>
        <w:rPr>
          <w:rFonts w:ascii="Arial" w:cs="Arial" w:eastAsia="Arial" w:hAnsi="Arial"/>
          <w:sz w:val="16"/>
          <w:szCs w:val="16"/>
          <w:color w:val="auto"/>
        </w:rPr>
        <w:t>100% accelerated vesting of all outstanding equity awards, and, with respect to equity awards with performance-based vesting, unless otherwise specified in the award agreements governing such equity awards, all performance goals or other vesting criteria will be deemed achieved at 100% of target levels.</w:t>
      </w:r>
    </w:p>
    <w:p>
      <w:pPr>
        <w:spacing w:after="0" w:line="10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0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In addition, if any of the payments or benefits provided for under a change in control and severance agreement or otherwise payable to a named executive officer would constitute “parachute payments” within the meaning of Section 280G of the Internal Revenue Code and could be subject to the related excise tax, the named executive officer would be entitled to receive either full payment of such payments and benefits or such lesser amount that would result in no portion of the payments and benefits being subject to the excise tax, whichever results in the greater amount of after-tax benefits to the named executive officer. The change in control and severance agreements do not require us to provide any tax gross-up payments to our named executive officers.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Certain Equity Awards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Andrew Houston Co-Founder Grant</w:t>
      </w:r>
    </w:p>
    <w:p>
      <w:pPr>
        <w:spacing w:after="0" w:line="11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In the event of an acquisition of the company before the end of the Performance Period, Mr. Houston’s Co-Founder Grant may be eligible to vest in additional tranche(s) of shares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 See “</w:t>
      </w:r>
      <w:r>
        <w:rPr>
          <w:rFonts w:ascii="Arial" w:cs="Arial" w:eastAsia="Arial" w:hAnsi="Arial"/>
          <w:sz w:val="16"/>
          <w:szCs w:val="16"/>
          <w:i w:val="1"/>
          <w:iCs w:val="1"/>
          <w:color w:val="auto"/>
        </w:rPr>
        <w:t>Co-Founder Grant</w:t>
      </w:r>
      <w:r>
        <w:rPr>
          <w:rFonts w:ascii="Arial" w:cs="Arial" w:eastAsia="Arial" w:hAnsi="Arial"/>
          <w:sz w:val="16"/>
          <w:szCs w:val="16"/>
          <w:color w:val="auto"/>
        </w:rPr>
        <w:t>” above.</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Timothy Young 2020 Performance-Based Restricted Stock Award</w:t>
      </w:r>
    </w:p>
    <w:p>
      <w:pPr>
        <w:spacing w:after="0" w:line="113"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vesting acceleration provisions under Mr. Young’s change in control and severance agreement described above did not apply to the performance-based RSA granted to Mr. Young in December 2020, and instead, the shares subject to the performance-based RSA could vest in connection with certain terminations of Mr. Young’s employment and/or a “change in control” (as defined in our 2018 Equity Incentive Plan). Mr. Young’s performance-based RSA award terminated in connection with the end of his employment on March 15, 2023, and no additional shares subject to the award vested in connection with his departure.</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Amount of Payments Upon Termination at 2023 Year-End</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following table describes the payments that would have been provided to each of our named executive officers in the event that they were involuntarily terminated by Dropbox without cause or resigned for good reason outside of a change in control context, assuming such termination occurred on December 31, 2023. As noted above, Mr. Young’s employment ended on March 15, 2023, and he did not receive any severance or vesting acceleration in connection with his departure.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3030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30302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280" w:type="dxa"/>
            <w:vAlign w:val="bottom"/>
            <w:shd w:val="clear" w:color="auto" w:fill="0063A6"/>
          </w:tcPr>
          <w:p>
            <w:pPr>
              <w:spacing w:after="0"/>
              <w:rPr>
                <w:sz w:val="21"/>
                <w:szCs w:val="21"/>
                <w:color w:val="auto"/>
              </w:rPr>
            </w:pPr>
          </w:p>
        </w:tc>
        <w:tc>
          <w:tcPr>
            <w:tcW w:w="1580" w:type="dxa"/>
            <w:vAlign w:val="bottom"/>
            <w:vMerge w:val="restart"/>
            <w:shd w:val="clear" w:color="auto" w:fill="0063A6"/>
          </w:tcPr>
          <w:p>
            <w:pPr>
              <w:ind w:left="360"/>
              <w:spacing w:after="0"/>
              <w:rPr>
                <w:sz w:val="20"/>
                <w:szCs w:val="20"/>
                <w:color w:val="auto"/>
              </w:rPr>
            </w:pPr>
            <w:r>
              <w:rPr>
                <w:rFonts w:ascii="Arial" w:cs="Arial" w:eastAsia="Arial" w:hAnsi="Arial"/>
                <w:sz w:val="14"/>
                <w:szCs w:val="14"/>
                <w:b w:val="1"/>
                <w:bCs w:val="1"/>
                <w:color w:val="FFFFFF"/>
              </w:rPr>
              <w:t>Base Salary</w:t>
            </w:r>
          </w:p>
        </w:tc>
        <w:tc>
          <w:tcPr>
            <w:tcW w:w="1560" w:type="dxa"/>
            <w:vAlign w:val="bottom"/>
            <w:vMerge w:val="restart"/>
            <w:shd w:val="clear" w:color="auto" w:fill="0063A6"/>
          </w:tcPr>
          <w:p>
            <w:pPr>
              <w:ind w:left="360"/>
              <w:spacing w:after="0"/>
              <w:rPr>
                <w:sz w:val="20"/>
                <w:szCs w:val="20"/>
                <w:color w:val="auto"/>
              </w:rPr>
            </w:pPr>
            <w:r>
              <w:rPr>
                <w:rFonts w:ascii="Arial" w:cs="Arial" w:eastAsia="Arial" w:hAnsi="Arial"/>
                <w:sz w:val="14"/>
                <w:szCs w:val="14"/>
                <w:b w:val="1"/>
                <w:bCs w:val="1"/>
                <w:color w:val="FFFFFF"/>
              </w:rPr>
              <w:t>Cash Bonus</w:t>
            </w:r>
          </w:p>
        </w:tc>
        <w:tc>
          <w:tcPr>
            <w:tcW w:w="17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Value of</w:t>
            </w:r>
          </w:p>
        </w:tc>
        <w:tc>
          <w:tcPr>
            <w:tcW w:w="1480" w:type="dxa"/>
            <w:vAlign w:val="bottom"/>
            <w:vMerge w:val="restart"/>
            <w:shd w:val="clear" w:color="auto" w:fill="0063A6"/>
          </w:tcPr>
          <w:p>
            <w:pPr>
              <w:ind w:left="400"/>
              <w:spacing w:after="0"/>
              <w:rPr>
                <w:sz w:val="20"/>
                <w:szCs w:val="20"/>
                <w:color w:val="auto"/>
              </w:rPr>
            </w:pPr>
            <w:r>
              <w:rPr>
                <w:rFonts w:ascii="Arial" w:cs="Arial" w:eastAsia="Arial" w:hAnsi="Arial"/>
                <w:sz w:val="14"/>
                <w:szCs w:val="14"/>
                <w:b w:val="1"/>
                <w:bCs w:val="1"/>
                <w:color w:val="FFFFFF"/>
              </w:rPr>
              <w:t>Value of</w:t>
            </w:r>
          </w:p>
        </w:tc>
        <w:tc>
          <w:tcPr>
            <w:tcW w:w="1600" w:type="dxa"/>
            <w:vAlign w:val="bottom"/>
            <w:shd w:val="clear" w:color="auto" w:fill="0063A6"/>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0063A6"/>
          </w:tcPr>
          <w:p>
            <w:pPr>
              <w:spacing w:after="0"/>
              <w:rPr>
                <w:sz w:val="14"/>
                <w:szCs w:val="14"/>
                <w:color w:val="auto"/>
              </w:rPr>
            </w:pPr>
          </w:p>
        </w:tc>
        <w:tc>
          <w:tcPr>
            <w:tcW w:w="1580" w:type="dxa"/>
            <w:vAlign w:val="bottom"/>
            <w:vMerge w:val="continue"/>
            <w:shd w:val="clear" w:color="auto" w:fill="0063A6"/>
          </w:tcPr>
          <w:p>
            <w:pPr>
              <w:spacing w:after="0"/>
              <w:rPr>
                <w:sz w:val="14"/>
                <w:szCs w:val="14"/>
                <w:color w:val="auto"/>
              </w:rPr>
            </w:pPr>
          </w:p>
        </w:tc>
        <w:tc>
          <w:tcPr>
            <w:tcW w:w="1560" w:type="dxa"/>
            <w:vAlign w:val="bottom"/>
            <w:vMerge w:val="continue"/>
            <w:shd w:val="clear" w:color="auto" w:fill="0063A6"/>
          </w:tcPr>
          <w:p>
            <w:pPr>
              <w:spacing w:after="0"/>
              <w:rPr>
                <w:sz w:val="14"/>
                <w:szCs w:val="14"/>
                <w:color w:val="auto"/>
              </w:rPr>
            </w:pPr>
          </w:p>
        </w:tc>
        <w:tc>
          <w:tcPr>
            <w:tcW w:w="1740" w:type="dxa"/>
            <w:vAlign w:val="bottom"/>
            <w:shd w:val="clear" w:color="auto" w:fill="0063A6"/>
          </w:tcPr>
          <w:p>
            <w:pPr>
              <w:jc w:val="center"/>
              <w:ind w:right="3"/>
              <w:spacing w:after="0"/>
              <w:rPr>
                <w:sz w:val="20"/>
                <w:szCs w:val="20"/>
                <w:color w:val="auto"/>
              </w:rPr>
            </w:pPr>
            <w:r>
              <w:rPr>
                <w:rFonts w:ascii="Arial" w:cs="Arial" w:eastAsia="Arial" w:hAnsi="Arial"/>
                <w:sz w:val="14"/>
                <w:szCs w:val="14"/>
                <w:b w:val="1"/>
                <w:bCs w:val="1"/>
                <w:color w:val="FFFFFF"/>
              </w:rPr>
              <w:t>Accelerated</w:t>
            </w:r>
          </w:p>
        </w:tc>
        <w:tc>
          <w:tcPr>
            <w:tcW w:w="1480" w:type="dxa"/>
            <w:vAlign w:val="bottom"/>
            <w:vMerge w:val="continue"/>
            <w:shd w:val="clear" w:color="auto" w:fill="0063A6"/>
          </w:tcPr>
          <w:p>
            <w:pPr>
              <w:spacing w:after="0"/>
              <w:rPr>
                <w:sz w:val="14"/>
                <w:szCs w:val="14"/>
                <w:color w:val="auto"/>
              </w:rPr>
            </w:pPr>
          </w:p>
        </w:tc>
        <w:tc>
          <w:tcPr>
            <w:tcW w:w="16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280" w:type="dxa"/>
            <w:vAlign w:val="bottom"/>
            <w:shd w:val="clear" w:color="auto" w:fill="0063A6"/>
          </w:tcPr>
          <w:p>
            <w:pPr>
              <w:spacing w:after="0"/>
              <w:rPr>
                <w:sz w:val="13"/>
                <w:szCs w:val="13"/>
                <w:color w:val="auto"/>
              </w:rPr>
            </w:pPr>
          </w:p>
        </w:tc>
        <w:tc>
          <w:tcPr>
            <w:tcW w:w="1580" w:type="dxa"/>
            <w:vAlign w:val="bottom"/>
            <w:shd w:val="clear" w:color="auto" w:fill="0063A6"/>
          </w:tcPr>
          <w:p>
            <w:pPr>
              <w:ind w:left="380"/>
              <w:spacing w:after="0" w:line="159" w:lineRule="exact"/>
              <w:rPr>
                <w:sz w:val="20"/>
                <w:szCs w:val="20"/>
                <w:color w:val="auto"/>
              </w:rPr>
            </w:pPr>
            <w:r>
              <w:rPr>
                <w:rFonts w:ascii="Arial" w:cs="Arial" w:eastAsia="Arial" w:hAnsi="Arial"/>
                <w:sz w:val="14"/>
                <w:szCs w:val="14"/>
                <w:b w:val="1"/>
                <w:bCs w:val="1"/>
                <w:color w:val="FFFFFF"/>
              </w:rPr>
              <w:t>Component</w:t>
            </w:r>
          </w:p>
        </w:tc>
        <w:tc>
          <w:tcPr>
            <w:tcW w:w="1560" w:type="dxa"/>
            <w:vAlign w:val="bottom"/>
            <w:shd w:val="clear" w:color="auto" w:fill="0063A6"/>
          </w:tcPr>
          <w:p>
            <w:pPr>
              <w:ind w:left="380"/>
              <w:spacing w:after="0" w:line="159" w:lineRule="exact"/>
              <w:rPr>
                <w:sz w:val="20"/>
                <w:szCs w:val="20"/>
                <w:color w:val="auto"/>
              </w:rPr>
            </w:pPr>
            <w:r>
              <w:rPr>
                <w:rFonts w:ascii="Arial" w:cs="Arial" w:eastAsia="Arial" w:hAnsi="Arial"/>
                <w:sz w:val="14"/>
                <w:szCs w:val="14"/>
                <w:b w:val="1"/>
                <w:bCs w:val="1"/>
                <w:color w:val="FFFFFF"/>
              </w:rPr>
              <w:t>Component</w:t>
            </w:r>
          </w:p>
        </w:tc>
        <w:tc>
          <w:tcPr>
            <w:tcW w:w="1740" w:type="dxa"/>
            <w:vAlign w:val="bottom"/>
            <w:shd w:val="clear" w:color="auto" w:fill="0063A6"/>
          </w:tcPr>
          <w:p>
            <w:pPr>
              <w:jc w:val="center"/>
              <w:spacing w:after="0" w:line="159" w:lineRule="exact"/>
              <w:rPr>
                <w:sz w:val="20"/>
                <w:szCs w:val="20"/>
                <w:color w:val="auto"/>
              </w:rPr>
            </w:pPr>
            <w:r>
              <w:rPr>
                <w:rFonts w:ascii="Arial" w:cs="Arial" w:eastAsia="Arial" w:hAnsi="Arial"/>
                <w:sz w:val="14"/>
                <w:szCs w:val="14"/>
                <w:b w:val="1"/>
                <w:bCs w:val="1"/>
                <w:color w:val="FFFFFF"/>
              </w:rPr>
              <w:t>Equity Awards</w:t>
            </w:r>
          </w:p>
        </w:tc>
        <w:tc>
          <w:tcPr>
            <w:tcW w:w="1480" w:type="dxa"/>
            <w:vAlign w:val="bottom"/>
            <w:shd w:val="clear" w:color="auto" w:fill="0063A6"/>
          </w:tcPr>
          <w:p>
            <w:pPr>
              <w:ind w:left="380"/>
              <w:spacing w:after="0" w:line="159" w:lineRule="exact"/>
              <w:rPr>
                <w:sz w:val="20"/>
                <w:szCs w:val="20"/>
                <w:color w:val="auto"/>
              </w:rPr>
            </w:pPr>
            <w:r>
              <w:rPr>
                <w:rFonts w:ascii="Arial" w:cs="Arial" w:eastAsia="Arial" w:hAnsi="Arial"/>
                <w:sz w:val="14"/>
                <w:szCs w:val="14"/>
                <w:b w:val="1"/>
                <w:bCs w:val="1"/>
                <w:color w:val="FFFFFF"/>
              </w:rPr>
              <w:t>Benefits</w:t>
            </w:r>
          </w:p>
        </w:tc>
        <w:tc>
          <w:tcPr>
            <w:tcW w:w="1600" w:type="dxa"/>
            <w:vAlign w:val="bottom"/>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3280" w:type="dxa"/>
            <w:vAlign w:val="bottom"/>
            <w:tcBorders>
              <w:bottom w:val="single" w:sz="8" w:color="0063A6"/>
            </w:tcBorders>
            <w:shd w:val="clear" w:color="auto" w:fill="0063A6"/>
          </w:tcPr>
          <w:p>
            <w:pPr>
              <w:ind w:left="20"/>
              <w:spacing w:after="0"/>
              <w:rPr>
                <w:sz w:val="20"/>
                <w:szCs w:val="20"/>
                <w:color w:val="auto"/>
              </w:rPr>
            </w:pPr>
            <w:r>
              <w:rPr>
                <w:rFonts w:ascii="Arial" w:cs="Arial" w:eastAsia="Arial" w:hAnsi="Arial"/>
                <w:sz w:val="14"/>
                <w:szCs w:val="14"/>
                <w:b w:val="1"/>
                <w:bCs w:val="1"/>
                <w:color w:val="FFFFFF"/>
              </w:rPr>
              <w:t>Name</w:t>
            </w:r>
          </w:p>
        </w:tc>
        <w:tc>
          <w:tcPr>
            <w:tcW w:w="15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560" w:type="dxa"/>
            <w:vAlign w:val="bottom"/>
            <w:tcBorders>
              <w:bottom w:val="single" w:sz="8" w:color="0063A6"/>
            </w:tcBorders>
            <w:shd w:val="clear" w:color="auto" w:fill="0063A6"/>
          </w:tcPr>
          <w:p>
            <w:pPr>
              <w:ind w:left="720"/>
              <w:spacing w:after="0"/>
              <w:rPr>
                <w:sz w:val="20"/>
                <w:szCs w:val="20"/>
                <w:color w:val="auto"/>
              </w:rPr>
            </w:pPr>
            <w:r>
              <w:rPr>
                <w:rFonts w:ascii="Arial" w:cs="Arial" w:eastAsia="Arial" w:hAnsi="Arial"/>
                <w:sz w:val="14"/>
                <w:szCs w:val="14"/>
                <w:b w:val="1"/>
                <w:bCs w:val="1"/>
                <w:color w:val="FFFFFF"/>
              </w:rPr>
              <w:t>($)</w:t>
            </w:r>
          </w:p>
        </w:tc>
        <w:tc>
          <w:tcPr>
            <w:tcW w:w="1740" w:type="dxa"/>
            <w:vAlign w:val="bottom"/>
            <w:tcBorders>
              <w:bottom w:val="single" w:sz="8" w:color="0063A6"/>
            </w:tcBorders>
            <w:shd w:val="clear" w:color="auto" w:fill="0063A6"/>
          </w:tcPr>
          <w:p>
            <w:pPr>
              <w:jc w:val="center"/>
              <w:spacing w:after="0" w:line="201"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(1)</w:t>
            </w:r>
          </w:p>
        </w:tc>
        <w:tc>
          <w:tcPr>
            <w:tcW w:w="1480" w:type="dxa"/>
            <w:vAlign w:val="bottom"/>
            <w:tcBorders>
              <w:bottom w:val="single" w:sz="8" w:color="0063A6"/>
            </w:tcBorders>
            <w:shd w:val="clear" w:color="auto" w:fill="0063A6"/>
          </w:tcPr>
          <w:p>
            <w:pPr>
              <w:jc w:val="center"/>
              <w:ind w:right="22"/>
              <w:spacing w:after="0"/>
              <w:rPr>
                <w:sz w:val="20"/>
                <w:szCs w:val="20"/>
                <w:color w:val="auto"/>
              </w:rPr>
            </w:pPr>
            <w:r>
              <w:rPr>
                <w:rFonts w:ascii="Arial" w:cs="Arial" w:eastAsia="Arial" w:hAnsi="Arial"/>
                <w:sz w:val="14"/>
                <w:szCs w:val="14"/>
                <w:b w:val="1"/>
                <w:bCs w:val="1"/>
                <w:color w:val="FFFFFF"/>
              </w:rPr>
              <w:t>($)</w:t>
            </w:r>
          </w:p>
        </w:tc>
        <w:tc>
          <w:tcPr>
            <w:tcW w:w="1600" w:type="dxa"/>
            <w:vAlign w:val="bottom"/>
            <w:tcBorders>
              <w:bottom w:val="single" w:sz="8" w:color="0063A6"/>
            </w:tcBorders>
            <w:shd w:val="clear" w:color="auto" w:fill="0063A6"/>
          </w:tcPr>
          <w:p>
            <w:pPr>
              <w:jc w:val="right"/>
              <w:ind w:right="441"/>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37"/>
        </w:trPr>
        <w:tc>
          <w:tcPr>
            <w:tcW w:w="32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Andrew W. Houston</w:t>
            </w:r>
          </w:p>
        </w:tc>
        <w:tc>
          <w:tcPr>
            <w:tcW w:w="15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312,500</w:t>
            </w:r>
          </w:p>
        </w:tc>
        <w:tc>
          <w:tcPr>
            <w:tcW w:w="1560" w:type="dxa"/>
            <w:vAlign w:val="bottom"/>
            <w:tcBorders>
              <w:bottom w:val="single" w:sz="8" w:color="F2F2F2"/>
            </w:tcBorders>
            <w:shd w:val="clear" w:color="auto" w:fill="F2F2F2"/>
          </w:tcPr>
          <w:p>
            <w:pPr>
              <w:ind w:left="7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F2F2F2"/>
            </w:tcBorders>
            <w:shd w:val="clear" w:color="auto" w:fill="F2F2F2"/>
          </w:tcPr>
          <w:p>
            <w:pPr>
              <w:jc w:val="center"/>
              <w:ind w:right="22"/>
              <w:spacing w:after="0"/>
              <w:rPr>
                <w:sz w:val="20"/>
                <w:szCs w:val="20"/>
                <w:color w:val="auto"/>
              </w:rPr>
            </w:pPr>
            <w:r>
              <w:rPr>
                <w:rFonts w:ascii="Arial" w:cs="Arial" w:eastAsia="Arial" w:hAnsi="Arial"/>
                <w:sz w:val="16"/>
                <w:szCs w:val="16"/>
                <w:color w:val="auto"/>
              </w:rPr>
              <w:t>14,530</w:t>
            </w:r>
          </w:p>
        </w:tc>
        <w:tc>
          <w:tcPr>
            <w:tcW w:w="1600" w:type="dxa"/>
            <w:vAlign w:val="bottom"/>
            <w:tcBorders>
              <w:bottom w:val="single" w:sz="8" w:color="F2F2F2"/>
            </w:tcBorders>
            <w:shd w:val="clear" w:color="auto" w:fill="F2F2F2"/>
          </w:tcPr>
          <w:p>
            <w:pPr>
              <w:jc w:val="right"/>
              <w:ind w:right="1"/>
              <w:spacing w:after="0"/>
              <w:rPr>
                <w:sz w:val="20"/>
                <w:szCs w:val="20"/>
                <w:color w:val="auto"/>
              </w:rPr>
            </w:pPr>
            <w:r>
              <w:rPr>
                <w:rFonts w:ascii="Arial" w:cs="Arial" w:eastAsia="Arial" w:hAnsi="Arial"/>
                <w:sz w:val="16"/>
                <w:szCs w:val="16"/>
                <w:color w:val="auto"/>
              </w:rPr>
              <w:t>327,030</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Timothy Regan</w:t>
            </w:r>
          </w:p>
        </w:tc>
        <w:tc>
          <w:tcPr>
            <w:tcW w:w="1580" w:type="dxa"/>
            <w:vAlign w:val="bottom"/>
          </w:tcPr>
          <w:p>
            <w:pPr>
              <w:jc w:val="center"/>
              <w:spacing w:after="0"/>
              <w:rPr>
                <w:sz w:val="20"/>
                <w:szCs w:val="20"/>
                <w:color w:val="auto"/>
              </w:rPr>
            </w:pPr>
            <w:r>
              <w:rPr>
                <w:rFonts w:ascii="Arial" w:cs="Arial" w:eastAsia="Arial" w:hAnsi="Arial"/>
                <w:sz w:val="16"/>
                <w:szCs w:val="16"/>
                <w:color w:val="auto"/>
              </w:rPr>
              <w:t>280,000</w:t>
            </w:r>
          </w:p>
        </w:tc>
        <w:tc>
          <w:tcPr>
            <w:tcW w:w="1560" w:type="dxa"/>
            <w:vAlign w:val="bottom"/>
          </w:tcPr>
          <w:p>
            <w:pPr>
              <w:ind w:left="720"/>
              <w:spacing w:after="0"/>
              <w:rPr>
                <w:sz w:val="20"/>
                <w:szCs w:val="20"/>
                <w:color w:val="auto"/>
              </w:rPr>
            </w:pPr>
            <w:r>
              <w:rPr>
                <w:rFonts w:ascii="Arial" w:cs="Arial" w:eastAsia="Arial" w:hAnsi="Arial"/>
                <w:sz w:val="16"/>
                <w:szCs w:val="16"/>
                <w:color w:val="auto"/>
              </w:rPr>
              <w:t>—</w:t>
            </w:r>
          </w:p>
        </w:tc>
        <w:tc>
          <w:tcPr>
            <w:tcW w:w="1740" w:type="dxa"/>
            <w:vAlign w:val="bottom"/>
          </w:tcPr>
          <w:p>
            <w:pPr>
              <w:jc w:val="center"/>
              <w:spacing w:after="0"/>
              <w:rPr>
                <w:sz w:val="20"/>
                <w:szCs w:val="20"/>
                <w:color w:val="auto"/>
              </w:rPr>
            </w:pPr>
            <w:r>
              <w:rPr>
                <w:rFonts w:ascii="Arial" w:cs="Arial" w:eastAsia="Arial" w:hAnsi="Arial"/>
                <w:sz w:val="16"/>
                <w:szCs w:val="16"/>
                <w:color w:val="auto"/>
              </w:rPr>
              <w:t>1,574,998</w:t>
            </w:r>
          </w:p>
        </w:tc>
        <w:tc>
          <w:tcPr>
            <w:tcW w:w="1480" w:type="dxa"/>
            <w:vAlign w:val="bottom"/>
          </w:tcPr>
          <w:p>
            <w:pPr>
              <w:jc w:val="center"/>
              <w:ind w:right="22"/>
              <w:spacing w:after="0"/>
              <w:rPr>
                <w:sz w:val="20"/>
                <w:szCs w:val="20"/>
                <w:color w:val="auto"/>
              </w:rPr>
            </w:pPr>
            <w:r>
              <w:rPr>
                <w:rFonts w:ascii="Arial" w:cs="Arial" w:eastAsia="Arial" w:hAnsi="Arial"/>
                <w:sz w:val="16"/>
                <w:szCs w:val="16"/>
                <w:color w:val="auto"/>
              </w:rPr>
              <w:t>15,313</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1,870,311</w:t>
            </w:r>
          </w:p>
        </w:tc>
        <w:tc>
          <w:tcPr>
            <w:tcW w:w="0" w:type="dxa"/>
            <w:vAlign w:val="bottom"/>
          </w:tcPr>
          <w:p>
            <w:pPr>
              <w:spacing w:after="0"/>
              <w:rPr>
                <w:sz w:val="1"/>
                <w:szCs w:val="1"/>
                <w:color w:val="auto"/>
              </w:rPr>
            </w:pPr>
          </w:p>
        </w:tc>
      </w:tr>
      <w:tr>
        <w:trPr>
          <w:trHeight w:val="28"/>
        </w:trPr>
        <w:tc>
          <w:tcPr>
            <w:tcW w:w="3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Timothy Young</w:t>
            </w:r>
          </w:p>
        </w:tc>
        <w:tc>
          <w:tcPr>
            <w:tcW w:w="15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300,000</w:t>
            </w:r>
          </w:p>
        </w:tc>
        <w:tc>
          <w:tcPr>
            <w:tcW w:w="1560" w:type="dxa"/>
            <w:vAlign w:val="bottom"/>
            <w:tcBorders>
              <w:bottom w:val="single" w:sz="8" w:color="F2F2F2"/>
            </w:tcBorders>
            <w:shd w:val="clear" w:color="auto" w:fill="F2F2F2"/>
          </w:tcPr>
          <w:p>
            <w:pPr>
              <w:ind w:left="72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F2F2F2"/>
            </w:tcBorders>
            <w:shd w:val="clear" w:color="auto" w:fill="F2F2F2"/>
          </w:tcPr>
          <w:p>
            <w:pPr>
              <w:jc w:val="center"/>
              <w:ind w:right="22"/>
              <w:spacing w:after="0"/>
              <w:rPr>
                <w:sz w:val="20"/>
                <w:szCs w:val="20"/>
                <w:color w:val="auto"/>
              </w:rPr>
            </w:pPr>
            <w:r>
              <w:rPr>
                <w:rFonts w:ascii="Arial" w:cs="Arial" w:eastAsia="Arial" w:hAnsi="Arial"/>
                <w:sz w:val="16"/>
                <w:szCs w:val="16"/>
                <w:color w:val="auto"/>
              </w:rPr>
              <w:t>9,053</w:t>
            </w:r>
          </w:p>
        </w:tc>
        <w:tc>
          <w:tcPr>
            <w:tcW w:w="1600" w:type="dxa"/>
            <w:vAlign w:val="bottom"/>
            <w:tcBorders>
              <w:bottom w:val="single" w:sz="8" w:color="F2F2F2"/>
            </w:tcBorders>
            <w:shd w:val="clear" w:color="auto" w:fill="F2F2F2"/>
          </w:tcPr>
          <w:p>
            <w:pPr>
              <w:jc w:val="right"/>
              <w:ind w:right="1"/>
              <w:spacing w:after="0"/>
              <w:rPr>
                <w:sz w:val="20"/>
                <w:szCs w:val="20"/>
                <w:color w:val="auto"/>
              </w:rPr>
            </w:pPr>
            <w:r>
              <w:rPr>
                <w:rFonts w:ascii="Arial" w:cs="Arial" w:eastAsia="Arial" w:hAnsi="Arial"/>
                <w:sz w:val="16"/>
                <w:szCs w:val="16"/>
                <w:color w:val="auto"/>
              </w:rPr>
              <w:t>309,053</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Bart E. Volkmer</w:t>
            </w:r>
          </w:p>
        </w:tc>
        <w:tc>
          <w:tcPr>
            <w:tcW w:w="1580" w:type="dxa"/>
            <w:vAlign w:val="bottom"/>
          </w:tcPr>
          <w:p>
            <w:pPr>
              <w:jc w:val="center"/>
              <w:spacing w:after="0"/>
              <w:rPr>
                <w:sz w:val="20"/>
                <w:szCs w:val="20"/>
                <w:color w:val="auto"/>
              </w:rPr>
            </w:pPr>
            <w:r>
              <w:rPr>
                <w:rFonts w:ascii="Arial" w:cs="Arial" w:eastAsia="Arial" w:hAnsi="Arial"/>
                <w:sz w:val="16"/>
                <w:szCs w:val="16"/>
                <w:color w:val="auto"/>
              </w:rPr>
              <w:t>260,000</w:t>
            </w:r>
          </w:p>
        </w:tc>
        <w:tc>
          <w:tcPr>
            <w:tcW w:w="1560" w:type="dxa"/>
            <w:vAlign w:val="bottom"/>
          </w:tcPr>
          <w:p>
            <w:pPr>
              <w:ind w:left="720"/>
              <w:spacing w:after="0"/>
              <w:rPr>
                <w:sz w:val="20"/>
                <w:szCs w:val="20"/>
                <w:color w:val="auto"/>
              </w:rPr>
            </w:pPr>
            <w:r>
              <w:rPr>
                <w:rFonts w:ascii="Arial" w:cs="Arial" w:eastAsia="Arial" w:hAnsi="Arial"/>
                <w:sz w:val="16"/>
                <w:szCs w:val="16"/>
                <w:color w:val="auto"/>
              </w:rPr>
              <w:t>—</w:t>
            </w:r>
          </w:p>
        </w:tc>
        <w:tc>
          <w:tcPr>
            <w:tcW w:w="1740" w:type="dxa"/>
            <w:vAlign w:val="bottom"/>
          </w:tcPr>
          <w:p>
            <w:pPr>
              <w:jc w:val="center"/>
              <w:spacing w:after="0"/>
              <w:rPr>
                <w:sz w:val="20"/>
                <w:szCs w:val="20"/>
                <w:color w:val="auto"/>
              </w:rPr>
            </w:pPr>
            <w:r>
              <w:rPr>
                <w:rFonts w:ascii="Arial" w:cs="Arial" w:eastAsia="Arial" w:hAnsi="Arial"/>
                <w:sz w:val="16"/>
                <w:szCs w:val="16"/>
                <w:color w:val="auto"/>
              </w:rPr>
              <w:t>1,840,893</w:t>
            </w:r>
          </w:p>
        </w:tc>
        <w:tc>
          <w:tcPr>
            <w:tcW w:w="1480" w:type="dxa"/>
            <w:vAlign w:val="bottom"/>
          </w:tcPr>
          <w:p>
            <w:pPr>
              <w:jc w:val="center"/>
              <w:ind w:right="22"/>
              <w:spacing w:after="0"/>
              <w:rPr>
                <w:sz w:val="20"/>
                <w:szCs w:val="20"/>
                <w:color w:val="auto"/>
              </w:rPr>
            </w:pPr>
            <w:r>
              <w:rPr>
                <w:rFonts w:ascii="Arial" w:cs="Arial" w:eastAsia="Arial" w:hAnsi="Arial"/>
                <w:sz w:val="16"/>
                <w:szCs w:val="16"/>
                <w:color w:val="auto"/>
              </w:rPr>
              <w:t>15,313</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2,116,206</w:t>
            </w:r>
          </w:p>
        </w:tc>
        <w:tc>
          <w:tcPr>
            <w:tcW w:w="0" w:type="dxa"/>
            <w:vAlign w:val="bottom"/>
          </w:tcPr>
          <w:p>
            <w:pPr>
              <w:spacing w:after="0"/>
              <w:rPr>
                <w:sz w:val="1"/>
                <w:szCs w:val="1"/>
                <w:color w:val="auto"/>
              </w:rPr>
            </w:pPr>
          </w:p>
        </w:tc>
      </w:tr>
      <w:tr>
        <w:trPr>
          <w:trHeight w:val="28"/>
        </w:trPr>
        <w:tc>
          <w:tcPr>
            <w:tcW w:w="3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280" w:type="dxa"/>
            <w:vAlign w:val="bottom"/>
            <w:shd w:val="clear" w:color="auto" w:fill="F2F2F2"/>
          </w:tcPr>
          <w:p>
            <w:pPr>
              <w:ind w:left="20"/>
              <w:spacing w:after="0"/>
              <w:rPr>
                <w:sz w:val="20"/>
                <w:szCs w:val="20"/>
                <w:color w:val="auto"/>
              </w:rPr>
            </w:pPr>
            <w:r>
              <w:rPr>
                <w:rFonts w:ascii="Arial" w:cs="Arial" w:eastAsia="Arial" w:hAnsi="Arial"/>
                <w:sz w:val="16"/>
                <w:szCs w:val="16"/>
                <w:color w:val="auto"/>
              </w:rPr>
              <w:t>Eric Cox</w:t>
            </w:r>
          </w:p>
        </w:tc>
        <w:tc>
          <w:tcPr>
            <w:tcW w:w="15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560" w:type="dxa"/>
            <w:vAlign w:val="bottom"/>
            <w:shd w:val="clear" w:color="auto" w:fill="F2F2F2"/>
          </w:tcPr>
          <w:p>
            <w:pPr>
              <w:ind w:left="720"/>
              <w:spacing w:after="0"/>
              <w:rPr>
                <w:sz w:val="20"/>
                <w:szCs w:val="20"/>
                <w:color w:val="auto"/>
              </w:rPr>
            </w:pPr>
            <w:r>
              <w:rPr>
                <w:rFonts w:ascii="Arial" w:cs="Arial" w:eastAsia="Arial" w:hAnsi="Arial"/>
                <w:sz w:val="16"/>
                <w:szCs w:val="16"/>
                <w:color w:val="auto"/>
              </w:rPr>
              <w:t>—</w:t>
            </w:r>
          </w:p>
        </w:tc>
        <w:tc>
          <w:tcPr>
            <w:tcW w:w="174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F2F2F2"/>
          </w:tcPr>
          <w:p>
            <w:pPr>
              <w:jc w:val="center"/>
              <w:ind w:right="22"/>
              <w:spacing w:after="0"/>
              <w:rPr>
                <w:sz w:val="20"/>
                <w:szCs w:val="20"/>
                <w:color w:val="auto"/>
              </w:rPr>
            </w:pPr>
            <w:r>
              <w:rPr>
                <w:rFonts w:ascii="Arial" w:cs="Arial" w:eastAsia="Arial" w:hAnsi="Arial"/>
                <w:sz w:val="16"/>
                <w:szCs w:val="16"/>
                <w:color w:val="auto"/>
              </w:rPr>
              <w:t>15,313</w:t>
            </w:r>
          </w:p>
        </w:tc>
        <w:tc>
          <w:tcPr>
            <w:tcW w:w="160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15,313</w:t>
            </w:r>
          </w:p>
        </w:tc>
        <w:tc>
          <w:tcPr>
            <w:tcW w:w="0" w:type="dxa"/>
            <w:vAlign w:val="bottom"/>
          </w:tcPr>
          <w:p>
            <w:pPr>
              <w:spacing w:after="0"/>
              <w:rPr>
                <w:sz w:val="1"/>
                <w:szCs w:val="1"/>
                <w:color w:val="auto"/>
              </w:rPr>
            </w:pPr>
          </w:p>
        </w:tc>
      </w:tr>
      <w:tr>
        <w:trPr>
          <w:trHeight w:val="28"/>
        </w:trPr>
        <w:tc>
          <w:tcPr>
            <w:tcW w:w="3280" w:type="dxa"/>
            <w:vAlign w:val="bottom"/>
            <w:shd w:val="clear" w:color="auto" w:fill="F2F2F2"/>
          </w:tcPr>
          <w:p>
            <w:pPr>
              <w:spacing w:after="0"/>
              <w:rPr>
                <w:sz w:val="2"/>
                <w:szCs w:val="2"/>
                <w:color w:val="auto"/>
              </w:rPr>
            </w:pPr>
          </w:p>
        </w:tc>
        <w:tc>
          <w:tcPr>
            <w:tcW w:w="1580" w:type="dxa"/>
            <w:vAlign w:val="bottom"/>
            <w:shd w:val="clear" w:color="auto" w:fill="F2F2F2"/>
          </w:tcPr>
          <w:p>
            <w:pPr>
              <w:spacing w:after="0"/>
              <w:rPr>
                <w:sz w:val="2"/>
                <w:szCs w:val="2"/>
                <w:color w:val="auto"/>
              </w:rPr>
            </w:pPr>
          </w:p>
        </w:tc>
        <w:tc>
          <w:tcPr>
            <w:tcW w:w="1560" w:type="dxa"/>
            <w:vAlign w:val="bottom"/>
            <w:shd w:val="clear" w:color="auto" w:fill="F2F2F2"/>
          </w:tcPr>
          <w:p>
            <w:pPr>
              <w:spacing w:after="0"/>
              <w:rPr>
                <w:sz w:val="2"/>
                <w:szCs w:val="2"/>
                <w:color w:val="auto"/>
              </w:rPr>
            </w:pPr>
          </w:p>
        </w:tc>
        <w:tc>
          <w:tcPr>
            <w:tcW w:w="1740" w:type="dxa"/>
            <w:vAlign w:val="bottom"/>
            <w:shd w:val="clear" w:color="auto" w:fill="F2F2F2"/>
          </w:tcPr>
          <w:p>
            <w:pPr>
              <w:spacing w:after="0"/>
              <w:rPr>
                <w:sz w:val="2"/>
                <w:szCs w:val="2"/>
                <w:color w:val="auto"/>
              </w:rPr>
            </w:pPr>
          </w:p>
        </w:tc>
        <w:tc>
          <w:tcPr>
            <w:tcW w:w="1480" w:type="dxa"/>
            <w:vAlign w:val="bottom"/>
            <w:shd w:val="clear" w:color="auto" w:fill="F2F2F2"/>
          </w:tcPr>
          <w:p>
            <w:pPr>
              <w:spacing w:after="0"/>
              <w:rPr>
                <w:sz w:val="2"/>
                <w:szCs w:val="2"/>
                <w:color w:val="auto"/>
              </w:rPr>
            </w:pPr>
          </w:p>
        </w:tc>
        <w:tc>
          <w:tcPr>
            <w:tcW w:w="1600" w:type="dxa"/>
            <w:vAlign w:val="bottom"/>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right="100" w:hanging="332"/>
        <w:spacing w:after="0" w:line="285" w:lineRule="auto"/>
        <w:tabs>
          <w:tab w:leader="none" w:pos="336" w:val="left"/>
        </w:tabs>
        <w:numPr>
          <w:ilvl w:val="0"/>
          <w:numId w:val="83"/>
        </w:numPr>
        <w:rPr>
          <w:rFonts w:ascii="Calibri" w:cs="Calibri" w:eastAsia="Calibri" w:hAnsi="Calibri"/>
          <w:sz w:val="9"/>
          <w:szCs w:val="9"/>
          <w:color w:val="auto"/>
        </w:rPr>
      </w:pPr>
      <w:r>
        <w:rPr>
          <w:rFonts w:ascii="Arial" w:cs="Arial" w:eastAsia="Arial" w:hAnsi="Arial"/>
          <w:sz w:val="14"/>
          <w:szCs w:val="14"/>
          <w:color w:val="auto"/>
        </w:rPr>
        <w:t>Value based on a per share price of $29.48, which was the closing price for a share of our Class A common stock, as reported on December 29, 2023, the last trading day of the year.</w:t>
      </w:r>
    </w:p>
    <w:p>
      <w:pPr>
        <w:spacing w:after="0" w:line="99"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following table describes the payments that would have been provided for each of our named executive officers upon termination of employment in connection with a change in control of Dropbox as described above, assuming such termination had occurred on December 31, 2023. Mr. Young’s employment ended on March 15, 2023, and he did not receive any severance or vesting acceleration in connection with the termination of his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3030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0302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shd w:val="clear" w:color="auto" w:fill="0063A6"/>
          </w:tcPr>
          <w:p>
            <w:pPr>
              <w:spacing w:after="0"/>
              <w:rPr>
                <w:sz w:val="20"/>
                <w:szCs w:val="20"/>
                <w:color w:val="auto"/>
              </w:rPr>
            </w:pPr>
          </w:p>
        </w:tc>
        <w:tc>
          <w:tcPr>
            <w:tcW w:w="1480" w:type="dxa"/>
            <w:vAlign w:val="bottom"/>
            <w:shd w:val="clear" w:color="auto" w:fill="0063A6"/>
          </w:tcPr>
          <w:p>
            <w:pPr>
              <w:spacing w:after="0"/>
              <w:rPr>
                <w:sz w:val="20"/>
                <w:szCs w:val="20"/>
                <w:color w:val="auto"/>
              </w:rPr>
            </w:pPr>
          </w:p>
        </w:tc>
        <w:tc>
          <w:tcPr>
            <w:tcW w:w="1480" w:type="dxa"/>
            <w:vAlign w:val="bottom"/>
            <w:shd w:val="clear" w:color="auto" w:fill="0063A6"/>
          </w:tcPr>
          <w:p>
            <w:pPr>
              <w:spacing w:after="0"/>
              <w:rPr>
                <w:sz w:val="20"/>
                <w:szCs w:val="20"/>
                <w:color w:val="auto"/>
              </w:rPr>
            </w:pPr>
          </w:p>
        </w:tc>
        <w:tc>
          <w:tcPr>
            <w:tcW w:w="1480" w:type="dxa"/>
            <w:vAlign w:val="bottom"/>
            <w:shd w:val="clear" w:color="auto" w:fill="0063A6"/>
          </w:tcPr>
          <w:p>
            <w:pPr>
              <w:jc w:val="center"/>
              <w:ind w:left="246"/>
              <w:spacing w:after="0"/>
              <w:rPr>
                <w:sz w:val="20"/>
                <w:szCs w:val="20"/>
                <w:color w:val="auto"/>
              </w:rPr>
            </w:pPr>
            <w:r>
              <w:rPr>
                <w:rFonts w:ascii="Arial" w:cs="Arial" w:eastAsia="Arial" w:hAnsi="Arial"/>
                <w:sz w:val="14"/>
                <w:szCs w:val="14"/>
                <w:b w:val="1"/>
                <w:bCs w:val="1"/>
                <w:color w:val="FFFFFF"/>
              </w:rPr>
              <w:t>Value of</w:t>
            </w:r>
          </w:p>
        </w:tc>
        <w:tc>
          <w:tcPr>
            <w:tcW w:w="440" w:type="dxa"/>
            <w:vAlign w:val="bottom"/>
            <w:shd w:val="clear" w:color="auto" w:fill="0063A6"/>
          </w:tcPr>
          <w:p>
            <w:pPr>
              <w:spacing w:after="0"/>
              <w:rPr>
                <w:sz w:val="20"/>
                <w:szCs w:val="20"/>
                <w:color w:val="auto"/>
              </w:rPr>
            </w:pPr>
          </w:p>
        </w:tc>
        <w:tc>
          <w:tcPr>
            <w:tcW w:w="1220" w:type="dxa"/>
            <w:vAlign w:val="bottom"/>
            <w:shd w:val="clear" w:color="auto" w:fill="0063A6"/>
          </w:tcPr>
          <w:p>
            <w:pPr>
              <w:spacing w:after="0"/>
              <w:rPr>
                <w:sz w:val="20"/>
                <w:szCs w:val="20"/>
                <w:color w:val="auto"/>
              </w:rPr>
            </w:pPr>
          </w:p>
        </w:tc>
        <w:tc>
          <w:tcPr>
            <w:tcW w:w="1400" w:type="dxa"/>
            <w:vAlign w:val="bottom"/>
            <w:shd w:val="clear" w:color="auto" w:fill="0063A6"/>
          </w:tcPr>
          <w:p>
            <w:pPr>
              <w:spacing w:after="0"/>
              <w:rPr>
                <w:sz w:val="20"/>
                <w:szCs w:val="20"/>
                <w:color w:val="auto"/>
              </w:rPr>
            </w:pPr>
          </w:p>
        </w:tc>
        <w:tc>
          <w:tcPr>
            <w:tcW w:w="1460" w:type="dxa"/>
            <w:vAlign w:val="bottom"/>
            <w:shd w:val="clear" w:color="auto" w:fill="0063A6"/>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0063A6"/>
          </w:tcPr>
          <w:p>
            <w:pPr>
              <w:spacing w:after="0"/>
              <w:rPr>
                <w:sz w:val="14"/>
                <w:szCs w:val="14"/>
                <w:color w:val="auto"/>
              </w:rPr>
            </w:pPr>
          </w:p>
        </w:tc>
        <w:tc>
          <w:tcPr>
            <w:tcW w:w="1480" w:type="dxa"/>
            <w:vAlign w:val="bottom"/>
            <w:shd w:val="clear" w:color="auto" w:fill="0063A6"/>
          </w:tcPr>
          <w:p>
            <w:pPr>
              <w:ind w:left="320"/>
              <w:spacing w:after="0"/>
              <w:rPr>
                <w:sz w:val="20"/>
                <w:szCs w:val="20"/>
                <w:color w:val="auto"/>
              </w:rPr>
            </w:pPr>
            <w:r>
              <w:rPr>
                <w:rFonts w:ascii="Arial" w:cs="Arial" w:eastAsia="Arial" w:hAnsi="Arial"/>
                <w:sz w:val="14"/>
                <w:szCs w:val="14"/>
                <w:b w:val="1"/>
                <w:bCs w:val="1"/>
                <w:color w:val="FFFFFF"/>
              </w:rPr>
              <w:t>Base Salary</w:t>
            </w:r>
          </w:p>
        </w:tc>
        <w:tc>
          <w:tcPr>
            <w:tcW w:w="1480" w:type="dxa"/>
            <w:vAlign w:val="bottom"/>
            <w:shd w:val="clear" w:color="auto" w:fill="0063A6"/>
          </w:tcPr>
          <w:p>
            <w:pPr>
              <w:ind w:left="300"/>
              <w:spacing w:after="0"/>
              <w:rPr>
                <w:sz w:val="20"/>
                <w:szCs w:val="20"/>
                <w:color w:val="auto"/>
              </w:rPr>
            </w:pPr>
            <w:r>
              <w:rPr>
                <w:rFonts w:ascii="Arial" w:cs="Arial" w:eastAsia="Arial" w:hAnsi="Arial"/>
                <w:sz w:val="14"/>
                <w:szCs w:val="14"/>
                <w:b w:val="1"/>
                <w:bCs w:val="1"/>
                <w:color w:val="FFFFFF"/>
              </w:rPr>
              <w:t>Cash Bonus</w:t>
            </w:r>
          </w:p>
        </w:tc>
        <w:tc>
          <w:tcPr>
            <w:tcW w:w="1480" w:type="dxa"/>
            <w:vAlign w:val="bottom"/>
            <w:shd w:val="clear" w:color="auto" w:fill="0063A6"/>
          </w:tcPr>
          <w:p>
            <w:pPr>
              <w:jc w:val="center"/>
              <w:ind w:left="226"/>
              <w:spacing w:after="0"/>
              <w:rPr>
                <w:sz w:val="20"/>
                <w:szCs w:val="20"/>
                <w:color w:val="auto"/>
              </w:rPr>
            </w:pPr>
            <w:r>
              <w:rPr>
                <w:rFonts w:ascii="Arial" w:cs="Arial" w:eastAsia="Arial" w:hAnsi="Arial"/>
                <w:sz w:val="14"/>
                <w:szCs w:val="14"/>
                <w:b w:val="1"/>
                <w:bCs w:val="1"/>
                <w:color w:val="FFFFFF"/>
              </w:rPr>
              <w:t>Accelerated</w:t>
            </w:r>
          </w:p>
        </w:tc>
        <w:tc>
          <w:tcPr>
            <w:tcW w:w="440" w:type="dxa"/>
            <w:vAlign w:val="bottom"/>
            <w:shd w:val="clear" w:color="auto" w:fill="0063A6"/>
          </w:tcPr>
          <w:p>
            <w:pPr>
              <w:spacing w:after="0"/>
              <w:rPr>
                <w:sz w:val="14"/>
                <w:szCs w:val="14"/>
                <w:color w:val="auto"/>
              </w:rPr>
            </w:pPr>
          </w:p>
        </w:tc>
        <w:tc>
          <w:tcPr>
            <w:tcW w:w="1220" w:type="dxa"/>
            <w:vAlign w:val="bottom"/>
            <w:shd w:val="clear" w:color="auto" w:fill="0063A6"/>
          </w:tcPr>
          <w:p>
            <w:pPr>
              <w:jc w:val="right"/>
              <w:ind w:right="442"/>
              <w:spacing w:after="0"/>
              <w:rPr>
                <w:sz w:val="20"/>
                <w:szCs w:val="20"/>
                <w:color w:val="auto"/>
              </w:rPr>
            </w:pPr>
            <w:r>
              <w:rPr>
                <w:rFonts w:ascii="Arial" w:cs="Arial" w:eastAsia="Arial" w:hAnsi="Arial"/>
                <w:sz w:val="14"/>
                <w:szCs w:val="14"/>
                <w:b w:val="1"/>
                <w:bCs w:val="1"/>
                <w:color w:val="FFFFFF"/>
              </w:rPr>
              <w:t>280G</w:t>
            </w:r>
          </w:p>
        </w:tc>
        <w:tc>
          <w:tcPr>
            <w:tcW w:w="1400" w:type="dxa"/>
            <w:vAlign w:val="bottom"/>
            <w:shd w:val="clear" w:color="auto" w:fill="0063A6"/>
          </w:tcPr>
          <w:p>
            <w:pPr>
              <w:ind w:left="400"/>
              <w:spacing w:after="0"/>
              <w:rPr>
                <w:sz w:val="20"/>
                <w:szCs w:val="20"/>
                <w:color w:val="auto"/>
              </w:rPr>
            </w:pPr>
            <w:r>
              <w:rPr>
                <w:rFonts w:ascii="Arial" w:cs="Arial" w:eastAsia="Arial" w:hAnsi="Arial"/>
                <w:sz w:val="14"/>
                <w:szCs w:val="14"/>
                <w:b w:val="1"/>
                <w:bCs w:val="1"/>
                <w:color w:val="FFFFFF"/>
              </w:rPr>
              <w:t>Value of</w:t>
            </w:r>
          </w:p>
        </w:tc>
        <w:tc>
          <w:tcPr>
            <w:tcW w:w="14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0063A6"/>
          </w:tcPr>
          <w:p>
            <w:pPr>
              <w:ind w:left="60"/>
              <w:spacing w:after="0" w:line="176" w:lineRule="exact"/>
              <w:rPr>
                <w:sz w:val="20"/>
                <w:szCs w:val="20"/>
                <w:color w:val="auto"/>
              </w:rPr>
            </w:pPr>
            <w:r>
              <w:rPr>
                <w:rFonts w:ascii="Arial" w:cs="Arial" w:eastAsia="Arial" w:hAnsi="Arial"/>
                <w:sz w:val="14"/>
                <w:szCs w:val="14"/>
                <w:b w:val="1"/>
                <w:bCs w:val="1"/>
                <w:color w:val="FFFFFF"/>
              </w:rPr>
              <w:t>Name</w:t>
            </w:r>
            <w:r>
              <w:rPr>
                <w:rFonts w:ascii="Arial" w:cs="Arial" w:eastAsia="Arial" w:hAnsi="Arial"/>
                <w:sz w:val="18"/>
                <w:szCs w:val="18"/>
                <w:b w:val="1"/>
                <w:bCs w:val="1"/>
                <w:color w:val="FFFFFF"/>
                <w:vertAlign w:val="superscript"/>
              </w:rPr>
              <w:t>(1)</w:t>
            </w:r>
          </w:p>
        </w:tc>
        <w:tc>
          <w:tcPr>
            <w:tcW w:w="1480" w:type="dxa"/>
            <w:vAlign w:val="bottom"/>
            <w:shd w:val="clear" w:color="auto" w:fill="0063A6"/>
          </w:tcPr>
          <w:p>
            <w:pPr>
              <w:ind w:left="320"/>
              <w:spacing w:after="0"/>
              <w:rPr>
                <w:sz w:val="20"/>
                <w:szCs w:val="20"/>
                <w:color w:val="auto"/>
              </w:rPr>
            </w:pPr>
            <w:r>
              <w:rPr>
                <w:rFonts w:ascii="Arial" w:cs="Arial" w:eastAsia="Arial" w:hAnsi="Arial"/>
                <w:sz w:val="14"/>
                <w:szCs w:val="14"/>
                <w:b w:val="1"/>
                <w:bCs w:val="1"/>
                <w:color w:val="FFFFFF"/>
              </w:rPr>
              <w:t>Component</w:t>
            </w:r>
          </w:p>
        </w:tc>
        <w:tc>
          <w:tcPr>
            <w:tcW w:w="1480" w:type="dxa"/>
            <w:vAlign w:val="bottom"/>
            <w:shd w:val="clear" w:color="auto" w:fill="0063A6"/>
          </w:tcPr>
          <w:p>
            <w:pPr>
              <w:ind w:left="320"/>
              <w:spacing w:after="0"/>
              <w:rPr>
                <w:sz w:val="20"/>
                <w:szCs w:val="20"/>
                <w:color w:val="auto"/>
              </w:rPr>
            </w:pPr>
            <w:r>
              <w:rPr>
                <w:rFonts w:ascii="Arial" w:cs="Arial" w:eastAsia="Arial" w:hAnsi="Arial"/>
                <w:sz w:val="14"/>
                <w:szCs w:val="14"/>
                <w:b w:val="1"/>
                <w:bCs w:val="1"/>
                <w:color w:val="FFFFFF"/>
              </w:rPr>
              <w:t>Component</w:t>
            </w:r>
          </w:p>
        </w:tc>
        <w:tc>
          <w:tcPr>
            <w:tcW w:w="1480" w:type="dxa"/>
            <w:vAlign w:val="bottom"/>
            <w:shd w:val="clear" w:color="auto" w:fill="0063A6"/>
          </w:tcPr>
          <w:p>
            <w:pPr>
              <w:jc w:val="center"/>
              <w:ind w:left="246"/>
              <w:spacing w:after="0"/>
              <w:rPr>
                <w:sz w:val="20"/>
                <w:szCs w:val="20"/>
                <w:color w:val="auto"/>
              </w:rPr>
            </w:pPr>
            <w:r>
              <w:rPr>
                <w:rFonts w:ascii="Arial" w:cs="Arial" w:eastAsia="Arial" w:hAnsi="Arial"/>
                <w:sz w:val="14"/>
                <w:szCs w:val="14"/>
                <w:b w:val="1"/>
                <w:bCs w:val="1"/>
                <w:color w:val="FFFFFF"/>
              </w:rPr>
              <w:t>Equity Awards</w:t>
            </w:r>
          </w:p>
        </w:tc>
        <w:tc>
          <w:tcPr>
            <w:tcW w:w="440" w:type="dxa"/>
            <w:vAlign w:val="bottom"/>
            <w:shd w:val="clear" w:color="auto" w:fill="0063A6"/>
          </w:tcPr>
          <w:p>
            <w:pPr>
              <w:spacing w:after="0"/>
              <w:rPr>
                <w:sz w:val="15"/>
                <w:szCs w:val="15"/>
                <w:color w:val="auto"/>
              </w:rPr>
            </w:pPr>
          </w:p>
        </w:tc>
        <w:tc>
          <w:tcPr>
            <w:tcW w:w="1220" w:type="dxa"/>
            <w:vAlign w:val="bottom"/>
            <w:shd w:val="clear" w:color="auto" w:fill="0063A6"/>
          </w:tcPr>
          <w:p>
            <w:pPr>
              <w:jc w:val="right"/>
              <w:ind w:right="302"/>
              <w:spacing w:after="0"/>
              <w:rPr>
                <w:sz w:val="20"/>
                <w:szCs w:val="20"/>
                <w:color w:val="auto"/>
              </w:rPr>
            </w:pPr>
            <w:r>
              <w:rPr>
                <w:rFonts w:ascii="Arial" w:cs="Arial" w:eastAsia="Arial" w:hAnsi="Arial"/>
                <w:sz w:val="14"/>
                <w:szCs w:val="14"/>
                <w:b w:val="1"/>
                <w:bCs w:val="1"/>
                <w:color w:val="FFFFFF"/>
              </w:rPr>
              <w:t>Gross-up</w:t>
            </w:r>
          </w:p>
        </w:tc>
        <w:tc>
          <w:tcPr>
            <w:tcW w:w="1400" w:type="dxa"/>
            <w:vAlign w:val="bottom"/>
            <w:shd w:val="clear" w:color="auto" w:fill="0063A6"/>
          </w:tcPr>
          <w:p>
            <w:pPr>
              <w:ind w:left="380"/>
              <w:spacing w:after="0"/>
              <w:rPr>
                <w:sz w:val="20"/>
                <w:szCs w:val="20"/>
                <w:color w:val="auto"/>
              </w:rPr>
            </w:pPr>
            <w:r>
              <w:rPr>
                <w:rFonts w:ascii="Arial" w:cs="Arial" w:eastAsia="Arial" w:hAnsi="Arial"/>
                <w:sz w:val="14"/>
                <w:szCs w:val="14"/>
                <w:b w:val="1"/>
                <w:bCs w:val="1"/>
                <w:color w:val="FFFFFF"/>
              </w:rPr>
              <w:t>Benefits</w:t>
            </w:r>
          </w:p>
        </w:tc>
        <w:tc>
          <w:tcPr>
            <w:tcW w:w="1460" w:type="dxa"/>
            <w:vAlign w:val="bottom"/>
            <w:vMerge w:val="restart"/>
            <w:shd w:val="clear" w:color="auto" w:fill="0063A6"/>
          </w:tcPr>
          <w:p>
            <w:pPr>
              <w:jc w:val="right"/>
              <w:ind w:right="381"/>
              <w:spacing w:after="0"/>
              <w:rPr>
                <w:sz w:val="20"/>
                <w:szCs w:val="20"/>
                <w:color w:val="auto"/>
              </w:rPr>
            </w:pPr>
            <w:r>
              <w:rPr>
                <w:rFonts w:ascii="Arial" w:cs="Arial" w:eastAsia="Arial" w:hAnsi="Arial"/>
                <w:sz w:val="14"/>
                <w:szCs w:val="14"/>
                <w:b w:val="1"/>
                <w:bCs w:val="1"/>
                <w:color w:val="FFFFFF"/>
              </w:rPr>
              <w:t>Total ($)</w:t>
            </w:r>
          </w:p>
        </w:tc>
        <w:tc>
          <w:tcPr>
            <w:tcW w:w="0" w:type="dxa"/>
            <w:vAlign w:val="bottom"/>
          </w:tcPr>
          <w:p>
            <w:pPr>
              <w:spacing w:after="0"/>
              <w:rPr>
                <w:sz w:val="1"/>
                <w:szCs w:val="1"/>
                <w:color w:val="auto"/>
              </w:rPr>
            </w:pPr>
          </w:p>
        </w:tc>
      </w:tr>
      <w:tr>
        <w:trPr>
          <w:trHeight w:val="232"/>
        </w:trPr>
        <w:tc>
          <w:tcPr>
            <w:tcW w:w="2280" w:type="dxa"/>
            <w:vAlign w:val="bottom"/>
            <w:tcBorders>
              <w:bottom w:val="single" w:sz="8" w:color="0063A6"/>
            </w:tcBorders>
            <w:shd w:val="clear" w:color="auto" w:fill="0063A6"/>
          </w:tcPr>
          <w:p>
            <w:pPr>
              <w:spacing w:after="0"/>
              <w:rPr>
                <w:sz w:val="20"/>
                <w:szCs w:val="20"/>
                <w:color w:val="auto"/>
              </w:rPr>
            </w:pPr>
          </w:p>
        </w:tc>
        <w:tc>
          <w:tcPr>
            <w:tcW w:w="14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4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480" w:type="dxa"/>
            <w:vAlign w:val="bottom"/>
            <w:tcBorders>
              <w:bottom w:val="single" w:sz="8" w:color="0063A6"/>
            </w:tcBorders>
            <w:shd w:val="clear" w:color="auto" w:fill="0063A6"/>
          </w:tcPr>
          <w:p>
            <w:pPr>
              <w:jc w:val="center"/>
              <w:ind w:left="246"/>
              <w:spacing w:after="0" w:line="198"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8"/>
                <w:szCs w:val="8"/>
                <w:b w:val="1"/>
                <w:bCs w:val="1"/>
                <w:color w:val="FFFFFF"/>
              </w:rPr>
              <w:t>(2)</w:t>
            </w:r>
          </w:p>
        </w:tc>
        <w:tc>
          <w:tcPr>
            <w:tcW w:w="440" w:type="dxa"/>
            <w:vAlign w:val="bottom"/>
            <w:tcBorders>
              <w:bottom w:val="single" w:sz="8" w:color="0063A6"/>
            </w:tcBorders>
            <w:shd w:val="clear" w:color="auto" w:fill="0063A6"/>
          </w:tcPr>
          <w:p>
            <w:pPr>
              <w:spacing w:after="0"/>
              <w:rPr>
                <w:sz w:val="20"/>
                <w:szCs w:val="20"/>
                <w:color w:val="auto"/>
              </w:rPr>
            </w:pPr>
          </w:p>
        </w:tc>
        <w:tc>
          <w:tcPr>
            <w:tcW w:w="1220" w:type="dxa"/>
            <w:vAlign w:val="bottom"/>
            <w:tcBorders>
              <w:bottom w:val="single" w:sz="8" w:color="0063A6"/>
            </w:tcBorders>
            <w:shd w:val="clear" w:color="auto" w:fill="0063A6"/>
          </w:tcPr>
          <w:p>
            <w:pPr>
              <w:jc w:val="right"/>
              <w:ind w:right="502"/>
              <w:spacing w:after="0"/>
              <w:rPr>
                <w:sz w:val="20"/>
                <w:szCs w:val="20"/>
                <w:color w:val="auto"/>
              </w:rPr>
            </w:pPr>
            <w:r>
              <w:rPr>
                <w:rFonts w:ascii="Arial" w:cs="Arial" w:eastAsia="Arial" w:hAnsi="Arial"/>
                <w:sz w:val="14"/>
                <w:szCs w:val="14"/>
                <w:b w:val="1"/>
                <w:bCs w:val="1"/>
                <w:color w:val="FFFFFF"/>
              </w:rPr>
              <w:t>($)</w:t>
            </w:r>
          </w:p>
        </w:tc>
        <w:tc>
          <w:tcPr>
            <w:tcW w:w="14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460" w:type="dxa"/>
            <w:vAlign w:val="bottom"/>
            <w:tcBorders>
              <w:bottom w:val="single" w:sz="8" w:color="0063A6"/>
            </w:tcBorders>
            <w:vMerge w:val="continue"/>
            <w:shd w:val="clear" w:color="auto" w:fill="0063A6"/>
          </w:tcPr>
          <w:p>
            <w:pPr>
              <w:spacing w:after="0"/>
              <w:rPr>
                <w:sz w:val="20"/>
                <w:szCs w:val="20"/>
                <w:color w:val="auto"/>
              </w:rPr>
            </w:pPr>
          </w:p>
        </w:tc>
        <w:tc>
          <w:tcPr>
            <w:tcW w:w="0" w:type="dxa"/>
            <w:vAlign w:val="bottom"/>
          </w:tcPr>
          <w:p>
            <w:pPr>
              <w:spacing w:after="0"/>
              <w:rPr>
                <w:sz w:val="1"/>
                <w:szCs w:val="1"/>
                <w:color w:val="auto"/>
              </w:rPr>
            </w:pPr>
          </w:p>
        </w:tc>
      </w:tr>
      <w:tr>
        <w:trPr>
          <w:trHeight w:val="125"/>
        </w:trPr>
        <w:tc>
          <w:tcPr>
            <w:tcW w:w="2280" w:type="dxa"/>
            <w:vAlign w:val="bottom"/>
            <w:vMerge w:val="restart"/>
            <w:shd w:val="clear" w:color="auto" w:fill="F2F2F2"/>
          </w:tcPr>
          <w:p>
            <w:pPr>
              <w:ind w:left="60"/>
              <w:spacing w:after="0"/>
              <w:rPr>
                <w:sz w:val="20"/>
                <w:szCs w:val="20"/>
                <w:color w:val="auto"/>
              </w:rPr>
            </w:pPr>
            <w:r>
              <w:rPr>
                <w:rFonts w:ascii="Arial" w:cs="Arial" w:eastAsia="Arial" w:hAnsi="Arial"/>
                <w:sz w:val="16"/>
                <w:szCs w:val="16"/>
                <w:color w:val="auto"/>
              </w:rPr>
              <w:t>Andrew W. Houston</w:t>
            </w:r>
          </w:p>
        </w:tc>
        <w:tc>
          <w:tcPr>
            <w:tcW w:w="14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625,000</w:t>
            </w:r>
          </w:p>
        </w:tc>
        <w:tc>
          <w:tcPr>
            <w:tcW w:w="14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625,000</w:t>
            </w:r>
          </w:p>
        </w:tc>
        <w:tc>
          <w:tcPr>
            <w:tcW w:w="148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440" w:type="dxa"/>
            <w:vAlign w:val="bottom"/>
            <w:shd w:val="clear" w:color="auto" w:fill="F2F2F2"/>
          </w:tcPr>
          <w:p>
            <w:pPr>
              <w:jc w:val="right"/>
              <w:ind w:right="193"/>
              <w:spacing w:after="0"/>
              <w:rPr>
                <w:sz w:val="20"/>
                <w:szCs w:val="20"/>
                <w:color w:val="auto"/>
              </w:rPr>
            </w:pPr>
            <w:r>
              <w:rPr>
                <w:rFonts w:ascii="Arial" w:cs="Arial" w:eastAsia="Arial" w:hAnsi="Arial"/>
                <w:sz w:val="9"/>
                <w:szCs w:val="9"/>
                <w:color w:val="auto"/>
              </w:rPr>
              <w:t>(3)</w:t>
            </w:r>
          </w:p>
        </w:tc>
        <w:tc>
          <w:tcPr>
            <w:tcW w:w="1220" w:type="dxa"/>
            <w:vAlign w:val="bottom"/>
            <w:vMerge w:val="restart"/>
            <w:shd w:val="clear" w:color="auto" w:fill="F2F2F2"/>
          </w:tcPr>
          <w:p>
            <w:pPr>
              <w:jc w:val="right"/>
              <w:ind w:right="502"/>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29,060</w:t>
            </w:r>
          </w:p>
        </w:tc>
        <w:tc>
          <w:tcPr>
            <w:tcW w:w="1460" w:type="dxa"/>
            <w:vAlign w:val="bottom"/>
            <w:vMerge w:val="restart"/>
            <w:shd w:val="clear" w:color="auto" w:fill="F2F2F2"/>
          </w:tcPr>
          <w:p>
            <w:pPr>
              <w:jc w:val="right"/>
              <w:ind w:right="1"/>
              <w:spacing w:after="0"/>
              <w:rPr>
                <w:sz w:val="20"/>
                <w:szCs w:val="20"/>
                <w:color w:val="auto"/>
              </w:rPr>
            </w:pPr>
            <w:r>
              <w:rPr>
                <w:rFonts w:ascii="Arial" w:cs="Arial" w:eastAsia="Arial" w:hAnsi="Arial"/>
                <w:sz w:val="16"/>
                <w:szCs w:val="16"/>
                <w:color w:val="auto"/>
              </w:rPr>
              <w:t>1,279,060</w:t>
            </w:r>
          </w:p>
        </w:tc>
        <w:tc>
          <w:tcPr>
            <w:tcW w:w="0" w:type="dxa"/>
            <w:vAlign w:val="bottom"/>
          </w:tcPr>
          <w:p>
            <w:pPr>
              <w:spacing w:after="0"/>
              <w:rPr>
                <w:sz w:val="1"/>
                <w:szCs w:val="1"/>
                <w:color w:val="auto"/>
              </w:rPr>
            </w:pPr>
          </w:p>
        </w:tc>
      </w:tr>
      <w:tr>
        <w:trPr>
          <w:trHeight w:val="112"/>
        </w:trPr>
        <w:tc>
          <w:tcPr>
            <w:tcW w:w="2280" w:type="dxa"/>
            <w:vAlign w:val="bottom"/>
            <w:tcBorders>
              <w:bottom w:val="single" w:sz="8" w:color="F2F2F2"/>
            </w:tcBorders>
            <w:vMerge w:val="continue"/>
            <w:shd w:val="clear" w:color="auto" w:fill="F2F2F2"/>
          </w:tcPr>
          <w:p>
            <w:pPr>
              <w:spacing w:after="0"/>
              <w:rPr>
                <w:sz w:val="9"/>
                <w:szCs w:val="9"/>
                <w:color w:val="auto"/>
              </w:rPr>
            </w:pPr>
          </w:p>
        </w:tc>
        <w:tc>
          <w:tcPr>
            <w:tcW w:w="1480" w:type="dxa"/>
            <w:vAlign w:val="bottom"/>
            <w:tcBorders>
              <w:bottom w:val="single" w:sz="8" w:color="F2F2F2"/>
            </w:tcBorders>
            <w:vMerge w:val="continue"/>
            <w:shd w:val="clear" w:color="auto" w:fill="F2F2F2"/>
          </w:tcPr>
          <w:p>
            <w:pPr>
              <w:spacing w:after="0"/>
              <w:rPr>
                <w:sz w:val="9"/>
                <w:szCs w:val="9"/>
                <w:color w:val="auto"/>
              </w:rPr>
            </w:pPr>
          </w:p>
        </w:tc>
        <w:tc>
          <w:tcPr>
            <w:tcW w:w="1480" w:type="dxa"/>
            <w:vAlign w:val="bottom"/>
            <w:tcBorders>
              <w:bottom w:val="single" w:sz="8" w:color="F2F2F2"/>
            </w:tcBorders>
            <w:vMerge w:val="continue"/>
            <w:shd w:val="clear" w:color="auto" w:fill="F2F2F2"/>
          </w:tcPr>
          <w:p>
            <w:pPr>
              <w:spacing w:after="0"/>
              <w:rPr>
                <w:sz w:val="9"/>
                <w:szCs w:val="9"/>
                <w:color w:val="auto"/>
              </w:rPr>
            </w:pPr>
          </w:p>
        </w:tc>
        <w:tc>
          <w:tcPr>
            <w:tcW w:w="1480" w:type="dxa"/>
            <w:vAlign w:val="bottom"/>
            <w:tcBorders>
              <w:bottom w:val="single" w:sz="8" w:color="F2F2F2"/>
            </w:tcBorders>
            <w:vMerge w:val="continue"/>
            <w:shd w:val="clear" w:color="auto" w:fill="F2F2F2"/>
          </w:tcPr>
          <w:p>
            <w:pPr>
              <w:spacing w:after="0"/>
              <w:rPr>
                <w:sz w:val="9"/>
                <w:szCs w:val="9"/>
                <w:color w:val="auto"/>
              </w:rPr>
            </w:pPr>
          </w:p>
        </w:tc>
        <w:tc>
          <w:tcPr>
            <w:tcW w:w="440" w:type="dxa"/>
            <w:vAlign w:val="bottom"/>
            <w:tcBorders>
              <w:bottom w:val="single" w:sz="8" w:color="F2F2F2"/>
            </w:tcBorders>
            <w:shd w:val="clear" w:color="auto" w:fill="F2F2F2"/>
          </w:tcPr>
          <w:p>
            <w:pPr>
              <w:spacing w:after="0"/>
              <w:rPr>
                <w:sz w:val="9"/>
                <w:szCs w:val="9"/>
                <w:color w:val="auto"/>
              </w:rPr>
            </w:pPr>
          </w:p>
        </w:tc>
        <w:tc>
          <w:tcPr>
            <w:tcW w:w="1220" w:type="dxa"/>
            <w:vAlign w:val="bottom"/>
            <w:tcBorders>
              <w:bottom w:val="single" w:sz="8" w:color="F2F2F2"/>
            </w:tcBorders>
            <w:vMerge w:val="continue"/>
            <w:shd w:val="clear" w:color="auto" w:fill="F2F2F2"/>
          </w:tcPr>
          <w:p>
            <w:pPr>
              <w:spacing w:after="0"/>
              <w:rPr>
                <w:sz w:val="9"/>
                <w:szCs w:val="9"/>
                <w:color w:val="auto"/>
              </w:rPr>
            </w:pPr>
          </w:p>
        </w:tc>
        <w:tc>
          <w:tcPr>
            <w:tcW w:w="1400" w:type="dxa"/>
            <w:vAlign w:val="bottom"/>
            <w:tcBorders>
              <w:bottom w:val="single" w:sz="8" w:color="F2F2F2"/>
            </w:tcBorders>
            <w:vMerge w:val="continue"/>
            <w:shd w:val="clear" w:color="auto" w:fill="F2F2F2"/>
          </w:tcPr>
          <w:p>
            <w:pPr>
              <w:spacing w:after="0"/>
              <w:rPr>
                <w:sz w:val="9"/>
                <w:szCs w:val="9"/>
                <w:color w:val="auto"/>
              </w:rPr>
            </w:pPr>
          </w:p>
        </w:tc>
        <w:tc>
          <w:tcPr>
            <w:tcW w:w="1460" w:type="dxa"/>
            <w:vAlign w:val="bottom"/>
            <w:tcBorders>
              <w:bottom w:val="single" w:sz="8" w:color="F2F2F2"/>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60"/>
              <w:spacing w:after="0"/>
              <w:rPr>
                <w:sz w:val="20"/>
                <w:szCs w:val="20"/>
                <w:color w:val="auto"/>
              </w:rPr>
            </w:pPr>
            <w:r>
              <w:rPr>
                <w:rFonts w:ascii="Arial" w:cs="Arial" w:eastAsia="Arial" w:hAnsi="Arial"/>
                <w:sz w:val="16"/>
                <w:szCs w:val="16"/>
                <w:color w:val="auto"/>
              </w:rPr>
              <w:t>Timothy Regan</w:t>
            </w:r>
          </w:p>
        </w:tc>
        <w:tc>
          <w:tcPr>
            <w:tcW w:w="1480" w:type="dxa"/>
            <w:vAlign w:val="bottom"/>
          </w:tcPr>
          <w:p>
            <w:pPr>
              <w:jc w:val="center"/>
              <w:spacing w:after="0"/>
              <w:rPr>
                <w:sz w:val="20"/>
                <w:szCs w:val="20"/>
                <w:color w:val="auto"/>
              </w:rPr>
            </w:pPr>
            <w:r>
              <w:rPr>
                <w:rFonts w:ascii="Arial" w:cs="Arial" w:eastAsia="Arial" w:hAnsi="Arial"/>
                <w:sz w:val="16"/>
                <w:szCs w:val="16"/>
                <w:color w:val="auto"/>
              </w:rPr>
              <w:t>560,000</w:t>
            </w:r>
          </w:p>
        </w:tc>
        <w:tc>
          <w:tcPr>
            <w:tcW w:w="1480" w:type="dxa"/>
            <w:vAlign w:val="bottom"/>
          </w:tcPr>
          <w:p>
            <w:pPr>
              <w:jc w:val="center"/>
              <w:spacing w:after="0"/>
              <w:rPr>
                <w:sz w:val="20"/>
                <w:szCs w:val="20"/>
                <w:color w:val="auto"/>
              </w:rPr>
            </w:pPr>
            <w:r>
              <w:rPr>
                <w:rFonts w:ascii="Arial" w:cs="Arial" w:eastAsia="Arial" w:hAnsi="Arial"/>
                <w:sz w:val="16"/>
                <w:szCs w:val="16"/>
                <w:color w:val="auto"/>
              </w:rPr>
              <w:t>448,383</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11,453,953</w:t>
            </w:r>
          </w:p>
        </w:tc>
        <w:tc>
          <w:tcPr>
            <w:tcW w:w="440" w:type="dxa"/>
            <w:vAlign w:val="bottom"/>
          </w:tcPr>
          <w:p>
            <w:pPr>
              <w:spacing w:after="0"/>
              <w:rPr>
                <w:sz w:val="18"/>
                <w:szCs w:val="18"/>
                <w:color w:val="auto"/>
              </w:rPr>
            </w:pPr>
          </w:p>
        </w:tc>
        <w:tc>
          <w:tcPr>
            <w:tcW w:w="122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400" w:type="dxa"/>
            <w:vAlign w:val="bottom"/>
          </w:tcPr>
          <w:p>
            <w:pPr>
              <w:jc w:val="center"/>
              <w:spacing w:after="0"/>
              <w:rPr>
                <w:sz w:val="20"/>
                <w:szCs w:val="20"/>
                <w:color w:val="auto"/>
              </w:rPr>
            </w:pPr>
            <w:r>
              <w:rPr>
                <w:rFonts w:ascii="Arial" w:cs="Arial" w:eastAsia="Arial" w:hAnsi="Arial"/>
                <w:sz w:val="16"/>
                <w:szCs w:val="16"/>
                <w:color w:val="auto"/>
              </w:rPr>
              <w:t>30,626</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12,492,962</w:t>
            </w:r>
          </w:p>
        </w:tc>
        <w:tc>
          <w:tcPr>
            <w:tcW w:w="0" w:type="dxa"/>
            <w:vAlign w:val="bottom"/>
          </w:tcPr>
          <w:p>
            <w:pPr>
              <w:spacing w:after="0"/>
              <w:rPr>
                <w:sz w:val="1"/>
                <w:szCs w:val="1"/>
                <w:color w:val="auto"/>
              </w:rPr>
            </w:pPr>
          </w:p>
        </w:tc>
      </w:tr>
      <w:tr>
        <w:trPr>
          <w:trHeight w:val="28"/>
        </w:trPr>
        <w:tc>
          <w:tcPr>
            <w:tcW w:w="2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Timothy Young</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600,000</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600,000</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440" w:type="dxa"/>
            <w:vAlign w:val="bottom"/>
            <w:tcBorders>
              <w:bottom w:val="single" w:sz="8" w:color="F2F2F2"/>
            </w:tcBorders>
            <w:shd w:val="clear" w:color="auto" w:fill="F2F2F2"/>
          </w:tcPr>
          <w:p>
            <w:pPr>
              <w:spacing w:after="0"/>
              <w:rPr>
                <w:sz w:val="19"/>
                <w:szCs w:val="19"/>
                <w:color w:val="auto"/>
              </w:rPr>
            </w:pPr>
          </w:p>
        </w:tc>
        <w:tc>
          <w:tcPr>
            <w:tcW w:w="1220" w:type="dxa"/>
            <w:vAlign w:val="bottom"/>
            <w:tcBorders>
              <w:bottom w:val="single" w:sz="8" w:color="F2F2F2"/>
            </w:tcBorders>
            <w:shd w:val="clear" w:color="auto" w:fill="F2F2F2"/>
          </w:tcPr>
          <w:p>
            <w:pPr>
              <w:jc w:val="right"/>
              <w:ind w:right="50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18,108</w:t>
            </w:r>
          </w:p>
        </w:tc>
        <w:tc>
          <w:tcPr>
            <w:tcW w:w="1460" w:type="dxa"/>
            <w:vAlign w:val="bottom"/>
            <w:tcBorders>
              <w:bottom w:val="single" w:sz="8" w:color="F2F2F2"/>
            </w:tcBorders>
            <w:shd w:val="clear" w:color="auto" w:fill="F2F2F2"/>
          </w:tcPr>
          <w:p>
            <w:pPr>
              <w:jc w:val="right"/>
              <w:ind w:right="1"/>
              <w:spacing w:after="0"/>
              <w:rPr>
                <w:sz w:val="20"/>
                <w:szCs w:val="20"/>
                <w:color w:val="auto"/>
              </w:rPr>
            </w:pPr>
            <w:r>
              <w:rPr>
                <w:rFonts w:ascii="Arial" w:cs="Arial" w:eastAsia="Arial" w:hAnsi="Arial"/>
                <w:sz w:val="16"/>
                <w:szCs w:val="16"/>
                <w:color w:val="auto"/>
              </w:rPr>
              <w:t>1,218,108</w:t>
            </w:r>
          </w:p>
        </w:tc>
        <w:tc>
          <w:tcPr>
            <w:tcW w:w="0" w:type="dxa"/>
            <w:vAlign w:val="bottom"/>
          </w:tcPr>
          <w:p>
            <w:pPr>
              <w:spacing w:after="0"/>
              <w:rPr>
                <w:sz w:val="1"/>
                <w:szCs w:val="1"/>
                <w:color w:val="auto"/>
              </w:rPr>
            </w:pPr>
          </w:p>
        </w:tc>
      </w:tr>
      <w:tr>
        <w:trPr>
          <w:trHeight w:val="215"/>
        </w:trPr>
        <w:tc>
          <w:tcPr>
            <w:tcW w:w="2280" w:type="dxa"/>
            <w:vAlign w:val="bottom"/>
          </w:tcPr>
          <w:p>
            <w:pPr>
              <w:ind w:left="60"/>
              <w:spacing w:after="0"/>
              <w:rPr>
                <w:sz w:val="20"/>
                <w:szCs w:val="20"/>
                <w:color w:val="auto"/>
              </w:rPr>
            </w:pPr>
            <w:r>
              <w:rPr>
                <w:rFonts w:ascii="Arial" w:cs="Arial" w:eastAsia="Arial" w:hAnsi="Arial"/>
                <w:sz w:val="16"/>
                <w:szCs w:val="16"/>
                <w:color w:val="auto"/>
              </w:rPr>
              <w:t>Bart E. Volkmer</w:t>
            </w:r>
          </w:p>
        </w:tc>
        <w:tc>
          <w:tcPr>
            <w:tcW w:w="1480" w:type="dxa"/>
            <w:vAlign w:val="bottom"/>
          </w:tcPr>
          <w:p>
            <w:pPr>
              <w:jc w:val="center"/>
              <w:spacing w:after="0"/>
              <w:rPr>
                <w:sz w:val="20"/>
                <w:szCs w:val="20"/>
                <w:color w:val="auto"/>
              </w:rPr>
            </w:pPr>
            <w:r>
              <w:rPr>
                <w:rFonts w:ascii="Arial" w:cs="Arial" w:eastAsia="Arial" w:hAnsi="Arial"/>
                <w:sz w:val="16"/>
                <w:szCs w:val="16"/>
                <w:color w:val="auto"/>
              </w:rPr>
              <w:t>520,000</w:t>
            </w:r>
          </w:p>
        </w:tc>
        <w:tc>
          <w:tcPr>
            <w:tcW w:w="1480" w:type="dxa"/>
            <w:vAlign w:val="bottom"/>
          </w:tcPr>
          <w:p>
            <w:pPr>
              <w:jc w:val="center"/>
              <w:spacing w:after="0"/>
              <w:rPr>
                <w:sz w:val="20"/>
                <w:szCs w:val="20"/>
                <w:color w:val="auto"/>
              </w:rPr>
            </w:pPr>
            <w:r>
              <w:rPr>
                <w:rFonts w:ascii="Arial" w:cs="Arial" w:eastAsia="Arial" w:hAnsi="Arial"/>
                <w:sz w:val="16"/>
                <w:szCs w:val="16"/>
                <w:color w:val="auto"/>
              </w:rPr>
              <w:t>369,965</w:t>
            </w:r>
          </w:p>
        </w:tc>
        <w:tc>
          <w:tcPr>
            <w:tcW w:w="1480" w:type="dxa"/>
            <w:vAlign w:val="bottom"/>
          </w:tcPr>
          <w:p>
            <w:pPr>
              <w:jc w:val="center"/>
              <w:spacing w:after="0"/>
              <w:rPr>
                <w:sz w:val="20"/>
                <w:szCs w:val="20"/>
                <w:color w:val="auto"/>
              </w:rPr>
            </w:pPr>
            <w:r>
              <w:rPr>
                <w:rFonts w:ascii="Arial" w:cs="Arial" w:eastAsia="Arial" w:hAnsi="Arial"/>
                <w:sz w:val="16"/>
                <w:szCs w:val="16"/>
                <w:color w:val="auto"/>
              </w:rPr>
              <w:t>7,363,573</w:t>
            </w:r>
          </w:p>
        </w:tc>
        <w:tc>
          <w:tcPr>
            <w:tcW w:w="440" w:type="dxa"/>
            <w:vAlign w:val="bottom"/>
          </w:tcPr>
          <w:p>
            <w:pPr>
              <w:spacing w:after="0"/>
              <w:rPr>
                <w:sz w:val="18"/>
                <w:szCs w:val="18"/>
                <w:color w:val="auto"/>
              </w:rPr>
            </w:pPr>
          </w:p>
        </w:tc>
        <w:tc>
          <w:tcPr>
            <w:tcW w:w="122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400" w:type="dxa"/>
            <w:vAlign w:val="bottom"/>
          </w:tcPr>
          <w:p>
            <w:pPr>
              <w:jc w:val="center"/>
              <w:spacing w:after="0"/>
              <w:rPr>
                <w:sz w:val="20"/>
                <w:szCs w:val="20"/>
                <w:color w:val="auto"/>
              </w:rPr>
            </w:pPr>
            <w:r>
              <w:rPr>
                <w:rFonts w:ascii="Arial" w:cs="Arial" w:eastAsia="Arial" w:hAnsi="Arial"/>
                <w:sz w:val="16"/>
                <w:szCs w:val="16"/>
                <w:color w:val="auto"/>
              </w:rPr>
              <w:t>30,626</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8,284,164</w:t>
            </w:r>
          </w:p>
        </w:tc>
        <w:tc>
          <w:tcPr>
            <w:tcW w:w="0" w:type="dxa"/>
            <w:vAlign w:val="bottom"/>
          </w:tcPr>
          <w:p>
            <w:pPr>
              <w:spacing w:after="0"/>
              <w:rPr>
                <w:sz w:val="1"/>
                <w:szCs w:val="1"/>
                <w:color w:val="auto"/>
              </w:rPr>
            </w:pPr>
          </w:p>
        </w:tc>
      </w:tr>
      <w:tr>
        <w:trPr>
          <w:trHeight w:val="28"/>
        </w:trPr>
        <w:tc>
          <w:tcPr>
            <w:tcW w:w="2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280" w:type="dxa"/>
            <w:vAlign w:val="bottom"/>
            <w:shd w:val="clear" w:color="auto" w:fill="F2F2F2"/>
          </w:tcPr>
          <w:p>
            <w:pPr>
              <w:ind w:left="80"/>
              <w:spacing w:after="0"/>
              <w:rPr>
                <w:sz w:val="20"/>
                <w:szCs w:val="20"/>
                <w:color w:val="auto"/>
              </w:rPr>
            </w:pPr>
            <w:r>
              <w:rPr>
                <w:rFonts w:ascii="Arial" w:cs="Arial" w:eastAsia="Arial" w:hAnsi="Arial"/>
                <w:sz w:val="16"/>
                <w:szCs w:val="16"/>
                <w:color w:val="auto"/>
              </w:rPr>
              <w:t>Eric Cox</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48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440" w:type="dxa"/>
            <w:vAlign w:val="bottom"/>
            <w:shd w:val="clear" w:color="auto" w:fill="F2F2F2"/>
          </w:tcPr>
          <w:p>
            <w:pPr>
              <w:spacing w:after="0"/>
              <w:rPr>
                <w:sz w:val="18"/>
                <w:szCs w:val="18"/>
                <w:color w:val="auto"/>
              </w:rPr>
            </w:pPr>
          </w:p>
        </w:tc>
        <w:tc>
          <w:tcPr>
            <w:tcW w:w="1220" w:type="dxa"/>
            <w:vAlign w:val="bottom"/>
            <w:shd w:val="clear" w:color="auto" w:fill="F2F2F2"/>
          </w:tcPr>
          <w:p>
            <w:pPr>
              <w:jc w:val="right"/>
              <w:ind w:right="502"/>
              <w:spacing w:after="0"/>
              <w:rPr>
                <w:sz w:val="20"/>
                <w:szCs w:val="20"/>
                <w:color w:val="auto"/>
              </w:rPr>
            </w:pPr>
            <w:r>
              <w:rPr>
                <w:rFonts w:ascii="Arial" w:cs="Arial" w:eastAsia="Arial" w:hAnsi="Arial"/>
                <w:sz w:val="16"/>
                <w:szCs w:val="16"/>
                <w:color w:val="auto"/>
              </w:rPr>
              <w:t>—</w:t>
            </w:r>
          </w:p>
        </w:tc>
        <w:tc>
          <w:tcPr>
            <w:tcW w:w="14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30,626</w:t>
            </w:r>
          </w:p>
        </w:tc>
        <w:tc>
          <w:tcPr>
            <w:tcW w:w="1460" w:type="dxa"/>
            <w:vAlign w:val="bottom"/>
            <w:shd w:val="clear" w:color="auto" w:fill="F2F2F2"/>
          </w:tcPr>
          <w:p>
            <w:pPr>
              <w:jc w:val="right"/>
              <w:ind w:right="1"/>
              <w:spacing w:after="0"/>
              <w:rPr>
                <w:sz w:val="20"/>
                <w:szCs w:val="20"/>
                <w:color w:val="auto"/>
              </w:rPr>
            </w:pPr>
            <w:r>
              <w:rPr>
                <w:rFonts w:ascii="Arial" w:cs="Arial" w:eastAsia="Arial" w:hAnsi="Arial"/>
                <w:sz w:val="16"/>
                <w:szCs w:val="16"/>
                <w:color w:val="auto"/>
              </w:rPr>
              <w:t>30,626</w:t>
            </w:r>
          </w:p>
        </w:tc>
        <w:tc>
          <w:tcPr>
            <w:tcW w:w="0" w:type="dxa"/>
            <w:vAlign w:val="bottom"/>
          </w:tcPr>
          <w:p>
            <w:pPr>
              <w:spacing w:after="0"/>
              <w:rPr>
                <w:sz w:val="1"/>
                <w:szCs w:val="1"/>
                <w:color w:val="auto"/>
              </w:rPr>
            </w:pPr>
          </w:p>
        </w:tc>
      </w:tr>
      <w:tr>
        <w:trPr>
          <w:trHeight w:val="28"/>
        </w:trPr>
        <w:tc>
          <w:tcPr>
            <w:tcW w:w="2280" w:type="dxa"/>
            <w:vAlign w:val="bottom"/>
            <w:shd w:val="clear" w:color="auto" w:fill="F2F2F2"/>
          </w:tcPr>
          <w:p>
            <w:pPr>
              <w:spacing w:after="0"/>
              <w:rPr>
                <w:sz w:val="2"/>
                <w:szCs w:val="2"/>
                <w:color w:val="auto"/>
              </w:rPr>
            </w:pPr>
          </w:p>
        </w:tc>
        <w:tc>
          <w:tcPr>
            <w:tcW w:w="1480" w:type="dxa"/>
            <w:vAlign w:val="bottom"/>
            <w:shd w:val="clear" w:color="auto" w:fill="F2F2F2"/>
          </w:tcPr>
          <w:p>
            <w:pPr>
              <w:spacing w:after="0"/>
              <w:rPr>
                <w:sz w:val="2"/>
                <w:szCs w:val="2"/>
                <w:color w:val="auto"/>
              </w:rPr>
            </w:pPr>
          </w:p>
        </w:tc>
        <w:tc>
          <w:tcPr>
            <w:tcW w:w="1480" w:type="dxa"/>
            <w:vAlign w:val="bottom"/>
            <w:shd w:val="clear" w:color="auto" w:fill="F2F2F2"/>
          </w:tcPr>
          <w:p>
            <w:pPr>
              <w:spacing w:after="0"/>
              <w:rPr>
                <w:sz w:val="2"/>
                <w:szCs w:val="2"/>
                <w:color w:val="auto"/>
              </w:rPr>
            </w:pPr>
          </w:p>
        </w:tc>
        <w:tc>
          <w:tcPr>
            <w:tcW w:w="1480" w:type="dxa"/>
            <w:vAlign w:val="bottom"/>
            <w:shd w:val="clear" w:color="auto" w:fill="F2F2F2"/>
          </w:tcPr>
          <w:p>
            <w:pPr>
              <w:spacing w:after="0"/>
              <w:rPr>
                <w:sz w:val="2"/>
                <w:szCs w:val="2"/>
                <w:color w:val="auto"/>
              </w:rPr>
            </w:pPr>
          </w:p>
        </w:tc>
        <w:tc>
          <w:tcPr>
            <w:tcW w:w="440" w:type="dxa"/>
            <w:vAlign w:val="bottom"/>
            <w:shd w:val="clear" w:color="auto" w:fill="F2F2F2"/>
          </w:tcPr>
          <w:p>
            <w:pPr>
              <w:spacing w:after="0"/>
              <w:rPr>
                <w:sz w:val="2"/>
                <w:szCs w:val="2"/>
                <w:color w:val="auto"/>
              </w:rPr>
            </w:pPr>
          </w:p>
        </w:tc>
        <w:tc>
          <w:tcPr>
            <w:tcW w:w="1220" w:type="dxa"/>
            <w:vAlign w:val="bottom"/>
            <w:shd w:val="clear" w:color="auto" w:fill="F2F2F2"/>
          </w:tcPr>
          <w:p>
            <w:pPr>
              <w:spacing w:after="0"/>
              <w:rPr>
                <w:sz w:val="2"/>
                <w:szCs w:val="2"/>
                <w:color w:val="auto"/>
              </w:rPr>
            </w:pPr>
          </w:p>
        </w:tc>
        <w:tc>
          <w:tcPr>
            <w:tcW w:w="1400" w:type="dxa"/>
            <w:vAlign w:val="bottom"/>
            <w:shd w:val="clear" w:color="auto" w:fill="F2F2F2"/>
          </w:tcPr>
          <w:p>
            <w:pPr>
              <w:spacing w:after="0"/>
              <w:rPr>
                <w:sz w:val="2"/>
                <w:szCs w:val="2"/>
                <w:color w:val="auto"/>
              </w:rPr>
            </w:pPr>
          </w:p>
        </w:tc>
        <w:tc>
          <w:tcPr>
            <w:tcW w:w="1460" w:type="dxa"/>
            <w:vAlign w:val="bottom"/>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right="140" w:hanging="332"/>
        <w:spacing w:after="0" w:line="222" w:lineRule="auto"/>
        <w:tabs>
          <w:tab w:leader="none" w:pos="333" w:val="left"/>
        </w:tabs>
        <w:numPr>
          <w:ilvl w:val="0"/>
          <w:numId w:val="84"/>
        </w:numPr>
        <w:rPr>
          <w:rFonts w:ascii="Arial" w:cs="Arial" w:eastAsia="Arial" w:hAnsi="Arial"/>
          <w:sz w:val="19"/>
          <w:szCs w:val="19"/>
          <w:color w:val="auto"/>
          <w:vertAlign w:val="superscript"/>
        </w:rPr>
      </w:pPr>
      <w:r>
        <w:rPr>
          <w:rFonts w:ascii="Arial" w:cs="Arial" w:eastAsia="Arial" w:hAnsi="Arial"/>
          <w:sz w:val="14"/>
          <w:szCs w:val="14"/>
          <w:color w:val="auto"/>
        </w:rPr>
        <w:t>All of our named executive officers are subject to a better-after-tax provision whereby Dropbox would either pay such person (i) the full amount of their severance benefits or, alternatively (ii) an amount of certain severance benefits otherwise payable to them such that the severance benefits will not be subject to the tax imposed by Section 4999 of the Code, whichever produces the better after-tax result for such named executive officer.</w:t>
      </w:r>
    </w:p>
    <w:p>
      <w:pPr>
        <w:ind w:left="340" w:right="100" w:hanging="332"/>
        <w:spacing w:after="0" w:line="221" w:lineRule="auto"/>
        <w:tabs>
          <w:tab w:leader="none" w:pos="333" w:val="left"/>
        </w:tabs>
        <w:numPr>
          <w:ilvl w:val="0"/>
          <w:numId w:val="84"/>
        </w:numPr>
        <w:rPr>
          <w:rFonts w:ascii="Arial" w:cs="Arial" w:eastAsia="Arial" w:hAnsi="Arial"/>
          <w:sz w:val="19"/>
          <w:szCs w:val="19"/>
          <w:color w:val="auto"/>
          <w:vertAlign w:val="superscript"/>
        </w:rPr>
      </w:pPr>
      <w:r>
        <w:rPr>
          <w:rFonts w:ascii="Arial" w:cs="Arial" w:eastAsia="Arial" w:hAnsi="Arial"/>
          <w:sz w:val="14"/>
          <w:szCs w:val="14"/>
          <w:color w:val="auto"/>
        </w:rPr>
        <w:t>Unless otherwise noted, the value is based on a per share price of $29.48, which was the closing price for a share of our Class A common stock as reported on December 29, 2023, the last trading day of the year.</w:t>
      </w:r>
    </w:p>
    <w:p>
      <w:pPr>
        <w:ind w:left="340" w:right="120" w:hanging="332"/>
        <w:spacing w:after="0" w:line="213" w:lineRule="auto"/>
        <w:tabs>
          <w:tab w:leader="none" w:pos="333" w:val="left"/>
        </w:tabs>
        <w:numPr>
          <w:ilvl w:val="0"/>
          <w:numId w:val="84"/>
        </w:numPr>
        <w:rPr>
          <w:rFonts w:ascii="Arial" w:cs="Arial" w:eastAsia="Arial" w:hAnsi="Arial"/>
          <w:sz w:val="19"/>
          <w:szCs w:val="19"/>
          <w:color w:val="auto"/>
          <w:vertAlign w:val="superscript"/>
        </w:rPr>
      </w:pPr>
      <w:r>
        <w:rPr>
          <w:rFonts w:ascii="Arial" w:cs="Arial" w:eastAsia="Arial" w:hAnsi="Arial"/>
          <w:sz w:val="14"/>
          <w:szCs w:val="14"/>
          <w:color w:val="auto"/>
        </w:rPr>
        <w:t>Excludes 8,266,666 shares of Class A common stock underlying RSAs subject to Mr. Houston’s Co-Founder Grant. See “</w:t>
      </w:r>
      <w:r>
        <w:rPr>
          <w:rFonts w:ascii="Arial" w:cs="Arial" w:eastAsia="Arial" w:hAnsi="Arial"/>
          <w:sz w:val="14"/>
          <w:szCs w:val="14"/>
          <w:i w:val="1"/>
          <w:iCs w:val="1"/>
          <w:color w:val="auto"/>
        </w:rPr>
        <w:t>Potential Payments 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Control—Certain Equity Awards</w:t>
      </w:r>
      <w:r>
        <w:rPr>
          <w:rFonts w:ascii="Arial" w:cs="Arial" w:eastAsia="Arial" w:hAnsi="Arial"/>
          <w:sz w:val="14"/>
          <w:szCs w:val="14"/>
          <w:color w:val="auto"/>
        </w:rPr>
        <w:t>” above for additional information regarding the terms of Mr. Houston’s Co-Founder Grant in connection with a change in control.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80" w:hanging="554"/>
        <w:spacing w:after="0"/>
        <w:tabs>
          <w:tab w:leader="none" w:pos="580" w:val="left"/>
        </w:tabs>
        <w:numPr>
          <w:ilvl w:val="0"/>
          <w:numId w:val="8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303" w:lineRule="exact"/>
        <w:rPr>
          <w:sz w:val="20"/>
          <w:szCs w:val="20"/>
          <w:color w:val="auto"/>
        </w:rPr>
      </w:pPr>
    </w:p>
    <w:p>
      <w:pPr>
        <w:spacing w:after="0"/>
        <w:rPr>
          <w:sz w:val="20"/>
          <w:szCs w:val="20"/>
          <w:color w:val="auto"/>
        </w:rPr>
      </w:pPr>
      <w:r>
        <w:rPr>
          <w:rFonts w:ascii="Arial" w:cs="Arial" w:eastAsia="Arial" w:hAnsi="Arial"/>
          <w:sz w:val="26"/>
          <w:szCs w:val="26"/>
          <w:color w:val="0063A6"/>
        </w:rPr>
        <w:t>CEO Pay Ratio</w:t>
      </w:r>
    </w:p>
    <w:p>
      <w:pPr>
        <w:spacing w:after="0" w:line="16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accordance with Item 402 of Regulation S-K under the Securities Act (“</w:t>
      </w:r>
      <w:r>
        <w:rPr>
          <w:rFonts w:ascii="Arial" w:cs="Arial" w:eastAsia="Arial" w:hAnsi="Arial"/>
          <w:sz w:val="16"/>
          <w:szCs w:val="16"/>
          <w:b w:val="1"/>
          <w:bCs w:val="1"/>
          <w:i w:val="1"/>
          <w:iCs w:val="1"/>
          <w:color w:val="auto"/>
        </w:rPr>
        <w:t>Item 402</w:t>
      </w:r>
      <w:r>
        <w:rPr>
          <w:rFonts w:ascii="Arial" w:cs="Arial" w:eastAsia="Arial" w:hAnsi="Arial"/>
          <w:sz w:val="16"/>
          <w:szCs w:val="16"/>
          <w:color w:val="auto"/>
        </w:rPr>
        <w:t>”), below is the ratio of the total compensation of the median employee of the company to the annual total compensation of the CEO (the “</w:t>
      </w:r>
      <w:r>
        <w:rPr>
          <w:rFonts w:ascii="Arial" w:cs="Arial" w:eastAsia="Arial" w:hAnsi="Arial"/>
          <w:sz w:val="16"/>
          <w:szCs w:val="16"/>
          <w:b w:val="1"/>
          <w:bCs w:val="1"/>
          <w:i w:val="1"/>
          <w:iCs w:val="1"/>
          <w:color w:val="auto"/>
        </w:rPr>
        <w:t>Pay Ratio Disclosure</w:t>
      </w:r>
      <w:r>
        <w:rPr>
          <w:rFonts w:ascii="Arial" w:cs="Arial" w:eastAsia="Arial" w:hAnsi="Arial"/>
          <w:sz w:val="16"/>
          <w:szCs w:val="16"/>
          <w:color w:val="auto"/>
        </w:rPr>
        <w:t>”).</w:t>
      </w:r>
    </w:p>
    <w:p>
      <w:pPr>
        <w:spacing w:after="0" w:line="370" w:lineRule="exact"/>
        <w:rPr>
          <w:sz w:val="20"/>
          <w:szCs w:val="20"/>
          <w:color w:val="auto"/>
        </w:rPr>
      </w:pPr>
    </w:p>
    <w:tbl>
      <w:tblPr>
        <w:tblLayout w:type="fixed"/>
        <w:tblInd w:w="580" w:type="dxa"/>
        <w:tblCellMar>
          <w:top w:w="0" w:type="dxa"/>
          <w:left w:w="0" w:type="dxa"/>
          <w:bottom w:w="0" w:type="dxa"/>
          <w:right w:w="0" w:type="dxa"/>
        </w:tblCellMar>
      </w:tblPr>
      <w:tr>
        <w:trPr>
          <w:trHeight w:val="602"/>
        </w:trPr>
        <w:tc>
          <w:tcPr>
            <w:tcW w:w="2580" w:type="dxa"/>
            <w:vAlign w:val="bottom"/>
            <w:shd w:val="clear" w:color="auto" w:fill="3774B3"/>
          </w:tcPr>
          <w:p>
            <w:pPr>
              <w:jc w:val="center"/>
              <w:spacing w:after="0"/>
              <w:rPr>
                <w:sz w:val="20"/>
                <w:szCs w:val="20"/>
                <w:color w:val="auto"/>
              </w:rPr>
            </w:pPr>
            <w:r>
              <w:rPr>
                <w:rFonts w:ascii="Arial" w:cs="Arial" w:eastAsia="Arial" w:hAnsi="Arial"/>
                <w:sz w:val="29"/>
                <w:szCs w:val="29"/>
                <w:color w:val="FFFFFF"/>
                <w:w w:val="99"/>
              </w:rPr>
              <w:t>$1,539,577</w:t>
            </w:r>
          </w:p>
        </w:tc>
        <w:tc>
          <w:tcPr>
            <w:tcW w:w="1160" w:type="dxa"/>
            <w:vAlign w:val="bottom"/>
          </w:tcPr>
          <w:p>
            <w:pPr>
              <w:spacing w:after="0"/>
              <w:rPr>
                <w:sz w:val="24"/>
                <w:szCs w:val="24"/>
                <w:color w:val="auto"/>
              </w:rPr>
            </w:pPr>
          </w:p>
        </w:tc>
        <w:tc>
          <w:tcPr>
            <w:tcW w:w="2600" w:type="dxa"/>
            <w:vAlign w:val="bottom"/>
            <w:shd w:val="clear" w:color="auto" w:fill="3774B3"/>
          </w:tcPr>
          <w:p>
            <w:pPr>
              <w:jc w:val="center"/>
              <w:spacing w:after="0"/>
              <w:rPr>
                <w:sz w:val="20"/>
                <w:szCs w:val="20"/>
                <w:color w:val="auto"/>
              </w:rPr>
            </w:pPr>
            <w:r>
              <w:rPr>
                <w:rFonts w:ascii="Arial" w:cs="Arial" w:eastAsia="Arial" w:hAnsi="Arial"/>
                <w:sz w:val="29"/>
                <w:szCs w:val="29"/>
                <w:color w:val="FFFFFF"/>
                <w:w w:val="99"/>
              </w:rPr>
              <w:t>$279,645</w:t>
            </w:r>
          </w:p>
        </w:tc>
        <w:tc>
          <w:tcPr>
            <w:tcW w:w="1140" w:type="dxa"/>
            <w:vAlign w:val="bottom"/>
          </w:tcPr>
          <w:p>
            <w:pPr>
              <w:spacing w:after="0"/>
              <w:rPr>
                <w:sz w:val="24"/>
                <w:szCs w:val="24"/>
                <w:color w:val="auto"/>
              </w:rPr>
            </w:pPr>
          </w:p>
        </w:tc>
        <w:tc>
          <w:tcPr>
            <w:tcW w:w="2620" w:type="dxa"/>
            <w:vAlign w:val="bottom"/>
            <w:shd w:val="clear" w:color="auto" w:fill="3774B3"/>
          </w:tcPr>
          <w:p>
            <w:pPr>
              <w:jc w:val="right"/>
              <w:ind w:right="1003"/>
              <w:spacing w:after="0"/>
              <w:rPr>
                <w:sz w:val="20"/>
                <w:szCs w:val="20"/>
                <w:color w:val="auto"/>
              </w:rPr>
            </w:pPr>
            <w:r>
              <w:rPr>
                <w:rFonts w:ascii="Arial" w:cs="Arial" w:eastAsia="Arial" w:hAnsi="Arial"/>
                <w:sz w:val="29"/>
                <w:szCs w:val="29"/>
                <w:color w:val="FFFFFF"/>
              </w:rPr>
              <w:t>6:1</w:t>
            </w:r>
          </w:p>
        </w:tc>
        <w:tc>
          <w:tcPr>
            <w:tcW w:w="0" w:type="dxa"/>
            <w:vAlign w:val="bottom"/>
          </w:tcPr>
          <w:p>
            <w:pPr>
              <w:spacing w:after="0"/>
              <w:rPr>
                <w:sz w:val="1"/>
                <w:szCs w:val="1"/>
                <w:color w:val="auto"/>
              </w:rPr>
            </w:pPr>
          </w:p>
        </w:tc>
      </w:tr>
      <w:tr>
        <w:trPr>
          <w:trHeight w:val="181"/>
        </w:trPr>
        <w:tc>
          <w:tcPr>
            <w:tcW w:w="2580" w:type="dxa"/>
            <w:vAlign w:val="bottom"/>
            <w:shd w:val="clear" w:color="auto" w:fill="3774B3"/>
          </w:tcPr>
          <w:p>
            <w:pPr>
              <w:jc w:val="center"/>
              <w:spacing w:after="0" w:line="181" w:lineRule="exact"/>
              <w:rPr>
                <w:sz w:val="20"/>
                <w:szCs w:val="20"/>
                <w:color w:val="auto"/>
              </w:rPr>
            </w:pPr>
            <w:r>
              <w:rPr>
                <w:rFonts w:ascii="Arial" w:cs="Arial" w:eastAsia="Arial" w:hAnsi="Arial"/>
                <w:sz w:val="18"/>
                <w:szCs w:val="18"/>
                <w:color w:val="FFFFFF"/>
                <w:w w:val="97"/>
              </w:rPr>
              <w:t>CEO Total Annual</w:t>
            </w:r>
          </w:p>
        </w:tc>
        <w:tc>
          <w:tcPr>
            <w:tcW w:w="1160" w:type="dxa"/>
            <w:vAlign w:val="bottom"/>
          </w:tcPr>
          <w:p>
            <w:pPr>
              <w:spacing w:after="0"/>
              <w:rPr>
                <w:sz w:val="15"/>
                <w:szCs w:val="15"/>
                <w:color w:val="auto"/>
              </w:rPr>
            </w:pPr>
          </w:p>
        </w:tc>
        <w:tc>
          <w:tcPr>
            <w:tcW w:w="2600" w:type="dxa"/>
            <w:vAlign w:val="bottom"/>
            <w:shd w:val="clear" w:color="auto" w:fill="3774B3"/>
          </w:tcPr>
          <w:p>
            <w:pPr>
              <w:jc w:val="center"/>
              <w:spacing w:after="0" w:line="181" w:lineRule="exact"/>
              <w:rPr>
                <w:sz w:val="20"/>
                <w:szCs w:val="20"/>
                <w:color w:val="auto"/>
              </w:rPr>
            </w:pPr>
            <w:r>
              <w:rPr>
                <w:rFonts w:ascii="Arial" w:cs="Arial" w:eastAsia="Arial" w:hAnsi="Arial"/>
                <w:sz w:val="18"/>
                <w:szCs w:val="18"/>
                <w:color w:val="FFFFFF"/>
                <w:w w:val="98"/>
              </w:rPr>
              <w:t>Median Employee Total</w:t>
            </w:r>
          </w:p>
        </w:tc>
        <w:tc>
          <w:tcPr>
            <w:tcW w:w="1140" w:type="dxa"/>
            <w:vAlign w:val="bottom"/>
          </w:tcPr>
          <w:p>
            <w:pPr>
              <w:spacing w:after="0"/>
              <w:rPr>
                <w:sz w:val="15"/>
                <w:szCs w:val="15"/>
                <w:color w:val="auto"/>
              </w:rPr>
            </w:pPr>
          </w:p>
        </w:tc>
        <w:tc>
          <w:tcPr>
            <w:tcW w:w="2620" w:type="dxa"/>
            <w:vAlign w:val="bottom"/>
            <w:vMerge w:val="restart"/>
            <w:shd w:val="clear" w:color="auto" w:fill="3774B3"/>
          </w:tcPr>
          <w:p>
            <w:pPr>
              <w:jc w:val="center"/>
              <w:spacing w:after="0"/>
              <w:rPr>
                <w:sz w:val="20"/>
                <w:szCs w:val="20"/>
                <w:color w:val="auto"/>
              </w:rPr>
            </w:pPr>
            <w:r>
              <w:rPr>
                <w:rFonts w:ascii="Arial" w:cs="Arial" w:eastAsia="Arial" w:hAnsi="Arial"/>
                <w:sz w:val="18"/>
                <w:szCs w:val="18"/>
                <w:color w:val="FFFFFF"/>
                <w:w w:val="99"/>
              </w:rPr>
              <w:t>CEO Pay Ratio</w:t>
            </w:r>
          </w:p>
        </w:tc>
        <w:tc>
          <w:tcPr>
            <w:tcW w:w="0" w:type="dxa"/>
            <w:vAlign w:val="bottom"/>
          </w:tcPr>
          <w:p>
            <w:pPr>
              <w:spacing w:after="0"/>
              <w:rPr>
                <w:sz w:val="1"/>
                <w:szCs w:val="1"/>
                <w:color w:val="auto"/>
              </w:rPr>
            </w:pPr>
          </w:p>
        </w:tc>
      </w:tr>
      <w:tr>
        <w:trPr>
          <w:trHeight w:val="153"/>
        </w:trPr>
        <w:tc>
          <w:tcPr>
            <w:tcW w:w="2580" w:type="dxa"/>
            <w:vAlign w:val="bottom"/>
            <w:vMerge w:val="restart"/>
            <w:shd w:val="clear" w:color="auto" w:fill="3774B3"/>
          </w:tcPr>
          <w:p>
            <w:pPr>
              <w:jc w:val="center"/>
              <w:spacing w:after="0"/>
              <w:rPr>
                <w:sz w:val="20"/>
                <w:szCs w:val="20"/>
                <w:color w:val="auto"/>
              </w:rPr>
            </w:pPr>
            <w:r>
              <w:rPr>
                <w:rFonts w:ascii="Arial" w:cs="Arial" w:eastAsia="Arial" w:hAnsi="Arial"/>
                <w:sz w:val="18"/>
                <w:szCs w:val="18"/>
                <w:color w:val="FFFFFF"/>
                <w:w w:val="99"/>
              </w:rPr>
              <w:t>Compensation</w:t>
            </w:r>
          </w:p>
        </w:tc>
        <w:tc>
          <w:tcPr>
            <w:tcW w:w="1160" w:type="dxa"/>
            <w:vAlign w:val="bottom"/>
          </w:tcPr>
          <w:p>
            <w:pPr>
              <w:spacing w:after="0"/>
              <w:rPr>
                <w:sz w:val="13"/>
                <w:szCs w:val="13"/>
                <w:color w:val="auto"/>
              </w:rPr>
            </w:pPr>
          </w:p>
        </w:tc>
        <w:tc>
          <w:tcPr>
            <w:tcW w:w="2600" w:type="dxa"/>
            <w:vAlign w:val="bottom"/>
            <w:vMerge w:val="restart"/>
            <w:shd w:val="clear" w:color="auto" w:fill="3774B3"/>
          </w:tcPr>
          <w:p>
            <w:pPr>
              <w:jc w:val="center"/>
              <w:spacing w:after="0"/>
              <w:rPr>
                <w:sz w:val="20"/>
                <w:szCs w:val="20"/>
                <w:color w:val="auto"/>
              </w:rPr>
            </w:pPr>
            <w:r>
              <w:rPr>
                <w:rFonts w:ascii="Arial" w:cs="Arial" w:eastAsia="Arial" w:hAnsi="Arial"/>
                <w:sz w:val="18"/>
                <w:szCs w:val="18"/>
                <w:color w:val="FFFFFF"/>
                <w:w w:val="99"/>
              </w:rPr>
              <w:t>Compensation</w:t>
            </w:r>
          </w:p>
        </w:tc>
        <w:tc>
          <w:tcPr>
            <w:tcW w:w="1140" w:type="dxa"/>
            <w:vAlign w:val="bottom"/>
          </w:tcPr>
          <w:p>
            <w:pPr>
              <w:spacing w:after="0"/>
              <w:rPr>
                <w:sz w:val="13"/>
                <w:szCs w:val="13"/>
                <w:color w:val="auto"/>
              </w:rPr>
            </w:pPr>
          </w:p>
        </w:tc>
        <w:tc>
          <w:tcPr>
            <w:tcW w:w="2620" w:type="dxa"/>
            <w:vAlign w:val="bottom"/>
            <w:vMerge w:val="continue"/>
            <w:shd w:val="clear" w:color="auto" w:fill="3774B3"/>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580" w:type="dxa"/>
            <w:vAlign w:val="bottom"/>
            <w:vMerge w:val="continue"/>
            <w:shd w:val="clear" w:color="auto" w:fill="3774B3"/>
          </w:tcPr>
          <w:p>
            <w:pPr>
              <w:spacing w:after="0"/>
              <w:rPr>
                <w:sz w:val="7"/>
                <w:szCs w:val="7"/>
                <w:color w:val="auto"/>
              </w:rPr>
            </w:pPr>
          </w:p>
        </w:tc>
        <w:tc>
          <w:tcPr>
            <w:tcW w:w="1160" w:type="dxa"/>
            <w:vAlign w:val="bottom"/>
          </w:tcPr>
          <w:p>
            <w:pPr>
              <w:spacing w:after="0"/>
              <w:rPr>
                <w:sz w:val="7"/>
                <w:szCs w:val="7"/>
                <w:color w:val="auto"/>
              </w:rPr>
            </w:pPr>
          </w:p>
        </w:tc>
        <w:tc>
          <w:tcPr>
            <w:tcW w:w="2600" w:type="dxa"/>
            <w:vAlign w:val="bottom"/>
            <w:vMerge w:val="continue"/>
            <w:shd w:val="clear" w:color="auto" w:fill="3774B3"/>
          </w:tcPr>
          <w:p>
            <w:pPr>
              <w:spacing w:after="0"/>
              <w:rPr>
                <w:sz w:val="7"/>
                <w:szCs w:val="7"/>
                <w:color w:val="auto"/>
              </w:rPr>
            </w:pPr>
          </w:p>
        </w:tc>
        <w:tc>
          <w:tcPr>
            <w:tcW w:w="1140" w:type="dxa"/>
            <w:vAlign w:val="bottom"/>
          </w:tcPr>
          <w:p>
            <w:pPr>
              <w:spacing w:after="0"/>
              <w:rPr>
                <w:sz w:val="7"/>
                <w:szCs w:val="7"/>
                <w:color w:val="auto"/>
              </w:rPr>
            </w:pPr>
          </w:p>
        </w:tc>
        <w:tc>
          <w:tcPr>
            <w:tcW w:w="2620" w:type="dxa"/>
            <w:vAlign w:val="bottom"/>
            <w:shd w:val="clear" w:color="auto" w:fill="3774B3"/>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580" w:type="dxa"/>
            <w:vAlign w:val="bottom"/>
            <w:shd w:val="clear" w:color="auto" w:fill="3774B3"/>
          </w:tcPr>
          <w:p>
            <w:pPr>
              <w:spacing w:after="0"/>
              <w:rPr>
                <w:sz w:val="23"/>
                <w:szCs w:val="23"/>
                <w:color w:val="auto"/>
              </w:rPr>
            </w:pPr>
          </w:p>
        </w:tc>
        <w:tc>
          <w:tcPr>
            <w:tcW w:w="1160" w:type="dxa"/>
            <w:vAlign w:val="bottom"/>
          </w:tcPr>
          <w:p>
            <w:pPr>
              <w:spacing w:after="0"/>
              <w:rPr>
                <w:sz w:val="23"/>
                <w:szCs w:val="23"/>
                <w:color w:val="auto"/>
              </w:rPr>
            </w:pPr>
          </w:p>
        </w:tc>
        <w:tc>
          <w:tcPr>
            <w:tcW w:w="2600" w:type="dxa"/>
            <w:vAlign w:val="bottom"/>
            <w:shd w:val="clear" w:color="auto" w:fill="3774B3"/>
          </w:tcPr>
          <w:p>
            <w:pPr>
              <w:spacing w:after="0"/>
              <w:rPr>
                <w:sz w:val="23"/>
                <w:szCs w:val="23"/>
                <w:color w:val="auto"/>
              </w:rPr>
            </w:pPr>
          </w:p>
        </w:tc>
        <w:tc>
          <w:tcPr>
            <w:tcW w:w="1140" w:type="dxa"/>
            <w:vAlign w:val="bottom"/>
          </w:tcPr>
          <w:p>
            <w:pPr>
              <w:spacing w:after="0"/>
              <w:rPr>
                <w:sz w:val="23"/>
                <w:szCs w:val="23"/>
                <w:color w:val="auto"/>
              </w:rPr>
            </w:pPr>
          </w:p>
        </w:tc>
        <w:tc>
          <w:tcPr>
            <w:tcW w:w="2620" w:type="dxa"/>
            <w:vAlign w:val="bottom"/>
            <w:shd w:val="clear" w:color="auto" w:fill="3774B3"/>
          </w:tcPr>
          <w:p>
            <w:pPr>
              <w:spacing w:after="0"/>
              <w:rPr>
                <w:sz w:val="23"/>
                <w:szCs w:val="23"/>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order to identify our median employee, we examined the total compensation in 2023 of all employees globally, including those employed on a full-time, part-time, seasonal or temporary basis by the company as of December 31, 2023, and then such compensation is converted into U.S. dollars. We did not annualize compensation for employees who were not employed for the entire 2023 fiscal year. We chose total compensation to use as our consistently applied compensation measure. Total compensation includes each employee’s base salary, bonuses, sales commissions paid and the grant date fair market value of equity awards granted during the 12-month period from January 1, 2023 through December 31, 2023.</w:t>
      </w:r>
    </w:p>
    <w:p>
      <w:pPr>
        <w:spacing w:after="0" w:line="112"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Our CEO had annual total compensation for 2023, calculated using the requirements of Item 402 for purposes of the Pay Ratio Disclosure, of $1,539,577. The annual total compensation of the median employee of the company for 2023, calculated using the same requirements under Item 402 for purposes of the Pay Ratio Disclosure, which included base pay, incentive compensation, the grant date fair value of equity grants and the company’s matching contribution to that employee’s 401(k) plan, was $279,645. Accordingly, the ratio of the annual total compensation of the CEO to the annual total compensation of the median employee of the company was 6 to 1.</w:t>
      </w:r>
    </w:p>
    <w:p>
      <w:pPr>
        <w:spacing w:after="0" w:line="112"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The Pay Ratio Disclosure presented above is a reasonable estimate calculated in a manner consistent with Item 402. Because the SEC’s final regulations for identifying the median employee, calculating annual total compensation and determining the pay ratio allow companies to use different methodologies, exemptions, estimates and assumptions, the company’s Pay Ratio Disclosure may not be comparable to that reported by other companies.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57</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6"/>
          <w:szCs w:val="26"/>
          <w:color w:val="0063A6"/>
        </w:rPr>
        <w:t>Pay Versus Performance</w:t>
      </w:r>
    </w:p>
    <w:p>
      <w:pPr>
        <w:spacing w:after="0" w:line="16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In accordance with Item 402, below is the comparison of the total compensation actually paid to company performance (the “</w:t>
      </w:r>
      <w:r>
        <w:rPr>
          <w:rFonts w:ascii="Arial" w:cs="Arial" w:eastAsia="Arial" w:hAnsi="Arial"/>
          <w:sz w:val="16"/>
          <w:szCs w:val="16"/>
          <w:b w:val="1"/>
          <w:bCs w:val="1"/>
          <w:i w:val="1"/>
          <w:iCs w:val="1"/>
          <w:color w:val="auto"/>
        </w:rPr>
        <w:t>Pay Versus Performance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Disclosure</w:t>
      </w:r>
      <w:r>
        <w:rPr>
          <w:rFonts w:ascii="Arial" w:cs="Arial" w:eastAsia="Arial" w:hAnsi="Arial"/>
          <w:sz w:val="16"/>
          <w:szCs w:val="16"/>
          <w:color w:val="auto"/>
        </w:rPr>
        <w:t>”). For further information concerning our variable pay-for-performance philosophy and how we align executive compensation with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refer to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560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6019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shd w:val="clear" w:color="auto" w:fill="0063A6"/>
          </w:tcPr>
          <w:p>
            <w:pPr>
              <w:ind w:left="420"/>
              <w:spacing w:after="0"/>
              <w:rPr>
                <w:sz w:val="20"/>
                <w:szCs w:val="20"/>
                <w:color w:val="auto"/>
              </w:rPr>
            </w:pPr>
            <w:r>
              <w:rPr>
                <w:rFonts w:ascii="Arial" w:cs="Arial" w:eastAsia="Arial" w:hAnsi="Arial"/>
                <w:sz w:val="13"/>
                <w:szCs w:val="13"/>
                <w:b w:val="1"/>
                <w:bCs w:val="1"/>
                <w:color w:val="FFFFFF"/>
              </w:rPr>
              <w:t>(a)</w:t>
            </w:r>
          </w:p>
        </w:tc>
        <w:tc>
          <w:tcPr>
            <w:tcW w:w="13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(b)</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(d)</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w:t>
            </w: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w:t>
            </w:r>
          </w:p>
        </w:tc>
        <w:tc>
          <w:tcPr>
            <w:tcW w:w="11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(g)</w:t>
            </w:r>
          </w:p>
        </w:tc>
        <w:tc>
          <w:tcPr>
            <w:tcW w:w="9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(h)</w:t>
            </w:r>
          </w:p>
        </w:tc>
        <w:tc>
          <w:tcPr>
            <w:tcW w:w="9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7"/>
              </w:rPr>
              <w:t>(i)</w:t>
            </w:r>
          </w:p>
        </w:tc>
        <w:tc>
          <w:tcPr>
            <w:tcW w:w="0" w:type="dxa"/>
            <w:vAlign w:val="bottom"/>
          </w:tcPr>
          <w:p>
            <w:pPr>
              <w:spacing w:after="0"/>
              <w:rPr>
                <w:sz w:val="1"/>
                <w:szCs w:val="1"/>
                <w:color w:val="auto"/>
              </w:rPr>
            </w:pPr>
          </w:p>
        </w:tc>
      </w:tr>
      <w:tr>
        <w:trPr>
          <w:trHeight w:val="286"/>
        </w:trPr>
        <w:tc>
          <w:tcPr>
            <w:tcW w:w="1000" w:type="dxa"/>
            <w:vAlign w:val="bottom"/>
            <w:shd w:val="clear" w:color="auto" w:fill="0063A6"/>
          </w:tcPr>
          <w:p>
            <w:pPr>
              <w:spacing w:after="0"/>
              <w:rPr>
                <w:sz w:val="24"/>
                <w:szCs w:val="24"/>
                <w:color w:val="auto"/>
              </w:rPr>
            </w:pPr>
          </w:p>
        </w:tc>
        <w:tc>
          <w:tcPr>
            <w:tcW w:w="1380" w:type="dxa"/>
            <w:vAlign w:val="bottom"/>
            <w:shd w:val="clear" w:color="auto" w:fill="0063A6"/>
          </w:tcPr>
          <w:p>
            <w:pPr>
              <w:spacing w:after="0"/>
              <w:rPr>
                <w:sz w:val="24"/>
                <w:szCs w:val="24"/>
                <w:color w:val="auto"/>
              </w:rPr>
            </w:pPr>
          </w:p>
        </w:tc>
        <w:tc>
          <w:tcPr>
            <w:tcW w:w="1360" w:type="dxa"/>
            <w:vAlign w:val="bottom"/>
            <w:shd w:val="clear" w:color="auto" w:fill="0063A6"/>
          </w:tcPr>
          <w:p>
            <w:pPr>
              <w:spacing w:after="0"/>
              <w:rPr>
                <w:sz w:val="24"/>
                <w:szCs w:val="24"/>
                <w:color w:val="auto"/>
              </w:rPr>
            </w:pPr>
          </w:p>
        </w:tc>
        <w:tc>
          <w:tcPr>
            <w:tcW w:w="1700" w:type="dxa"/>
            <w:vAlign w:val="bottom"/>
            <w:shd w:val="clear" w:color="auto" w:fill="0063A6"/>
          </w:tcPr>
          <w:p>
            <w:pPr>
              <w:spacing w:after="0"/>
              <w:rPr>
                <w:sz w:val="24"/>
                <w:szCs w:val="24"/>
                <w:color w:val="auto"/>
              </w:rPr>
            </w:pPr>
          </w:p>
        </w:tc>
        <w:tc>
          <w:tcPr>
            <w:tcW w:w="1700" w:type="dxa"/>
            <w:vAlign w:val="bottom"/>
            <w:shd w:val="clear" w:color="auto" w:fill="0063A6"/>
          </w:tcPr>
          <w:p>
            <w:pPr>
              <w:spacing w:after="0"/>
              <w:rPr>
                <w:sz w:val="24"/>
                <w:szCs w:val="24"/>
                <w:color w:val="auto"/>
              </w:rPr>
            </w:pPr>
          </w:p>
        </w:tc>
        <w:tc>
          <w:tcPr>
            <w:tcW w:w="2300" w:type="dxa"/>
            <w:vAlign w:val="bottom"/>
            <w:gridSpan w:val="2"/>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of Initial Fixed $100</w:t>
            </w:r>
          </w:p>
        </w:tc>
        <w:tc>
          <w:tcPr>
            <w:tcW w:w="900" w:type="dxa"/>
            <w:vAlign w:val="bottom"/>
            <w:shd w:val="clear" w:color="auto" w:fill="0063A6"/>
          </w:tcPr>
          <w:p>
            <w:pPr>
              <w:spacing w:after="0"/>
              <w:rPr>
                <w:sz w:val="24"/>
                <w:szCs w:val="24"/>
                <w:color w:val="auto"/>
              </w:rPr>
            </w:pPr>
          </w:p>
        </w:tc>
        <w:tc>
          <w:tcPr>
            <w:tcW w:w="90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00" w:type="dxa"/>
            <w:vAlign w:val="bottom"/>
            <w:shd w:val="clear" w:color="auto" w:fill="0063A6"/>
          </w:tcPr>
          <w:p>
            <w:pPr>
              <w:spacing w:after="0"/>
              <w:rPr>
                <w:sz w:val="16"/>
                <w:szCs w:val="16"/>
                <w:color w:val="auto"/>
              </w:rPr>
            </w:pPr>
          </w:p>
        </w:tc>
        <w:tc>
          <w:tcPr>
            <w:tcW w:w="1380" w:type="dxa"/>
            <w:vAlign w:val="bottom"/>
            <w:shd w:val="clear" w:color="auto" w:fill="0063A6"/>
          </w:tcPr>
          <w:p>
            <w:pPr>
              <w:spacing w:after="0"/>
              <w:rPr>
                <w:sz w:val="16"/>
                <w:szCs w:val="16"/>
                <w:color w:val="auto"/>
              </w:rPr>
            </w:pPr>
          </w:p>
        </w:tc>
        <w:tc>
          <w:tcPr>
            <w:tcW w:w="1360" w:type="dxa"/>
            <w:vAlign w:val="bottom"/>
            <w:shd w:val="clear" w:color="auto" w:fill="0063A6"/>
          </w:tcPr>
          <w:p>
            <w:pPr>
              <w:spacing w:after="0"/>
              <w:rPr>
                <w:sz w:val="16"/>
                <w:szCs w:val="16"/>
                <w:color w:val="auto"/>
              </w:rPr>
            </w:pPr>
          </w:p>
        </w:tc>
        <w:tc>
          <w:tcPr>
            <w:tcW w:w="1700" w:type="dxa"/>
            <w:vAlign w:val="bottom"/>
            <w:shd w:val="clear" w:color="auto" w:fill="0063A6"/>
          </w:tcPr>
          <w:p>
            <w:pPr>
              <w:spacing w:after="0"/>
              <w:rPr>
                <w:sz w:val="16"/>
                <w:szCs w:val="16"/>
                <w:color w:val="auto"/>
              </w:rPr>
            </w:pPr>
          </w:p>
        </w:tc>
        <w:tc>
          <w:tcPr>
            <w:tcW w:w="1700" w:type="dxa"/>
            <w:vAlign w:val="bottom"/>
            <w:shd w:val="clear" w:color="auto" w:fill="0063A6"/>
          </w:tcPr>
          <w:p>
            <w:pPr>
              <w:spacing w:after="0"/>
              <w:rPr>
                <w:sz w:val="16"/>
                <w:szCs w:val="16"/>
                <w:color w:val="auto"/>
              </w:rPr>
            </w:pPr>
          </w:p>
        </w:tc>
        <w:tc>
          <w:tcPr>
            <w:tcW w:w="2300" w:type="dxa"/>
            <w:vAlign w:val="bottom"/>
            <w:gridSpan w:val="2"/>
            <w:shd w:val="clear" w:color="auto" w:fill="0063A6"/>
          </w:tcPr>
          <w:p>
            <w:pPr>
              <w:jc w:val="center"/>
              <w:spacing w:after="0"/>
              <w:rPr>
                <w:sz w:val="20"/>
                <w:szCs w:val="20"/>
                <w:color w:val="auto"/>
              </w:rPr>
            </w:pPr>
            <w:r>
              <w:rPr>
                <w:rFonts w:ascii="Arial" w:cs="Arial" w:eastAsia="Arial" w:hAnsi="Arial"/>
                <w:sz w:val="13"/>
                <w:szCs w:val="13"/>
                <w:b w:val="1"/>
                <w:bCs w:val="1"/>
                <w:color w:val="FFFFFF"/>
              </w:rPr>
              <w:t>Investment Based On:</w:t>
            </w:r>
          </w:p>
        </w:tc>
        <w:tc>
          <w:tcPr>
            <w:tcW w:w="900" w:type="dxa"/>
            <w:vAlign w:val="bottom"/>
            <w:shd w:val="clear" w:color="auto" w:fill="0063A6"/>
          </w:tcPr>
          <w:p>
            <w:pPr>
              <w:spacing w:after="0"/>
              <w:rPr>
                <w:sz w:val="16"/>
                <w:szCs w:val="16"/>
                <w:color w:val="auto"/>
              </w:rPr>
            </w:pPr>
          </w:p>
        </w:tc>
        <w:tc>
          <w:tcPr>
            <w:tcW w:w="900" w:type="dxa"/>
            <w:vAlign w:val="bottom"/>
            <w:shd w:val="clear" w:color="auto" w:fill="0063A6"/>
          </w:tcPr>
          <w:p>
            <w:pPr>
              <w:spacing w:after="0"/>
              <w:rPr>
                <w:sz w:val="16"/>
                <w:szCs w:val="16"/>
                <w:color w:val="auto"/>
              </w:rPr>
            </w:pPr>
          </w:p>
        </w:tc>
        <w:tc>
          <w:tcPr>
            <w:tcW w:w="0" w:type="dxa"/>
            <w:vAlign w:val="bottom"/>
          </w:tcPr>
          <w:p>
            <w:pPr>
              <w:spacing w:after="0"/>
              <w:rPr>
                <w:sz w:val="1"/>
                <w:szCs w:val="1"/>
                <w:color w:val="auto"/>
              </w:rPr>
            </w:pPr>
          </w:p>
        </w:tc>
      </w:tr>
      <w:tr>
        <w:trPr>
          <w:trHeight w:val="907"/>
        </w:trPr>
        <w:tc>
          <w:tcPr>
            <w:tcW w:w="1000" w:type="dxa"/>
            <w:vAlign w:val="bottom"/>
            <w:shd w:val="clear" w:color="auto" w:fill="0063A6"/>
          </w:tcPr>
          <w:p>
            <w:pPr>
              <w:spacing w:after="0"/>
              <w:rPr>
                <w:sz w:val="24"/>
                <w:szCs w:val="24"/>
                <w:color w:val="auto"/>
              </w:rPr>
            </w:pPr>
          </w:p>
        </w:tc>
        <w:tc>
          <w:tcPr>
            <w:tcW w:w="13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Summary</w:t>
            </w:r>
          </w:p>
        </w:tc>
        <w:tc>
          <w:tcPr>
            <w:tcW w:w="136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 Summary</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Total</w:t>
            </w:r>
          </w:p>
        </w:tc>
        <w:tc>
          <w:tcPr>
            <w:tcW w:w="11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Peer Group</w:t>
            </w:r>
          </w:p>
        </w:tc>
        <w:tc>
          <w:tcPr>
            <w:tcW w:w="90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Net</w:t>
            </w:r>
          </w:p>
        </w:tc>
        <w:tc>
          <w:tcPr>
            <w:tcW w:w="90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0063A6"/>
          </w:tcPr>
          <w:p>
            <w:pPr>
              <w:spacing w:after="0"/>
              <w:rPr>
                <w:sz w:val="12"/>
                <w:szCs w:val="12"/>
                <w:color w:val="auto"/>
              </w:rPr>
            </w:pPr>
          </w:p>
        </w:tc>
        <w:tc>
          <w:tcPr>
            <w:tcW w:w="13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1360" w:type="dxa"/>
            <w:vAlign w:val="bottom"/>
            <w:vMerge w:val="continue"/>
            <w:shd w:val="clear" w:color="auto" w:fill="0063A6"/>
          </w:tcPr>
          <w:p>
            <w:pPr>
              <w:spacing w:after="0"/>
              <w:rPr>
                <w:sz w:val="12"/>
                <w:szCs w:val="12"/>
                <w:color w:val="auto"/>
              </w:rPr>
            </w:pP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Company</w:t>
            </w:r>
          </w:p>
        </w:tc>
        <w:tc>
          <w:tcPr>
            <w:tcW w:w="11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Total</w:t>
            </w:r>
          </w:p>
        </w:tc>
        <w:tc>
          <w:tcPr>
            <w:tcW w:w="900" w:type="dxa"/>
            <w:vAlign w:val="bottom"/>
            <w:vMerge w:val="continue"/>
            <w:shd w:val="clear" w:color="auto" w:fill="0063A6"/>
          </w:tcPr>
          <w:p>
            <w:pPr>
              <w:spacing w:after="0"/>
              <w:rPr>
                <w:sz w:val="12"/>
                <w:szCs w:val="12"/>
                <w:color w:val="auto"/>
              </w:rPr>
            </w:pPr>
          </w:p>
        </w:tc>
        <w:tc>
          <w:tcPr>
            <w:tcW w:w="90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shd w:val="clear" w:color="auto" w:fill="0063A6"/>
          </w:tcPr>
          <w:p>
            <w:pPr>
              <w:spacing w:after="0"/>
              <w:rPr>
                <w:sz w:val="13"/>
                <w:szCs w:val="13"/>
                <w:color w:val="auto"/>
              </w:rPr>
            </w:pPr>
          </w:p>
        </w:tc>
        <w:tc>
          <w:tcPr>
            <w:tcW w:w="13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Table Total for</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Actually Paid to</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Table Total for</w:t>
            </w:r>
          </w:p>
        </w:tc>
        <w:tc>
          <w:tcPr>
            <w:tcW w:w="17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Actually Paid to</w:t>
            </w:r>
          </w:p>
        </w:tc>
        <w:tc>
          <w:tcPr>
            <w:tcW w:w="11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Shareholder</w:t>
            </w:r>
          </w:p>
        </w:tc>
        <w:tc>
          <w:tcPr>
            <w:tcW w:w="11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Shareholder</w:t>
            </w:r>
          </w:p>
        </w:tc>
        <w:tc>
          <w:tcPr>
            <w:tcW w:w="9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Income</w:t>
            </w:r>
          </w:p>
        </w:tc>
        <w:tc>
          <w:tcPr>
            <w:tcW w:w="9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Revenue</w:t>
            </w:r>
          </w:p>
        </w:tc>
        <w:tc>
          <w:tcPr>
            <w:tcW w:w="0" w:type="dxa"/>
            <w:vAlign w:val="bottom"/>
          </w:tcPr>
          <w:p>
            <w:pPr>
              <w:spacing w:after="0"/>
              <w:rPr>
                <w:sz w:val="1"/>
                <w:szCs w:val="1"/>
                <w:color w:val="auto"/>
              </w:rPr>
            </w:pPr>
          </w:p>
        </w:tc>
      </w:tr>
      <w:tr>
        <w:trPr>
          <w:trHeight w:val="243"/>
        </w:trPr>
        <w:tc>
          <w:tcPr>
            <w:tcW w:w="100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3"/>
                <w:szCs w:val="13"/>
                <w:b w:val="1"/>
                <w:bCs w:val="1"/>
                <w:color w:val="FFFFFF"/>
              </w:rPr>
              <w:t>Year</w:t>
            </w:r>
          </w:p>
        </w:tc>
        <w:tc>
          <w:tcPr>
            <w:tcW w:w="13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5"/>
              </w:rPr>
              <w:t>PEO ($)</w:t>
            </w:r>
            <w:r>
              <w:rPr>
                <w:rFonts w:ascii="Arial" w:cs="Arial" w:eastAsia="Arial" w:hAnsi="Arial"/>
                <w:sz w:val="17"/>
                <w:szCs w:val="17"/>
                <w:b w:val="1"/>
                <w:bCs w:val="1"/>
                <w:color w:val="FFFFFF"/>
                <w:w w:val="95"/>
                <w:vertAlign w:val="superscript"/>
              </w:rPr>
              <w:t>(1)</w:t>
            </w:r>
          </w:p>
        </w:tc>
        <w:tc>
          <w:tcPr>
            <w:tcW w:w="13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5"/>
              </w:rPr>
              <w:t>PEO ($)</w:t>
            </w:r>
            <w:r>
              <w:rPr>
                <w:rFonts w:ascii="Arial" w:cs="Arial" w:eastAsia="Arial" w:hAnsi="Arial"/>
                <w:sz w:val="17"/>
                <w:szCs w:val="17"/>
                <w:b w:val="1"/>
                <w:bCs w:val="1"/>
                <w:color w:val="FFFFFF"/>
                <w:w w:val="95"/>
                <w:vertAlign w:val="superscript"/>
              </w:rPr>
              <w:t>(2)</w:t>
            </w: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Non-PEO NEOs ($)</w:t>
            </w:r>
            <w:r>
              <w:rPr>
                <w:rFonts w:ascii="Arial" w:cs="Arial" w:eastAsia="Arial" w:hAnsi="Arial"/>
                <w:sz w:val="17"/>
                <w:szCs w:val="17"/>
                <w:b w:val="1"/>
                <w:bCs w:val="1"/>
                <w:color w:val="FFFFFF"/>
                <w:vertAlign w:val="superscript"/>
              </w:rPr>
              <w:t>(3)</w:t>
            </w: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Non-PEO NEOs ($)</w:t>
            </w:r>
            <w:r>
              <w:rPr>
                <w:rFonts w:ascii="Arial" w:cs="Arial" w:eastAsia="Arial" w:hAnsi="Arial"/>
                <w:sz w:val="17"/>
                <w:szCs w:val="17"/>
                <w:b w:val="1"/>
                <w:bCs w:val="1"/>
                <w:color w:val="FFFFFF"/>
                <w:vertAlign w:val="superscript"/>
              </w:rPr>
              <w:t>(4)</w:t>
            </w:r>
          </w:p>
        </w:tc>
        <w:tc>
          <w:tcPr>
            <w:tcW w:w="11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8"/>
              </w:rPr>
              <w:t>Return ($)</w:t>
            </w:r>
            <w:r>
              <w:rPr>
                <w:rFonts w:ascii="Arial" w:cs="Arial" w:eastAsia="Arial" w:hAnsi="Arial"/>
                <w:sz w:val="17"/>
                <w:szCs w:val="17"/>
                <w:b w:val="1"/>
                <w:bCs w:val="1"/>
                <w:color w:val="FFFFFF"/>
                <w:w w:val="98"/>
                <w:vertAlign w:val="superscript"/>
              </w:rPr>
              <w:t>(5)</w:t>
            </w:r>
          </w:p>
        </w:tc>
        <w:tc>
          <w:tcPr>
            <w:tcW w:w="11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8"/>
              </w:rPr>
              <w:t>Return ($)</w:t>
            </w:r>
            <w:r>
              <w:rPr>
                <w:rFonts w:ascii="Arial" w:cs="Arial" w:eastAsia="Arial" w:hAnsi="Arial"/>
                <w:sz w:val="17"/>
                <w:szCs w:val="17"/>
                <w:b w:val="1"/>
                <w:bCs w:val="1"/>
                <w:color w:val="FFFFFF"/>
                <w:w w:val="98"/>
                <w:vertAlign w:val="superscript"/>
              </w:rPr>
              <w:t>(6)</w:t>
            </w:r>
          </w:p>
        </w:tc>
        <w:tc>
          <w:tcPr>
            <w:tcW w:w="9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3"/>
              </w:rPr>
              <w:t>($M)</w:t>
            </w:r>
            <w:r>
              <w:rPr>
                <w:rFonts w:ascii="Arial" w:cs="Arial" w:eastAsia="Arial" w:hAnsi="Arial"/>
                <w:sz w:val="17"/>
                <w:szCs w:val="17"/>
                <w:b w:val="1"/>
                <w:bCs w:val="1"/>
                <w:color w:val="FFFFFF"/>
                <w:w w:val="93"/>
                <w:vertAlign w:val="superscript"/>
              </w:rPr>
              <w:t>(7)</w:t>
            </w:r>
          </w:p>
        </w:tc>
        <w:tc>
          <w:tcPr>
            <w:tcW w:w="9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3"/>
              </w:rPr>
              <w:t>($M)</w:t>
            </w:r>
            <w:r>
              <w:rPr>
                <w:rFonts w:ascii="Arial" w:cs="Arial" w:eastAsia="Arial" w:hAnsi="Arial"/>
                <w:sz w:val="17"/>
                <w:szCs w:val="17"/>
                <w:b w:val="1"/>
                <w:bCs w:val="1"/>
                <w:color w:val="FFFFFF"/>
                <w:w w:val="93"/>
                <w:vertAlign w:val="superscript"/>
              </w:rPr>
              <w:t>(8)</w:t>
            </w:r>
          </w:p>
        </w:tc>
        <w:tc>
          <w:tcPr>
            <w:tcW w:w="0" w:type="dxa"/>
            <w:vAlign w:val="bottom"/>
          </w:tcPr>
          <w:p>
            <w:pPr>
              <w:spacing w:after="0"/>
              <w:rPr>
                <w:sz w:val="1"/>
                <w:szCs w:val="1"/>
                <w:color w:val="auto"/>
              </w:rPr>
            </w:pPr>
          </w:p>
        </w:tc>
      </w:tr>
      <w:tr>
        <w:trPr>
          <w:trHeight w:val="237"/>
        </w:trPr>
        <w:tc>
          <w:tcPr>
            <w:tcW w:w="10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2023</w:t>
            </w:r>
          </w:p>
        </w:tc>
        <w:tc>
          <w:tcPr>
            <w:tcW w:w="13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1,539,577</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19,457,888</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8"/>
              </w:rPr>
              <w:t>2,515,311</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1,165,036</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164.60</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221.06</w:t>
            </w:r>
          </w:p>
        </w:tc>
        <w:tc>
          <w:tcPr>
            <w:tcW w:w="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453.6</w:t>
            </w:r>
          </w:p>
        </w:tc>
        <w:tc>
          <w:tcPr>
            <w:tcW w:w="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2,541</w:t>
            </w:r>
          </w:p>
        </w:tc>
        <w:tc>
          <w:tcPr>
            <w:tcW w:w="0" w:type="dxa"/>
            <w:vAlign w:val="bottom"/>
          </w:tcPr>
          <w:p>
            <w:pPr>
              <w:spacing w:after="0"/>
              <w:rPr>
                <w:sz w:val="1"/>
                <w:szCs w:val="1"/>
                <w:color w:val="auto"/>
              </w:rPr>
            </w:pPr>
          </w:p>
        </w:tc>
      </w:tr>
      <w:tr>
        <w:trPr>
          <w:trHeight w:val="215"/>
        </w:trPr>
        <w:tc>
          <w:tcPr>
            <w:tcW w:w="1000" w:type="dxa"/>
            <w:vAlign w:val="bottom"/>
          </w:tcPr>
          <w:p>
            <w:pPr>
              <w:ind w:left="60"/>
              <w:spacing w:after="0"/>
              <w:rPr>
                <w:sz w:val="20"/>
                <w:szCs w:val="20"/>
                <w:color w:val="auto"/>
              </w:rPr>
            </w:pPr>
            <w:r>
              <w:rPr>
                <w:rFonts w:ascii="Arial" w:cs="Arial" w:eastAsia="Arial" w:hAnsi="Arial"/>
                <w:sz w:val="16"/>
                <w:szCs w:val="16"/>
                <w:color w:val="auto"/>
              </w:rPr>
              <w:t>2022</w:t>
            </w:r>
          </w:p>
        </w:tc>
        <w:tc>
          <w:tcPr>
            <w:tcW w:w="1380" w:type="dxa"/>
            <w:vAlign w:val="bottom"/>
          </w:tcPr>
          <w:p>
            <w:pPr>
              <w:jc w:val="center"/>
              <w:spacing w:after="0"/>
              <w:rPr>
                <w:sz w:val="20"/>
                <w:szCs w:val="20"/>
                <w:color w:val="auto"/>
              </w:rPr>
            </w:pPr>
            <w:r>
              <w:rPr>
                <w:rFonts w:ascii="Arial" w:cs="Arial" w:eastAsia="Arial" w:hAnsi="Arial"/>
                <w:sz w:val="16"/>
                <w:szCs w:val="16"/>
                <w:color w:val="auto"/>
              </w:rPr>
              <w:t>1,146,000</w:t>
            </w:r>
          </w:p>
        </w:tc>
        <w:tc>
          <w:tcPr>
            <w:tcW w:w="1360" w:type="dxa"/>
            <w:vAlign w:val="bottom"/>
          </w:tcPr>
          <w:p>
            <w:pPr>
              <w:jc w:val="center"/>
              <w:spacing w:after="0"/>
              <w:rPr>
                <w:sz w:val="20"/>
                <w:szCs w:val="20"/>
                <w:color w:val="auto"/>
              </w:rPr>
            </w:pPr>
            <w:r>
              <w:rPr>
                <w:rFonts w:ascii="Arial" w:cs="Arial" w:eastAsia="Arial" w:hAnsi="Arial"/>
                <w:sz w:val="16"/>
                <w:szCs w:val="16"/>
                <w:color w:val="auto"/>
              </w:rPr>
              <w:t>-22,783,000</w:t>
            </w:r>
          </w:p>
        </w:tc>
        <w:tc>
          <w:tcPr>
            <w:tcW w:w="1700" w:type="dxa"/>
            <w:vAlign w:val="bottom"/>
          </w:tcPr>
          <w:p>
            <w:pPr>
              <w:jc w:val="center"/>
              <w:spacing w:after="0"/>
              <w:rPr>
                <w:sz w:val="20"/>
                <w:szCs w:val="20"/>
                <w:color w:val="auto"/>
              </w:rPr>
            </w:pPr>
            <w:r>
              <w:rPr>
                <w:rFonts w:ascii="Arial" w:cs="Arial" w:eastAsia="Arial" w:hAnsi="Arial"/>
                <w:sz w:val="16"/>
                <w:szCs w:val="16"/>
                <w:color w:val="auto"/>
              </w:rPr>
              <w:t>3,473,372</w:t>
            </w:r>
          </w:p>
        </w:tc>
        <w:tc>
          <w:tcPr>
            <w:tcW w:w="1700" w:type="dxa"/>
            <w:vAlign w:val="bottom"/>
          </w:tcPr>
          <w:p>
            <w:pPr>
              <w:jc w:val="center"/>
              <w:spacing w:after="0"/>
              <w:rPr>
                <w:sz w:val="20"/>
                <w:szCs w:val="20"/>
                <w:color w:val="auto"/>
              </w:rPr>
            </w:pPr>
            <w:r>
              <w:rPr>
                <w:rFonts w:ascii="Arial" w:cs="Arial" w:eastAsia="Arial" w:hAnsi="Arial"/>
                <w:sz w:val="16"/>
                <w:szCs w:val="16"/>
                <w:color w:val="auto"/>
              </w:rPr>
              <w:t>528,487</w:t>
            </w:r>
          </w:p>
        </w:tc>
        <w:tc>
          <w:tcPr>
            <w:tcW w:w="1140" w:type="dxa"/>
            <w:vAlign w:val="bottom"/>
          </w:tcPr>
          <w:p>
            <w:pPr>
              <w:jc w:val="center"/>
              <w:spacing w:after="0"/>
              <w:rPr>
                <w:sz w:val="20"/>
                <w:szCs w:val="20"/>
                <w:color w:val="auto"/>
              </w:rPr>
            </w:pPr>
            <w:r>
              <w:rPr>
                <w:rFonts w:ascii="Arial" w:cs="Arial" w:eastAsia="Arial" w:hAnsi="Arial"/>
                <w:sz w:val="16"/>
                <w:szCs w:val="16"/>
                <w:color w:val="auto"/>
              </w:rPr>
              <w:t>124.96</w:t>
            </w:r>
          </w:p>
        </w:tc>
        <w:tc>
          <w:tcPr>
            <w:tcW w:w="1160" w:type="dxa"/>
            <w:vAlign w:val="bottom"/>
          </w:tcPr>
          <w:p>
            <w:pPr>
              <w:jc w:val="center"/>
              <w:spacing w:after="0"/>
              <w:rPr>
                <w:sz w:val="20"/>
                <w:szCs w:val="20"/>
                <w:color w:val="auto"/>
              </w:rPr>
            </w:pPr>
            <w:r>
              <w:rPr>
                <w:rFonts w:ascii="Arial" w:cs="Arial" w:eastAsia="Arial" w:hAnsi="Arial"/>
                <w:sz w:val="16"/>
                <w:szCs w:val="16"/>
                <w:color w:val="auto"/>
              </w:rPr>
              <w:t>132.79</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553.2</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2,357</w:t>
            </w:r>
          </w:p>
        </w:tc>
        <w:tc>
          <w:tcPr>
            <w:tcW w:w="0" w:type="dxa"/>
            <w:vAlign w:val="bottom"/>
          </w:tcPr>
          <w:p>
            <w:pPr>
              <w:spacing w:after="0"/>
              <w:rPr>
                <w:sz w:val="1"/>
                <w:szCs w:val="1"/>
                <w:color w:val="auto"/>
              </w:rPr>
            </w:pPr>
          </w:p>
        </w:tc>
      </w:tr>
      <w:tr>
        <w:trPr>
          <w:trHeight w:val="28"/>
        </w:trPr>
        <w:tc>
          <w:tcPr>
            <w:tcW w:w="1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2021</w:t>
            </w:r>
          </w:p>
        </w:tc>
        <w:tc>
          <w:tcPr>
            <w:tcW w:w="13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1,515,269</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25,163,611</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2,832,378</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1,261,953</w:t>
            </w:r>
          </w:p>
        </w:tc>
        <w:tc>
          <w:tcPr>
            <w:tcW w:w="114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137.02</w:t>
            </w:r>
          </w:p>
        </w:tc>
        <w:tc>
          <w:tcPr>
            <w:tcW w:w="11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206.76</w:t>
            </w:r>
          </w:p>
        </w:tc>
        <w:tc>
          <w:tcPr>
            <w:tcW w:w="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335.8</w:t>
            </w:r>
          </w:p>
        </w:tc>
        <w:tc>
          <w:tcPr>
            <w:tcW w:w="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2,149</w:t>
            </w:r>
          </w:p>
        </w:tc>
        <w:tc>
          <w:tcPr>
            <w:tcW w:w="0" w:type="dxa"/>
            <w:vAlign w:val="bottom"/>
          </w:tcPr>
          <w:p>
            <w:pPr>
              <w:spacing w:after="0"/>
              <w:rPr>
                <w:sz w:val="1"/>
                <w:szCs w:val="1"/>
                <w:color w:val="auto"/>
              </w:rPr>
            </w:pPr>
          </w:p>
        </w:tc>
      </w:tr>
      <w:tr>
        <w:trPr>
          <w:trHeight w:val="215"/>
        </w:trPr>
        <w:tc>
          <w:tcPr>
            <w:tcW w:w="1000" w:type="dxa"/>
            <w:vAlign w:val="bottom"/>
          </w:tcPr>
          <w:p>
            <w:pPr>
              <w:ind w:left="60"/>
              <w:spacing w:after="0"/>
              <w:rPr>
                <w:sz w:val="20"/>
                <w:szCs w:val="20"/>
                <w:color w:val="auto"/>
              </w:rPr>
            </w:pPr>
            <w:r>
              <w:rPr>
                <w:rFonts w:ascii="Arial" w:cs="Arial" w:eastAsia="Arial" w:hAnsi="Arial"/>
                <w:sz w:val="16"/>
                <w:szCs w:val="16"/>
                <w:color w:val="auto"/>
              </w:rPr>
              <w:t>2020</w:t>
            </w:r>
          </w:p>
        </w:tc>
        <w:tc>
          <w:tcPr>
            <w:tcW w:w="1380" w:type="dxa"/>
            <w:vAlign w:val="bottom"/>
          </w:tcPr>
          <w:p>
            <w:pPr>
              <w:jc w:val="center"/>
              <w:spacing w:after="0"/>
              <w:rPr>
                <w:sz w:val="20"/>
                <w:szCs w:val="20"/>
                <w:color w:val="auto"/>
              </w:rPr>
            </w:pPr>
            <w:r>
              <w:rPr>
                <w:rFonts w:ascii="Arial" w:cs="Arial" w:eastAsia="Arial" w:hAnsi="Arial"/>
                <w:sz w:val="16"/>
                <w:szCs w:val="16"/>
                <w:color w:val="auto"/>
              </w:rPr>
              <w:t>1,268,889</w:t>
            </w:r>
          </w:p>
        </w:tc>
        <w:tc>
          <w:tcPr>
            <w:tcW w:w="1360" w:type="dxa"/>
            <w:vAlign w:val="bottom"/>
          </w:tcPr>
          <w:p>
            <w:pPr>
              <w:jc w:val="center"/>
              <w:spacing w:after="0"/>
              <w:rPr>
                <w:sz w:val="20"/>
                <w:szCs w:val="20"/>
                <w:color w:val="auto"/>
              </w:rPr>
            </w:pPr>
            <w:r>
              <w:rPr>
                <w:rFonts w:ascii="Arial" w:cs="Arial" w:eastAsia="Arial" w:hAnsi="Arial"/>
                <w:sz w:val="16"/>
                <w:szCs w:val="16"/>
                <w:color w:val="auto"/>
              </w:rPr>
              <w:t>39,123,889</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10,219,177</w:t>
            </w:r>
          </w:p>
        </w:tc>
        <w:tc>
          <w:tcPr>
            <w:tcW w:w="1700" w:type="dxa"/>
            <w:vAlign w:val="bottom"/>
          </w:tcPr>
          <w:p>
            <w:pPr>
              <w:jc w:val="center"/>
              <w:spacing w:after="0"/>
              <w:rPr>
                <w:sz w:val="20"/>
                <w:szCs w:val="20"/>
                <w:color w:val="auto"/>
              </w:rPr>
            </w:pPr>
            <w:r>
              <w:rPr>
                <w:rFonts w:ascii="Arial" w:cs="Arial" w:eastAsia="Arial" w:hAnsi="Arial"/>
                <w:sz w:val="16"/>
                <w:szCs w:val="16"/>
                <w:color w:val="auto"/>
              </w:rPr>
              <w:t>10,392,482</w:t>
            </w:r>
          </w:p>
        </w:tc>
        <w:tc>
          <w:tcPr>
            <w:tcW w:w="1140" w:type="dxa"/>
            <w:vAlign w:val="bottom"/>
          </w:tcPr>
          <w:p>
            <w:pPr>
              <w:jc w:val="center"/>
              <w:spacing w:after="0"/>
              <w:rPr>
                <w:sz w:val="20"/>
                <w:szCs w:val="20"/>
                <w:color w:val="auto"/>
              </w:rPr>
            </w:pPr>
            <w:r>
              <w:rPr>
                <w:rFonts w:ascii="Arial" w:cs="Arial" w:eastAsia="Arial" w:hAnsi="Arial"/>
                <w:sz w:val="16"/>
                <w:szCs w:val="16"/>
                <w:color w:val="auto"/>
              </w:rPr>
              <w:t>123.90</w:t>
            </w:r>
          </w:p>
        </w:tc>
        <w:tc>
          <w:tcPr>
            <w:tcW w:w="1160" w:type="dxa"/>
            <w:vAlign w:val="bottom"/>
          </w:tcPr>
          <w:p>
            <w:pPr>
              <w:jc w:val="center"/>
              <w:spacing w:after="0"/>
              <w:rPr>
                <w:sz w:val="20"/>
                <w:szCs w:val="20"/>
                <w:color w:val="auto"/>
              </w:rPr>
            </w:pPr>
            <w:r>
              <w:rPr>
                <w:rFonts w:ascii="Arial" w:cs="Arial" w:eastAsia="Arial" w:hAnsi="Arial"/>
                <w:sz w:val="16"/>
                <w:szCs w:val="16"/>
                <w:color w:val="auto"/>
              </w:rPr>
              <w:t>149.98</w:t>
            </w:r>
          </w:p>
        </w:tc>
        <w:tc>
          <w:tcPr>
            <w:tcW w:w="900" w:type="dxa"/>
            <w:vAlign w:val="bottom"/>
          </w:tcPr>
          <w:p>
            <w:pPr>
              <w:jc w:val="center"/>
              <w:spacing w:after="0"/>
              <w:rPr>
                <w:sz w:val="20"/>
                <w:szCs w:val="20"/>
                <w:color w:val="auto"/>
              </w:rPr>
            </w:pPr>
            <w:r>
              <w:rPr>
                <w:rFonts w:ascii="Arial" w:cs="Arial" w:eastAsia="Arial" w:hAnsi="Arial"/>
                <w:sz w:val="16"/>
                <w:szCs w:val="16"/>
                <w:color w:val="auto"/>
              </w:rPr>
              <w:t>-256.3</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1,915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6554470</wp:posOffset>
            </wp:positionH>
            <wp:positionV relativeFrom="paragraph">
              <wp:posOffset>-290195</wp:posOffset>
            </wp:positionV>
            <wp:extent cx="17145"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-290195</wp:posOffset>
            </wp:positionV>
            <wp:extent cx="17145"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-290195</wp:posOffset>
            </wp:positionV>
            <wp:extent cx="17145"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-290195</wp:posOffset>
            </wp:positionV>
            <wp:extent cx="17145"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-290195</wp:posOffset>
            </wp:positionV>
            <wp:extent cx="17145" cy="1543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-290195</wp:posOffset>
            </wp:positionV>
            <wp:extent cx="17145"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-290195</wp:posOffset>
            </wp:positionV>
            <wp:extent cx="17145"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-290195</wp:posOffset>
            </wp:positionV>
            <wp:extent cx="17145"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94" w:lineRule="exact"/>
        <w:rPr>
          <w:sz w:val="20"/>
          <w:szCs w:val="20"/>
          <w:color w:val="auto"/>
        </w:rPr>
      </w:pPr>
    </w:p>
    <w:p>
      <w:pPr>
        <w:ind w:left="340" w:right="60" w:hanging="332"/>
        <w:spacing w:after="0" w:line="222" w:lineRule="auto"/>
        <w:tabs>
          <w:tab w:leader="none" w:pos="234"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The dollar amounts reported in column (b) are the amounts of total compensation reported for Mr. Houston, our Chief Executive Officer (“</w:t>
      </w:r>
      <w:r>
        <w:rPr>
          <w:rFonts w:ascii="Arial" w:cs="Arial" w:eastAsia="Arial" w:hAnsi="Arial"/>
          <w:sz w:val="14"/>
          <w:szCs w:val="14"/>
          <w:b w:val="1"/>
          <w:bCs w:val="1"/>
          <w:i w:val="1"/>
          <w:iCs w:val="1"/>
          <w:color w:val="auto"/>
        </w:rPr>
        <w:t>PEO</w:t>
      </w:r>
      <w:r>
        <w:rPr>
          <w:rFonts w:ascii="Arial" w:cs="Arial" w:eastAsia="Arial" w:hAnsi="Arial"/>
          <w:sz w:val="14"/>
          <w:szCs w:val="14"/>
          <w:color w:val="auto"/>
        </w:rPr>
        <w:t>”), for each corresponding year in the “Total” column of the applicable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Refer to “</w:t>
      </w:r>
      <w:r>
        <w:rPr>
          <w:rFonts w:ascii="Arial" w:cs="Arial" w:eastAsia="Arial" w:hAnsi="Arial"/>
          <w:sz w:val="14"/>
          <w:szCs w:val="14"/>
          <w:i w:val="1"/>
          <w:iCs w:val="1"/>
          <w:color w:val="auto"/>
        </w:rPr>
        <w:t>Executive Compensation – Summary Compensation Table</w:t>
      </w:r>
      <w:r>
        <w:rPr>
          <w:rFonts w:ascii="Arial" w:cs="Arial" w:eastAsia="Arial" w:hAnsi="Arial"/>
          <w:sz w:val="14"/>
          <w:szCs w:val="14"/>
          <w:color w:val="auto"/>
        </w:rPr>
        <w:t>.”</w:t>
      </w:r>
    </w:p>
    <w:p>
      <w:pPr>
        <w:ind w:left="340" w:right="140" w:hanging="332"/>
        <w:spacing w:after="0"/>
        <w:tabs>
          <w:tab w:leader="none" w:pos="234"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The dollar amounts reported in column (c) represent the amount of “compensation actually paid” to Mr. Houston, as computed in accordance with Item 402(v) of Regulation S-K. The dollar amounts do not reflect the actual amount of compensation earned by or paid to Mr. Houston during the applicable year. In accordance with the requirements of Item 402(v) of Regulation S-K, the following adjustments were made to Mr. Houston’s total compensation for each year to determine the compensation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133985</wp:posOffset>
            </wp:positionV>
            <wp:extent cx="6669405" cy="643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669405" cy="643255"/>
                    </a:xfrm>
                    <a:prstGeom prst="rect">
                      <a:avLst/>
                    </a:prstGeom>
                    <a:noFill/>
                  </pic:spPr>
                </pic:pic>
              </a:graphicData>
            </a:graphic>
          </wp:anchor>
        </w:drawing>
      </w:r>
    </w:p>
    <w:p>
      <w:pPr>
        <w:spacing w:after="0" w:line="191"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2560" w:type="dxa"/>
            <w:vAlign w:val="bottom"/>
            <w:shd w:val="clear" w:color="auto" w:fill="0063A6"/>
          </w:tcPr>
          <w:p>
            <w:pPr>
              <w:spacing w:after="0"/>
              <w:rPr>
                <w:sz w:val="19"/>
                <w:szCs w:val="19"/>
                <w:color w:val="auto"/>
              </w:rPr>
            </w:pPr>
          </w:p>
        </w:tc>
        <w:tc>
          <w:tcPr>
            <w:tcW w:w="19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Reported</w:t>
            </w:r>
          </w:p>
        </w:tc>
        <w:tc>
          <w:tcPr>
            <w:tcW w:w="19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Reported</w:t>
            </w:r>
          </w:p>
        </w:tc>
        <w:tc>
          <w:tcPr>
            <w:tcW w:w="2080" w:type="dxa"/>
            <w:vAlign w:val="bottom"/>
            <w:shd w:val="clear" w:color="auto" w:fill="0063A6"/>
          </w:tcPr>
          <w:p>
            <w:pPr>
              <w:spacing w:after="0"/>
              <w:rPr>
                <w:sz w:val="19"/>
                <w:szCs w:val="19"/>
                <w:color w:val="auto"/>
              </w:rPr>
            </w:pPr>
          </w:p>
        </w:tc>
        <w:tc>
          <w:tcPr>
            <w:tcW w:w="19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0" w:type="dxa"/>
            <w:vAlign w:val="bottom"/>
          </w:tcPr>
          <w:p>
            <w:pPr>
              <w:spacing w:after="0"/>
              <w:rPr>
                <w:sz w:val="1"/>
                <w:szCs w:val="1"/>
                <w:color w:val="auto"/>
              </w:rPr>
            </w:pPr>
          </w:p>
        </w:tc>
      </w:tr>
      <w:tr>
        <w:trPr>
          <w:trHeight w:val="148"/>
        </w:trPr>
        <w:tc>
          <w:tcPr>
            <w:tcW w:w="2560" w:type="dxa"/>
            <w:vAlign w:val="bottom"/>
            <w:shd w:val="clear" w:color="auto" w:fill="0063A6"/>
          </w:tcPr>
          <w:p>
            <w:pPr>
              <w:spacing w:after="0"/>
              <w:rPr>
                <w:sz w:val="12"/>
                <w:szCs w:val="12"/>
                <w:color w:val="auto"/>
              </w:rPr>
            </w:pPr>
          </w:p>
        </w:tc>
        <w:tc>
          <w:tcPr>
            <w:tcW w:w="19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Summary</w:t>
            </w:r>
          </w:p>
        </w:tc>
        <w:tc>
          <w:tcPr>
            <w:tcW w:w="1940" w:type="dxa"/>
            <w:vAlign w:val="bottom"/>
            <w:vMerge w:val="continue"/>
            <w:shd w:val="clear" w:color="auto" w:fill="0063A6"/>
          </w:tcPr>
          <w:p>
            <w:pPr>
              <w:spacing w:after="0"/>
              <w:rPr>
                <w:sz w:val="12"/>
                <w:szCs w:val="12"/>
                <w:color w:val="auto"/>
              </w:rPr>
            </w:pPr>
          </w:p>
        </w:tc>
        <w:tc>
          <w:tcPr>
            <w:tcW w:w="20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Equity Award</w:t>
            </w:r>
          </w:p>
        </w:tc>
        <w:tc>
          <w:tcPr>
            <w:tcW w:w="1940" w:type="dxa"/>
            <w:vAlign w:val="bottom"/>
            <w:vMerge w:val="continue"/>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0063A6"/>
          </w:tcPr>
          <w:p>
            <w:pPr>
              <w:spacing w:after="0"/>
              <w:rPr>
                <w:sz w:val="12"/>
                <w:szCs w:val="12"/>
                <w:color w:val="auto"/>
              </w:rPr>
            </w:pPr>
          </w:p>
        </w:tc>
        <w:tc>
          <w:tcPr>
            <w:tcW w:w="19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w:t>
            </w:r>
          </w:p>
        </w:tc>
        <w:tc>
          <w:tcPr>
            <w:tcW w:w="19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of Equity</w:t>
            </w:r>
          </w:p>
        </w:tc>
        <w:tc>
          <w:tcPr>
            <w:tcW w:w="2080" w:type="dxa"/>
            <w:vAlign w:val="bottom"/>
            <w:vMerge w:val="continue"/>
            <w:shd w:val="clear" w:color="auto" w:fill="0063A6"/>
          </w:tcPr>
          <w:p>
            <w:pPr>
              <w:spacing w:after="0"/>
              <w:rPr>
                <w:sz w:val="12"/>
                <w:szCs w:val="12"/>
                <w:color w:val="auto"/>
              </w:rPr>
            </w:pPr>
          </w:p>
        </w:tc>
        <w:tc>
          <w:tcPr>
            <w:tcW w:w="1940" w:type="dxa"/>
            <w:vAlign w:val="bottom"/>
            <w:shd w:val="clear" w:color="auto" w:fill="0063A6"/>
          </w:tcPr>
          <w:p>
            <w:pPr>
              <w:jc w:val="center"/>
              <w:ind w:right="10"/>
              <w:spacing w:after="0"/>
              <w:rPr>
                <w:sz w:val="20"/>
                <w:szCs w:val="20"/>
                <w:color w:val="auto"/>
              </w:rPr>
            </w:pPr>
            <w:r>
              <w:rPr>
                <w:rFonts w:ascii="Arial" w:cs="Arial" w:eastAsia="Arial" w:hAnsi="Arial"/>
                <w:sz w:val="13"/>
                <w:szCs w:val="13"/>
                <w:b w:val="1"/>
                <w:bCs w:val="1"/>
                <w:color w:val="FFFFFF"/>
              </w:rPr>
              <w:t>Actually</w:t>
            </w:r>
          </w:p>
        </w:tc>
        <w:tc>
          <w:tcPr>
            <w:tcW w:w="0" w:type="dxa"/>
            <w:vAlign w:val="bottom"/>
          </w:tcPr>
          <w:p>
            <w:pPr>
              <w:spacing w:after="0"/>
              <w:rPr>
                <w:sz w:val="1"/>
                <w:szCs w:val="1"/>
                <w:color w:val="auto"/>
              </w:rPr>
            </w:pPr>
          </w:p>
        </w:tc>
      </w:tr>
      <w:tr>
        <w:trPr>
          <w:trHeight w:val="238"/>
        </w:trPr>
        <w:tc>
          <w:tcPr>
            <w:tcW w:w="256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3"/>
                <w:szCs w:val="13"/>
                <w:b w:val="1"/>
                <w:bCs w:val="1"/>
                <w:color w:val="FFFFFF"/>
              </w:rPr>
              <w:t>Year</w:t>
            </w:r>
          </w:p>
        </w:tc>
        <w:tc>
          <w:tcPr>
            <w:tcW w:w="19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Table Total for PEO ($)</w:t>
            </w:r>
          </w:p>
        </w:tc>
        <w:tc>
          <w:tcPr>
            <w:tcW w:w="19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9"/>
              </w:rPr>
              <w:t>Awards ($)</w:t>
            </w:r>
            <w:r>
              <w:rPr>
                <w:rFonts w:ascii="Arial" w:cs="Arial" w:eastAsia="Arial" w:hAnsi="Arial"/>
                <w:sz w:val="17"/>
                <w:szCs w:val="17"/>
                <w:b w:val="1"/>
                <w:bCs w:val="1"/>
                <w:color w:val="FFFFFF"/>
                <w:w w:val="99"/>
                <w:vertAlign w:val="superscript"/>
              </w:rPr>
              <w:t>(a)</w:t>
            </w:r>
          </w:p>
        </w:tc>
        <w:tc>
          <w:tcPr>
            <w:tcW w:w="20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9"/>
              </w:rPr>
              <w:t>Adjustments ($)</w:t>
            </w:r>
            <w:r>
              <w:rPr>
                <w:rFonts w:ascii="Arial" w:cs="Arial" w:eastAsia="Arial" w:hAnsi="Arial"/>
                <w:sz w:val="17"/>
                <w:szCs w:val="17"/>
                <w:b w:val="1"/>
                <w:bCs w:val="1"/>
                <w:color w:val="FFFFFF"/>
                <w:w w:val="99"/>
                <w:vertAlign w:val="superscript"/>
              </w:rPr>
              <w:t>(b)</w:t>
            </w:r>
          </w:p>
        </w:tc>
        <w:tc>
          <w:tcPr>
            <w:tcW w:w="19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Paid to PEO ($)</w:t>
            </w:r>
          </w:p>
        </w:tc>
        <w:tc>
          <w:tcPr>
            <w:tcW w:w="0" w:type="dxa"/>
            <w:vAlign w:val="bottom"/>
          </w:tcPr>
          <w:p>
            <w:pPr>
              <w:spacing w:after="0"/>
              <w:rPr>
                <w:sz w:val="1"/>
                <w:szCs w:val="1"/>
                <w:color w:val="auto"/>
              </w:rPr>
            </w:pPr>
          </w:p>
        </w:tc>
      </w:tr>
      <w:tr>
        <w:trPr>
          <w:trHeight w:val="230"/>
        </w:trPr>
        <w:tc>
          <w:tcPr>
            <w:tcW w:w="2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19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1,539,577</w:t>
            </w:r>
          </w:p>
        </w:tc>
        <w:tc>
          <w:tcPr>
            <w:tcW w:w="19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20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17,918,311</w:t>
            </w:r>
          </w:p>
        </w:tc>
        <w:tc>
          <w:tcPr>
            <w:tcW w:w="19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19,457,888</w:t>
            </w:r>
          </w:p>
        </w:tc>
        <w:tc>
          <w:tcPr>
            <w:tcW w:w="0" w:type="dxa"/>
            <w:vAlign w:val="bottom"/>
          </w:tcPr>
          <w:p>
            <w:pPr>
              <w:spacing w:after="0"/>
              <w:rPr>
                <w:sz w:val="1"/>
                <w:szCs w:val="1"/>
                <w:color w:val="auto"/>
              </w:rPr>
            </w:pPr>
          </w:p>
        </w:tc>
      </w:tr>
      <w:tr>
        <w:trPr>
          <w:trHeight w:val="212"/>
        </w:trPr>
        <w:tc>
          <w:tcPr>
            <w:tcW w:w="2560" w:type="dxa"/>
            <w:vAlign w:val="bottom"/>
          </w:tcPr>
          <w:p>
            <w:pPr>
              <w:ind w:left="60"/>
              <w:spacing w:after="0"/>
              <w:rPr>
                <w:sz w:val="20"/>
                <w:szCs w:val="20"/>
                <w:color w:val="auto"/>
              </w:rPr>
            </w:pPr>
            <w:r>
              <w:rPr>
                <w:rFonts w:ascii="Arial" w:cs="Arial" w:eastAsia="Arial" w:hAnsi="Arial"/>
                <w:sz w:val="14"/>
                <w:szCs w:val="14"/>
                <w:color w:val="auto"/>
              </w:rPr>
              <w:t>2022</w:t>
            </w:r>
          </w:p>
        </w:tc>
        <w:tc>
          <w:tcPr>
            <w:tcW w:w="1980" w:type="dxa"/>
            <w:vAlign w:val="bottom"/>
          </w:tcPr>
          <w:p>
            <w:pPr>
              <w:jc w:val="center"/>
              <w:spacing w:after="0"/>
              <w:rPr>
                <w:sz w:val="20"/>
                <w:szCs w:val="20"/>
                <w:color w:val="auto"/>
              </w:rPr>
            </w:pPr>
            <w:r>
              <w:rPr>
                <w:rFonts w:ascii="Arial" w:cs="Arial" w:eastAsia="Arial" w:hAnsi="Arial"/>
                <w:sz w:val="14"/>
                <w:szCs w:val="14"/>
                <w:color w:val="auto"/>
              </w:rPr>
              <w:t>1,146,000</w:t>
            </w:r>
          </w:p>
        </w:tc>
        <w:tc>
          <w:tcPr>
            <w:tcW w:w="1940" w:type="dxa"/>
            <w:vAlign w:val="bottom"/>
          </w:tcPr>
          <w:p>
            <w:pPr>
              <w:jc w:val="center"/>
              <w:spacing w:after="0"/>
              <w:rPr>
                <w:sz w:val="20"/>
                <w:szCs w:val="20"/>
                <w:color w:val="auto"/>
              </w:rPr>
            </w:pPr>
            <w:r>
              <w:rPr>
                <w:rFonts w:ascii="Arial" w:cs="Arial" w:eastAsia="Arial" w:hAnsi="Arial"/>
                <w:sz w:val="14"/>
                <w:szCs w:val="14"/>
                <w:color w:val="auto"/>
              </w:rPr>
              <w:t>0</w:t>
            </w:r>
          </w:p>
        </w:tc>
        <w:tc>
          <w:tcPr>
            <w:tcW w:w="2080" w:type="dxa"/>
            <w:vAlign w:val="bottom"/>
          </w:tcPr>
          <w:p>
            <w:pPr>
              <w:jc w:val="center"/>
              <w:spacing w:after="0"/>
              <w:rPr>
                <w:sz w:val="20"/>
                <w:szCs w:val="20"/>
                <w:color w:val="auto"/>
              </w:rPr>
            </w:pPr>
            <w:r>
              <w:rPr>
                <w:rFonts w:ascii="Arial" w:cs="Arial" w:eastAsia="Arial" w:hAnsi="Arial"/>
                <w:sz w:val="14"/>
                <w:szCs w:val="14"/>
                <w:color w:val="auto"/>
              </w:rPr>
              <w:t>-23,929,000</w:t>
            </w:r>
          </w:p>
        </w:tc>
        <w:tc>
          <w:tcPr>
            <w:tcW w:w="1940" w:type="dxa"/>
            <w:vAlign w:val="bottom"/>
          </w:tcPr>
          <w:p>
            <w:pPr>
              <w:jc w:val="center"/>
              <w:spacing w:after="0"/>
              <w:rPr>
                <w:sz w:val="20"/>
                <w:szCs w:val="20"/>
                <w:color w:val="auto"/>
              </w:rPr>
            </w:pPr>
            <w:r>
              <w:rPr>
                <w:rFonts w:ascii="Arial" w:cs="Arial" w:eastAsia="Arial" w:hAnsi="Arial"/>
                <w:sz w:val="14"/>
                <w:szCs w:val="14"/>
                <w:color w:val="auto"/>
              </w:rPr>
              <w:t>-22,783,000</w:t>
            </w:r>
          </w:p>
        </w:tc>
        <w:tc>
          <w:tcPr>
            <w:tcW w:w="0" w:type="dxa"/>
            <w:vAlign w:val="bottom"/>
          </w:tcPr>
          <w:p>
            <w:pPr>
              <w:spacing w:after="0"/>
              <w:rPr>
                <w:sz w:val="1"/>
                <w:szCs w:val="1"/>
                <w:color w:val="auto"/>
              </w:rPr>
            </w:pPr>
          </w:p>
        </w:tc>
      </w:tr>
      <w:tr>
        <w:trPr>
          <w:trHeight w:val="220"/>
        </w:trPr>
        <w:tc>
          <w:tcPr>
            <w:tcW w:w="256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19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1,515,269</w:t>
            </w:r>
          </w:p>
        </w:tc>
        <w:tc>
          <w:tcPr>
            <w:tcW w:w="19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20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23,648,342</w:t>
            </w:r>
          </w:p>
        </w:tc>
        <w:tc>
          <w:tcPr>
            <w:tcW w:w="19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9"/>
              </w:rPr>
              <w:t>25,163,611</w:t>
            </w:r>
          </w:p>
        </w:tc>
        <w:tc>
          <w:tcPr>
            <w:tcW w:w="0" w:type="dxa"/>
            <w:vAlign w:val="bottom"/>
          </w:tcPr>
          <w:p>
            <w:pPr>
              <w:spacing w:after="0"/>
              <w:rPr>
                <w:sz w:val="1"/>
                <w:szCs w:val="1"/>
                <w:color w:val="auto"/>
              </w:rPr>
            </w:pPr>
          </w:p>
        </w:tc>
      </w:tr>
      <w:tr>
        <w:trPr>
          <w:trHeight w:val="208"/>
        </w:trPr>
        <w:tc>
          <w:tcPr>
            <w:tcW w:w="2560" w:type="dxa"/>
            <w:vAlign w:val="bottom"/>
          </w:tcPr>
          <w:p>
            <w:pPr>
              <w:ind w:left="60"/>
              <w:spacing w:after="0"/>
              <w:rPr>
                <w:sz w:val="20"/>
                <w:szCs w:val="20"/>
                <w:color w:val="auto"/>
              </w:rPr>
            </w:pPr>
            <w:r>
              <w:rPr>
                <w:rFonts w:ascii="Arial" w:cs="Arial" w:eastAsia="Arial" w:hAnsi="Arial"/>
                <w:sz w:val="14"/>
                <w:szCs w:val="14"/>
                <w:color w:val="auto"/>
              </w:rPr>
              <w:t>2020</w:t>
            </w:r>
          </w:p>
        </w:tc>
        <w:tc>
          <w:tcPr>
            <w:tcW w:w="1980" w:type="dxa"/>
            <w:vAlign w:val="bottom"/>
          </w:tcPr>
          <w:p>
            <w:pPr>
              <w:jc w:val="center"/>
              <w:spacing w:after="0"/>
              <w:rPr>
                <w:sz w:val="20"/>
                <w:szCs w:val="20"/>
                <w:color w:val="auto"/>
              </w:rPr>
            </w:pPr>
            <w:r>
              <w:rPr>
                <w:rFonts w:ascii="Arial" w:cs="Arial" w:eastAsia="Arial" w:hAnsi="Arial"/>
                <w:sz w:val="14"/>
                <w:szCs w:val="14"/>
                <w:color w:val="auto"/>
              </w:rPr>
              <w:t>1,268,889</w:t>
            </w:r>
          </w:p>
        </w:tc>
        <w:tc>
          <w:tcPr>
            <w:tcW w:w="1940" w:type="dxa"/>
            <w:vAlign w:val="bottom"/>
          </w:tcPr>
          <w:p>
            <w:pPr>
              <w:jc w:val="center"/>
              <w:spacing w:after="0"/>
              <w:rPr>
                <w:sz w:val="20"/>
                <w:szCs w:val="20"/>
                <w:color w:val="auto"/>
              </w:rPr>
            </w:pPr>
            <w:r>
              <w:rPr>
                <w:rFonts w:ascii="Arial" w:cs="Arial" w:eastAsia="Arial" w:hAnsi="Arial"/>
                <w:sz w:val="14"/>
                <w:szCs w:val="14"/>
                <w:color w:val="auto"/>
              </w:rPr>
              <w:t>0</w:t>
            </w:r>
          </w:p>
        </w:tc>
        <w:tc>
          <w:tcPr>
            <w:tcW w:w="2080" w:type="dxa"/>
            <w:vAlign w:val="bottom"/>
          </w:tcPr>
          <w:p>
            <w:pPr>
              <w:jc w:val="center"/>
              <w:spacing w:after="0"/>
              <w:rPr>
                <w:sz w:val="20"/>
                <w:szCs w:val="20"/>
                <w:color w:val="auto"/>
              </w:rPr>
            </w:pPr>
            <w:r>
              <w:rPr>
                <w:rFonts w:ascii="Arial" w:cs="Arial" w:eastAsia="Arial" w:hAnsi="Arial"/>
                <w:sz w:val="14"/>
                <w:szCs w:val="14"/>
                <w:color w:val="auto"/>
              </w:rPr>
              <w:t>37,855,000</w:t>
            </w:r>
          </w:p>
        </w:tc>
        <w:tc>
          <w:tcPr>
            <w:tcW w:w="1940" w:type="dxa"/>
            <w:vAlign w:val="bottom"/>
          </w:tcPr>
          <w:p>
            <w:pPr>
              <w:jc w:val="center"/>
              <w:spacing w:after="0"/>
              <w:rPr>
                <w:sz w:val="20"/>
                <w:szCs w:val="20"/>
                <w:color w:val="auto"/>
              </w:rPr>
            </w:pPr>
            <w:r>
              <w:rPr>
                <w:rFonts w:ascii="Arial" w:cs="Arial" w:eastAsia="Arial" w:hAnsi="Arial"/>
                <w:sz w:val="14"/>
                <w:szCs w:val="14"/>
                <w:color w:val="auto"/>
              </w:rPr>
              <w:t>39,123,889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-268605</wp:posOffset>
            </wp:positionV>
            <wp:extent cx="17145"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-268605</wp:posOffset>
            </wp:positionV>
            <wp:extent cx="17145"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-268605</wp:posOffset>
            </wp:positionV>
            <wp:extent cx="17145"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-268605</wp:posOffset>
            </wp:positionV>
            <wp:extent cx="17145"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 cy="137160"/>
                    </a:xfrm>
                    <a:prstGeom prst="rect">
                      <a:avLst/>
                    </a:prstGeom>
                    <a:noFill/>
                  </pic:spPr>
                </pic:pic>
              </a:graphicData>
            </a:graphic>
          </wp:anchor>
        </w:drawing>
      </w:r>
    </w:p>
    <w:p>
      <w:pPr>
        <w:spacing w:after="0" w:line="73" w:lineRule="exact"/>
        <w:rPr>
          <w:sz w:val="20"/>
          <w:szCs w:val="20"/>
          <w:color w:val="auto"/>
        </w:rPr>
      </w:pPr>
    </w:p>
    <w:p>
      <w:pPr>
        <w:ind w:left="660" w:right="260" w:hanging="328"/>
        <w:spacing w:after="0" w:line="222" w:lineRule="auto"/>
        <w:tabs>
          <w:tab w:leader="none" w:pos="653" w:val="left"/>
        </w:tabs>
        <w:numPr>
          <w:ilvl w:val="0"/>
          <w:numId w:val="87"/>
        </w:numPr>
        <w:rPr>
          <w:rFonts w:ascii="Arial" w:cs="Arial" w:eastAsia="Arial" w:hAnsi="Arial"/>
          <w:sz w:val="19"/>
          <w:szCs w:val="19"/>
          <w:color w:val="auto"/>
          <w:vertAlign w:val="superscript"/>
        </w:rPr>
      </w:pPr>
      <w:r>
        <w:rPr>
          <w:rFonts w:ascii="Arial" w:cs="Arial" w:eastAsia="Arial" w:hAnsi="Arial"/>
          <w:sz w:val="14"/>
          <w:szCs w:val="14"/>
          <w:color w:val="auto"/>
        </w:rPr>
        <w:t>The grant date fair value of equity awards represents the total of the amounts reported in the “Stock Awards” column in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for the applicable year.</w:t>
      </w:r>
    </w:p>
    <w:p>
      <w:pPr>
        <w:ind w:left="660" w:right="20" w:hanging="328"/>
        <w:spacing w:after="0" w:line="244" w:lineRule="auto"/>
        <w:tabs>
          <w:tab w:leader="none" w:pos="653" w:val="left"/>
        </w:tabs>
        <w:numPr>
          <w:ilvl w:val="0"/>
          <w:numId w:val="87"/>
        </w:numPr>
        <w:rPr>
          <w:rFonts w:ascii="Arial" w:cs="Arial" w:eastAsia="Arial" w:hAnsi="Arial"/>
          <w:sz w:val="9"/>
          <w:szCs w:val="9"/>
          <w:color w:val="auto"/>
        </w:rPr>
      </w:pPr>
      <w:r>
        <w:rPr>
          <w:rFonts w:ascii="Arial" w:cs="Arial" w:eastAsia="Arial" w:hAnsi="Arial"/>
          <w:sz w:val="14"/>
          <w:szCs w:val="14"/>
          <w:color w:val="auto"/>
        </w:rPr>
        <w:t>The equity award adjustments for each applicable year include the addition (or subtraction, as applicable) of the following: (i) the year-end fair value of any equity awards granted in the applicable year that are outstanding and unvested as of the end of the applicable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Fair values were computed as of the end of the respective fiscal year, other than with regards to fair values of awards that vest in each covered</w:t>
      </w:r>
    </w:p>
    <w:p>
      <w:pPr>
        <w:spacing w:after="0" w:line="200" w:lineRule="exact"/>
        <w:rPr>
          <w:sz w:val="20"/>
          <w:szCs w:val="20"/>
          <w:color w:val="auto"/>
        </w:rPr>
      </w:pPr>
    </w:p>
    <w:p>
      <w:pPr>
        <w:spacing w:after="0" w:line="309" w:lineRule="exact"/>
        <w:rPr>
          <w:sz w:val="20"/>
          <w:szCs w:val="20"/>
          <w:color w:val="auto"/>
        </w:rPr>
      </w:pPr>
    </w:p>
    <w:p>
      <w:pPr>
        <w:ind w:left="580" w:hanging="554"/>
        <w:spacing w:after="0"/>
        <w:tabs>
          <w:tab w:leader="none" w:pos="580" w:val="left"/>
        </w:tabs>
        <w:numPr>
          <w:ilvl w:val="0"/>
          <w:numId w:val="88"/>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32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year, which are valued as of the applicable vesting date. The amounts deducted or added in calculating the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83820</wp:posOffset>
            </wp:positionV>
            <wp:extent cx="6249035" cy="11398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49035" cy="1139825"/>
                    </a:xfrm>
                    <a:prstGeom prst="rect">
                      <a:avLst/>
                    </a:prstGeom>
                    <a:noFill/>
                  </pic:spPr>
                </pic:pic>
              </a:graphicData>
            </a:graphic>
          </wp:anchor>
        </w:drawing>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800" w:type="dxa"/>
            <w:vAlign w:val="bottom"/>
            <w:shd w:val="clear" w:color="auto" w:fill="0063A6"/>
          </w:tcPr>
          <w:p>
            <w:pPr>
              <w:spacing w:after="0"/>
              <w:rPr>
                <w:sz w:val="18"/>
                <w:szCs w:val="18"/>
                <w:color w:val="auto"/>
              </w:rPr>
            </w:pPr>
          </w:p>
        </w:tc>
        <w:tc>
          <w:tcPr>
            <w:tcW w:w="1060" w:type="dxa"/>
            <w:vAlign w:val="bottom"/>
            <w:shd w:val="clear" w:color="auto" w:fill="0063A6"/>
          </w:tcPr>
          <w:p>
            <w:pPr>
              <w:spacing w:after="0"/>
              <w:rPr>
                <w:sz w:val="18"/>
                <w:szCs w:val="18"/>
                <w:color w:val="auto"/>
              </w:rPr>
            </w:pPr>
          </w:p>
        </w:tc>
        <w:tc>
          <w:tcPr>
            <w:tcW w:w="1240" w:type="dxa"/>
            <w:vAlign w:val="bottom"/>
            <w:shd w:val="clear" w:color="auto" w:fill="0063A6"/>
          </w:tcPr>
          <w:p>
            <w:pPr>
              <w:spacing w:after="0"/>
              <w:rPr>
                <w:sz w:val="18"/>
                <w:szCs w:val="18"/>
                <w:color w:val="auto"/>
              </w:rPr>
            </w:pPr>
          </w:p>
        </w:tc>
        <w:tc>
          <w:tcPr>
            <w:tcW w:w="1280" w:type="dxa"/>
            <w:vAlign w:val="bottom"/>
            <w:shd w:val="clear" w:color="auto" w:fill="0063A6"/>
          </w:tcPr>
          <w:p>
            <w:pPr>
              <w:spacing w:after="0"/>
              <w:rPr>
                <w:sz w:val="18"/>
                <w:szCs w:val="18"/>
                <w:color w:val="auto"/>
              </w:rPr>
            </w:pP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over</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at</w:t>
            </w:r>
          </w:p>
        </w:tc>
        <w:tc>
          <w:tcPr>
            <w:tcW w:w="1580" w:type="dxa"/>
            <w:vAlign w:val="bottom"/>
            <w:shd w:val="clear" w:color="auto" w:fill="0063A6"/>
          </w:tcPr>
          <w:p>
            <w:pPr>
              <w:spacing w:after="0"/>
              <w:rPr>
                <w:sz w:val="18"/>
                <w:szCs w:val="18"/>
                <w:color w:val="auto"/>
              </w:rPr>
            </w:pPr>
          </w:p>
        </w:tc>
        <w:tc>
          <w:tcPr>
            <w:tcW w:w="1320" w:type="dxa"/>
            <w:vAlign w:val="bottom"/>
            <w:shd w:val="clear" w:color="auto" w:fill="0063A6"/>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124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Year over Year</w:t>
            </w:r>
          </w:p>
        </w:tc>
        <w:tc>
          <w:tcPr>
            <w:tcW w:w="12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as</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Change</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the End of the</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of Dividends</w:t>
            </w:r>
          </w:p>
        </w:tc>
        <w:tc>
          <w:tcPr>
            <w:tcW w:w="132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shd w:val="clear" w:color="auto" w:fill="0063A6"/>
          </w:tcPr>
          <w:p>
            <w:pPr>
              <w:spacing w:after="0"/>
              <w:rPr>
                <w:sz w:val="12"/>
                <w:szCs w:val="12"/>
                <w:color w:val="auto"/>
              </w:rPr>
            </w:pPr>
          </w:p>
        </w:tc>
        <w:tc>
          <w:tcPr>
            <w:tcW w:w="1060" w:type="dxa"/>
            <w:vAlign w:val="bottom"/>
            <w:shd w:val="clear" w:color="auto" w:fill="0063A6"/>
          </w:tcPr>
          <w:p>
            <w:pPr>
              <w:spacing w:after="0"/>
              <w:rPr>
                <w:sz w:val="12"/>
                <w:szCs w:val="12"/>
                <w:color w:val="auto"/>
              </w:rPr>
            </w:pPr>
          </w:p>
        </w:tc>
        <w:tc>
          <w:tcPr>
            <w:tcW w:w="1240" w:type="dxa"/>
            <w:vAlign w:val="bottom"/>
            <w:vMerge w:val="continue"/>
            <w:shd w:val="clear" w:color="auto" w:fill="0063A6"/>
          </w:tcPr>
          <w:p>
            <w:pPr>
              <w:spacing w:after="0"/>
              <w:rPr>
                <w:sz w:val="12"/>
                <w:szCs w:val="12"/>
                <w:color w:val="auto"/>
              </w:rPr>
            </w:pPr>
          </w:p>
        </w:tc>
        <w:tc>
          <w:tcPr>
            <w:tcW w:w="1280" w:type="dxa"/>
            <w:vAlign w:val="bottom"/>
            <w:vMerge w:val="continue"/>
            <w:shd w:val="clear" w:color="auto" w:fill="0063A6"/>
          </w:tcPr>
          <w:p>
            <w:pPr>
              <w:spacing w:after="0"/>
              <w:rPr>
                <w:sz w:val="12"/>
                <w:szCs w:val="12"/>
                <w:color w:val="auto"/>
              </w:rPr>
            </w:pP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in Fair Value</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Prior Year of</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or other Earnings</w:t>
            </w:r>
          </w:p>
        </w:tc>
        <w:tc>
          <w:tcPr>
            <w:tcW w:w="13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0063A6"/>
          </w:tcPr>
          <w:p>
            <w:pPr>
              <w:spacing w:after="0"/>
              <w:rPr>
                <w:sz w:val="14"/>
                <w:szCs w:val="14"/>
                <w:color w:val="auto"/>
              </w:rPr>
            </w:pPr>
          </w:p>
        </w:tc>
        <w:tc>
          <w:tcPr>
            <w:tcW w:w="1060" w:type="dxa"/>
            <w:vAlign w:val="bottom"/>
            <w:shd w:val="clear" w:color="auto" w:fill="0063A6"/>
          </w:tcPr>
          <w:p>
            <w:pPr>
              <w:spacing w:after="0"/>
              <w:rPr>
                <w:sz w:val="14"/>
                <w:szCs w:val="14"/>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Change in Fair</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of Vesting</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of Equity</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Paid on Stock or</w:t>
            </w:r>
          </w:p>
        </w:tc>
        <w:tc>
          <w:tcPr>
            <w:tcW w:w="132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0063A6"/>
          </w:tcPr>
          <w:p>
            <w:pPr>
              <w:spacing w:after="0"/>
              <w:rPr>
                <w:sz w:val="12"/>
                <w:szCs w:val="12"/>
                <w:color w:val="auto"/>
              </w:rPr>
            </w:pPr>
          </w:p>
        </w:tc>
        <w:tc>
          <w:tcPr>
            <w:tcW w:w="1060" w:type="dxa"/>
            <w:vAlign w:val="bottom"/>
            <w:shd w:val="clear" w:color="auto" w:fill="0063A6"/>
          </w:tcPr>
          <w:p>
            <w:pPr>
              <w:spacing w:after="0"/>
              <w:rPr>
                <w:sz w:val="12"/>
                <w:szCs w:val="12"/>
                <w:color w:val="auto"/>
              </w:rPr>
            </w:pPr>
          </w:p>
        </w:tc>
        <w:tc>
          <w:tcPr>
            <w:tcW w:w="12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of</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Date of Equity</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that</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Option Awards not</w:t>
            </w:r>
          </w:p>
        </w:tc>
        <w:tc>
          <w:tcPr>
            <w:tcW w:w="132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0063A6"/>
          </w:tcPr>
          <w:p>
            <w:pPr>
              <w:spacing w:after="0"/>
              <w:rPr>
                <w:sz w:val="14"/>
                <w:szCs w:val="14"/>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End</w:t>
            </w:r>
          </w:p>
        </w:tc>
        <w:tc>
          <w:tcPr>
            <w:tcW w:w="12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Outstanding</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Granted in</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Failed to Meet</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Otherwise</w:t>
            </w:r>
          </w:p>
        </w:tc>
        <w:tc>
          <w:tcPr>
            <w:tcW w:w="13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48"/>
        </w:trPr>
        <w:tc>
          <w:tcPr>
            <w:tcW w:w="800" w:type="dxa"/>
            <w:vAlign w:val="bottom"/>
            <w:shd w:val="clear" w:color="auto" w:fill="0063A6"/>
          </w:tcPr>
          <w:p>
            <w:pPr>
              <w:spacing w:after="0"/>
              <w:rPr>
                <w:sz w:val="12"/>
                <w:szCs w:val="12"/>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w:t>
            </w:r>
          </w:p>
        </w:tc>
        <w:tc>
          <w:tcPr>
            <w:tcW w:w="12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and Unvested</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Granted and</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Prior Years</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Vesting</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Reflected in Fair</w:t>
            </w:r>
          </w:p>
        </w:tc>
        <w:tc>
          <w:tcPr>
            <w:tcW w:w="13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62"/>
        </w:trPr>
        <w:tc>
          <w:tcPr>
            <w:tcW w:w="800" w:type="dxa"/>
            <w:vAlign w:val="bottom"/>
            <w:shd w:val="clear" w:color="auto" w:fill="0063A6"/>
          </w:tcPr>
          <w:p>
            <w:pPr>
              <w:spacing w:after="0"/>
              <w:rPr>
                <w:sz w:val="14"/>
                <w:szCs w:val="14"/>
                <w:color w:val="auto"/>
              </w:rPr>
            </w:pPr>
          </w:p>
        </w:tc>
        <w:tc>
          <w:tcPr>
            <w:tcW w:w="10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of Equity</w:t>
            </w:r>
          </w:p>
        </w:tc>
        <w:tc>
          <w:tcPr>
            <w:tcW w:w="124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Vested in the</w:t>
            </w:r>
          </w:p>
        </w:tc>
        <w:tc>
          <w:tcPr>
            <w:tcW w:w="12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that Vested in</w:t>
            </w:r>
          </w:p>
        </w:tc>
        <w:tc>
          <w:tcPr>
            <w:tcW w:w="13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Conditions in</w:t>
            </w:r>
          </w:p>
        </w:tc>
        <w:tc>
          <w:tcPr>
            <w:tcW w:w="15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or Total</w:t>
            </w:r>
          </w:p>
        </w:tc>
        <w:tc>
          <w:tcPr>
            <w:tcW w:w="13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w:t>
            </w:r>
          </w:p>
        </w:tc>
        <w:tc>
          <w:tcPr>
            <w:tcW w:w="0" w:type="dxa"/>
            <w:vAlign w:val="bottom"/>
          </w:tcPr>
          <w:p>
            <w:pPr>
              <w:spacing w:after="0"/>
              <w:rPr>
                <w:sz w:val="1"/>
                <w:szCs w:val="1"/>
                <w:color w:val="auto"/>
              </w:rPr>
            </w:pPr>
          </w:p>
        </w:tc>
      </w:tr>
      <w:tr>
        <w:trPr>
          <w:trHeight w:val="238"/>
        </w:trPr>
        <w:tc>
          <w:tcPr>
            <w:tcW w:w="80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3"/>
                <w:szCs w:val="13"/>
                <w:b w:val="1"/>
                <w:bCs w:val="1"/>
                <w:color w:val="FFFFFF"/>
              </w:rPr>
              <w:t>Year</w:t>
            </w:r>
          </w:p>
        </w:tc>
        <w:tc>
          <w:tcPr>
            <w:tcW w:w="10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w:t>
            </w:r>
          </w:p>
        </w:tc>
        <w:tc>
          <w:tcPr>
            <w:tcW w:w="124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w:t>
            </w:r>
          </w:p>
        </w:tc>
        <w:tc>
          <w:tcPr>
            <w:tcW w:w="12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Year ($)</w:t>
            </w:r>
          </w:p>
        </w:tc>
        <w:tc>
          <w:tcPr>
            <w:tcW w:w="12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the Year ($)</w:t>
            </w:r>
          </w:p>
        </w:tc>
        <w:tc>
          <w:tcPr>
            <w:tcW w:w="13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the Year ($)</w:t>
            </w:r>
          </w:p>
        </w:tc>
        <w:tc>
          <w:tcPr>
            <w:tcW w:w="15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 ($)</w:t>
            </w:r>
          </w:p>
        </w:tc>
        <w:tc>
          <w:tcPr>
            <w:tcW w:w="13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Adjustments ($)</w:t>
            </w:r>
          </w:p>
        </w:tc>
        <w:tc>
          <w:tcPr>
            <w:tcW w:w="0" w:type="dxa"/>
            <w:vAlign w:val="bottom"/>
          </w:tcPr>
          <w:p>
            <w:pPr>
              <w:spacing w:after="0"/>
              <w:rPr>
                <w:sz w:val="1"/>
                <w:szCs w:val="1"/>
                <w:color w:val="auto"/>
              </w:rPr>
            </w:pPr>
          </w:p>
        </w:tc>
      </w:tr>
      <w:tr>
        <w:trPr>
          <w:trHeight w:val="229"/>
        </w:trPr>
        <w:tc>
          <w:tcPr>
            <w:tcW w:w="80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17,918,311</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3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5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17,918,311</w:t>
            </w:r>
          </w:p>
        </w:tc>
        <w:tc>
          <w:tcPr>
            <w:tcW w:w="0" w:type="dxa"/>
            <w:vAlign w:val="bottom"/>
          </w:tcPr>
          <w:p>
            <w:pPr>
              <w:spacing w:after="0"/>
              <w:rPr>
                <w:sz w:val="1"/>
                <w:szCs w:val="1"/>
                <w:color w:val="auto"/>
              </w:rPr>
            </w:pPr>
          </w:p>
        </w:tc>
      </w:tr>
      <w:tr>
        <w:trPr>
          <w:trHeight w:val="212"/>
        </w:trPr>
        <w:tc>
          <w:tcPr>
            <w:tcW w:w="800" w:type="dxa"/>
            <w:vAlign w:val="bottom"/>
          </w:tcPr>
          <w:p>
            <w:pPr>
              <w:ind w:left="60"/>
              <w:spacing w:after="0"/>
              <w:rPr>
                <w:sz w:val="20"/>
                <w:szCs w:val="20"/>
                <w:color w:val="auto"/>
              </w:rPr>
            </w:pPr>
            <w:r>
              <w:rPr>
                <w:rFonts w:ascii="Arial" w:cs="Arial" w:eastAsia="Arial" w:hAnsi="Arial"/>
                <w:sz w:val="14"/>
                <w:szCs w:val="14"/>
                <w:color w:val="auto"/>
              </w:rPr>
              <w:t>2022</w:t>
            </w:r>
          </w:p>
        </w:tc>
        <w:tc>
          <w:tcPr>
            <w:tcW w:w="1060" w:type="dxa"/>
            <w:vAlign w:val="bottom"/>
          </w:tcPr>
          <w:p>
            <w:pPr>
              <w:jc w:val="center"/>
              <w:spacing w:after="0"/>
              <w:rPr>
                <w:sz w:val="20"/>
                <w:szCs w:val="20"/>
                <w:color w:val="auto"/>
              </w:rPr>
            </w:pPr>
            <w:r>
              <w:rPr>
                <w:rFonts w:ascii="Arial" w:cs="Arial" w:eastAsia="Arial" w:hAnsi="Arial"/>
                <w:sz w:val="14"/>
                <w:szCs w:val="14"/>
                <w:color w:val="auto"/>
              </w:rPr>
              <w:t>0</w:t>
            </w:r>
          </w:p>
        </w:tc>
        <w:tc>
          <w:tcPr>
            <w:tcW w:w="1240" w:type="dxa"/>
            <w:vAlign w:val="bottom"/>
          </w:tcPr>
          <w:p>
            <w:pPr>
              <w:jc w:val="center"/>
              <w:spacing w:after="0"/>
              <w:rPr>
                <w:sz w:val="20"/>
                <w:szCs w:val="20"/>
                <w:color w:val="auto"/>
              </w:rPr>
            </w:pPr>
            <w:r>
              <w:rPr>
                <w:rFonts w:ascii="Arial" w:cs="Arial" w:eastAsia="Arial" w:hAnsi="Arial"/>
                <w:sz w:val="14"/>
                <w:szCs w:val="14"/>
                <w:color w:val="auto"/>
              </w:rPr>
              <w:t>-23,929,000</w:t>
            </w:r>
          </w:p>
        </w:tc>
        <w:tc>
          <w:tcPr>
            <w:tcW w:w="1280" w:type="dxa"/>
            <w:vAlign w:val="bottom"/>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Pr>
          <w:p>
            <w:pPr>
              <w:jc w:val="center"/>
              <w:spacing w:after="0"/>
              <w:rPr>
                <w:sz w:val="20"/>
                <w:szCs w:val="20"/>
                <w:color w:val="auto"/>
              </w:rPr>
            </w:pPr>
            <w:r>
              <w:rPr>
                <w:rFonts w:ascii="Arial" w:cs="Arial" w:eastAsia="Arial" w:hAnsi="Arial"/>
                <w:sz w:val="14"/>
                <w:szCs w:val="14"/>
                <w:color w:val="auto"/>
              </w:rPr>
              <w:t>0</w:t>
            </w:r>
          </w:p>
        </w:tc>
        <w:tc>
          <w:tcPr>
            <w:tcW w:w="1300" w:type="dxa"/>
            <w:vAlign w:val="bottom"/>
          </w:tcPr>
          <w:p>
            <w:pPr>
              <w:jc w:val="center"/>
              <w:spacing w:after="0"/>
              <w:rPr>
                <w:sz w:val="20"/>
                <w:szCs w:val="20"/>
                <w:color w:val="auto"/>
              </w:rPr>
            </w:pPr>
            <w:r>
              <w:rPr>
                <w:rFonts w:ascii="Arial" w:cs="Arial" w:eastAsia="Arial" w:hAnsi="Arial"/>
                <w:sz w:val="14"/>
                <w:szCs w:val="14"/>
                <w:color w:val="auto"/>
              </w:rPr>
              <w:t>0</w:t>
            </w:r>
          </w:p>
        </w:tc>
        <w:tc>
          <w:tcPr>
            <w:tcW w:w="1580" w:type="dxa"/>
            <w:vAlign w:val="bottom"/>
          </w:tcPr>
          <w:p>
            <w:pPr>
              <w:jc w:val="center"/>
              <w:spacing w:after="0"/>
              <w:rPr>
                <w:sz w:val="20"/>
                <w:szCs w:val="20"/>
                <w:color w:val="auto"/>
              </w:rPr>
            </w:pPr>
            <w:r>
              <w:rPr>
                <w:rFonts w:ascii="Arial" w:cs="Arial" w:eastAsia="Arial" w:hAnsi="Arial"/>
                <w:sz w:val="14"/>
                <w:szCs w:val="14"/>
                <w:color w:val="auto"/>
              </w:rPr>
              <w:t>0</w:t>
            </w:r>
          </w:p>
        </w:tc>
        <w:tc>
          <w:tcPr>
            <w:tcW w:w="1320" w:type="dxa"/>
            <w:vAlign w:val="bottom"/>
          </w:tcPr>
          <w:p>
            <w:pPr>
              <w:jc w:val="center"/>
              <w:spacing w:after="0"/>
              <w:rPr>
                <w:sz w:val="20"/>
                <w:szCs w:val="20"/>
                <w:color w:val="auto"/>
              </w:rPr>
            </w:pPr>
            <w:r>
              <w:rPr>
                <w:rFonts w:ascii="Arial" w:cs="Arial" w:eastAsia="Arial" w:hAnsi="Arial"/>
                <w:sz w:val="14"/>
                <w:szCs w:val="14"/>
                <w:color w:val="auto"/>
              </w:rPr>
              <w:t>-23,929,000</w:t>
            </w:r>
          </w:p>
        </w:tc>
        <w:tc>
          <w:tcPr>
            <w:tcW w:w="0" w:type="dxa"/>
            <w:vAlign w:val="bottom"/>
          </w:tcPr>
          <w:p>
            <w:pPr>
              <w:spacing w:after="0"/>
              <w:rPr>
                <w:sz w:val="1"/>
                <w:szCs w:val="1"/>
                <w:color w:val="auto"/>
              </w:rPr>
            </w:pPr>
          </w:p>
        </w:tc>
      </w:tr>
      <w:tr>
        <w:trPr>
          <w:trHeight w:val="220"/>
        </w:trPr>
        <w:tc>
          <w:tcPr>
            <w:tcW w:w="80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10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8,238,085</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2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15,410,257</w:t>
            </w:r>
          </w:p>
        </w:tc>
        <w:tc>
          <w:tcPr>
            <w:tcW w:w="13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5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3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23,648,342</w:t>
            </w:r>
          </w:p>
        </w:tc>
        <w:tc>
          <w:tcPr>
            <w:tcW w:w="0" w:type="dxa"/>
            <w:vAlign w:val="bottom"/>
          </w:tcPr>
          <w:p>
            <w:pPr>
              <w:spacing w:after="0"/>
              <w:rPr>
                <w:sz w:val="1"/>
                <w:szCs w:val="1"/>
                <w:color w:val="auto"/>
              </w:rPr>
            </w:pPr>
          </w:p>
        </w:tc>
      </w:tr>
      <w:tr>
        <w:trPr>
          <w:trHeight w:val="208"/>
        </w:trPr>
        <w:tc>
          <w:tcPr>
            <w:tcW w:w="800" w:type="dxa"/>
            <w:vAlign w:val="bottom"/>
          </w:tcPr>
          <w:p>
            <w:pPr>
              <w:ind w:left="60"/>
              <w:spacing w:after="0"/>
              <w:rPr>
                <w:sz w:val="20"/>
                <w:szCs w:val="20"/>
                <w:color w:val="auto"/>
              </w:rPr>
            </w:pPr>
            <w:r>
              <w:rPr>
                <w:rFonts w:ascii="Arial" w:cs="Arial" w:eastAsia="Arial" w:hAnsi="Arial"/>
                <w:sz w:val="14"/>
                <w:szCs w:val="14"/>
                <w:color w:val="auto"/>
              </w:rPr>
              <w:t>2020</w:t>
            </w:r>
          </w:p>
        </w:tc>
        <w:tc>
          <w:tcPr>
            <w:tcW w:w="1060" w:type="dxa"/>
            <w:vAlign w:val="bottom"/>
          </w:tcPr>
          <w:p>
            <w:pPr>
              <w:jc w:val="center"/>
              <w:spacing w:after="0"/>
              <w:rPr>
                <w:sz w:val="20"/>
                <w:szCs w:val="20"/>
                <w:color w:val="auto"/>
              </w:rPr>
            </w:pPr>
            <w:r>
              <w:rPr>
                <w:rFonts w:ascii="Arial" w:cs="Arial" w:eastAsia="Arial" w:hAnsi="Arial"/>
                <w:sz w:val="14"/>
                <w:szCs w:val="14"/>
                <w:color w:val="auto"/>
              </w:rPr>
              <w:t>0</w:t>
            </w:r>
          </w:p>
        </w:tc>
        <w:tc>
          <w:tcPr>
            <w:tcW w:w="1240" w:type="dxa"/>
            <w:vAlign w:val="bottom"/>
          </w:tcPr>
          <w:p>
            <w:pPr>
              <w:jc w:val="center"/>
              <w:spacing w:after="0"/>
              <w:rPr>
                <w:sz w:val="20"/>
                <w:szCs w:val="20"/>
                <w:color w:val="auto"/>
              </w:rPr>
            </w:pPr>
            <w:r>
              <w:rPr>
                <w:rFonts w:ascii="Arial" w:cs="Arial" w:eastAsia="Arial" w:hAnsi="Arial"/>
                <w:sz w:val="14"/>
                <w:szCs w:val="14"/>
                <w:color w:val="auto"/>
              </w:rPr>
              <w:t>37,855,000</w:t>
            </w:r>
          </w:p>
        </w:tc>
        <w:tc>
          <w:tcPr>
            <w:tcW w:w="1280" w:type="dxa"/>
            <w:vAlign w:val="bottom"/>
          </w:tcPr>
          <w:p>
            <w:pPr>
              <w:jc w:val="center"/>
              <w:spacing w:after="0"/>
              <w:rPr>
                <w:sz w:val="20"/>
                <w:szCs w:val="20"/>
                <w:color w:val="auto"/>
              </w:rPr>
            </w:pPr>
            <w:r>
              <w:rPr>
                <w:rFonts w:ascii="Arial" w:cs="Arial" w:eastAsia="Arial" w:hAnsi="Arial"/>
                <w:sz w:val="14"/>
                <w:szCs w:val="14"/>
                <w:color w:val="auto"/>
              </w:rPr>
              <w:t>0</w:t>
            </w:r>
          </w:p>
        </w:tc>
        <w:tc>
          <w:tcPr>
            <w:tcW w:w="1260" w:type="dxa"/>
            <w:vAlign w:val="bottom"/>
          </w:tcPr>
          <w:p>
            <w:pPr>
              <w:jc w:val="center"/>
              <w:spacing w:after="0"/>
              <w:rPr>
                <w:sz w:val="20"/>
                <w:szCs w:val="20"/>
                <w:color w:val="auto"/>
              </w:rPr>
            </w:pPr>
            <w:r>
              <w:rPr>
                <w:rFonts w:ascii="Arial" w:cs="Arial" w:eastAsia="Arial" w:hAnsi="Arial"/>
                <w:sz w:val="14"/>
                <w:szCs w:val="14"/>
                <w:color w:val="auto"/>
              </w:rPr>
              <w:t>0</w:t>
            </w:r>
          </w:p>
        </w:tc>
        <w:tc>
          <w:tcPr>
            <w:tcW w:w="1300" w:type="dxa"/>
            <w:vAlign w:val="bottom"/>
          </w:tcPr>
          <w:p>
            <w:pPr>
              <w:jc w:val="center"/>
              <w:spacing w:after="0"/>
              <w:rPr>
                <w:sz w:val="20"/>
                <w:szCs w:val="20"/>
                <w:color w:val="auto"/>
              </w:rPr>
            </w:pPr>
            <w:r>
              <w:rPr>
                <w:rFonts w:ascii="Arial" w:cs="Arial" w:eastAsia="Arial" w:hAnsi="Arial"/>
                <w:sz w:val="14"/>
                <w:szCs w:val="14"/>
                <w:color w:val="auto"/>
              </w:rPr>
              <w:t>0</w:t>
            </w:r>
          </w:p>
        </w:tc>
        <w:tc>
          <w:tcPr>
            <w:tcW w:w="1580" w:type="dxa"/>
            <w:vAlign w:val="bottom"/>
          </w:tcPr>
          <w:p>
            <w:pPr>
              <w:jc w:val="center"/>
              <w:spacing w:after="0"/>
              <w:rPr>
                <w:sz w:val="20"/>
                <w:szCs w:val="20"/>
                <w:color w:val="auto"/>
              </w:rPr>
            </w:pPr>
            <w:r>
              <w:rPr>
                <w:rFonts w:ascii="Arial" w:cs="Arial" w:eastAsia="Arial" w:hAnsi="Arial"/>
                <w:sz w:val="14"/>
                <w:szCs w:val="14"/>
                <w:color w:val="auto"/>
              </w:rPr>
              <w:t>0</w:t>
            </w:r>
          </w:p>
        </w:tc>
        <w:tc>
          <w:tcPr>
            <w:tcW w:w="1320" w:type="dxa"/>
            <w:vAlign w:val="bottom"/>
          </w:tcPr>
          <w:p>
            <w:pPr>
              <w:jc w:val="center"/>
              <w:spacing w:after="0"/>
              <w:rPr>
                <w:sz w:val="20"/>
                <w:szCs w:val="20"/>
                <w:color w:val="auto"/>
              </w:rPr>
            </w:pPr>
            <w:r>
              <w:rPr>
                <w:rFonts w:ascii="Arial" w:cs="Arial" w:eastAsia="Arial" w:hAnsi="Arial"/>
                <w:sz w:val="14"/>
                <w:szCs w:val="14"/>
                <w:color w:val="auto"/>
              </w:rPr>
              <w:t>37,855,000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-268605</wp:posOffset>
            </wp:positionV>
            <wp:extent cx="17145"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-268605</wp:posOffset>
            </wp:positionV>
            <wp:extent cx="17145"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-268605</wp:posOffset>
            </wp:positionV>
            <wp:extent cx="17145"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-268605</wp:posOffset>
            </wp:positionV>
            <wp:extent cx="17145"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-268605</wp:posOffset>
            </wp:positionV>
            <wp:extent cx="17145"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-268605</wp:posOffset>
            </wp:positionV>
            <wp:extent cx="17145"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-268605</wp:posOffset>
            </wp:positionV>
            <wp:extent cx="17145"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7145" cy="137160"/>
                    </a:xfrm>
                    <a:prstGeom prst="rect">
                      <a:avLst/>
                    </a:prstGeom>
                    <a:noFill/>
                  </pic:spPr>
                </pic:pic>
              </a:graphicData>
            </a:graphic>
          </wp:anchor>
        </w:drawing>
      </w:r>
    </w:p>
    <w:p>
      <w:pPr>
        <w:spacing w:after="0" w:line="100" w:lineRule="exact"/>
        <w:rPr>
          <w:sz w:val="20"/>
          <w:szCs w:val="20"/>
          <w:color w:val="auto"/>
        </w:rPr>
      </w:pPr>
    </w:p>
    <w:p>
      <w:pPr>
        <w:ind w:left="340" w:right="60" w:hanging="332"/>
        <w:spacing w:after="0" w:line="252" w:lineRule="auto"/>
        <w:tabs>
          <w:tab w:leader="none" w:pos="234" w:val="left"/>
        </w:tabs>
        <w:numPr>
          <w:ilvl w:val="0"/>
          <w:numId w:val="89"/>
        </w:numPr>
        <w:rPr>
          <w:rFonts w:ascii="Arial" w:cs="Arial" w:eastAsia="Arial" w:hAnsi="Arial"/>
          <w:sz w:val="9"/>
          <w:szCs w:val="9"/>
          <w:color w:val="auto"/>
        </w:rPr>
      </w:pPr>
      <w:r>
        <w:rPr>
          <w:rFonts w:ascii="Arial" w:cs="Arial" w:eastAsia="Arial" w:hAnsi="Arial"/>
          <w:sz w:val="14"/>
          <w:szCs w:val="14"/>
          <w:color w:val="auto"/>
        </w:rPr>
        <w:t>The dollar amounts reported in column (d) represent the average of the amounts reported for the company’s named executive officers (“</w:t>
      </w:r>
      <w:r>
        <w:rPr>
          <w:rFonts w:ascii="Arial" w:cs="Arial" w:eastAsia="Arial" w:hAnsi="Arial"/>
          <w:sz w:val="14"/>
          <w:szCs w:val="14"/>
          <w:b w:val="1"/>
          <w:bCs w:val="1"/>
          <w:i w:val="1"/>
          <w:iCs w:val="1"/>
          <w:color w:val="auto"/>
        </w:rPr>
        <w:t>NEOs</w:t>
      </w:r>
      <w:r>
        <w:rPr>
          <w:rFonts w:ascii="Arial" w:cs="Arial" w:eastAsia="Arial" w:hAnsi="Arial"/>
          <w:sz w:val="14"/>
          <w:szCs w:val="14"/>
          <w:color w:val="auto"/>
        </w:rPr>
        <w:t>”) as a group (excluding Mr. Houston) in the “Total” column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in each applicable year. The names of each of the NEOs (excluding Mr. Houston) included for purposes of calculating the average amounts in each applicable year are as follows: (i) for 2023, Timothy Young, Tim Regan, Bart Volkmer, and Eric Cox; (ii) for 2022, Timothy Young, Tim Regan and Bart Volkmer; (iii) for 2021, Timothy Young, Tim Regan, Bart Volkmer, and Olivia Nottebohm; and (iv) for 2020, Timothy Young, Tim Regan, Bart Volkmer, Olivia Nottebohm, and Ajay Vashee.</w:t>
      </w:r>
    </w:p>
    <w:p>
      <w:pPr>
        <w:spacing w:after="0" w:line="59" w:lineRule="exact"/>
        <w:rPr>
          <w:rFonts w:ascii="Arial" w:cs="Arial" w:eastAsia="Arial" w:hAnsi="Arial"/>
          <w:sz w:val="9"/>
          <w:szCs w:val="9"/>
          <w:color w:val="auto"/>
        </w:rPr>
      </w:pPr>
    </w:p>
    <w:p>
      <w:pPr>
        <w:ind w:left="340" w:right="40" w:hanging="332"/>
        <w:spacing w:after="0" w:line="229" w:lineRule="auto"/>
        <w:tabs>
          <w:tab w:leader="none" w:pos="234"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The dollar amounts reported in column (e) represent the average amount of “compensation actually paid” to the NEOs as a group (excluding Mr. Houston), as computed in accordance with Item 402(v) of Regulation S-K. The dollar amounts do not reflect the actual average amount of compensation earned by or paid to the NEOs as a group (excluding Mr. Houston) during the applicable year. In accordance with the requirements of Item 402(v) of Regulation S-K, the following adjustments were made to average total compensation for the NEOs as a group (excluding Mr. Houston) for each year to determine the compensation actually paid, using the same methodology described above in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66040</wp:posOffset>
            </wp:positionV>
            <wp:extent cx="6669405" cy="1036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669405" cy="1036955"/>
                    </a:xfrm>
                    <a:prstGeom prst="rect">
                      <a:avLst/>
                    </a:prstGeom>
                    <a:noFill/>
                  </pic:spPr>
                </pic:pic>
              </a:graphicData>
            </a:graphic>
          </wp:anchor>
        </w:drawing>
      </w:r>
    </w:p>
    <w:p>
      <w:pPr>
        <w:spacing w:after="0" w:line="84"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1700" w:type="dxa"/>
            <w:vAlign w:val="bottom"/>
            <w:shd w:val="clear" w:color="auto" w:fill="0063A6"/>
          </w:tcPr>
          <w:p>
            <w:pPr>
              <w:spacing w:after="0"/>
              <w:rPr>
                <w:sz w:val="18"/>
                <w:szCs w:val="18"/>
                <w:color w:val="auto"/>
              </w:rPr>
            </w:pP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2080" w:type="dxa"/>
            <w:vAlign w:val="bottom"/>
            <w:shd w:val="clear" w:color="auto" w:fill="0063A6"/>
          </w:tcPr>
          <w:p>
            <w:pPr>
              <w:spacing w:after="0"/>
              <w:rPr>
                <w:sz w:val="18"/>
                <w:szCs w:val="18"/>
                <w:color w:val="auto"/>
              </w:rPr>
            </w:pPr>
          </w:p>
        </w:tc>
        <w:tc>
          <w:tcPr>
            <w:tcW w:w="2320" w:type="dxa"/>
            <w:vAlign w:val="bottom"/>
            <w:shd w:val="clear" w:color="auto" w:fill="0063A6"/>
          </w:tcPr>
          <w:p>
            <w:pPr>
              <w:spacing w:after="0"/>
              <w:rPr>
                <w:sz w:val="18"/>
                <w:szCs w:val="18"/>
                <w:color w:val="auto"/>
              </w:rPr>
            </w:pPr>
          </w:p>
        </w:tc>
        <w:tc>
          <w:tcPr>
            <w:tcW w:w="2200" w:type="dxa"/>
            <w:vAlign w:val="bottom"/>
            <w:shd w:val="clear" w:color="auto" w:fill="0063A6"/>
          </w:tcPr>
          <w:p>
            <w:pPr>
              <w:spacing w:after="0"/>
              <w:rPr>
                <w:sz w:val="18"/>
                <w:szCs w:val="18"/>
                <w:color w:val="auto"/>
              </w:rPr>
            </w:pPr>
          </w:p>
        </w:tc>
      </w:tr>
      <w:tr>
        <w:trPr>
          <w:trHeight w:val="162"/>
        </w:trPr>
        <w:tc>
          <w:tcPr>
            <w:tcW w:w="1700" w:type="dxa"/>
            <w:vAlign w:val="bottom"/>
            <w:shd w:val="clear" w:color="auto" w:fill="0063A6"/>
          </w:tcPr>
          <w:p>
            <w:pPr>
              <w:spacing w:after="0"/>
              <w:rPr>
                <w:sz w:val="14"/>
                <w:szCs w:val="14"/>
                <w:color w:val="auto"/>
              </w:rPr>
            </w:pP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Reported Summary</w:t>
            </w:r>
          </w:p>
        </w:tc>
        <w:tc>
          <w:tcPr>
            <w:tcW w:w="2080" w:type="dxa"/>
            <w:vAlign w:val="bottom"/>
            <w:shd w:val="clear" w:color="auto" w:fill="0063A6"/>
          </w:tcPr>
          <w:p>
            <w:pPr>
              <w:spacing w:after="0"/>
              <w:rPr>
                <w:sz w:val="14"/>
                <w:szCs w:val="14"/>
                <w:color w:val="auto"/>
              </w:rPr>
            </w:pPr>
          </w:p>
        </w:tc>
        <w:tc>
          <w:tcPr>
            <w:tcW w:w="2320" w:type="dxa"/>
            <w:vAlign w:val="bottom"/>
            <w:shd w:val="clear" w:color="auto" w:fill="0063A6"/>
          </w:tcPr>
          <w:p>
            <w:pPr>
              <w:spacing w:after="0"/>
              <w:rPr>
                <w:sz w:val="14"/>
                <w:szCs w:val="14"/>
                <w:color w:val="auto"/>
              </w:rPr>
            </w:pPr>
          </w:p>
        </w:tc>
        <w:tc>
          <w:tcPr>
            <w:tcW w:w="2200" w:type="dxa"/>
            <w:vAlign w:val="bottom"/>
            <w:shd w:val="clear" w:color="auto" w:fill="0063A6"/>
          </w:tcPr>
          <w:p>
            <w:pPr>
              <w:spacing w:after="0"/>
              <w:rPr>
                <w:sz w:val="14"/>
                <w:szCs w:val="14"/>
                <w:color w:val="auto"/>
              </w:rPr>
            </w:pPr>
          </w:p>
        </w:tc>
      </w:tr>
      <w:tr>
        <w:trPr>
          <w:trHeight w:val="148"/>
        </w:trPr>
        <w:tc>
          <w:tcPr>
            <w:tcW w:w="1700" w:type="dxa"/>
            <w:vAlign w:val="bottom"/>
            <w:shd w:val="clear" w:color="auto" w:fill="0063A6"/>
          </w:tcPr>
          <w:p>
            <w:pPr>
              <w:spacing w:after="0"/>
              <w:rPr>
                <w:sz w:val="12"/>
                <w:szCs w:val="12"/>
                <w:color w:val="auto"/>
              </w:rPr>
            </w:pP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 Table</w:t>
            </w:r>
          </w:p>
        </w:tc>
        <w:tc>
          <w:tcPr>
            <w:tcW w:w="2080" w:type="dxa"/>
            <w:vAlign w:val="bottom"/>
            <w:shd w:val="clear" w:color="auto" w:fill="0063A6"/>
          </w:tcPr>
          <w:p>
            <w:pPr>
              <w:jc w:val="center"/>
              <w:ind w:left="10"/>
              <w:spacing w:after="0"/>
              <w:rPr>
                <w:sz w:val="20"/>
                <w:szCs w:val="20"/>
                <w:color w:val="auto"/>
              </w:rPr>
            </w:pPr>
            <w:r>
              <w:rPr>
                <w:rFonts w:ascii="Arial" w:cs="Arial" w:eastAsia="Arial" w:hAnsi="Arial"/>
                <w:sz w:val="13"/>
                <w:szCs w:val="13"/>
                <w:b w:val="1"/>
                <w:bCs w:val="1"/>
                <w:color w:val="FFFFFF"/>
              </w:rPr>
              <w:t>Average Reported</w:t>
            </w:r>
          </w:p>
        </w:tc>
        <w:tc>
          <w:tcPr>
            <w:tcW w:w="2320" w:type="dxa"/>
            <w:vAlign w:val="bottom"/>
            <w:shd w:val="clear" w:color="auto" w:fill="0063A6"/>
          </w:tcPr>
          <w:p>
            <w:pPr>
              <w:spacing w:after="0"/>
              <w:rPr>
                <w:sz w:val="12"/>
                <w:szCs w:val="12"/>
                <w:color w:val="auto"/>
              </w:rPr>
            </w:pP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 Compensation</w:t>
            </w:r>
          </w:p>
        </w:tc>
      </w:tr>
      <w:tr>
        <w:trPr>
          <w:trHeight w:val="162"/>
        </w:trPr>
        <w:tc>
          <w:tcPr>
            <w:tcW w:w="1700" w:type="dxa"/>
            <w:vAlign w:val="bottom"/>
            <w:shd w:val="clear" w:color="auto" w:fill="0063A6"/>
          </w:tcPr>
          <w:p>
            <w:pPr>
              <w:spacing w:after="0"/>
              <w:rPr>
                <w:sz w:val="14"/>
                <w:szCs w:val="14"/>
                <w:color w:val="auto"/>
              </w:rPr>
            </w:pP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Total for Non-PEO</w:t>
            </w:r>
          </w:p>
        </w:tc>
        <w:tc>
          <w:tcPr>
            <w:tcW w:w="2080" w:type="dxa"/>
            <w:vAlign w:val="bottom"/>
            <w:shd w:val="clear" w:color="auto" w:fill="0063A6"/>
          </w:tcPr>
          <w:p>
            <w:pPr>
              <w:jc w:val="center"/>
              <w:ind w:left="10"/>
              <w:spacing w:after="0"/>
              <w:rPr>
                <w:sz w:val="20"/>
                <w:szCs w:val="20"/>
                <w:color w:val="auto"/>
              </w:rPr>
            </w:pPr>
            <w:r>
              <w:rPr>
                <w:rFonts w:ascii="Arial" w:cs="Arial" w:eastAsia="Arial" w:hAnsi="Arial"/>
                <w:sz w:val="13"/>
                <w:szCs w:val="13"/>
                <w:b w:val="1"/>
                <w:bCs w:val="1"/>
                <w:color w:val="FFFFFF"/>
              </w:rPr>
              <w:t>Value of Equity</w:t>
            </w:r>
          </w:p>
        </w:tc>
        <w:tc>
          <w:tcPr>
            <w:tcW w:w="2320" w:type="dxa"/>
            <w:vAlign w:val="bottom"/>
            <w:shd w:val="clear" w:color="auto" w:fill="0063A6"/>
          </w:tcPr>
          <w:p>
            <w:pPr>
              <w:jc w:val="center"/>
              <w:ind w:left="30"/>
              <w:spacing w:after="0"/>
              <w:rPr>
                <w:sz w:val="20"/>
                <w:szCs w:val="20"/>
                <w:color w:val="auto"/>
              </w:rPr>
            </w:pPr>
            <w:r>
              <w:rPr>
                <w:rFonts w:ascii="Arial" w:cs="Arial" w:eastAsia="Arial" w:hAnsi="Arial"/>
                <w:sz w:val="13"/>
                <w:szCs w:val="13"/>
                <w:b w:val="1"/>
                <w:bCs w:val="1"/>
                <w:color w:val="FFFFFF"/>
              </w:rPr>
              <w:t>Average Equity</w:t>
            </w:r>
          </w:p>
        </w:tc>
        <w:tc>
          <w:tcPr>
            <w:tcW w:w="220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Actually Paid to Non-</w:t>
            </w:r>
          </w:p>
        </w:tc>
      </w:tr>
      <w:tr>
        <w:trPr>
          <w:trHeight w:val="238"/>
        </w:trPr>
        <w:tc>
          <w:tcPr>
            <w:tcW w:w="170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3"/>
                <w:szCs w:val="13"/>
                <w:b w:val="1"/>
                <w:bCs w:val="1"/>
                <w:color w:val="FFFFFF"/>
              </w:rPr>
              <w:t>Year</w:t>
            </w:r>
          </w:p>
        </w:tc>
        <w:tc>
          <w:tcPr>
            <w:tcW w:w="22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NEOs ($)</w:t>
            </w:r>
          </w:p>
        </w:tc>
        <w:tc>
          <w:tcPr>
            <w:tcW w:w="2080" w:type="dxa"/>
            <w:vAlign w:val="bottom"/>
            <w:tcBorders>
              <w:bottom w:val="single" w:sz="8" w:color="0063A6"/>
            </w:tcBorders>
            <w:shd w:val="clear" w:color="auto" w:fill="0063A6"/>
          </w:tcPr>
          <w:p>
            <w:pPr>
              <w:jc w:val="center"/>
              <w:ind w:left="30"/>
              <w:spacing w:after="0"/>
              <w:rPr>
                <w:sz w:val="20"/>
                <w:szCs w:val="20"/>
                <w:color w:val="auto"/>
              </w:rPr>
            </w:pPr>
            <w:r>
              <w:rPr>
                <w:rFonts w:ascii="Arial" w:cs="Arial" w:eastAsia="Arial" w:hAnsi="Arial"/>
                <w:sz w:val="13"/>
                <w:szCs w:val="13"/>
                <w:b w:val="1"/>
                <w:bCs w:val="1"/>
                <w:color w:val="FFFFFF"/>
              </w:rPr>
              <w:t>Awards($)</w:t>
            </w:r>
          </w:p>
        </w:tc>
        <w:tc>
          <w:tcPr>
            <w:tcW w:w="2320" w:type="dxa"/>
            <w:vAlign w:val="bottom"/>
            <w:tcBorders>
              <w:bottom w:val="single" w:sz="8" w:color="0063A6"/>
            </w:tcBorders>
            <w:shd w:val="clear" w:color="auto" w:fill="0063A6"/>
          </w:tcPr>
          <w:p>
            <w:pPr>
              <w:jc w:val="center"/>
              <w:ind w:left="30"/>
              <w:spacing w:after="0"/>
              <w:rPr>
                <w:sz w:val="20"/>
                <w:szCs w:val="20"/>
                <w:color w:val="auto"/>
              </w:rPr>
            </w:pPr>
            <w:r>
              <w:rPr>
                <w:rFonts w:ascii="Arial" w:cs="Arial" w:eastAsia="Arial" w:hAnsi="Arial"/>
                <w:sz w:val="13"/>
                <w:szCs w:val="13"/>
                <w:b w:val="1"/>
                <w:bCs w:val="1"/>
                <w:color w:val="FFFFFF"/>
              </w:rPr>
              <w:t>Award Adjustments ($)</w:t>
            </w:r>
            <w:r>
              <w:rPr>
                <w:rFonts w:ascii="Arial" w:cs="Arial" w:eastAsia="Arial" w:hAnsi="Arial"/>
                <w:sz w:val="17"/>
                <w:szCs w:val="17"/>
                <w:b w:val="1"/>
                <w:bCs w:val="1"/>
                <w:color w:val="FFFFFF"/>
                <w:vertAlign w:val="superscript"/>
              </w:rPr>
              <w:t>(a)</w:t>
            </w:r>
          </w:p>
        </w:tc>
        <w:tc>
          <w:tcPr>
            <w:tcW w:w="22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PEO NEOs ($)</w:t>
            </w:r>
          </w:p>
        </w:tc>
      </w:tr>
      <w:tr>
        <w:trPr>
          <w:trHeight w:val="223"/>
        </w:trPr>
        <w:tc>
          <w:tcPr>
            <w:tcW w:w="17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2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w w:val="99"/>
              </w:rPr>
              <w:t>2,515,311</w:t>
            </w:r>
          </w:p>
        </w:tc>
        <w:tc>
          <w:tcPr>
            <w:tcW w:w="2080" w:type="dxa"/>
            <w:vAlign w:val="bottom"/>
            <w:tcBorders>
              <w:bottom w:val="single" w:sz="8" w:color="F2F2F2"/>
            </w:tcBorders>
            <w:shd w:val="clear" w:color="auto" w:fill="F2F2F2"/>
          </w:tcPr>
          <w:p>
            <w:pPr>
              <w:jc w:val="center"/>
              <w:ind w:left="50"/>
              <w:spacing w:after="0"/>
              <w:rPr>
                <w:sz w:val="20"/>
                <w:szCs w:val="20"/>
                <w:color w:val="auto"/>
              </w:rPr>
            </w:pPr>
            <w:r>
              <w:rPr>
                <w:rFonts w:ascii="Arial" w:cs="Arial" w:eastAsia="Arial" w:hAnsi="Arial"/>
                <w:sz w:val="14"/>
                <w:szCs w:val="14"/>
                <w:color w:val="auto"/>
              </w:rPr>
              <w:t>2,049,960</w:t>
            </w:r>
          </w:p>
        </w:tc>
        <w:tc>
          <w:tcPr>
            <w:tcW w:w="2320" w:type="dxa"/>
            <w:vAlign w:val="bottom"/>
            <w:tcBorders>
              <w:bottom w:val="single" w:sz="8" w:color="F2F2F2"/>
            </w:tcBorders>
            <w:shd w:val="clear" w:color="auto" w:fill="F2F2F2"/>
          </w:tcPr>
          <w:p>
            <w:pPr>
              <w:jc w:val="center"/>
              <w:ind w:left="50"/>
              <w:spacing w:after="0"/>
              <w:rPr>
                <w:sz w:val="20"/>
                <w:szCs w:val="20"/>
                <w:color w:val="auto"/>
              </w:rPr>
            </w:pPr>
            <w:r>
              <w:rPr>
                <w:rFonts w:ascii="Arial" w:cs="Arial" w:eastAsia="Arial" w:hAnsi="Arial"/>
                <w:sz w:val="14"/>
                <w:szCs w:val="14"/>
                <w:color w:val="auto"/>
              </w:rPr>
              <w:t>699,685</w:t>
            </w:r>
          </w:p>
        </w:tc>
        <w:tc>
          <w:tcPr>
            <w:tcW w:w="22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1,165,036</w:t>
            </w:r>
          </w:p>
        </w:tc>
      </w:tr>
      <w:tr>
        <w:trPr>
          <w:trHeight w:val="225"/>
        </w:trPr>
        <w:tc>
          <w:tcPr>
            <w:tcW w:w="1700" w:type="dxa"/>
            <w:vAlign w:val="bottom"/>
          </w:tcPr>
          <w:p>
            <w:pPr>
              <w:ind w:left="60"/>
              <w:spacing w:after="0"/>
              <w:rPr>
                <w:sz w:val="20"/>
                <w:szCs w:val="20"/>
                <w:color w:val="auto"/>
              </w:rPr>
            </w:pPr>
            <w:r>
              <w:rPr>
                <w:rFonts w:ascii="Arial" w:cs="Arial" w:eastAsia="Arial" w:hAnsi="Arial"/>
                <w:sz w:val="14"/>
                <w:szCs w:val="14"/>
                <w:color w:val="auto"/>
              </w:rPr>
              <w:t>2022</w:t>
            </w:r>
          </w:p>
        </w:tc>
        <w:tc>
          <w:tcPr>
            <w:tcW w:w="2200" w:type="dxa"/>
            <w:vAlign w:val="bottom"/>
          </w:tcPr>
          <w:p>
            <w:pPr>
              <w:jc w:val="center"/>
              <w:spacing w:after="0"/>
              <w:rPr>
                <w:sz w:val="20"/>
                <w:szCs w:val="20"/>
                <w:color w:val="auto"/>
              </w:rPr>
            </w:pPr>
            <w:r>
              <w:rPr>
                <w:rFonts w:ascii="Arial" w:cs="Arial" w:eastAsia="Arial" w:hAnsi="Arial"/>
                <w:sz w:val="14"/>
                <w:szCs w:val="14"/>
                <w:color w:val="auto"/>
              </w:rPr>
              <w:t>3,473,372</w:t>
            </w:r>
          </w:p>
        </w:tc>
        <w:tc>
          <w:tcPr>
            <w:tcW w:w="2080" w:type="dxa"/>
            <w:vAlign w:val="bottom"/>
          </w:tcPr>
          <w:p>
            <w:pPr>
              <w:jc w:val="center"/>
              <w:ind w:left="50"/>
              <w:spacing w:after="0"/>
              <w:rPr>
                <w:sz w:val="20"/>
                <w:szCs w:val="20"/>
                <w:color w:val="auto"/>
              </w:rPr>
            </w:pPr>
            <w:r>
              <w:rPr>
                <w:rFonts w:ascii="Arial" w:cs="Arial" w:eastAsia="Arial" w:hAnsi="Arial"/>
                <w:sz w:val="14"/>
                <w:szCs w:val="14"/>
                <w:color w:val="auto"/>
              </w:rPr>
              <w:t>2,607,061</w:t>
            </w:r>
          </w:p>
        </w:tc>
        <w:tc>
          <w:tcPr>
            <w:tcW w:w="2320" w:type="dxa"/>
            <w:vAlign w:val="bottom"/>
          </w:tcPr>
          <w:p>
            <w:pPr>
              <w:jc w:val="center"/>
              <w:ind w:left="50"/>
              <w:spacing w:after="0"/>
              <w:rPr>
                <w:sz w:val="20"/>
                <w:szCs w:val="20"/>
                <w:color w:val="auto"/>
              </w:rPr>
            </w:pPr>
            <w:r>
              <w:rPr>
                <w:rFonts w:ascii="Arial" w:cs="Arial" w:eastAsia="Arial" w:hAnsi="Arial"/>
                <w:sz w:val="14"/>
                <w:szCs w:val="14"/>
                <w:color w:val="auto"/>
              </w:rPr>
              <w:t>-337,824</w:t>
            </w:r>
          </w:p>
        </w:tc>
        <w:tc>
          <w:tcPr>
            <w:tcW w:w="2200" w:type="dxa"/>
            <w:vAlign w:val="bottom"/>
          </w:tcPr>
          <w:p>
            <w:pPr>
              <w:jc w:val="center"/>
              <w:spacing w:after="0"/>
              <w:rPr>
                <w:sz w:val="20"/>
                <w:szCs w:val="20"/>
                <w:color w:val="auto"/>
              </w:rPr>
            </w:pPr>
            <w:r>
              <w:rPr>
                <w:rFonts w:ascii="Arial" w:cs="Arial" w:eastAsia="Arial" w:hAnsi="Arial"/>
                <w:sz w:val="14"/>
                <w:szCs w:val="14"/>
                <w:color w:val="auto"/>
              </w:rPr>
              <w:t>528,487</w:t>
            </w:r>
          </w:p>
        </w:tc>
      </w:tr>
      <w:tr>
        <w:trPr>
          <w:trHeight w:val="220"/>
        </w:trPr>
        <w:tc>
          <w:tcPr>
            <w:tcW w:w="170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22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2,832,378</w:t>
            </w:r>
          </w:p>
        </w:tc>
        <w:tc>
          <w:tcPr>
            <w:tcW w:w="2080" w:type="dxa"/>
            <w:vAlign w:val="bottom"/>
            <w:shd w:val="clear" w:color="auto" w:fill="F2F2F2"/>
          </w:tcPr>
          <w:p>
            <w:pPr>
              <w:jc w:val="center"/>
              <w:ind w:left="50"/>
              <w:spacing w:after="0"/>
              <w:rPr>
                <w:sz w:val="20"/>
                <w:szCs w:val="20"/>
                <w:color w:val="auto"/>
              </w:rPr>
            </w:pPr>
            <w:r>
              <w:rPr>
                <w:rFonts w:ascii="Arial" w:cs="Arial" w:eastAsia="Arial" w:hAnsi="Arial"/>
                <w:sz w:val="14"/>
                <w:szCs w:val="14"/>
                <w:color w:val="auto"/>
              </w:rPr>
              <w:t>1,946,253</w:t>
            </w:r>
          </w:p>
        </w:tc>
        <w:tc>
          <w:tcPr>
            <w:tcW w:w="2320" w:type="dxa"/>
            <w:vAlign w:val="bottom"/>
            <w:shd w:val="clear" w:color="auto" w:fill="F2F2F2"/>
          </w:tcPr>
          <w:p>
            <w:pPr>
              <w:jc w:val="center"/>
              <w:ind w:left="50"/>
              <w:spacing w:after="0"/>
              <w:rPr>
                <w:sz w:val="20"/>
                <w:szCs w:val="20"/>
                <w:color w:val="auto"/>
              </w:rPr>
            </w:pPr>
            <w:r>
              <w:rPr>
                <w:rFonts w:ascii="Arial" w:cs="Arial" w:eastAsia="Arial" w:hAnsi="Arial"/>
                <w:sz w:val="14"/>
                <w:szCs w:val="14"/>
                <w:color w:val="auto"/>
              </w:rPr>
              <w:t>375,828</w:t>
            </w:r>
          </w:p>
        </w:tc>
        <w:tc>
          <w:tcPr>
            <w:tcW w:w="220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1,261,953</w:t>
            </w:r>
          </w:p>
        </w:tc>
      </w:tr>
      <w:tr>
        <w:trPr>
          <w:trHeight w:val="208"/>
        </w:trPr>
        <w:tc>
          <w:tcPr>
            <w:tcW w:w="1700" w:type="dxa"/>
            <w:vAlign w:val="bottom"/>
          </w:tcPr>
          <w:p>
            <w:pPr>
              <w:ind w:left="60"/>
              <w:spacing w:after="0"/>
              <w:rPr>
                <w:sz w:val="20"/>
                <w:szCs w:val="20"/>
                <w:color w:val="auto"/>
              </w:rPr>
            </w:pPr>
            <w:r>
              <w:rPr>
                <w:rFonts w:ascii="Arial" w:cs="Arial" w:eastAsia="Arial" w:hAnsi="Arial"/>
                <w:sz w:val="14"/>
                <w:szCs w:val="14"/>
                <w:color w:val="auto"/>
              </w:rPr>
              <w:t>2020</w:t>
            </w:r>
          </w:p>
        </w:tc>
        <w:tc>
          <w:tcPr>
            <w:tcW w:w="2200" w:type="dxa"/>
            <w:vAlign w:val="bottom"/>
          </w:tcPr>
          <w:p>
            <w:pPr>
              <w:jc w:val="center"/>
              <w:spacing w:after="0"/>
              <w:rPr>
                <w:sz w:val="20"/>
                <w:szCs w:val="20"/>
                <w:color w:val="auto"/>
              </w:rPr>
            </w:pPr>
            <w:r>
              <w:rPr>
                <w:rFonts w:ascii="Arial" w:cs="Arial" w:eastAsia="Arial" w:hAnsi="Arial"/>
                <w:sz w:val="14"/>
                <w:szCs w:val="14"/>
                <w:color w:val="auto"/>
              </w:rPr>
              <w:t>10,219,177</w:t>
            </w:r>
          </w:p>
        </w:tc>
        <w:tc>
          <w:tcPr>
            <w:tcW w:w="2080" w:type="dxa"/>
            <w:vAlign w:val="bottom"/>
          </w:tcPr>
          <w:p>
            <w:pPr>
              <w:jc w:val="center"/>
              <w:ind w:left="50"/>
              <w:spacing w:after="0"/>
              <w:rPr>
                <w:sz w:val="20"/>
                <w:szCs w:val="20"/>
                <w:color w:val="auto"/>
              </w:rPr>
            </w:pPr>
            <w:r>
              <w:rPr>
                <w:rFonts w:ascii="Arial" w:cs="Arial" w:eastAsia="Arial" w:hAnsi="Arial"/>
                <w:sz w:val="14"/>
                <w:szCs w:val="14"/>
                <w:color w:val="auto"/>
              </w:rPr>
              <w:t>9,424,859</w:t>
            </w:r>
          </w:p>
        </w:tc>
        <w:tc>
          <w:tcPr>
            <w:tcW w:w="2320" w:type="dxa"/>
            <w:vAlign w:val="bottom"/>
          </w:tcPr>
          <w:p>
            <w:pPr>
              <w:jc w:val="center"/>
              <w:ind w:left="50"/>
              <w:spacing w:after="0"/>
              <w:rPr>
                <w:sz w:val="20"/>
                <w:szCs w:val="20"/>
                <w:color w:val="auto"/>
              </w:rPr>
            </w:pPr>
            <w:r>
              <w:rPr>
                <w:rFonts w:ascii="Arial" w:cs="Arial" w:eastAsia="Arial" w:hAnsi="Arial"/>
                <w:sz w:val="14"/>
                <w:szCs w:val="14"/>
                <w:color w:val="auto"/>
              </w:rPr>
              <w:t>9,598,164</w:t>
            </w:r>
          </w:p>
        </w:tc>
        <w:tc>
          <w:tcPr>
            <w:tcW w:w="2200" w:type="dxa"/>
            <w:vAlign w:val="bottom"/>
          </w:tcPr>
          <w:p>
            <w:pPr>
              <w:jc w:val="center"/>
              <w:spacing w:after="0"/>
              <w:rPr>
                <w:sz w:val="20"/>
                <w:szCs w:val="20"/>
                <w:color w:val="auto"/>
              </w:rPr>
            </w:pPr>
            <w:r>
              <w:rPr>
                <w:rFonts w:ascii="Arial" w:cs="Arial" w:eastAsia="Arial" w:hAnsi="Arial"/>
                <w:sz w:val="14"/>
                <w:szCs w:val="14"/>
                <w:color w:val="auto"/>
              </w:rPr>
              <w:t>10,392,482</w:t>
            </w:r>
          </w:p>
        </w:tc>
      </w:tr>
    </w:tbl>
    <w:p>
      <w:pPr>
        <w:spacing w:after="0" w:line="65" w:lineRule="exact"/>
        <w:rPr>
          <w:sz w:val="20"/>
          <w:szCs w:val="20"/>
          <w:color w:val="auto"/>
        </w:rPr>
      </w:pPr>
    </w:p>
    <w:p>
      <w:pPr>
        <w:ind w:left="640" w:hanging="308"/>
        <w:spacing w:after="0"/>
        <w:tabs>
          <w:tab w:leader="none" w:pos="640" w:val="left"/>
        </w:tabs>
        <w:numPr>
          <w:ilvl w:val="0"/>
          <w:numId w:val="90"/>
        </w:numPr>
        <w:rPr>
          <w:rFonts w:ascii="Arial" w:cs="Arial" w:eastAsia="Arial" w:hAnsi="Arial"/>
          <w:sz w:val="19"/>
          <w:szCs w:val="19"/>
          <w:color w:val="auto"/>
          <w:vertAlign w:val="superscript"/>
        </w:rPr>
      </w:pPr>
      <w:r>
        <w:rPr>
          <w:rFonts w:ascii="Arial" w:cs="Arial" w:eastAsia="Arial" w:hAnsi="Arial"/>
          <w:sz w:val="14"/>
          <w:szCs w:val="14"/>
          <w:i w:val="1"/>
          <w:iCs w:val="1"/>
          <w:color w:val="auto"/>
        </w:rPr>
        <w:t>The amounts deducted or added in calculating the total average equity award adjustments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56515</wp:posOffset>
            </wp:positionV>
            <wp:extent cx="6223635" cy="18084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23635" cy="1808480"/>
                    </a:xfrm>
                    <a:prstGeom prst="rect">
                      <a:avLst/>
                    </a:prstGeom>
                    <a:noFill/>
                  </pic:spPr>
                </pic:pic>
              </a:graphicData>
            </a:graphic>
          </wp:anchor>
        </w:drawing>
      </w:r>
    </w:p>
    <w:p>
      <w:pPr>
        <w:spacing w:after="0" w:line="69" w:lineRule="exact"/>
        <w:rPr>
          <w:sz w:val="20"/>
          <w:szCs w:val="20"/>
          <w:color w:val="auto"/>
        </w:rPr>
      </w:pPr>
    </w:p>
    <w:tbl>
      <w:tblPr>
        <w:tblLayout w:type="fixed"/>
        <w:tblInd w:w="660" w:type="dxa"/>
        <w:tblCellMar>
          <w:top w:w="0" w:type="dxa"/>
          <w:left w:w="0" w:type="dxa"/>
          <w:bottom w:w="0" w:type="dxa"/>
          <w:right w:w="0" w:type="dxa"/>
        </w:tblCellMar>
      </w:tblPr>
      <w:tr>
        <w:trPr>
          <w:trHeight w:val="266"/>
        </w:trPr>
        <w:tc>
          <w:tcPr>
            <w:tcW w:w="1020" w:type="dxa"/>
            <w:vAlign w:val="bottom"/>
            <w:shd w:val="clear" w:color="auto" w:fill="0063A6"/>
          </w:tcPr>
          <w:p>
            <w:pPr>
              <w:spacing w:after="0"/>
              <w:rPr>
                <w:sz w:val="23"/>
                <w:szCs w:val="23"/>
                <w:color w:val="auto"/>
              </w:rPr>
            </w:pPr>
          </w:p>
        </w:tc>
        <w:tc>
          <w:tcPr>
            <w:tcW w:w="10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(b)</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6"/>
              </w:rPr>
              <w:t>(d)</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w:t>
            </w:r>
          </w:p>
        </w:tc>
        <w:tc>
          <w:tcPr>
            <w:tcW w:w="1180" w:type="dxa"/>
            <w:vAlign w:val="bottom"/>
            <w:shd w:val="clear" w:color="auto" w:fill="0063A6"/>
          </w:tcPr>
          <w:p>
            <w:pPr>
              <w:spacing w:after="0"/>
              <w:rPr>
                <w:sz w:val="23"/>
                <w:szCs w:val="23"/>
                <w:color w:val="auto"/>
              </w:rPr>
            </w:pPr>
          </w:p>
        </w:tc>
        <w:tc>
          <w:tcPr>
            <w:tcW w:w="0" w:type="dxa"/>
            <w:vAlign w:val="bottom"/>
          </w:tcPr>
          <w:p>
            <w:pPr>
              <w:spacing w:after="0"/>
              <w:rPr>
                <w:sz w:val="1"/>
                <w:szCs w:val="1"/>
                <w:color w:val="auto"/>
              </w:rPr>
            </w:pPr>
          </w:p>
        </w:tc>
      </w:tr>
      <w:tr>
        <w:trPr>
          <w:trHeight w:val="394"/>
        </w:trPr>
        <w:tc>
          <w:tcPr>
            <w:tcW w:w="1020" w:type="dxa"/>
            <w:vAlign w:val="bottom"/>
            <w:shd w:val="clear" w:color="auto" w:fill="0063A6"/>
          </w:tcPr>
          <w:p>
            <w:pPr>
              <w:spacing w:after="0"/>
              <w:rPr>
                <w:sz w:val="24"/>
                <w:szCs w:val="24"/>
                <w:color w:val="auto"/>
              </w:rPr>
            </w:pPr>
          </w:p>
        </w:tc>
        <w:tc>
          <w:tcPr>
            <w:tcW w:w="1080" w:type="dxa"/>
            <w:vAlign w:val="bottom"/>
            <w:shd w:val="clear" w:color="auto" w:fill="0063A6"/>
          </w:tcPr>
          <w:p>
            <w:pPr>
              <w:spacing w:after="0"/>
              <w:rPr>
                <w:sz w:val="24"/>
                <w:szCs w:val="24"/>
                <w:color w:val="auto"/>
              </w:rPr>
            </w:pPr>
          </w:p>
        </w:tc>
        <w:tc>
          <w:tcPr>
            <w:tcW w:w="1180" w:type="dxa"/>
            <w:vAlign w:val="bottom"/>
            <w:shd w:val="clear" w:color="auto" w:fill="0063A6"/>
          </w:tcPr>
          <w:p>
            <w:pPr>
              <w:spacing w:after="0"/>
              <w:rPr>
                <w:sz w:val="24"/>
                <w:szCs w:val="24"/>
                <w:color w:val="auto"/>
              </w:rPr>
            </w:pPr>
          </w:p>
        </w:tc>
        <w:tc>
          <w:tcPr>
            <w:tcW w:w="12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over</w:t>
            </w:r>
          </w:p>
        </w:tc>
        <w:tc>
          <w:tcPr>
            <w:tcW w:w="136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 Fair</w:t>
            </w:r>
          </w:p>
        </w:tc>
        <w:tc>
          <w:tcPr>
            <w:tcW w:w="14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 Value of</w:t>
            </w:r>
          </w:p>
        </w:tc>
        <w:tc>
          <w:tcPr>
            <w:tcW w:w="118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0063A6"/>
          </w:tcPr>
          <w:p>
            <w:pPr>
              <w:spacing w:after="0"/>
              <w:rPr>
                <w:sz w:val="12"/>
                <w:szCs w:val="12"/>
                <w:color w:val="auto"/>
              </w:rPr>
            </w:pPr>
          </w:p>
        </w:tc>
        <w:tc>
          <w:tcPr>
            <w:tcW w:w="1080" w:type="dxa"/>
            <w:vAlign w:val="bottom"/>
            <w:shd w:val="clear" w:color="auto" w:fill="0063A6"/>
          </w:tcPr>
          <w:p>
            <w:pPr>
              <w:spacing w:after="0"/>
              <w:rPr>
                <w:sz w:val="12"/>
                <w:szCs w:val="12"/>
                <w:color w:val="auto"/>
              </w:rPr>
            </w:pPr>
          </w:p>
        </w:tc>
        <w:tc>
          <w:tcPr>
            <w:tcW w:w="1180" w:type="dxa"/>
            <w:vAlign w:val="bottom"/>
            <w:shd w:val="clear" w:color="auto" w:fill="0063A6"/>
          </w:tcPr>
          <w:p>
            <w:pPr>
              <w:spacing w:after="0"/>
              <w:rPr>
                <w:sz w:val="12"/>
                <w:szCs w:val="12"/>
                <w:color w:val="auto"/>
              </w:rPr>
            </w:pPr>
          </w:p>
        </w:tc>
        <w:tc>
          <w:tcPr>
            <w:tcW w:w="1280" w:type="dxa"/>
            <w:vAlign w:val="bottom"/>
            <w:vMerge w:val="continue"/>
            <w:shd w:val="clear" w:color="auto" w:fill="0063A6"/>
          </w:tcPr>
          <w:p>
            <w:pPr>
              <w:spacing w:after="0"/>
              <w:rPr>
                <w:sz w:val="12"/>
                <w:szCs w:val="12"/>
                <w:color w:val="auto"/>
              </w:rPr>
            </w:pP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Average</w:t>
            </w:r>
          </w:p>
        </w:tc>
        <w:tc>
          <w:tcPr>
            <w:tcW w:w="1360" w:type="dxa"/>
            <w:vAlign w:val="bottom"/>
            <w:vMerge w:val="continue"/>
            <w:shd w:val="clear" w:color="auto" w:fill="0063A6"/>
          </w:tcPr>
          <w:p>
            <w:pPr>
              <w:spacing w:after="0"/>
              <w:rPr>
                <w:sz w:val="12"/>
                <w:szCs w:val="12"/>
                <w:color w:val="auto"/>
              </w:rPr>
            </w:pPr>
          </w:p>
        </w:tc>
        <w:tc>
          <w:tcPr>
            <w:tcW w:w="1480" w:type="dxa"/>
            <w:vAlign w:val="bottom"/>
            <w:vMerge w:val="continue"/>
            <w:shd w:val="clear" w:color="auto" w:fill="0063A6"/>
          </w:tcPr>
          <w:p>
            <w:pPr>
              <w:spacing w:after="0"/>
              <w:rPr>
                <w:sz w:val="12"/>
                <w:szCs w:val="12"/>
                <w:color w:val="auto"/>
              </w:rPr>
            </w:pPr>
          </w:p>
        </w:tc>
        <w:tc>
          <w:tcPr>
            <w:tcW w:w="118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0063A6"/>
          </w:tcPr>
          <w:p>
            <w:pPr>
              <w:spacing w:after="0"/>
              <w:rPr>
                <w:sz w:val="14"/>
                <w:szCs w:val="14"/>
                <w:color w:val="auto"/>
              </w:rPr>
            </w:pPr>
          </w:p>
        </w:tc>
        <w:tc>
          <w:tcPr>
            <w:tcW w:w="1080" w:type="dxa"/>
            <w:vAlign w:val="bottom"/>
            <w:shd w:val="clear" w:color="auto" w:fill="0063A6"/>
          </w:tcPr>
          <w:p>
            <w:pPr>
              <w:spacing w:after="0"/>
              <w:rPr>
                <w:sz w:val="14"/>
                <w:szCs w:val="14"/>
                <w:color w:val="auto"/>
              </w:rPr>
            </w:pP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over</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Change in</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at the End</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Dividends or</w:t>
            </w:r>
          </w:p>
        </w:tc>
        <w:tc>
          <w:tcPr>
            <w:tcW w:w="118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20" w:type="dxa"/>
            <w:vAlign w:val="bottom"/>
            <w:shd w:val="clear" w:color="auto" w:fill="0063A6"/>
          </w:tcPr>
          <w:p>
            <w:pPr>
              <w:spacing w:after="0"/>
              <w:rPr>
                <w:sz w:val="12"/>
                <w:szCs w:val="12"/>
                <w:color w:val="auto"/>
              </w:rPr>
            </w:pPr>
          </w:p>
        </w:tc>
        <w:tc>
          <w:tcPr>
            <w:tcW w:w="1080" w:type="dxa"/>
            <w:vAlign w:val="bottom"/>
            <w:shd w:val="clear" w:color="auto" w:fill="0063A6"/>
          </w:tcPr>
          <w:p>
            <w:pPr>
              <w:spacing w:after="0"/>
              <w:rPr>
                <w:sz w:val="12"/>
                <w:szCs w:val="12"/>
                <w:color w:val="auto"/>
              </w:rPr>
            </w:pP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Average</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as of Vesting</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of</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of the Prior Year</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other Earnings</w:t>
            </w:r>
          </w:p>
        </w:tc>
        <w:tc>
          <w:tcPr>
            <w:tcW w:w="1180" w:type="dxa"/>
            <w:vAlign w:val="bottom"/>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20" w:type="dxa"/>
            <w:vAlign w:val="bottom"/>
            <w:shd w:val="clear" w:color="auto" w:fill="0063A6"/>
          </w:tcPr>
          <w:p>
            <w:pPr>
              <w:spacing w:after="0"/>
              <w:rPr>
                <w:sz w:val="14"/>
                <w:szCs w:val="14"/>
                <w:color w:val="auto"/>
              </w:rPr>
            </w:pPr>
          </w:p>
        </w:tc>
        <w:tc>
          <w:tcPr>
            <w:tcW w:w="1080" w:type="dxa"/>
            <w:vAlign w:val="bottom"/>
            <w:vMerge w:val="restart"/>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Change in</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w w:val="99"/>
              </w:rPr>
              <w:t>Date of</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of Equity</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Paid on Stock or</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48"/>
        </w:trPr>
        <w:tc>
          <w:tcPr>
            <w:tcW w:w="1020" w:type="dxa"/>
            <w:vAlign w:val="bottom"/>
            <w:shd w:val="clear" w:color="auto" w:fill="0063A6"/>
          </w:tcPr>
          <w:p>
            <w:pPr>
              <w:spacing w:after="0"/>
              <w:rPr>
                <w:sz w:val="12"/>
                <w:szCs w:val="12"/>
                <w:color w:val="auto"/>
              </w:rPr>
            </w:pPr>
          </w:p>
        </w:tc>
        <w:tc>
          <w:tcPr>
            <w:tcW w:w="1080" w:type="dxa"/>
            <w:vAlign w:val="bottom"/>
            <w:vMerge w:val="continue"/>
            <w:shd w:val="clear" w:color="auto" w:fill="0063A6"/>
          </w:tcPr>
          <w:p>
            <w:pPr>
              <w:spacing w:after="0"/>
              <w:rPr>
                <w:sz w:val="12"/>
                <w:szCs w:val="12"/>
                <w:color w:val="auto"/>
              </w:rPr>
            </w:pP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of</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 Awards</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that</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Option Awards</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Average</w:t>
            </w:r>
          </w:p>
        </w:tc>
        <w:tc>
          <w:tcPr>
            <w:tcW w:w="0" w:type="dxa"/>
            <w:vAlign w:val="bottom"/>
          </w:tcPr>
          <w:p>
            <w:pPr>
              <w:spacing w:after="0"/>
              <w:rPr>
                <w:sz w:val="1"/>
                <w:szCs w:val="1"/>
                <w:color w:val="auto"/>
              </w:rPr>
            </w:pPr>
          </w:p>
        </w:tc>
      </w:tr>
      <w:tr>
        <w:trPr>
          <w:trHeight w:val="162"/>
        </w:trPr>
        <w:tc>
          <w:tcPr>
            <w:tcW w:w="1020" w:type="dxa"/>
            <w:vAlign w:val="bottom"/>
            <w:shd w:val="clear" w:color="auto" w:fill="0063A6"/>
          </w:tcPr>
          <w:p>
            <w:pPr>
              <w:spacing w:after="0"/>
              <w:rPr>
                <w:sz w:val="14"/>
                <w:szCs w:val="14"/>
                <w:color w:val="auto"/>
              </w:rPr>
            </w:pPr>
          </w:p>
        </w:tc>
        <w:tc>
          <w:tcPr>
            <w:tcW w:w="10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Year End</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Outstanding</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Granted</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Granted in</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Failed to Meet</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not Otherwise</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48"/>
        </w:trPr>
        <w:tc>
          <w:tcPr>
            <w:tcW w:w="1020" w:type="dxa"/>
            <w:vAlign w:val="bottom"/>
            <w:shd w:val="clear" w:color="auto" w:fill="0063A6"/>
          </w:tcPr>
          <w:p>
            <w:pPr>
              <w:spacing w:after="0"/>
              <w:rPr>
                <w:sz w:val="12"/>
                <w:szCs w:val="12"/>
                <w:color w:val="auto"/>
              </w:rPr>
            </w:pPr>
          </w:p>
        </w:tc>
        <w:tc>
          <w:tcPr>
            <w:tcW w:w="10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Fair Value of</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and Unvested</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and Vested</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Prior Years</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Vesting</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Reflected in Fair</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Award</w:t>
            </w:r>
          </w:p>
        </w:tc>
        <w:tc>
          <w:tcPr>
            <w:tcW w:w="0" w:type="dxa"/>
            <w:vAlign w:val="bottom"/>
          </w:tcPr>
          <w:p>
            <w:pPr>
              <w:spacing w:after="0"/>
              <w:rPr>
                <w:sz w:val="1"/>
                <w:szCs w:val="1"/>
                <w:color w:val="auto"/>
              </w:rPr>
            </w:pPr>
          </w:p>
        </w:tc>
      </w:tr>
      <w:tr>
        <w:trPr>
          <w:trHeight w:val="162"/>
        </w:trPr>
        <w:tc>
          <w:tcPr>
            <w:tcW w:w="1020" w:type="dxa"/>
            <w:vAlign w:val="bottom"/>
            <w:shd w:val="clear" w:color="auto" w:fill="0063A6"/>
          </w:tcPr>
          <w:p>
            <w:pPr>
              <w:spacing w:after="0"/>
              <w:rPr>
                <w:sz w:val="14"/>
                <w:szCs w:val="14"/>
                <w:color w:val="auto"/>
              </w:rPr>
            </w:pPr>
          </w:p>
        </w:tc>
        <w:tc>
          <w:tcPr>
            <w:tcW w:w="10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Equity</w:t>
            </w:r>
          </w:p>
        </w:tc>
        <w:tc>
          <w:tcPr>
            <w:tcW w:w="12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in the</w:t>
            </w:r>
          </w:p>
        </w:tc>
        <w:tc>
          <w:tcPr>
            <w:tcW w:w="122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that Vested in</w:t>
            </w:r>
          </w:p>
        </w:tc>
        <w:tc>
          <w:tcPr>
            <w:tcW w:w="136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Conditions in</w:t>
            </w:r>
          </w:p>
        </w:tc>
        <w:tc>
          <w:tcPr>
            <w:tcW w:w="14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Value or Total</w:t>
            </w:r>
          </w:p>
        </w:tc>
        <w:tc>
          <w:tcPr>
            <w:tcW w:w="1180" w:type="dxa"/>
            <w:vAlign w:val="bottom"/>
            <w:shd w:val="clear" w:color="auto" w:fill="0063A6"/>
          </w:tcPr>
          <w:p>
            <w:pPr>
              <w:jc w:val="center"/>
              <w:spacing w:after="0"/>
              <w:rPr>
                <w:sz w:val="20"/>
                <w:szCs w:val="20"/>
                <w:color w:val="auto"/>
              </w:rPr>
            </w:pPr>
            <w:r>
              <w:rPr>
                <w:rFonts w:ascii="Arial" w:cs="Arial" w:eastAsia="Arial" w:hAnsi="Arial"/>
                <w:sz w:val="13"/>
                <w:szCs w:val="13"/>
                <w:b w:val="1"/>
                <w:bCs w:val="1"/>
                <w:color w:val="FFFFFF"/>
              </w:rPr>
              <w:t>Adjustments</w:t>
            </w:r>
          </w:p>
        </w:tc>
        <w:tc>
          <w:tcPr>
            <w:tcW w:w="0" w:type="dxa"/>
            <w:vAlign w:val="bottom"/>
          </w:tcPr>
          <w:p>
            <w:pPr>
              <w:spacing w:after="0"/>
              <w:rPr>
                <w:sz w:val="1"/>
                <w:szCs w:val="1"/>
                <w:color w:val="auto"/>
              </w:rPr>
            </w:pPr>
          </w:p>
        </w:tc>
      </w:tr>
      <w:tr>
        <w:trPr>
          <w:trHeight w:val="238"/>
        </w:trPr>
        <w:tc>
          <w:tcPr>
            <w:tcW w:w="102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3"/>
                <w:szCs w:val="13"/>
                <w:b w:val="1"/>
                <w:bCs w:val="1"/>
                <w:color w:val="FFFFFF"/>
              </w:rPr>
              <w:t>Year</w:t>
            </w:r>
          </w:p>
        </w:tc>
        <w:tc>
          <w:tcPr>
            <w:tcW w:w="10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w:t>
            </w:r>
          </w:p>
        </w:tc>
        <w:tc>
          <w:tcPr>
            <w:tcW w:w="11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Awards ($)</w:t>
            </w:r>
          </w:p>
        </w:tc>
        <w:tc>
          <w:tcPr>
            <w:tcW w:w="12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Year ($)</w:t>
            </w:r>
          </w:p>
        </w:tc>
        <w:tc>
          <w:tcPr>
            <w:tcW w:w="12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the Year ($)</w:t>
            </w:r>
          </w:p>
        </w:tc>
        <w:tc>
          <w:tcPr>
            <w:tcW w:w="13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the Year ($)</w:t>
            </w:r>
          </w:p>
        </w:tc>
        <w:tc>
          <w:tcPr>
            <w:tcW w:w="14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rPr>
              <w:t>Compensation ($)</w:t>
            </w:r>
          </w:p>
        </w:tc>
        <w:tc>
          <w:tcPr>
            <w:tcW w:w="118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3"/>
                <w:szCs w:val="13"/>
                <w:b w:val="1"/>
                <w:bCs w:val="1"/>
                <w:color w:val="FFFFFF"/>
                <w:w w:val="93"/>
              </w:rPr>
              <w:t>($)</w:t>
            </w:r>
            <w:r>
              <w:rPr>
                <w:rFonts w:ascii="Arial" w:cs="Arial" w:eastAsia="Arial" w:hAnsi="Arial"/>
                <w:sz w:val="17"/>
                <w:szCs w:val="17"/>
                <w:b w:val="1"/>
                <w:bCs w:val="1"/>
                <w:color w:val="FFFFFF"/>
                <w:w w:val="93"/>
                <w:vertAlign w:val="superscript"/>
              </w:rPr>
              <w:t>(a)</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2023</w:t>
            </w:r>
          </w:p>
        </w:tc>
        <w:tc>
          <w:tcPr>
            <w:tcW w:w="10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2,271,117</w:t>
            </w:r>
          </w:p>
        </w:tc>
        <w:tc>
          <w:tcPr>
            <w:tcW w:w="1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586,030</w:t>
            </w:r>
          </w:p>
        </w:tc>
        <w:tc>
          <w:tcPr>
            <w:tcW w:w="12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460,877</w:t>
            </w:r>
          </w:p>
        </w:tc>
        <w:tc>
          <w:tcPr>
            <w:tcW w:w="12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299,187</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-2,917,528</w:t>
            </w:r>
          </w:p>
        </w:tc>
        <w:tc>
          <w:tcPr>
            <w:tcW w:w="14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4"/>
                <w:szCs w:val="14"/>
                <w:color w:val="auto"/>
              </w:rPr>
              <w:t>699,685</w:t>
            </w:r>
          </w:p>
        </w:tc>
        <w:tc>
          <w:tcPr>
            <w:tcW w:w="0" w:type="dxa"/>
            <w:vAlign w:val="bottom"/>
          </w:tcPr>
          <w:p>
            <w:pPr>
              <w:spacing w:after="0"/>
              <w:rPr>
                <w:sz w:val="1"/>
                <w:szCs w:val="1"/>
                <w:color w:val="auto"/>
              </w:rPr>
            </w:pPr>
          </w:p>
        </w:tc>
      </w:tr>
      <w:tr>
        <w:trPr>
          <w:trHeight w:val="225"/>
        </w:trPr>
        <w:tc>
          <w:tcPr>
            <w:tcW w:w="1020" w:type="dxa"/>
            <w:vAlign w:val="bottom"/>
          </w:tcPr>
          <w:p>
            <w:pPr>
              <w:ind w:left="60"/>
              <w:spacing w:after="0"/>
              <w:rPr>
                <w:sz w:val="20"/>
                <w:szCs w:val="20"/>
                <w:color w:val="auto"/>
              </w:rPr>
            </w:pPr>
            <w:r>
              <w:rPr>
                <w:rFonts w:ascii="Arial" w:cs="Arial" w:eastAsia="Arial" w:hAnsi="Arial"/>
                <w:sz w:val="14"/>
                <w:szCs w:val="14"/>
                <w:color w:val="auto"/>
              </w:rPr>
              <w:t>2022</w:t>
            </w:r>
          </w:p>
        </w:tc>
        <w:tc>
          <w:tcPr>
            <w:tcW w:w="1080" w:type="dxa"/>
            <w:vAlign w:val="bottom"/>
          </w:tcPr>
          <w:p>
            <w:pPr>
              <w:jc w:val="center"/>
              <w:spacing w:after="0"/>
              <w:rPr>
                <w:sz w:val="20"/>
                <w:szCs w:val="20"/>
                <w:color w:val="auto"/>
              </w:rPr>
            </w:pPr>
            <w:r>
              <w:rPr>
                <w:rFonts w:ascii="Arial" w:cs="Arial" w:eastAsia="Arial" w:hAnsi="Arial"/>
                <w:sz w:val="14"/>
                <w:szCs w:val="14"/>
                <w:color w:val="auto"/>
              </w:rPr>
              <w:t>2,038,975</w:t>
            </w:r>
          </w:p>
        </w:tc>
        <w:tc>
          <w:tcPr>
            <w:tcW w:w="1180" w:type="dxa"/>
            <w:vAlign w:val="bottom"/>
          </w:tcPr>
          <w:p>
            <w:pPr>
              <w:jc w:val="center"/>
              <w:spacing w:after="0"/>
              <w:rPr>
                <w:sz w:val="20"/>
                <w:szCs w:val="20"/>
                <w:color w:val="auto"/>
              </w:rPr>
            </w:pPr>
            <w:r>
              <w:rPr>
                <w:rFonts w:ascii="Arial" w:cs="Arial" w:eastAsia="Arial" w:hAnsi="Arial"/>
                <w:sz w:val="14"/>
                <w:szCs w:val="14"/>
                <w:color w:val="auto"/>
              </w:rPr>
              <w:t>-2,637,402</w:t>
            </w:r>
          </w:p>
        </w:tc>
        <w:tc>
          <w:tcPr>
            <w:tcW w:w="1280" w:type="dxa"/>
            <w:vAlign w:val="bottom"/>
          </w:tcPr>
          <w:p>
            <w:pPr>
              <w:jc w:val="center"/>
              <w:spacing w:after="0"/>
              <w:rPr>
                <w:sz w:val="20"/>
                <w:szCs w:val="20"/>
                <w:color w:val="auto"/>
              </w:rPr>
            </w:pPr>
            <w:r>
              <w:rPr>
                <w:rFonts w:ascii="Arial" w:cs="Arial" w:eastAsia="Arial" w:hAnsi="Arial"/>
                <w:sz w:val="14"/>
                <w:szCs w:val="14"/>
                <w:color w:val="auto"/>
              </w:rPr>
              <w:t>479,292</w:t>
            </w:r>
          </w:p>
        </w:tc>
        <w:tc>
          <w:tcPr>
            <w:tcW w:w="1220" w:type="dxa"/>
            <w:vAlign w:val="bottom"/>
          </w:tcPr>
          <w:p>
            <w:pPr>
              <w:jc w:val="center"/>
              <w:spacing w:after="0"/>
              <w:rPr>
                <w:sz w:val="20"/>
                <w:szCs w:val="20"/>
                <w:color w:val="auto"/>
              </w:rPr>
            </w:pPr>
            <w:r>
              <w:rPr>
                <w:rFonts w:ascii="Arial" w:cs="Arial" w:eastAsia="Arial" w:hAnsi="Arial"/>
                <w:sz w:val="14"/>
                <w:szCs w:val="14"/>
                <w:color w:val="auto"/>
              </w:rPr>
              <w:t>-218,688</w:t>
            </w:r>
          </w:p>
        </w:tc>
        <w:tc>
          <w:tcPr>
            <w:tcW w:w="1360" w:type="dxa"/>
            <w:vAlign w:val="bottom"/>
          </w:tcPr>
          <w:p>
            <w:pPr>
              <w:jc w:val="center"/>
              <w:spacing w:after="0"/>
              <w:rPr>
                <w:sz w:val="20"/>
                <w:szCs w:val="20"/>
                <w:color w:val="auto"/>
              </w:rPr>
            </w:pPr>
            <w:r>
              <w:rPr>
                <w:rFonts w:ascii="Arial" w:cs="Arial" w:eastAsia="Arial" w:hAnsi="Arial"/>
                <w:sz w:val="14"/>
                <w:szCs w:val="14"/>
                <w:color w:val="auto"/>
              </w:rPr>
              <w:t>0</w:t>
            </w:r>
          </w:p>
        </w:tc>
        <w:tc>
          <w:tcPr>
            <w:tcW w:w="1480" w:type="dxa"/>
            <w:vAlign w:val="bottom"/>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Pr>
          <w:p>
            <w:pPr>
              <w:jc w:val="center"/>
              <w:spacing w:after="0"/>
              <w:rPr>
                <w:sz w:val="20"/>
                <w:szCs w:val="20"/>
                <w:color w:val="auto"/>
              </w:rPr>
            </w:pPr>
            <w:r>
              <w:rPr>
                <w:rFonts w:ascii="Arial" w:cs="Arial" w:eastAsia="Arial" w:hAnsi="Arial"/>
                <w:sz w:val="14"/>
                <w:szCs w:val="14"/>
                <w:color w:val="auto"/>
              </w:rPr>
              <w:t>-337,824</w:t>
            </w:r>
          </w:p>
        </w:tc>
        <w:tc>
          <w:tcPr>
            <w:tcW w:w="0" w:type="dxa"/>
            <w:vAlign w:val="bottom"/>
          </w:tcPr>
          <w:p>
            <w:pPr>
              <w:spacing w:after="0"/>
              <w:rPr>
                <w:sz w:val="1"/>
                <w:szCs w:val="1"/>
                <w:color w:val="auto"/>
              </w:rPr>
            </w:pPr>
          </w:p>
        </w:tc>
      </w:tr>
      <w:tr>
        <w:trPr>
          <w:trHeight w:val="220"/>
        </w:trPr>
        <w:tc>
          <w:tcPr>
            <w:tcW w:w="102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2021</w:t>
            </w:r>
          </w:p>
        </w:tc>
        <w:tc>
          <w:tcPr>
            <w:tcW w:w="10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1,455,584</w:t>
            </w:r>
          </w:p>
        </w:tc>
        <w:tc>
          <w:tcPr>
            <w:tcW w:w="11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1,400,515</w:t>
            </w:r>
          </w:p>
        </w:tc>
        <w:tc>
          <w:tcPr>
            <w:tcW w:w="12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385,547</w:t>
            </w:r>
          </w:p>
        </w:tc>
        <w:tc>
          <w:tcPr>
            <w:tcW w:w="12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648,906</w:t>
            </w:r>
          </w:p>
        </w:tc>
        <w:tc>
          <w:tcPr>
            <w:tcW w:w="136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3,514,724</w:t>
            </w:r>
          </w:p>
        </w:tc>
        <w:tc>
          <w:tcPr>
            <w:tcW w:w="14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0</w:t>
            </w:r>
          </w:p>
        </w:tc>
        <w:tc>
          <w:tcPr>
            <w:tcW w:w="11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375,828</w:t>
            </w:r>
          </w:p>
        </w:tc>
        <w:tc>
          <w:tcPr>
            <w:tcW w:w="0" w:type="dxa"/>
            <w:vAlign w:val="bottom"/>
          </w:tcPr>
          <w:p>
            <w:pPr>
              <w:spacing w:after="0"/>
              <w:rPr>
                <w:sz w:val="1"/>
                <w:szCs w:val="1"/>
                <w:color w:val="auto"/>
              </w:rPr>
            </w:pPr>
          </w:p>
        </w:tc>
      </w:tr>
      <w:tr>
        <w:trPr>
          <w:trHeight w:val="208"/>
        </w:trPr>
        <w:tc>
          <w:tcPr>
            <w:tcW w:w="1020" w:type="dxa"/>
            <w:vAlign w:val="bottom"/>
          </w:tcPr>
          <w:p>
            <w:pPr>
              <w:ind w:left="60"/>
              <w:spacing w:after="0"/>
              <w:rPr>
                <w:sz w:val="20"/>
                <w:szCs w:val="20"/>
                <w:color w:val="auto"/>
              </w:rPr>
            </w:pPr>
            <w:r>
              <w:rPr>
                <w:rFonts w:ascii="Arial" w:cs="Arial" w:eastAsia="Arial" w:hAnsi="Arial"/>
                <w:sz w:val="14"/>
                <w:szCs w:val="14"/>
                <w:color w:val="auto"/>
              </w:rPr>
              <w:t>2020</w:t>
            </w:r>
          </w:p>
        </w:tc>
        <w:tc>
          <w:tcPr>
            <w:tcW w:w="1080" w:type="dxa"/>
            <w:vAlign w:val="bottom"/>
          </w:tcPr>
          <w:p>
            <w:pPr>
              <w:jc w:val="center"/>
              <w:spacing w:after="0"/>
              <w:rPr>
                <w:sz w:val="20"/>
                <w:szCs w:val="20"/>
                <w:color w:val="auto"/>
              </w:rPr>
            </w:pPr>
            <w:r>
              <w:rPr>
                <w:rFonts w:ascii="Arial" w:cs="Arial" w:eastAsia="Arial" w:hAnsi="Arial"/>
                <w:sz w:val="14"/>
                <w:szCs w:val="14"/>
                <w:color w:val="auto"/>
              </w:rPr>
              <w:t>9,833,673</w:t>
            </w:r>
          </w:p>
        </w:tc>
        <w:tc>
          <w:tcPr>
            <w:tcW w:w="1180" w:type="dxa"/>
            <w:vAlign w:val="bottom"/>
          </w:tcPr>
          <w:p>
            <w:pPr>
              <w:jc w:val="center"/>
              <w:spacing w:after="0"/>
              <w:rPr>
                <w:sz w:val="20"/>
                <w:szCs w:val="20"/>
                <w:color w:val="auto"/>
              </w:rPr>
            </w:pPr>
            <w:r>
              <w:rPr>
                <w:rFonts w:ascii="Arial" w:cs="Arial" w:eastAsia="Arial" w:hAnsi="Arial"/>
                <w:sz w:val="14"/>
                <w:szCs w:val="14"/>
                <w:color w:val="auto"/>
              </w:rPr>
              <w:t>796,740</w:t>
            </w:r>
          </w:p>
        </w:tc>
        <w:tc>
          <w:tcPr>
            <w:tcW w:w="1280" w:type="dxa"/>
            <w:vAlign w:val="bottom"/>
          </w:tcPr>
          <w:p>
            <w:pPr>
              <w:jc w:val="center"/>
              <w:spacing w:after="0"/>
              <w:rPr>
                <w:sz w:val="20"/>
                <w:szCs w:val="20"/>
                <w:color w:val="auto"/>
              </w:rPr>
            </w:pPr>
            <w:r>
              <w:rPr>
                <w:rFonts w:ascii="Arial" w:cs="Arial" w:eastAsia="Arial" w:hAnsi="Arial"/>
                <w:sz w:val="14"/>
                <w:szCs w:val="14"/>
                <w:color w:val="auto"/>
              </w:rPr>
              <w:t>307,618</w:t>
            </w:r>
          </w:p>
        </w:tc>
        <w:tc>
          <w:tcPr>
            <w:tcW w:w="1220" w:type="dxa"/>
            <w:vAlign w:val="bottom"/>
          </w:tcPr>
          <w:p>
            <w:pPr>
              <w:jc w:val="center"/>
              <w:spacing w:after="0"/>
              <w:rPr>
                <w:sz w:val="20"/>
                <w:szCs w:val="20"/>
                <w:color w:val="auto"/>
              </w:rPr>
            </w:pPr>
            <w:r>
              <w:rPr>
                <w:rFonts w:ascii="Arial" w:cs="Arial" w:eastAsia="Arial" w:hAnsi="Arial"/>
                <w:sz w:val="14"/>
                <w:szCs w:val="14"/>
                <w:color w:val="auto"/>
              </w:rPr>
              <w:t>148,905</w:t>
            </w:r>
          </w:p>
        </w:tc>
        <w:tc>
          <w:tcPr>
            <w:tcW w:w="1360" w:type="dxa"/>
            <w:vAlign w:val="bottom"/>
          </w:tcPr>
          <w:p>
            <w:pPr>
              <w:jc w:val="center"/>
              <w:spacing w:after="0"/>
              <w:rPr>
                <w:sz w:val="20"/>
                <w:szCs w:val="20"/>
                <w:color w:val="auto"/>
              </w:rPr>
            </w:pPr>
            <w:r>
              <w:rPr>
                <w:rFonts w:ascii="Arial" w:cs="Arial" w:eastAsia="Arial" w:hAnsi="Arial"/>
                <w:sz w:val="14"/>
                <w:szCs w:val="14"/>
                <w:color w:val="auto"/>
              </w:rPr>
              <w:t>1,488,772</w:t>
            </w:r>
          </w:p>
        </w:tc>
        <w:tc>
          <w:tcPr>
            <w:tcW w:w="1480" w:type="dxa"/>
            <w:vAlign w:val="bottom"/>
          </w:tcPr>
          <w:p>
            <w:pPr>
              <w:jc w:val="center"/>
              <w:spacing w:after="0"/>
              <w:rPr>
                <w:sz w:val="20"/>
                <w:szCs w:val="20"/>
                <w:color w:val="auto"/>
              </w:rPr>
            </w:pPr>
            <w:r>
              <w:rPr>
                <w:rFonts w:ascii="Arial" w:cs="Arial" w:eastAsia="Arial" w:hAnsi="Arial"/>
                <w:sz w:val="14"/>
                <w:szCs w:val="14"/>
                <w:color w:val="auto"/>
              </w:rPr>
              <w:t>0</w:t>
            </w:r>
          </w:p>
        </w:tc>
        <w:tc>
          <w:tcPr>
            <w:tcW w:w="1180" w:type="dxa"/>
            <w:vAlign w:val="bottom"/>
          </w:tcPr>
          <w:p>
            <w:pPr>
              <w:jc w:val="center"/>
              <w:spacing w:after="0"/>
              <w:rPr>
                <w:sz w:val="20"/>
                <w:szCs w:val="20"/>
                <w:color w:val="auto"/>
              </w:rPr>
            </w:pPr>
            <w:r>
              <w:rPr>
                <w:rFonts w:ascii="Arial" w:cs="Arial" w:eastAsia="Arial" w:hAnsi="Arial"/>
                <w:sz w:val="14"/>
                <w:szCs w:val="14"/>
                <w:color w:val="auto"/>
              </w:rPr>
              <w:t>9,598,164</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60" w:right="300" w:hanging="328"/>
        <w:spacing w:after="0" w:line="213" w:lineRule="auto"/>
        <w:tabs>
          <w:tab w:leader="none" w:pos="653" w:val="left"/>
        </w:tabs>
        <w:numPr>
          <w:ilvl w:val="1"/>
          <w:numId w:val="91"/>
        </w:numPr>
        <w:rPr>
          <w:rFonts w:ascii="Arial" w:cs="Arial" w:eastAsia="Arial" w:hAnsi="Arial"/>
          <w:sz w:val="19"/>
          <w:szCs w:val="19"/>
          <w:color w:val="auto"/>
          <w:vertAlign w:val="superscript"/>
        </w:rPr>
      </w:pPr>
      <w:r>
        <w:rPr>
          <w:rFonts w:ascii="Arial" w:cs="Arial" w:eastAsia="Arial" w:hAnsi="Arial"/>
          <w:sz w:val="14"/>
          <w:szCs w:val="14"/>
          <w:color w:val="auto"/>
        </w:rPr>
        <w:t>The total average equity award adjustment is calculated by adding the values in columns (a), (b), (c), (d), and (f) less (e). Due to rounding, the total average equity award may not equal the total obtained by adding and subtracting the applicable columns.</w:t>
      </w:r>
    </w:p>
    <w:p>
      <w:pPr>
        <w:spacing w:after="0" w:line="1" w:lineRule="exact"/>
        <w:rPr>
          <w:rFonts w:ascii="Arial" w:cs="Arial" w:eastAsia="Arial" w:hAnsi="Arial"/>
          <w:sz w:val="19"/>
          <w:szCs w:val="19"/>
          <w:color w:val="auto"/>
          <w:vertAlign w:val="superscript"/>
        </w:rPr>
      </w:pPr>
    </w:p>
    <w:p>
      <w:pPr>
        <w:ind w:left="340" w:right="400" w:hanging="332"/>
        <w:spacing w:after="0" w:line="213" w:lineRule="auto"/>
        <w:tabs>
          <w:tab w:leader="none" w:pos="234"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Cumulative total shareholder return (“</w:t>
      </w:r>
      <w:r>
        <w:rPr>
          <w:rFonts w:ascii="Arial" w:cs="Arial" w:eastAsia="Arial" w:hAnsi="Arial"/>
          <w:sz w:val="14"/>
          <w:szCs w:val="14"/>
          <w:b w:val="1"/>
          <w:bCs w:val="1"/>
          <w:i w:val="1"/>
          <w:iCs w:val="1"/>
          <w:color w:val="auto"/>
        </w:rPr>
        <w:t>TSR</w:t>
      </w:r>
      <w:r>
        <w:rPr>
          <w:rFonts w:ascii="Arial" w:cs="Arial" w:eastAsia="Arial" w:hAnsi="Arial"/>
          <w:sz w:val="14"/>
          <w:szCs w:val="14"/>
          <w:color w:val="auto"/>
        </w:rPr>
        <w:t>”) is calculated as the difference between the company’s share price at the end and the beginning of the measurement period divided by the company’s share price at the beginning of the measurement period.</w:t>
      </w:r>
    </w:p>
    <w:p>
      <w:pPr>
        <w:ind w:left="220" w:hanging="212"/>
        <w:spacing w:after="0" w:line="192" w:lineRule="auto"/>
        <w:tabs>
          <w:tab w:leader="none" w:pos="220"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The peer group used for this purpose is the following published industry index: Nasdaq Computer Index.</w:t>
      </w:r>
    </w:p>
    <w:p>
      <w:pPr>
        <w:ind w:left="220" w:hanging="212"/>
        <w:spacing w:after="0"/>
        <w:tabs>
          <w:tab w:leader="none" w:pos="220" w:val="left"/>
        </w:tabs>
        <w:numPr>
          <w:ilvl w:val="0"/>
          <w:numId w:val="92"/>
        </w:numPr>
        <w:rPr>
          <w:rFonts w:ascii="Arial" w:cs="Arial" w:eastAsia="Arial" w:hAnsi="Arial"/>
          <w:sz w:val="9"/>
          <w:szCs w:val="9"/>
          <w:color w:val="auto"/>
        </w:rPr>
      </w:pPr>
      <w:r>
        <w:rPr>
          <w:rFonts w:ascii="Arial" w:cs="Arial" w:eastAsia="Arial" w:hAnsi="Arial"/>
          <w:sz w:val="14"/>
          <w:szCs w:val="14"/>
          <w:color w:val="auto"/>
        </w:rPr>
        <w:t>The dollar amounts reported represent the amount of net income reflected in the company’s audited financial statements for the applicable year.</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326" w:lineRule="exact"/>
        <w:rPr>
          <w:sz w:val="20"/>
          <w:szCs w:val="20"/>
          <w:color w:val="auto"/>
        </w:rPr>
      </w:pPr>
    </w:p>
    <w:p>
      <w:pPr>
        <w:ind w:left="340" w:right="60" w:hanging="332"/>
        <w:spacing w:after="0" w:line="285" w:lineRule="auto"/>
        <w:tabs>
          <w:tab w:leader="none" w:pos="234" w:val="left"/>
        </w:tabs>
        <w:numPr>
          <w:ilvl w:val="0"/>
          <w:numId w:val="93"/>
        </w:numPr>
        <w:rPr>
          <w:rFonts w:ascii="Arial" w:cs="Arial" w:eastAsia="Arial" w:hAnsi="Arial"/>
          <w:sz w:val="9"/>
          <w:szCs w:val="9"/>
          <w:color w:val="auto"/>
        </w:rPr>
      </w:pPr>
      <w:r>
        <w:rPr>
          <w:rFonts w:ascii="Arial" w:cs="Arial" w:eastAsia="Arial" w:hAnsi="Arial"/>
          <w:sz w:val="14"/>
          <w:szCs w:val="14"/>
          <w:color w:val="auto"/>
        </w:rPr>
        <w:t>Annual revenue was calculated to exclude the impact of foreign exchange from our annual revenue reflected in our audited financial statements for the applicable fiscal year by applying the prior year weighted average exchange rate to the applicable period’s results.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Financial Performance Measures</w:t>
      </w:r>
    </w:p>
    <w:p>
      <w:pPr>
        <w:spacing w:after="0" w:line="8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As described in greater detail in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the company’s executive compensation program reflects a variable pay-for-performance philosophy. The measures that the company uses in its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 (not listed in any order of importance):</w:t>
      </w:r>
    </w:p>
    <w:p>
      <w:pPr>
        <w:spacing w:after="0" w:line="128"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6"/>
          <w:szCs w:val="16"/>
          <w:color w:val="0063A6"/>
        </w:rPr>
      </w:pPr>
      <w:r>
        <w:rPr>
          <w:rFonts w:ascii="Arial" w:cs="Arial" w:eastAsia="Arial" w:hAnsi="Arial"/>
          <w:sz w:val="16"/>
          <w:szCs w:val="16"/>
          <w:color w:val="auto"/>
        </w:rPr>
        <w:t>Revenue</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94"/>
        </w:numPr>
        <w:rPr>
          <w:rFonts w:ascii="Arial" w:cs="Arial" w:eastAsia="Arial" w:hAnsi="Arial"/>
          <w:sz w:val="16"/>
          <w:szCs w:val="16"/>
          <w:color w:val="0063A6"/>
        </w:rPr>
      </w:pPr>
      <w:r>
        <w:rPr>
          <w:rFonts w:ascii="Arial" w:cs="Arial" w:eastAsia="Arial" w:hAnsi="Arial"/>
          <w:sz w:val="16"/>
          <w:szCs w:val="16"/>
          <w:color w:val="auto"/>
        </w:rPr>
        <w:t>Non-GAAP operating margin</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94"/>
        </w:numPr>
        <w:rPr>
          <w:rFonts w:ascii="Arial" w:cs="Arial" w:eastAsia="Arial" w:hAnsi="Arial"/>
          <w:sz w:val="16"/>
          <w:szCs w:val="16"/>
          <w:color w:val="0063A6"/>
        </w:rPr>
      </w:pPr>
      <w:r>
        <w:rPr>
          <w:rFonts w:ascii="Arial" w:cs="Arial" w:eastAsia="Arial" w:hAnsi="Arial"/>
          <w:sz w:val="16"/>
          <w:szCs w:val="16"/>
          <w:color w:val="auto"/>
        </w:rPr>
        <w:t>Stock-based compensation expense</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94"/>
        </w:numPr>
        <w:rPr>
          <w:rFonts w:ascii="Arial" w:cs="Arial" w:eastAsia="Arial" w:hAnsi="Arial"/>
          <w:sz w:val="16"/>
          <w:szCs w:val="16"/>
          <w:color w:val="0063A6"/>
        </w:rPr>
      </w:pPr>
      <w:r>
        <w:rPr>
          <w:rFonts w:ascii="Arial" w:cs="Arial" w:eastAsia="Arial" w:hAnsi="Arial"/>
          <w:sz w:val="16"/>
          <w:szCs w:val="16"/>
          <w:color w:val="auto"/>
        </w:rPr>
        <w:t>Stock price</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Analysis of the Information Presented in the Pay versus Performance Table</w:t>
      </w:r>
    </w:p>
    <w:p>
      <w:pPr>
        <w:spacing w:after="0" w:line="10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described in more detail in the section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the company’s executive compensation program reflects a variable pay-for-performance philosophy. While the company utilizes several performance measures to align executive compensation with company performance, not all of those company measures are presented in the “</w:t>
      </w:r>
      <w:r>
        <w:rPr>
          <w:rFonts w:ascii="Arial" w:cs="Arial" w:eastAsia="Arial" w:hAnsi="Arial"/>
          <w:sz w:val="16"/>
          <w:szCs w:val="16"/>
          <w:i w:val="1"/>
          <w:iCs w:val="1"/>
          <w:color w:val="auto"/>
        </w:rPr>
        <w:t>Pay Versus Performance</w:t>
      </w:r>
      <w:r>
        <w:rPr>
          <w:rFonts w:ascii="Arial" w:cs="Arial" w:eastAsia="Arial" w:hAnsi="Arial"/>
          <w:sz w:val="16"/>
          <w:szCs w:val="16"/>
          <w:color w:val="auto"/>
        </w:rPr>
        <w:t>” 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w:t>
      </w:r>
      <w:r>
        <w:rPr>
          <w:rFonts w:ascii="Arial" w:cs="Arial" w:eastAsia="Arial" w:hAnsi="Arial"/>
          <w:sz w:val="16"/>
          <w:szCs w:val="16"/>
          <w:i w:val="1"/>
          <w:iCs w:val="1"/>
          <w:color w:val="auto"/>
        </w:rPr>
        <w:t>Pay Versus Performance</w:t>
      </w:r>
      <w:r>
        <w:rPr>
          <w:rFonts w:ascii="Arial" w:cs="Arial" w:eastAsia="Arial" w:hAnsi="Arial"/>
          <w:sz w:val="16"/>
          <w:szCs w:val="16"/>
          <w:color w:val="auto"/>
        </w:rPr>
        <w:t>” table.</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Compensation Actually Paid and Cumulative TSR</w:t>
      </w:r>
    </w:p>
    <w:p>
      <w:pPr>
        <w:spacing w:after="0" w:line="98"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As demonstrated by the following graph, the amount of compensation actually paid to Mr. Houston decreased between 2020 and 2022 and increased between 2022 and 2023. Similarly, the average amount of compensation actually paid to the company’s NEOs as a group (excluding Mr. Houston) decreased between 2020 and 2022 and increased between 2022 and 2023. During that four-year period, total shareholder return has been positive. The variance in compensation actually paid over the four-year period is because a significant portion of compensation actually paid is comprised of equity awards, and in the case of Mr. Houston, vesting of equity awards is contingent upon achieving stock price targets as described in more detail in the section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135890</wp:posOffset>
            </wp:positionV>
            <wp:extent cx="2837180" cy="2057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3718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Compensation Actually Paid and Net Income</w:t>
      </w:r>
    </w:p>
    <w:p>
      <w:pPr>
        <w:spacing w:after="0" w:line="6" w:lineRule="exact"/>
        <w:rPr>
          <w:sz w:val="20"/>
          <w:szCs w:val="20"/>
          <w:color w:val="auto"/>
        </w:rPr>
      </w:pPr>
    </w:p>
    <w:p>
      <w:pPr>
        <w:ind w:right="540"/>
        <w:spacing w:after="0" w:line="256" w:lineRule="auto"/>
        <w:rPr>
          <w:sz w:val="20"/>
          <w:szCs w:val="20"/>
          <w:color w:val="auto"/>
        </w:rPr>
      </w:pPr>
      <w:r>
        <w:rPr>
          <w:rFonts w:ascii="Arial" w:cs="Arial" w:eastAsia="Arial" w:hAnsi="Arial"/>
          <w:sz w:val="16"/>
          <w:szCs w:val="16"/>
          <w:color w:val="auto"/>
        </w:rPr>
        <w:t>As demonstrated by the following graph, the amount of compensation actually paid to Mr. Houston decreased between 2020 and 2022 and increased between 2022 and 2023, while the company's net income stabilized at a strong position over the same period. Similarly, the average amount of compensation actually paid to the company’s NEOs as a group (excluding Mr.</w:t>
      </w:r>
    </w:p>
    <w:p>
      <w:pPr>
        <w:spacing w:after="0" w:line="200" w:lineRule="exact"/>
        <w:rPr>
          <w:sz w:val="20"/>
          <w:szCs w:val="20"/>
          <w:color w:val="auto"/>
        </w:rPr>
      </w:pPr>
    </w:p>
    <w:p>
      <w:pPr>
        <w:spacing w:after="0" w:line="307" w:lineRule="exact"/>
        <w:rPr>
          <w:sz w:val="20"/>
          <w:szCs w:val="20"/>
          <w:color w:val="auto"/>
        </w:rPr>
      </w:pPr>
    </w:p>
    <w:p>
      <w:pPr>
        <w:ind w:left="580" w:hanging="554"/>
        <w:spacing w:after="0"/>
        <w:tabs>
          <w:tab w:leader="none" w:pos="580" w:val="left"/>
        </w:tabs>
        <w:numPr>
          <w:ilvl w:val="0"/>
          <w:numId w:val="95"/>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30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Houston) decreased between 2020 and 2022 and increased between 2022 and 2023, while the company's net income stabilized at a strong position over the same period. We do not use net income as a performance measure in our short or long-term incentive programs and as further discussed in the section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a majority of the total compensation for the company’s NEOs is in the form of equity and therefore tied to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133350</wp:posOffset>
            </wp:positionV>
            <wp:extent cx="6403340" cy="2057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4033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Compensation Actually Paid and Revenue</w:t>
      </w:r>
    </w:p>
    <w:p>
      <w:pPr>
        <w:spacing w:after="0" w:line="9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As demonstrated by the following graph, the amount of compensation actually paid to Mr. Houston decreased between 2020 and 2022 and increased between 2022 and 2023 while the company's revenue increased over the same period. Similarly, the average amount of compensation actually paid to the company’s NEOs as a group (excluding Mr. Houston) decreased between 2020 and 2022 and increased between 2022 and 2023 while the company’s revenue increased over the same period. The company has determined that revenue is the financial performance measure that, in the company’s assessment, represents the most important financial measure used by the company to link compensation actually paid to the company’s NEOs, for the most recently completed fiscal year, to company performance. As further discussed above in the section “</w:t>
      </w:r>
      <w:r>
        <w:rPr>
          <w:rFonts w:ascii="Arial" w:cs="Arial" w:eastAsia="Arial" w:hAnsi="Arial"/>
          <w:sz w:val="16"/>
          <w:szCs w:val="16"/>
          <w:i w:val="1"/>
          <w:iCs w:val="1"/>
          <w:color w:val="auto"/>
        </w:rPr>
        <w:t>Executive Compensation – Compensation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and Analysis</w:t>
      </w:r>
      <w:r>
        <w:rPr>
          <w:rFonts w:ascii="Arial" w:cs="Arial" w:eastAsia="Arial" w:hAnsi="Arial"/>
          <w:sz w:val="16"/>
          <w:szCs w:val="16"/>
          <w:color w:val="auto"/>
        </w:rPr>
        <w:t>”, revenue represents two-thirds of the corporate multiplier of the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134620</wp:posOffset>
            </wp:positionV>
            <wp:extent cx="6403340" cy="2057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033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63A6"/>
        </w:rPr>
        <w:t>Cumulative TSR of the Company and Cumulative TSR of the Peer Group</w:t>
      </w:r>
    </w:p>
    <w:p>
      <w:pPr>
        <w:spacing w:after="0" w:line="111"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As demonstrated by the following graph, the company’s cumulative TSR over the four-year period presented in the table grew by 65%, while the cumulative TSR of the peer group presented for this purpose, the Nasdaq Computer Index, was 121% over the four years presented in the graph. For more information regarding the company’s performance and the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61</w:t>
            </w:r>
          </w:p>
        </w:tc>
      </w:tr>
      <w:tr>
        <w:trPr>
          <w:trHeight w:val="198"/>
        </w:trPr>
        <w:tc>
          <w:tcPr>
            <w:tcW w:w="108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EXECUTIVE COMPENSATION (continued)</w:t>
      </w:r>
    </w:p>
    <w:p>
      <w:pPr>
        <w:spacing w:after="0" w:line="200" w:lineRule="exact"/>
        <w:rPr>
          <w:sz w:val="20"/>
          <w:szCs w:val="20"/>
          <w:color w:val="auto"/>
        </w:rPr>
      </w:pPr>
    </w:p>
    <w:p>
      <w:pPr>
        <w:spacing w:after="0" w:line="2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companies that the talent and compensation committee considers when determining compensation, refer to “</w:t>
      </w:r>
      <w:r>
        <w:rPr>
          <w:rFonts w:ascii="Arial" w:cs="Arial" w:eastAsia="Arial" w:hAnsi="Arial"/>
          <w:sz w:val="16"/>
          <w:szCs w:val="16"/>
          <w:i w:val="1"/>
          <w:iCs w:val="1"/>
          <w:color w:val="auto"/>
        </w:rPr>
        <w:t>Executive Compensation –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116205</wp:posOffset>
            </wp:positionV>
            <wp:extent cx="2837180" cy="2057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3718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0" w:hanging="554"/>
        <w:spacing w:after="0"/>
        <w:tabs>
          <w:tab w:leader="none" w:pos="580" w:val="left"/>
        </w:tabs>
        <w:numPr>
          <w:ilvl w:val="0"/>
          <w:numId w:val="96"/>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4" w:right="7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color w:val="0063A6"/>
        </w:rPr>
        <w:t>EQUITY COMPENSATION PLAN INFORMATION</w:t>
      </w:r>
    </w:p>
    <w:p>
      <w:pPr>
        <w:spacing w:after="0" w:line="200" w:lineRule="exact"/>
        <w:rPr>
          <w:sz w:val="20"/>
          <w:szCs w:val="20"/>
          <w:color w:val="auto"/>
        </w:rPr>
      </w:pPr>
    </w:p>
    <w:p>
      <w:pPr>
        <w:spacing w:after="0" w:line="25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following table summarizes our equity compensation plan information as of December 31, 2023. Information is included for equity compensation plans approved by our stockholders. We do not have any equity compensation plans not approved by our stockholders. The table does not include information with respect to shares subject to outstanding awards assumed by Dropbox in connection with acquisitions of the companies that originally granted those awards, nor does it include shares underlying the RSAs granted to Mr. Houston pursuant to the Co-Founder Grant. As of December 31, 2023, 87,874 shares of Class A common stock were issuable upon exercise of outstanding options and release of restricted stock units assumed in connection with acquisitions. The weighted average exercise price of such outstanding options was $7.53 per share. No additional equity awards may be granted under any assumed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115175" cy="9944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15175" cy="99441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shd w:val="clear" w:color="auto" w:fill="0063A6"/>
          </w:tcPr>
          <w:p>
            <w:pPr>
              <w:spacing w:after="0"/>
              <w:rPr>
                <w:sz w:val="20"/>
                <w:szCs w:val="20"/>
                <w:color w:val="auto"/>
              </w:rPr>
            </w:pPr>
          </w:p>
        </w:tc>
        <w:tc>
          <w:tcPr>
            <w:tcW w:w="2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2220" w:type="dxa"/>
            <w:vAlign w:val="bottom"/>
            <w:shd w:val="clear" w:color="auto" w:fill="0063A6"/>
          </w:tcPr>
          <w:p>
            <w:pPr>
              <w:spacing w:after="0"/>
              <w:rPr>
                <w:sz w:val="20"/>
                <w:szCs w:val="20"/>
                <w:color w:val="auto"/>
              </w:rPr>
            </w:pP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Number of Securities Remaining</w:t>
            </w:r>
          </w:p>
        </w:tc>
      </w:tr>
      <w:tr>
        <w:trPr>
          <w:trHeight w:val="162"/>
        </w:trPr>
        <w:tc>
          <w:tcPr>
            <w:tcW w:w="3820" w:type="dxa"/>
            <w:vAlign w:val="bottom"/>
            <w:shd w:val="clear" w:color="auto" w:fill="0063A6"/>
          </w:tcPr>
          <w:p>
            <w:pPr>
              <w:spacing w:after="0"/>
              <w:rPr>
                <w:sz w:val="14"/>
                <w:szCs w:val="14"/>
                <w:color w:val="auto"/>
              </w:rPr>
            </w:pPr>
          </w:p>
        </w:tc>
        <w:tc>
          <w:tcPr>
            <w:tcW w:w="2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to be Issued Upon</w:t>
            </w:r>
          </w:p>
        </w:tc>
        <w:tc>
          <w:tcPr>
            <w:tcW w:w="22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Available for Future Issuance</w:t>
            </w:r>
          </w:p>
        </w:tc>
      </w:tr>
      <w:tr>
        <w:trPr>
          <w:trHeight w:val="162"/>
        </w:trPr>
        <w:tc>
          <w:tcPr>
            <w:tcW w:w="3820" w:type="dxa"/>
            <w:vAlign w:val="bottom"/>
            <w:shd w:val="clear" w:color="auto" w:fill="0063A6"/>
          </w:tcPr>
          <w:p>
            <w:pPr>
              <w:spacing w:after="0"/>
              <w:rPr>
                <w:sz w:val="14"/>
                <w:szCs w:val="14"/>
                <w:color w:val="auto"/>
              </w:rPr>
            </w:pPr>
          </w:p>
        </w:tc>
        <w:tc>
          <w:tcPr>
            <w:tcW w:w="2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 of</w:t>
            </w:r>
          </w:p>
        </w:tc>
        <w:tc>
          <w:tcPr>
            <w:tcW w:w="22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Under Equity Compensation</w:t>
            </w:r>
          </w:p>
        </w:tc>
      </w:tr>
      <w:tr>
        <w:trPr>
          <w:trHeight w:val="175"/>
        </w:trPr>
        <w:tc>
          <w:tcPr>
            <w:tcW w:w="3820" w:type="dxa"/>
            <w:vAlign w:val="bottom"/>
            <w:shd w:val="clear" w:color="auto" w:fill="0063A6"/>
          </w:tcPr>
          <w:p>
            <w:pPr>
              <w:spacing w:after="0"/>
              <w:rPr>
                <w:sz w:val="15"/>
                <w:szCs w:val="15"/>
                <w:color w:val="auto"/>
              </w:rPr>
            </w:pPr>
          </w:p>
        </w:tc>
        <w:tc>
          <w:tcPr>
            <w:tcW w:w="2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2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Plans (Excluding Securities</w:t>
            </w:r>
          </w:p>
        </w:tc>
      </w:tr>
      <w:tr>
        <w:trPr>
          <w:trHeight w:val="196"/>
        </w:trPr>
        <w:tc>
          <w:tcPr>
            <w:tcW w:w="382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Plan Category</w:t>
            </w:r>
          </w:p>
        </w:tc>
        <w:tc>
          <w:tcPr>
            <w:tcW w:w="214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2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30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Reflected in the First Column)</w:t>
            </w:r>
          </w:p>
        </w:tc>
      </w:tr>
      <w:tr>
        <w:trPr>
          <w:trHeight w:val="56"/>
        </w:trPr>
        <w:tc>
          <w:tcPr>
            <w:tcW w:w="3820" w:type="dxa"/>
            <w:vAlign w:val="bottom"/>
            <w:shd w:val="clear" w:color="auto" w:fill="0063A6"/>
          </w:tcPr>
          <w:p>
            <w:pPr>
              <w:spacing w:after="0"/>
              <w:rPr>
                <w:sz w:val="4"/>
                <w:szCs w:val="4"/>
                <w:color w:val="auto"/>
              </w:rPr>
            </w:pPr>
          </w:p>
        </w:tc>
        <w:tc>
          <w:tcPr>
            <w:tcW w:w="2140" w:type="dxa"/>
            <w:vAlign w:val="bottom"/>
            <w:shd w:val="clear" w:color="auto" w:fill="0063A6"/>
          </w:tcPr>
          <w:p>
            <w:pPr>
              <w:spacing w:after="0"/>
              <w:rPr>
                <w:sz w:val="4"/>
                <w:szCs w:val="4"/>
                <w:color w:val="auto"/>
              </w:rPr>
            </w:pPr>
          </w:p>
        </w:tc>
        <w:tc>
          <w:tcPr>
            <w:tcW w:w="2220" w:type="dxa"/>
            <w:vAlign w:val="bottom"/>
            <w:shd w:val="clear" w:color="auto" w:fill="0063A6"/>
          </w:tcPr>
          <w:p>
            <w:pPr>
              <w:spacing w:after="0"/>
              <w:rPr>
                <w:sz w:val="4"/>
                <w:szCs w:val="4"/>
                <w:color w:val="auto"/>
              </w:rPr>
            </w:pPr>
          </w:p>
        </w:tc>
        <w:tc>
          <w:tcPr>
            <w:tcW w:w="3020" w:type="dxa"/>
            <w:vAlign w:val="bottom"/>
            <w:shd w:val="clear" w:color="auto" w:fill="0063A6"/>
          </w:tcPr>
          <w:p>
            <w:pPr>
              <w:spacing w:after="0"/>
              <w:rPr>
                <w:sz w:val="4"/>
                <w:szCs w:val="4"/>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 w:type="dxa"/>
            <w:vAlign w:val="bottom"/>
            <w:shd w:val="clear" w:color="auto" w:fill="F2F2F2"/>
          </w:tcPr>
          <w:p>
            <w:pPr>
              <w:spacing w:after="0"/>
              <w:rPr>
                <w:sz w:val="22"/>
                <w:szCs w:val="22"/>
                <w:color w:val="auto"/>
              </w:rPr>
            </w:pPr>
          </w:p>
        </w:tc>
        <w:tc>
          <w:tcPr>
            <w:tcW w:w="3480" w:type="dxa"/>
            <w:vAlign w:val="bottom"/>
            <w:gridSpan w:val="3"/>
            <w:shd w:val="clear" w:color="auto" w:fill="F2F2F2"/>
          </w:tcPr>
          <w:p>
            <w:pPr>
              <w:spacing w:after="0"/>
              <w:rPr>
                <w:sz w:val="20"/>
                <w:szCs w:val="20"/>
                <w:color w:val="auto"/>
              </w:rPr>
            </w:pPr>
            <w:r>
              <w:rPr>
                <w:rFonts w:ascii="Arial" w:cs="Arial" w:eastAsia="Arial" w:hAnsi="Arial"/>
                <w:sz w:val="16"/>
                <w:szCs w:val="16"/>
                <w:color w:val="auto"/>
                <w:shd w:val="clear" w:color="auto" w:fill="F2F2F2"/>
              </w:rPr>
              <w:t>Equity compensation plans approved by security</w:t>
            </w:r>
          </w:p>
        </w:tc>
        <w:tc>
          <w:tcPr>
            <w:tcW w:w="1880" w:type="dxa"/>
            <w:vAlign w:val="bottom"/>
            <w:shd w:val="clear" w:color="auto" w:fill="F2F2F2"/>
          </w:tcPr>
          <w:p>
            <w:pPr>
              <w:spacing w:after="0"/>
              <w:rPr>
                <w:sz w:val="22"/>
                <w:szCs w:val="22"/>
                <w:color w:val="auto"/>
              </w:rPr>
            </w:pPr>
          </w:p>
        </w:tc>
        <w:tc>
          <w:tcPr>
            <w:tcW w:w="860" w:type="dxa"/>
            <w:vAlign w:val="bottom"/>
            <w:shd w:val="clear" w:color="auto" w:fill="F2F2F2"/>
          </w:tcPr>
          <w:p>
            <w:pPr>
              <w:spacing w:after="0"/>
              <w:rPr>
                <w:sz w:val="22"/>
                <w:szCs w:val="22"/>
                <w:color w:val="auto"/>
              </w:rPr>
            </w:pPr>
          </w:p>
        </w:tc>
        <w:tc>
          <w:tcPr>
            <w:tcW w:w="1200" w:type="dxa"/>
            <w:vAlign w:val="bottom"/>
            <w:shd w:val="clear" w:color="auto" w:fill="F2F2F2"/>
          </w:tcPr>
          <w:p>
            <w:pPr>
              <w:spacing w:after="0"/>
              <w:rPr>
                <w:sz w:val="22"/>
                <w:szCs w:val="22"/>
                <w:color w:val="auto"/>
              </w:rPr>
            </w:pPr>
          </w:p>
        </w:tc>
        <w:tc>
          <w:tcPr>
            <w:tcW w:w="1040" w:type="dxa"/>
            <w:vAlign w:val="bottom"/>
            <w:shd w:val="clear" w:color="auto" w:fill="F2F2F2"/>
          </w:tcPr>
          <w:p>
            <w:pPr>
              <w:spacing w:after="0"/>
              <w:rPr>
                <w:sz w:val="22"/>
                <w:szCs w:val="22"/>
                <w:color w:val="auto"/>
              </w:rPr>
            </w:pPr>
          </w:p>
        </w:tc>
        <w:tc>
          <w:tcPr>
            <w:tcW w:w="1780" w:type="dxa"/>
            <w:vAlign w:val="bottom"/>
            <w:shd w:val="clear" w:color="auto" w:fill="F2F2F2"/>
          </w:tcPr>
          <w:p>
            <w:pPr>
              <w:spacing w:after="0"/>
              <w:rPr>
                <w:sz w:val="22"/>
                <w:szCs w:val="22"/>
                <w:color w:val="auto"/>
              </w:rPr>
            </w:pPr>
          </w:p>
        </w:tc>
        <w:tc>
          <w:tcPr>
            <w:tcW w:w="920" w:type="dxa"/>
            <w:vAlign w:val="bottom"/>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40" w:type="dxa"/>
            <w:vAlign w:val="bottom"/>
            <w:shd w:val="clear" w:color="auto" w:fill="F2F2F2"/>
          </w:tcPr>
          <w:p>
            <w:pPr>
              <w:spacing w:after="0"/>
              <w:rPr>
                <w:sz w:val="12"/>
                <w:szCs w:val="12"/>
                <w:color w:val="auto"/>
              </w:rPr>
            </w:pPr>
          </w:p>
        </w:tc>
        <w:tc>
          <w:tcPr>
            <w:tcW w:w="540" w:type="dxa"/>
            <w:vAlign w:val="bottom"/>
            <w:vMerge w:val="restart"/>
            <w:shd w:val="clear" w:color="auto" w:fill="F2F2F2"/>
          </w:tcPr>
          <w:p>
            <w:pPr>
              <w:spacing w:after="0"/>
              <w:rPr>
                <w:sz w:val="20"/>
                <w:szCs w:val="20"/>
                <w:color w:val="auto"/>
              </w:rPr>
            </w:pPr>
            <w:r>
              <w:rPr>
                <w:rFonts w:ascii="Arial" w:cs="Arial" w:eastAsia="Arial" w:hAnsi="Arial"/>
                <w:sz w:val="16"/>
                <w:szCs w:val="16"/>
                <w:color w:val="auto"/>
                <w:w w:val="99"/>
                <w:shd w:val="clear" w:color="auto" w:fill="F2F2F2"/>
              </w:rPr>
              <w:t>holders</w:t>
            </w:r>
          </w:p>
        </w:tc>
        <w:tc>
          <w:tcPr>
            <w:tcW w:w="120" w:type="dxa"/>
            <w:vAlign w:val="bottom"/>
            <w:shd w:val="clear" w:color="auto" w:fill="F2F2F2"/>
          </w:tcPr>
          <w:p>
            <w:pPr>
              <w:jc w:val="right"/>
              <w:spacing w:after="0"/>
              <w:rPr>
                <w:sz w:val="20"/>
                <w:szCs w:val="20"/>
                <w:color w:val="auto"/>
              </w:rPr>
            </w:pPr>
            <w:r>
              <w:rPr>
                <w:rFonts w:ascii="Arial" w:cs="Arial" w:eastAsia="Arial" w:hAnsi="Arial"/>
                <w:sz w:val="11"/>
                <w:szCs w:val="11"/>
                <w:color w:val="auto"/>
                <w:w w:val="74"/>
                <w:shd w:val="clear" w:color="auto" w:fill="F2F2F2"/>
              </w:rPr>
              <w:t>(1)</w:t>
            </w:r>
          </w:p>
        </w:tc>
        <w:tc>
          <w:tcPr>
            <w:tcW w:w="2820" w:type="dxa"/>
            <w:vAlign w:val="bottom"/>
            <w:vMerge w:val="restart"/>
            <w:shd w:val="clear" w:color="auto" w:fill="F2F2F2"/>
          </w:tcPr>
          <w:p>
            <w:pPr>
              <w:spacing w:after="0"/>
              <w:rPr>
                <w:sz w:val="12"/>
                <w:szCs w:val="12"/>
                <w:color w:val="auto"/>
              </w:rPr>
            </w:pPr>
          </w:p>
        </w:tc>
        <w:tc>
          <w:tcPr>
            <w:tcW w:w="1880" w:type="dxa"/>
            <w:vAlign w:val="bottom"/>
            <w:vMerge w:val="restart"/>
            <w:shd w:val="clear" w:color="auto" w:fill="F2F2F2"/>
          </w:tcPr>
          <w:p>
            <w:pPr>
              <w:jc w:val="right"/>
              <w:ind w:right="179"/>
              <w:spacing w:after="0"/>
              <w:rPr>
                <w:sz w:val="20"/>
                <w:szCs w:val="20"/>
                <w:color w:val="auto"/>
              </w:rPr>
            </w:pPr>
            <w:r>
              <w:rPr>
                <w:rFonts w:ascii="Arial" w:cs="Arial" w:eastAsia="Arial" w:hAnsi="Arial"/>
                <w:sz w:val="16"/>
                <w:szCs w:val="16"/>
                <w:color w:val="auto"/>
              </w:rPr>
              <w:t>30,475,699</w:t>
            </w:r>
          </w:p>
        </w:tc>
        <w:tc>
          <w:tcPr>
            <w:tcW w:w="860" w:type="dxa"/>
            <w:vAlign w:val="bottom"/>
            <w:vMerge w:val="restart"/>
            <w:shd w:val="clear" w:color="auto" w:fill="F2F2F2"/>
          </w:tcPr>
          <w:p>
            <w:pPr>
              <w:jc w:val="right"/>
              <w:ind w:right="402"/>
              <w:spacing w:after="0"/>
              <w:rPr>
                <w:sz w:val="20"/>
                <w:szCs w:val="20"/>
                <w:color w:val="auto"/>
              </w:rPr>
            </w:pPr>
            <w:r>
              <w:rPr>
                <w:rFonts w:ascii="Arial" w:cs="Arial" w:eastAsia="Arial" w:hAnsi="Arial"/>
                <w:sz w:val="12"/>
                <w:szCs w:val="12"/>
                <w:color w:val="auto"/>
              </w:rPr>
              <w:t>(2)</w:t>
            </w:r>
          </w:p>
        </w:tc>
        <w:tc>
          <w:tcPr>
            <w:tcW w:w="1200" w:type="dxa"/>
            <w:vAlign w:val="bottom"/>
            <w:vMerge w:val="restart"/>
            <w:shd w:val="clear" w:color="auto" w:fill="F2F2F2"/>
          </w:tcPr>
          <w:p>
            <w:pPr>
              <w:jc w:val="right"/>
              <w:ind w:right="279"/>
              <w:spacing w:after="0"/>
              <w:rPr>
                <w:sz w:val="20"/>
                <w:szCs w:val="20"/>
                <w:color w:val="auto"/>
              </w:rPr>
            </w:pPr>
            <w:r>
              <w:rPr>
                <w:rFonts w:ascii="Arial" w:cs="Arial" w:eastAsia="Arial" w:hAnsi="Arial"/>
                <w:sz w:val="16"/>
                <w:szCs w:val="16"/>
                <w:color w:val="auto"/>
              </w:rPr>
              <w:t>23.80</w:t>
            </w:r>
          </w:p>
        </w:tc>
        <w:tc>
          <w:tcPr>
            <w:tcW w:w="1040" w:type="dxa"/>
            <w:vAlign w:val="bottom"/>
            <w:vMerge w:val="restart"/>
            <w:shd w:val="clear" w:color="auto" w:fill="F2F2F2"/>
          </w:tcPr>
          <w:p>
            <w:pPr>
              <w:jc w:val="right"/>
              <w:ind w:right="462"/>
              <w:spacing w:after="0"/>
              <w:rPr>
                <w:sz w:val="20"/>
                <w:szCs w:val="20"/>
                <w:color w:val="auto"/>
              </w:rPr>
            </w:pPr>
            <w:r>
              <w:rPr>
                <w:rFonts w:ascii="Arial" w:cs="Arial" w:eastAsia="Arial" w:hAnsi="Arial"/>
                <w:sz w:val="12"/>
                <w:szCs w:val="12"/>
                <w:color w:val="auto"/>
              </w:rPr>
              <w:t>(3)</w:t>
            </w:r>
          </w:p>
        </w:tc>
        <w:tc>
          <w:tcPr>
            <w:tcW w:w="1780" w:type="dxa"/>
            <w:vAlign w:val="bottom"/>
            <w:vMerge w:val="restart"/>
            <w:shd w:val="clear" w:color="auto" w:fill="F2F2F2"/>
          </w:tcPr>
          <w:p>
            <w:pPr>
              <w:jc w:val="right"/>
              <w:ind w:right="359"/>
              <w:spacing w:after="0"/>
              <w:rPr>
                <w:sz w:val="20"/>
                <w:szCs w:val="20"/>
                <w:color w:val="auto"/>
              </w:rPr>
            </w:pPr>
            <w:r>
              <w:rPr>
                <w:rFonts w:ascii="Arial" w:cs="Arial" w:eastAsia="Arial" w:hAnsi="Arial"/>
                <w:sz w:val="16"/>
                <w:szCs w:val="16"/>
                <w:color w:val="auto"/>
              </w:rPr>
              <w:t>78,626,853</w:t>
            </w:r>
          </w:p>
        </w:tc>
        <w:tc>
          <w:tcPr>
            <w:tcW w:w="920" w:type="dxa"/>
            <w:vAlign w:val="bottom"/>
            <w:vMerge w:val="restart"/>
            <w:shd w:val="clear" w:color="auto" w:fill="F2F2F2"/>
          </w:tcPr>
          <w:p>
            <w:pPr>
              <w:jc w:val="right"/>
              <w:ind w:right="142"/>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60"/>
        </w:trPr>
        <w:tc>
          <w:tcPr>
            <w:tcW w:w="40" w:type="dxa"/>
            <w:vAlign w:val="bottom"/>
            <w:shd w:val="clear" w:color="auto" w:fill="F2F2F2"/>
          </w:tcPr>
          <w:p>
            <w:pPr>
              <w:spacing w:after="0"/>
              <w:rPr>
                <w:sz w:val="5"/>
                <w:szCs w:val="5"/>
                <w:color w:val="auto"/>
              </w:rPr>
            </w:pPr>
          </w:p>
        </w:tc>
        <w:tc>
          <w:tcPr>
            <w:tcW w:w="540" w:type="dxa"/>
            <w:vAlign w:val="bottom"/>
            <w:vMerge w:val="continue"/>
            <w:shd w:val="clear" w:color="auto" w:fill="F2F2F2"/>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2820" w:type="dxa"/>
            <w:vAlign w:val="bottom"/>
            <w:vMerge w:val="continue"/>
            <w:shd w:val="clear" w:color="auto" w:fill="F2F2F2"/>
          </w:tcPr>
          <w:p>
            <w:pPr>
              <w:spacing w:after="0"/>
              <w:rPr>
                <w:sz w:val="5"/>
                <w:szCs w:val="5"/>
                <w:color w:val="auto"/>
              </w:rPr>
            </w:pPr>
          </w:p>
        </w:tc>
        <w:tc>
          <w:tcPr>
            <w:tcW w:w="1880" w:type="dxa"/>
            <w:vAlign w:val="bottom"/>
            <w:vMerge w:val="continue"/>
            <w:shd w:val="clear" w:color="auto" w:fill="F2F2F2"/>
          </w:tcPr>
          <w:p>
            <w:pPr>
              <w:spacing w:after="0"/>
              <w:rPr>
                <w:sz w:val="5"/>
                <w:szCs w:val="5"/>
                <w:color w:val="auto"/>
              </w:rPr>
            </w:pPr>
          </w:p>
        </w:tc>
        <w:tc>
          <w:tcPr>
            <w:tcW w:w="860" w:type="dxa"/>
            <w:vAlign w:val="bottom"/>
            <w:vMerge w:val="continue"/>
            <w:shd w:val="clear" w:color="auto" w:fill="F2F2F2"/>
          </w:tcPr>
          <w:p>
            <w:pPr>
              <w:spacing w:after="0"/>
              <w:rPr>
                <w:sz w:val="5"/>
                <w:szCs w:val="5"/>
                <w:color w:val="auto"/>
              </w:rPr>
            </w:pPr>
          </w:p>
        </w:tc>
        <w:tc>
          <w:tcPr>
            <w:tcW w:w="1200" w:type="dxa"/>
            <w:vAlign w:val="bottom"/>
            <w:vMerge w:val="continue"/>
            <w:shd w:val="clear" w:color="auto" w:fill="F2F2F2"/>
          </w:tcPr>
          <w:p>
            <w:pPr>
              <w:spacing w:after="0"/>
              <w:rPr>
                <w:sz w:val="5"/>
                <w:szCs w:val="5"/>
                <w:color w:val="auto"/>
              </w:rPr>
            </w:pPr>
          </w:p>
        </w:tc>
        <w:tc>
          <w:tcPr>
            <w:tcW w:w="1040" w:type="dxa"/>
            <w:vAlign w:val="bottom"/>
            <w:vMerge w:val="continue"/>
            <w:shd w:val="clear" w:color="auto" w:fill="F2F2F2"/>
          </w:tcPr>
          <w:p>
            <w:pPr>
              <w:spacing w:after="0"/>
              <w:rPr>
                <w:sz w:val="5"/>
                <w:szCs w:val="5"/>
                <w:color w:val="auto"/>
              </w:rPr>
            </w:pPr>
          </w:p>
        </w:tc>
        <w:tc>
          <w:tcPr>
            <w:tcW w:w="1780" w:type="dxa"/>
            <w:vAlign w:val="bottom"/>
            <w:vMerge w:val="continue"/>
            <w:shd w:val="clear" w:color="auto" w:fill="F2F2F2"/>
          </w:tcPr>
          <w:p>
            <w:pPr>
              <w:spacing w:after="0"/>
              <w:rPr>
                <w:sz w:val="5"/>
                <w:szCs w:val="5"/>
                <w:color w:val="auto"/>
              </w:rPr>
            </w:pPr>
          </w:p>
        </w:tc>
        <w:tc>
          <w:tcPr>
            <w:tcW w:w="92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40" w:type="dxa"/>
            <w:vAlign w:val="bottom"/>
            <w:shd w:val="clear" w:color="auto" w:fill="F2F2F2"/>
          </w:tcPr>
          <w:p>
            <w:pPr>
              <w:spacing w:after="0"/>
              <w:rPr>
                <w:sz w:val="5"/>
                <w:szCs w:val="5"/>
                <w:color w:val="auto"/>
              </w:rPr>
            </w:pPr>
          </w:p>
        </w:tc>
        <w:tc>
          <w:tcPr>
            <w:tcW w:w="540" w:type="dxa"/>
            <w:vAlign w:val="bottom"/>
            <w:shd w:val="clear" w:color="auto" w:fill="F2F2F2"/>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2820" w:type="dxa"/>
            <w:vAlign w:val="bottom"/>
            <w:shd w:val="clear" w:color="auto" w:fill="F2F2F2"/>
          </w:tcPr>
          <w:p>
            <w:pPr>
              <w:spacing w:after="0"/>
              <w:rPr>
                <w:sz w:val="5"/>
                <w:szCs w:val="5"/>
                <w:color w:val="auto"/>
              </w:rPr>
            </w:pPr>
          </w:p>
        </w:tc>
        <w:tc>
          <w:tcPr>
            <w:tcW w:w="1880" w:type="dxa"/>
            <w:vAlign w:val="bottom"/>
            <w:vMerge w:val="continue"/>
            <w:shd w:val="clear" w:color="auto" w:fill="F2F2F2"/>
          </w:tcPr>
          <w:p>
            <w:pPr>
              <w:spacing w:after="0"/>
              <w:rPr>
                <w:sz w:val="5"/>
                <w:szCs w:val="5"/>
                <w:color w:val="auto"/>
              </w:rPr>
            </w:pPr>
          </w:p>
        </w:tc>
        <w:tc>
          <w:tcPr>
            <w:tcW w:w="860" w:type="dxa"/>
            <w:vAlign w:val="bottom"/>
            <w:shd w:val="clear" w:color="auto" w:fill="F2F2F2"/>
          </w:tcPr>
          <w:p>
            <w:pPr>
              <w:spacing w:after="0"/>
              <w:rPr>
                <w:sz w:val="5"/>
                <w:szCs w:val="5"/>
                <w:color w:val="auto"/>
              </w:rPr>
            </w:pPr>
          </w:p>
        </w:tc>
        <w:tc>
          <w:tcPr>
            <w:tcW w:w="1200" w:type="dxa"/>
            <w:vAlign w:val="bottom"/>
            <w:vMerge w:val="continue"/>
            <w:shd w:val="clear" w:color="auto" w:fill="F2F2F2"/>
          </w:tcPr>
          <w:p>
            <w:pPr>
              <w:spacing w:after="0"/>
              <w:rPr>
                <w:sz w:val="5"/>
                <w:szCs w:val="5"/>
                <w:color w:val="auto"/>
              </w:rPr>
            </w:pPr>
          </w:p>
        </w:tc>
        <w:tc>
          <w:tcPr>
            <w:tcW w:w="1040" w:type="dxa"/>
            <w:vAlign w:val="bottom"/>
            <w:shd w:val="clear" w:color="auto" w:fill="F2F2F2"/>
          </w:tcPr>
          <w:p>
            <w:pPr>
              <w:spacing w:after="0"/>
              <w:rPr>
                <w:sz w:val="5"/>
                <w:szCs w:val="5"/>
                <w:color w:val="auto"/>
              </w:rPr>
            </w:pPr>
          </w:p>
        </w:tc>
        <w:tc>
          <w:tcPr>
            <w:tcW w:w="1780" w:type="dxa"/>
            <w:vAlign w:val="bottom"/>
            <w:vMerge w:val="continue"/>
            <w:shd w:val="clear" w:color="auto" w:fill="F2F2F2"/>
          </w:tcPr>
          <w:p>
            <w:pPr>
              <w:spacing w:after="0"/>
              <w:rPr>
                <w:sz w:val="5"/>
                <w:szCs w:val="5"/>
                <w:color w:val="auto"/>
              </w:rPr>
            </w:pPr>
          </w:p>
        </w:tc>
        <w:tc>
          <w:tcPr>
            <w:tcW w:w="92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40" w:type="dxa"/>
            <w:vAlign w:val="bottom"/>
            <w:shd w:val="clear" w:color="auto" w:fill="F2F2F2"/>
          </w:tcPr>
          <w:p>
            <w:pPr>
              <w:spacing w:after="0"/>
              <w:rPr>
                <w:sz w:val="2"/>
                <w:szCs w:val="2"/>
                <w:color w:val="auto"/>
              </w:rPr>
            </w:pPr>
          </w:p>
        </w:tc>
        <w:tc>
          <w:tcPr>
            <w:tcW w:w="540" w:type="dxa"/>
            <w:vAlign w:val="bottom"/>
            <w:shd w:val="clear" w:color="auto" w:fill="F2F2F2"/>
          </w:tcPr>
          <w:p>
            <w:pPr>
              <w:spacing w:after="0"/>
              <w:rPr>
                <w:sz w:val="2"/>
                <w:szCs w:val="2"/>
                <w:color w:val="auto"/>
              </w:rPr>
            </w:pPr>
          </w:p>
        </w:tc>
        <w:tc>
          <w:tcPr>
            <w:tcW w:w="120" w:type="dxa"/>
            <w:vAlign w:val="bottom"/>
            <w:shd w:val="clear" w:color="auto" w:fill="F2F2F2"/>
          </w:tcPr>
          <w:p>
            <w:pPr>
              <w:spacing w:after="0"/>
              <w:rPr>
                <w:sz w:val="2"/>
                <w:szCs w:val="2"/>
                <w:color w:val="auto"/>
              </w:rPr>
            </w:pPr>
          </w:p>
        </w:tc>
        <w:tc>
          <w:tcPr>
            <w:tcW w:w="2820" w:type="dxa"/>
            <w:vAlign w:val="bottom"/>
            <w:shd w:val="clear" w:color="auto" w:fill="F2F2F2"/>
          </w:tcPr>
          <w:p>
            <w:pPr>
              <w:spacing w:after="0"/>
              <w:rPr>
                <w:sz w:val="2"/>
                <w:szCs w:val="2"/>
                <w:color w:val="auto"/>
              </w:rPr>
            </w:pPr>
          </w:p>
        </w:tc>
        <w:tc>
          <w:tcPr>
            <w:tcW w:w="1880" w:type="dxa"/>
            <w:vAlign w:val="bottom"/>
            <w:shd w:val="clear" w:color="auto" w:fill="F2F2F2"/>
          </w:tcPr>
          <w:p>
            <w:pPr>
              <w:spacing w:after="0"/>
              <w:rPr>
                <w:sz w:val="2"/>
                <w:szCs w:val="2"/>
                <w:color w:val="auto"/>
              </w:rPr>
            </w:pPr>
          </w:p>
        </w:tc>
        <w:tc>
          <w:tcPr>
            <w:tcW w:w="860" w:type="dxa"/>
            <w:vAlign w:val="bottom"/>
            <w:shd w:val="clear" w:color="auto" w:fill="F2F2F2"/>
          </w:tcPr>
          <w:p>
            <w:pPr>
              <w:spacing w:after="0"/>
              <w:rPr>
                <w:sz w:val="2"/>
                <w:szCs w:val="2"/>
                <w:color w:val="auto"/>
              </w:rPr>
            </w:pPr>
          </w:p>
        </w:tc>
        <w:tc>
          <w:tcPr>
            <w:tcW w:w="1200" w:type="dxa"/>
            <w:vAlign w:val="bottom"/>
            <w:shd w:val="clear" w:color="auto" w:fill="F2F2F2"/>
          </w:tcPr>
          <w:p>
            <w:pPr>
              <w:spacing w:after="0"/>
              <w:rPr>
                <w:sz w:val="2"/>
                <w:szCs w:val="2"/>
                <w:color w:val="auto"/>
              </w:rPr>
            </w:pPr>
          </w:p>
        </w:tc>
        <w:tc>
          <w:tcPr>
            <w:tcW w:w="1040" w:type="dxa"/>
            <w:vAlign w:val="bottom"/>
            <w:shd w:val="clear" w:color="auto" w:fill="F2F2F2"/>
          </w:tcPr>
          <w:p>
            <w:pPr>
              <w:spacing w:after="0"/>
              <w:rPr>
                <w:sz w:val="2"/>
                <w:szCs w:val="2"/>
                <w:color w:val="auto"/>
              </w:rPr>
            </w:pPr>
          </w:p>
        </w:tc>
        <w:tc>
          <w:tcPr>
            <w:tcW w:w="1780" w:type="dxa"/>
            <w:vAlign w:val="bottom"/>
            <w:shd w:val="clear" w:color="auto" w:fill="F2F2F2"/>
          </w:tcPr>
          <w:p>
            <w:pPr>
              <w:spacing w:after="0"/>
              <w:rPr>
                <w:sz w:val="2"/>
                <w:szCs w:val="2"/>
                <w:color w:val="auto"/>
              </w:rPr>
            </w:pPr>
          </w:p>
        </w:tc>
        <w:tc>
          <w:tcPr>
            <w:tcW w:w="920" w:type="dxa"/>
            <w:vAlign w:val="bottom"/>
            <w:shd w:val="clear" w:color="auto" w:fill="F2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Includes our 2008 Equity Incentive Plan (“</w:t>
      </w:r>
      <w:r>
        <w:rPr>
          <w:rFonts w:ascii="Arial" w:cs="Arial" w:eastAsia="Arial" w:hAnsi="Arial"/>
          <w:sz w:val="14"/>
          <w:szCs w:val="14"/>
          <w:b w:val="1"/>
          <w:bCs w:val="1"/>
          <w:i w:val="1"/>
          <w:iCs w:val="1"/>
          <w:color w:val="auto"/>
        </w:rPr>
        <w:t>2008 Plan</w:t>
      </w:r>
      <w:r>
        <w:rPr>
          <w:rFonts w:ascii="Arial" w:cs="Arial" w:eastAsia="Arial" w:hAnsi="Arial"/>
          <w:sz w:val="14"/>
          <w:szCs w:val="14"/>
          <w:color w:val="auto"/>
        </w:rPr>
        <w:t>”) and 2018 Equity Incentive Plan (“</w:t>
      </w:r>
      <w:r>
        <w:rPr>
          <w:rFonts w:ascii="Arial" w:cs="Arial" w:eastAsia="Arial" w:hAnsi="Arial"/>
          <w:sz w:val="14"/>
          <w:szCs w:val="14"/>
          <w:b w:val="1"/>
          <w:bCs w:val="1"/>
          <w:i w:val="1"/>
          <w:iCs w:val="1"/>
          <w:color w:val="auto"/>
        </w:rPr>
        <w:t>2018 Plan</w:t>
      </w:r>
      <w:r>
        <w:rPr>
          <w:rFonts w:ascii="Arial" w:cs="Arial" w:eastAsia="Arial" w:hAnsi="Arial"/>
          <w:sz w:val="14"/>
          <w:szCs w:val="14"/>
          <w:color w:val="auto"/>
        </w:rPr>
        <w:t>”). Our 2008 Plan was terminated effective March 7, 2017.</w:t>
      </w:r>
    </w:p>
    <w:p>
      <w:pPr>
        <w:ind w:left="320" w:hanging="312"/>
        <w:spacing w:after="0" w:line="182" w:lineRule="auto"/>
        <w:tabs>
          <w:tab w:leader="none" w:pos="320" w:val="left"/>
        </w:tabs>
        <w:numPr>
          <w:ilvl w:val="0"/>
          <w:numId w:val="97"/>
        </w:numPr>
        <w:rPr>
          <w:rFonts w:ascii="Arial" w:cs="Arial" w:eastAsia="Arial" w:hAnsi="Arial"/>
          <w:sz w:val="17"/>
          <w:szCs w:val="17"/>
          <w:color w:val="auto"/>
          <w:vertAlign w:val="superscript"/>
        </w:rPr>
      </w:pPr>
      <w:r>
        <w:rPr>
          <w:rFonts w:ascii="Arial" w:cs="Arial" w:eastAsia="Arial" w:hAnsi="Arial"/>
          <w:sz w:val="13"/>
          <w:szCs w:val="13"/>
          <w:color w:val="auto"/>
        </w:rPr>
        <w:t>Includes 30,475,699 shares subject to options and RSUs outstanding as of December 31, 2023 that were issued under the 2008 Plan and 2018 Plan.</w:t>
      </w:r>
    </w:p>
    <w:p>
      <w:pPr>
        <w:ind w:left="320" w:hanging="312"/>
        <w:spacing w:after="0"/>
        <w:tabs>
          <w:tab w:leader="none" w:pos="320" w:val="left"/>
        </w:tabs>
        <w:numPr>
          <w:ilvl w:val="0"/>
          <w:numId w:val="97"/>
        </w:numPr>
        <w:rPr>
          <w:rFonts w:ascii="Arial" w:cs="Arial" w:eastAsia="Arial" w:hAnsi="Arial"/>
          <w:sz w:val="9"/>
          <w:szCs w:val="9"/>
          <w:color w:val="auto"/>
        </w:rPr>
      </w:pPr>
      <w:r>
        <w:rPr>
          <w:rFonts w:ascii="Arial" w:cs="Arial" w:eastAsia="Arial" w:hAnsi="Arial"/>
          <w:sz w:val="14"/>
          <w:szCs w:val="14"/>
          <w:color w:val="auto"/>
        </w:rPr>
        <w:t>RSUs, which do not have an exercise price, are excluded in the calculation of weighted-average exercise price.</w:t>
      </w:r>
    </w:p>
    <w:p>
      <w:pPr>
        <w:spacing w:after="0" w:line="1" w:lineRule="exact"/>
        <w:rPr>
          <w:rFonts w:ascii="Arial" w:cs="Arial" w:eastAsia="Arial" w:hAnsi="Arial"/>
          <w:sz w:val="9"/>
          <w:szCs w:val="9"/>
          <w:color w:val="auto"/>
        </w:rPr>
      </w:pPr>
    </w:p>
    <w:p>
      <w:pPr>
        <w:ind w:left="320" w:hanging="312"/>
        <w:spacing w:after="0"/>
        <w:tabs>
          <w:tab w:leader="none" w:pos="320" w:val="left"/>
        </w:tabs>
        <w:numPr>
          <w:ilvl w:val="0"/>
          <w:numId w:val="97"/>
        </w:numPr>
        <w:rPr>
          <w:rFonts w:ascii="Arial" w:cs="Arial" w:eastAsia="Arial" w:hAnsi="Arial"/>
          <w:sz w:val="9"/>
          <w:szCs w:val="9"/>
          <w:color w:val="auto"/>
        </w:rPr>
      </w:pPr>
      <w:r>
        <w:rPr>
          <w:rFonts w:ascii="Arial" w:cs="Arial" w:eastAsia="Arial" w:hAnsi="Arial"/>
          <w:sz w:val="14"/>
          <w:szCs w:val="14"/>
          <w:color w:val="auto"/>
        </w:rPr>
        <w:t>As of December 31, 2023, an aggregate of 109,102,552 shares of Class A common stock were available for issuance under our 2018 Plan.</w:t>
      </w:r>
    </w:p>
    <w:p>
      <w:pPr>
        <w:spacing w:after="0" w:line="1" w:lineRule="exact"/>
        <w:rPr>
          <w:rFonts w:ascii="Arial" w:cs="Arial" w:eastAsia="Arial" w:hAnsi="Arial"/>
          <w:sz w:val="9"/>
          <w:szCs w:val="9"/>
          <w:color w:val="auto"/>
        </w:rPr>
      </w:pPr>
    </w:p>
    <w:p>
      <w:pPr>
        <w:ind w:left="340" w:right="200" w:hanging="332"/>
        <w:spacing w:after="0" w:line="250" w:lineRule="auto"/>
        <w:tabs>
          <w:tab w:leader="none" w:pos="333" w:val="left"/>
        </w:tabs>
        <w:numPr>
          <w:ilvl w:val="0"/>
          <w:numId w:val="97"/>
        </w:numPr>
        <w:rPr>
          <w:rFonts w:ascii="Arial" w:cs="Arial" w:eastAsia="Arial" w:hAnsi="Arial"/>
          <w:sz w:val="9"/>
          <w:szCs w:val="9"/>
          <w:color w:val="auto"/>
        </w:rPr>
      </w:pPr>
      <w:r>
        <w:rPr>
          <w:rFonts w:ascii="Arial" w:cs="Arial" w:eastAsia="Arial" w:hAnsi="Arial"/>
          <w:sz w:val="14"/>
          <w:szCs w:val="14"/>
          <w:color w:val="auto"/>
        </w:rPr>
        <w:t>This table does not include equity awards that have been assumed by the company in connection with the acquisition of other companies. As of December 31, 2023, the following assumed equity awards were outstanding: 85,105 shares issuable upon exercise of outstanding options and 2,769 shares issuable upon vesting of restricted stock units. The weighted average exercise price of such outstanding options was $7.53 per share. No additional equity awards may be granted under any assumed arrangement.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212"/>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ind w:right="1180"/>
        <w:spacing w:after="0" w:line="286" w:lineRule="auto"/>
        <w:rPr>
          <w:sz w:val="20"/>
          <w:szCs w:val="20"/>
          <w:color w:val="auto"/>
        </w:rPr>
      </w:pPr>
      <w:r>
        <w:rPr>
          <w:rFonts w:ascii="Arial" w:cs="Arial" w:eastAsia="Arial" w:hAnsi="Arial"/>
          <w:sz w:val="32"/>
          <w:szCs w:val="32"/>
          <w:color w:val="0063A6"/>
        </w:rPr>
        <w:t>SECURITY OWNERSHIP OF CERTAIN BENEFICIAL OWNERS AND MANAGEMENT</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21, 2024 for:</w:t>
      </w:r>
    </w:p>
    <w:p>
      <w:pPr>
        <w:spacing w:after="0" w:line="167" w:lineRule="exact"/>
        <w:rPr>
          <w:sz w:val="20"/>
          <w:szCs w:val="20"/>
          <w:color w:val="auto"/>
        </w:rPr>
      </w:pPr>
    </w:p>
    <w:p>
      <w:pPr>
        <w:ind w:left="320" w:hanging="312"/>
        <w:spacing w:after="0"/>
        <w:tabs>
          <w:tab w:leader="none" w:pos="320" w:val="left"/>
        </w:tabs>
        <w:numPr>
          <w:ilvl w:val="0"/>
          <w:numId w:val="98"/>
        </w:numPr>
        <w:rPr>
          <w:rFonts w:ascii="Arial" w:cs="Arial" w:eastAsia="Arial" w:hAnsi="Arial"/>
          <w:sz w:val="16"/>
          <w:szCs w:val="16"/>
          <w:color w:val="0063A6"/>
        </w:rPr>
      </w:pPr>
      <w:r>
        <w:rPr>
          <w:rFonts w:ascii="Arial" w:cs="Arial" w:eastAsia="Arial" w:hAnsi="Arial"/>
          <w:sz w:val="16"/>
          <w:szCs w:val="16"/>
          <w:color w:val="auto"/>
        </w:rPr>
        <w:t>each of our directors;</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98"/>
        </w:numPr>
        <w:rPr>
          <w:rFonts w:ascii="Arial" w:cs="Arial" w:eastAsia="Arial" w:hAnsi="Arial"/>
          <w:sz w:val="16"/>
          <w:szCs w:val="16"/>
          <w:color w:val="0063A6"/>
        </w:rPr>
      </w:pPr>
      <w:r>
        <w:rPr>
          <w:rFonts w:ascii="Arial" w:cs="Arial" w:eastAsia="Arial" w:hAnsi="Arial"/>
          <w:sz w:val="16"/>
          <w:szCs w:val="16"/>
          <w:color w:val="auto"/>
        </w:rPr>
        <w:t>each of our named executive officers;</w:t>
      </w:r>
    </w:p>
    <w:p>
      <w:pPr>
        <w:spacing w:after="0" w:line="153" w:lineRule="exact"/>
        <w:rPr>
          <w:rFonts w:ascii="Arial" w:cs="Arial" w:eastAsia="Arial" w:hAnsi="Arial"/>
          <w:sz w:val="16"/>
          <w:szCs w:val="16"/>
          <w:color w:val="0063A6"/>
        </w:rPr>
      </w:pPr>
    </w:p>
    <w:p>
      <w:pPr>
        <w:ind w:left="320" w:hanging="312"/>
        <w:spacing w:after="0"/>
        <w:tabs>
          <w:tab w:leader="none" w:pos="320" w:val="left"/>
        </w:tabs>
        <w:numPr>
          <w:ilvl w:val="0"/>
          <w:numId w:val="98"/>
        </w:numPr>
        <w:rPr>
          <w:rFonts w:ascii="Arial" w:cs="Arial" w:eastAsia="Arial" w:hAnsi="Arial"/>
          <w:sz w:val="16"/>
          <w:szCs w:val="16"/>
          <w:color w:val="0063A6"/>
        </w:rPr>
      </w:pPr>
      <w:r>
        <w:rPr>
          <w:rFonts w:ascii="Arial" w:cs="Arial" w:eastAsia="Arial" w:hAnsi="Arial"/>
          <w:sz w:val="16"/>
          <w:szCs w:val="16"/>
          <w:color w:val="auto"/>
        </w:rPr>
        <w:t>all of our current directors, named executive officers and executive officers as a group; and</w:t>
      </w:r>
    </w:p>
    <w:p>
      <w:pPr>
        <w:spacing w:after="0" w:line="167" w:lineRule="exact"/>
        <w:rPr>
          <w:rFonts w:ascii="Arial" w:cs="Arial" w:eastAsia="Arial" w:hAnsi="Arial"/>
          <w:sz w:val="16"/>
          <w:szCs w:val="16"/>
          <w:color w:val="0063A6"/>
        </w:rPr>
      </w:pPr>
    </w:p>
    <w:p>
      <w:pPr>
        <w:ind w:left="320" w:hanging="312"/>
        <w:spacing w:after="0"/>
        <w:tabs>
          <w:tab w:leader="none" w:pos="320" w:val="left"/>
        </w:tabs>
        <w:numPr>
          <w:ilvl w:val="0"/>
          <w:numId w:val="98"/>
        </w:numPr>
        <w:rPr>
          <w:rFonts w:ascii="Arial" w:cs="Arial" w:eastAsia="Arial" w:hAnsi="Arial"/>
          <w:sz w:val="16"/>
          <w:szCs w:val="16"/>
          <w:color w:val="0063A6"/>
        </w:rPr>
      </w:pPr>
      <w:r>
        <w:rPr>
          <w:rFonts w:ascii="Arial" w:cs="Arial" w:eastAsia="Arial" w:hAnsi="Arial"/>
          <w:sz w:val="16"/>
          <w:szCs w:val="16"/>
          <w:color w:val="auto"/>
        </w:rPr>
        <w:t>each person or group known by us to be the beneficial owner of more than 5% of our Class A or Class B common stock.</w:t>
      </w:r>
    </w:p>
    <w:p>
      <w:pPr>
        <w:spacing w:after="0" w:line="167"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0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have based our calculation of the percentage of beneficial ownership on 258,367,529 shares of our Class A common stock, 80,017,765 shares of our Class B common stock, and no shares of our Class C common stock outstanding as of March 21, 2024. We have deemed shares of our common stock subject to stock options that are currently exercisable or exercisable within 60 days of March 21, 2024 or issuable pursuant to RSUs which are subject to vesting and settlement conditions expected to occur within 60 days of March 21, 2024,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128"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Unless otherwise indicated, the address of each beneficial owner listed in the table below is c/o Dropbox, Inc., 1800 Owens Street San Francisco, California 94158. The information provided in the table is based on our records, information filed with the SEC and information provided to us, except where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312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3121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4420" w:type="dxa"/>
            <w:vAlign w:val="bottom"/>
            <w:shd w:val="clear" w:color="auto" w:fill="0063A6"/>
          </w:tcPr>
          <w:p>
            <w:pPr>
              <w:spacing w:after="0"/>
              <w:rPr>
                <w:sz w:val="24"/>
                <w:szCs w:val="24"/>
                <w:color w:val="auto"/>
              </w:rPr>
            </w:pPr>
          </w:p>
        </w:tc>
        <w:tc>
          <w:tcPr>
            <w:tcW w:w="4440" w:type="dxa"/>
            <w:vAlign w:val="bottom"/>
            <w:gridSpan w:val="3"/>
            <w:shd w:val="clear" w:color="auto" w:fill="0063A6"/>
          </w:tcPr>
          <w:p>
            <w:pPr>
              <w:ind w:left="1260"/>
              <w:spacing w:after="0"/>
              <w:rPr>
                <w:sz w:val="20"/>
                <w:szCs w:val="20"/>
                <w:color w:val="auto"/>
              </w:rPr>
            </w:pPr>
            <w:r>
              <w:rPr>
                <w:rFonts w:ascii="Arial" w:cs="Arial" w:eastAsia="Arial" w:hAnsi="Arial"/>
                <w:sz w:val="14"/>
                <w:szCs w:val="14"/>
                <w:b w:val="1"/>
                <w:bCs w:val="1"/>
                <w:color w:val="FFFFFF"/>
              </w:rPr>
              <w:t>Amount and nature of beneficial ownership</w:t>
            </w:r>
          </w:p>
        </w:tc>
        <w:tc>
          <w:tcPr>
            <w:tcW w:w="1020" w:type="dxa"/>
            <w:vAlign w:val="bottom"/>
            <w:shd w:val="clear" w:color="auto" w:fill="0063A6"/>
          </w:tcPr>
          <w:p>
            <w:pPr>
              <w:spacing w:after="0"/>
              <w:rPr>
                <w:sz w:val="24"/>
                <w:szCs w:val="24"/>
                <w:color w:val="auto"/>
              </w:rPr>
            </w:pPr>
          </w:p>
        </w:tc>
        <w:tc>
          <w:tcPr>
            <w:tcW w:w="136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420" w:type="dxa"/>
            <w:vAlign w:val="bottom"/>
            <w:shd w:val="clear" w:color="auto" w:fill="0063A6"/>
          </w:tcPr>
          <w:p>
            <w:pPr>
              <w:spacing w:after="0"/>
              <w:rPr>
                <w:sz w:val="24"/>
                <w:szCs w:val="24"/>
                <w:color w:val="auto"/>
              </w:rPr>
            </w:pPr>
          </w:p>
        </w:tc>
        <w:tc>
          <w:tcPr>
            <w:tcW w:w="17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Class A</w:t>
            </w:r>
          </w:p>
        </w:tc>
        <w:tc>
          <w:tcPr>
            <w:tcW w:w="1020" w:type="dxa"/>
            <w:vAlign w:val="bottom"/>
            <w:shd w:val="clear" w:color="auto" w:fill="0063A6"/>
          </w:tcPr>
          <w:p>
            <w:pPr>
              <w:spacing w:after="0"/>
              <w:rPr>
                <w:sz w:val="24"/>
                <w:szCs w:val="24"/>
                <w:color w:val="auto"/>
              </w:rPr>
            </w:pPr>
          </w:p>
        </w:tc>
        <w:tc>
          <w:tcPr>
            <w:tcW w:w="17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Class B</w:t>
            </w:r>
          </w:p>
        </w:tc>
        <w:tc>
          <w:tcPr>
            <w:tcW w:w="1020" w:type="dxa"/>
            <w:vAlign w:val="bottom"/>
            <w:shd w:val="clear" w:color="auto" w:fill="0063A6"/>
          </w:tcPr>
          <w:p>
            <w:pPr>
              <w:spacing w:after="0"/>
              <w:rPr>
                <w:sz w:val="24"/>
                <w:szCs w:val="24"/>
                <w:color w:val="auto"/>
              </w:rPr>
            </w:pP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 of total</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0063A6"/>
            </w:tcBorders>
            <w:shd w:val="clear" w:color="auto" w:fill="0063A6"/>
          </w:tcPr>
          <w:p>
            <w:pPr>
              <w:ind w:left="20"/>
              <w:spacing w:after="0"/>
              <w:rPr>
                <w:sz w:val="20"/>
                <w:szCs w:val="20"/>
                <w:color w:val="auto"/>
              </w:rPr>
            </w:pPr>
            <w:r>
              <w:rPr>
                <w:rFonts w:ascii="Arial" w:cs="Arial" w:eastAsia="Arial" w:hAnsi="Arial"/>
                <w:sz w:val="14"/>
                <w:szCs w:val="14"/>
                <w:b w:val="1"/>
                <w:bCs w:val="1"/>
                <w:color w:val="FFFFFF"/>
              </w:rPr>
              <w:t>Name of beneficial owner</w:t>
            </w: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Common Stock</w:t>
            </w:r>
          </w:p>
        </w:tc>
        <w:tc>
          <w:tcPr>
            <w:tcW w:w="10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6"/>
              </w:rPr>
              <w:t>%</w:t>
            </w:r>
          </w:p>
        </w:tc>
        <w:tc>
          <w:tcPr>
            <w:tcW w:w="17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Common Stock</w:t>
            </w:r>
          </w:p>
        </w:tc>
        <w:tc>
          <w:tcPr>
            <w:tcW w:w="102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6"/>
              </w:rPr>
              <w:t>%</w:t>
            </w:r>
          </w:p>
        </w:tc>
        <w:tc>
          <w:tcPr>
            <w:tcW w:w="13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voting power</w:t>
            </w:r>
            <w:r>
              <w:rPr>
                <w:rFonts w:ascii="Arial" w:cs="Arial" w:eastAsia="Arial" w:hAnsi="Arial"/>
                <w:sz w:val="18"/>
                <w:szCs w:val="18"/>
                <w:b w:val="1"/>
                <w:bCs w:val="1"/>
                <w:color w:val="FFFFFF"/>
                <w:vertAlign w:val="superscript"/>
              </w:rPr>
              <w:t>#</w:t>
            </w:r>
          </w:p>
        </w:tc>
        <w:tc>
          <w:tcPr>
            <w:tcW w:w="0" w:type="dxa"/>
            <w:vAlign w:val="bottom"/>
          </w:tcPr>
          <w:p>
            <w:pPr>
              <w:spacing w:after="0"/>
              <w:rPr>
                <w:sz w:val="1"/>
                <w:szCs w:val="1"/>
                <w:color w:val="auto"/>
              </w:rPr>
            </w:pPr>
          </w:p>
        </w:tc>
      </w:tr>
      <w:tr>
        <w:trPr>
          <w:trHeight w:val="316"/>
        </w:trPr>
        <w:tc>
          <w:tcPr>
            <w:tcW w:w="4420" w:type="dxa"/>
            <w:vAlign w:val="bottom"/>
            <w:shd w:val="clear" w:color="auto" w:fill="F2F2F2"/>
          </w:tcPr>
          <w:p>
            <w:pPr>
              <w:ind w:left="20"/>
              <w:spacing w:after="0"/>
              <w:rPr>
                <w:sz w:val="20"/>
                <w:szCs w:val="20"/>
                <w:color w:val="auto"/>
              </w:rPr>
            </w:pPr>
            <w:r>
              <w:rPr>
                <w:rFonts w:ascii="Arial" w:cs="Arial" w:eastAsia="Arial" w:hAnsi="Arial"/>
                <w:sz w:val="16"/>
                <w:szCs w:val="16"/>
                <w:b w:val="1"/>
                <w:bCs w:val="1"/>
                <w:color w:val="auto"/>
              </w:rPr>
              <w:t>Named executive officers and directors:</w:t>
            </w:r>
          </w:p>
        </w:tc>
        <w:tc>
          <w:tcPr>
            <w:tcW w:w="1700" w:type="dxa"/>
            <w:vAlign w:val="bottom"/>
            <w:shd w:val="clear" w:color="auto" w:fill="F2F2F2"/>
          </w:tcPr>
          <w:p>
            <w:pPr>
              <w:spacing w:after="0"/>
              <w:rPr>
                <w:sz w:val="24"/>
                <w:szCs w:val="24"/>
                <w:color w:val="auto"/>
              </w:rPr>
            </w:pPr>
          </w:p>
        </w:tc>
        <w:tc>
          <w:tcPr>
            <w:tcW w:w="1020" w:type="dxa"/>
            <w:vAlign w:val="bottom"/>
            <w:shd w:val="clear" w:color="auto" w:fill="F2F2F2"/>
          </w:tcPr>
          <w:p>
            <w:pPr>
              <w:spacing w:after="0"/>
              <w:rPr>
                <w:sz w:val="24"/>
                <w:szCs w:val="24"/>
                <w:color w:val="auto"/>
              </w:rPr>
            </w:pPr>
          </w:p>
        </w:tc>
        <w:tc>
          <w:tcPr>
            <w:tcW w:w="1720" w:type="dxa"/>
            <w:vAlign w:val="bottom"/>
            <w:shd w:val="clear" w:color="auto" w:fill="F2F2F2"/>
          </w:tcPr>
          <w:p>
            <w:pPr>
              <w:spacing w:after="0"/>
              <w:rPr>
                <w:sz w:val="24"/>
                <w:szCs w:val="24"/>
                <w:color w:val="auto"/>
              </w:rPr>
            </w:pPr>
          </w:p>
        </w:tc>
        <w:tc>
          <w:tcPr>
            <w:tcW w:w="1020" w:type="dxa"/>
            <w:vAlign w:val="bottom"/>
            <w:shd w:val="clear" w:color="auto" w:fill="F2F2F2"/>
          </w:tcPr>
          <w:p>
            <w:pPr>
              <w:spacing w:after="0"/>
              <w:rPr>
                <w:sz w:val="24"/>
                <w:szCs w:val="24"/>
                <w:color w:val="auto"/>
              </w:rPr>
            </w:pPr>
          </w:p>
        </w:tc>
        <w:tc>
          <w:tcPr>
            <w:tcW w:w="13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20" w:type="dxa"/>
            <w:vAlign w:val="bottom"/>
            <w:shd w:val="clear" w:color="auto" w:fill="F2F2F2"/>
          </w:tcPr>
          <w:p>
            <w:pPr>
              <w:spacing w:after="0"/>
              <w:rPr>
                <w:sz w:val="8"/>
                <w:szCs w:val="8"/>
                <w:color w:val="auto"/>
              </w:rPr>
            </w:pPr>
          </w:p>
        </w:tc>
        <w:tc>
          <w:tcPr>
            <w:tcW w:w="1700" w:type="dxa"/>
            <w:vAlign w:val="bottom"/>
            <w:shd w:val="clear" w:color="auto" w:fill="F2F2F2"/>
          </w:tcPr>
          <w:p>
            <w:pPr>
              <w:spacing w:after="0"/>
              <w:rPr>
                <w:sz w:val="8"/>
                <w:szCs w:val="8"/>
                <w:color w:val="auto"/>
              </w:rPr>
            </w:pPr>
          </w:p>
        </w:tc>
        <w:tc>
          <w:tcPr>
            <w:tcW w:w="1020" w:type="dxa"/>
            <w:vAlign w:val="bottom"/>
            <w:shd w:val="clear" w:color="auto" w:fill="F2F2F2"/>
          </w:tcPr>
          <w:p>
            <w:pPr>
              <w:spacing w:after="0"/>
              <w:rPr>
                <w:sz w:val="8"/>
                <w:szCs w:val="8"/>
                <w:color w:val="auto"/>
              </w:rPr>
            </w:pPr>
          </w:p>
        </w:tc>
        <w:tc>
          <w:tcPr>
            <w:tcW w:w="1720" w:type="dxa"/>
            <w:vAlign w:val="bottom"/>
            <w:shd w:val="clear" w:color="auto" w:fill="F2F2F2"/>
          </w:tcPr>
          <w:p>
            <w:pPr>
              <w:spacing w:after="0"/>
              <w:rPr>
                <w:sz w:val="8"/>
                <w:szCs w:val="8"/>
                <w:color w:val="auto"/>
              </w:rPr>
            </w:pPr>
          </w:p>
        </w:tc>
        <w:tc>
          <w:tcPr>
            <w:tcW w:w="1020" w:type="dxa"/>
            <w:vAlign w:val="bottom"/>
            <w:shd w:val="clear" w:color="auto" w:fill="F2F2F2"/>
          </w:tcPr>
          <w:p>
            <w:pPr>
              <w:spacing w:after="0"/>
              <w:rPr>
                <w:sz w:val="8"/>
                <w:szCs w:val="8"/>
                <w:color w:val="auto"/>
              </w:rPr>
            </w:pPr>
          </w:p>
        </w:tc>
        <w:tc>
          <w:tcPr>
            <w:tcW w:w="136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366"/>
        </w:trPr>
        <w:tc>
          <w:tcPr>
            <w:tcW w:w="4420" w:type="dxa"/>
            <w:vAlign w:val="bottom"/>
          </w:tcPr>
          <w:p>
            <w:pPr>
              <w:ind w:left="20"/>
              <w:spacing w:after="0"/>
              <w:rPr>
                <w:sz w:val="20"/>
                <w:szCs w:val="20"/>
                <w:color w:val="auto"/>
              </w:rPr>
            </w:pPr>
            <w:r>
              <w:rPr>
                <w:rFonts w:ascii="Arial" w:cs="Arial" w:eastAsia="Arial" w:hAnsi="Arial"/>
                <w:sz w:val="16"/>
                <w:szCs w:val="16"/>
                <w:color w:val="auto"/>
              </w:rPr>
              <w:t>Andrew W. Houston</w:t>
            </w:r>
            <w:r>
              <w:rPr>
                <w:rFonts w:ascii="Arial" w:cs="Arial" w:eastAsia="Arial" w:hAnsi="Arial"/>
                <w:sz w:val="21"/>
                <w:szCs w:val="21"/>
                <w:color w:val="auto"/>
                <w:vertAlign w:val="superscript"/>
              </w:rPr>
              <w:t>(1)</w:t>
            </w:r>
          </w:p>
        </w:tc>
        <w:tc>
          <w:tcPr>
            <w:tcW w:w="1700" w:type="dxa"/>
            <w:vAlign w:val="bottom"/>
          </w:tcPr>
          <w:p>
            <w:pPr>
              <w:jc w:val="center"/>
              <w:spacing w:after="0"/>
              <w:rPr>
                <w:sz w:val="20"/>
                <w:szCs w:val="20"/>
                <w:color w:val="auto"/>
              </w:rPr>
            </w:pPr>
            <w:r>
              <w:rPr>
                <w:rFonts w:ascii="Arial" w:cs="Arial" w:eastAsia="Arial" w:hAnsi="Arial"/>
                <w:sz w:val="16"/>
                <w:szCs w:val="16"/>
                <w:color w:val="auto"/>
              </w:rPr>
              <w:t>9,427,838</w:t>
            </w:r>
          </w:p>
        </w:tc>
        <w:tc>
          <w:tcPr>
            <w:tcW w:w="1020" w:type="dxa"/>
            <w:vAlign w:val="bottom"/>
          </w:tcPr>
          <w:p>
            <w:pPr>
              <w:jc w:val="center"/>
              <w:spacing w:after="0"/>
              <w:rPr>
                <w:sz w:val="20"/>
                <w:szCs w:val="20"/>
                <w:color w:val="auto"/>
              </w:rPr>
            </w:pPr>
            <w:r>
              <w:rPr>
                <w:rFonts w:ascii="Arial" w:cs="Arial" w:eastAsia="Arial" w:hAnsi="Arial"/>
                <w:sz w:val="16"/>
                <w:szCs w:val="16"/>
                <w:color w:val="auto"/>
              </w:rPr>
              <w:t>3.65</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78,923,893</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98.63</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75.45</w:t>
            </w:r>
          </w:p>
        </w:tc>
        <w:tc>
          <w:tcPr>
            <w:tcW w:w="0" w:type="dxa"/>
            <w:vAlign w:val="bottom"/>
          </w:tcPr>
          <w:p>
            <w:pPr>
              <w:spacing w:after="0"/>
              <w:rPr>
                <w:sz w:val="1"/>
                <w:szCs w:val="1"/>
                <w:color w:val="auto"/>
              </w:rPr>
            </w:pPr>
          </w:p>
        </w:tc>
      </w:tr>
      <w:tr>
        <w:trPr>
          <w:trHeight w:val="39"/>
        </w:trPr>
        <w:tc>
          <w:tcPr>
            <w:tcW w:w="4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Timothy Regan</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238,554</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6"/>
                <w:szCs w:val="16"/>
                <w:color w:val="auto"/>
              </w:rPr>
              <w:t>Timothy Young</w:t>
            </w:r>
            <w:r>
              <w:rPr>
                <w:rFonts w:ascii="Arial" w:cs="Arial" w:eastAsia="Arial" w:hAnsi="Arial"/>
                <w:sz w:val="21"/>
                <w:szCs w:val="21"/>
                <w:color w:val="auto"/>
                <w:vertAlign w:val="superscript"/>
              </w:rPr>
              <w:t>(2)</w:t>
            </w:r>
          </w:p>
        </w:tc>
        <w:tc>
          <w:tcPr>
            <w:tcW w:w="1700" w:type="dxa"/>
            <w:vAlign w:val="bottom"/>
          </w:tcPr>
          <w:p>
            <w:pPr>
              <w:jc w:val="center"/>
              <w:spacing w:after="0"/>
              <w:rPr>
                <w:sz w:val="20"/>
                <w:szCs w:val="20"/>
                <w:color w:val="auto"/>
              </w:rPr>
            </w:pPr>
            <w:r>
              <w:rPr>
                <w:rFonts w:ascii="Arial" w:cs="Arial" w:eastAsia="Arial" w:hAnsi="Arial"/>
                <w:sz w:val="16"/>
                <w:szCs w:val="16"/>
                <w:color w:val="auto"/>
              </w:rPr>
              <w:t>112,762</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Bart E. Volkmer</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114,701</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8"/>
              </w:rPr>
              <w:t>63,120</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Eric Cox</w:t>
            </w:r>
          </w:p>
        </w:tc>
        <w:tc>
          <w:tcPr>
            <w:tcW w:w="1700" w:type="dxa"/>
            <w:vAlign w:val="bottom"/>
          </w:tcPr>
          <w:p>
            <w:pPr>
              <w:jc w:val="center"/>
              <w:spacing w:after="0"/>
              <w:rPr>
                <w:sz w:val="20"/>
                <w:szCs w:val="20"/>
                <w:color w:val="auto"/>
              </w:rPr>
            </w:pPr>
            <w:r>
              <w:rPr>
                <w:rFonts w:ascii="Arial" w:cs="Arial" w:eastAsia="Arial" w:hAnsi="Arial"/>
                <w:sz w:val="16"/>
                <w:szCs w:val="16"/>
                <w:color w:val="auto"/>
              </w:rPr>
              <w:t>15,262</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Donald W. Blair</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89,560</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Lisa Campbell</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6,149</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20" w:type="dxa"/>
            <w:vAlign w:val="bottom"/>
            <w:shd w:val="clear" w:color="auto" w:fill="F2F2F2"/>
          </w:tcPr>
          <w:p>
            <w:pPr>
              <w:ind w:left="20"/>
              <w:spacing w:after="0"/>
              <w:rPr>
                <w:sz w:val="20"/>
                <w:szCs w:val="20"/>
                <w:color w:val="auto"/>
              </w:rPr>
            </w:pPr>
            <w:r>
              <w:rPr>
                <w:rFonts w:ascii="Arial" w:cs="Arial" w:eastAsia="Arial" w:hAnsi="Arial"/>
                <w:sz w:val="16"/>
                <w:szCs w:val="16"/>
                <w:color w:val="auto"/>
              </w:rPr>
              <w:t>Paul E. Jacobs</w:t>
            </w:r>
            <w:r>
              <w:rPr>
                <w:rFonts w:ascii="Arial" w:cs="Arial" w:eastAsia="Arial" w:hAnsi="Arial"/>
                <w:sz w:val="21"/>
                <w:szCs w:val="21"/>
                <w:color w:val="auto"/>
                <w:vertAlign w:val="superscript"/>
              </w:rPr>
              <w:t>(3)</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291,904</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Sara Mathew</w:t>
            </w:r>
          </w:p>
        </w:tc>
        <w:tc>
          <w:tcPr>
            <w:tcW w:w="1700" w:type="dxa"/>
            <w:vAlign w:val="bottom"/>
          </w:tcPr>
          <w:p>
            <w:pPr>
              <w:jc w:val="center"/>
              <w:spacing w:after="0"/>
              <w:rPr>
                <w:sz w:val="20"/>
                <w:szCs w:val="20"/>
                <w:color w:val="auto"/>
              </w:rPr>
            </w:pPr>
            <w:r>
              <w:rPr>
                <w:rFonts w:ascii="Arial" w:cs="Arial" w:eastAsia="Arial" w:hAnsi="Arial"/>
                <w:sz w:val="16"/>
                <w:szCs w:val="16"/>
                <w:color w:val="auto"/>
              </w:rPr>
              <w:t>12,297</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Andrew Moore</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Abhay Parasnis</w:t>
            </w:r>
          </w:p>
        </w:tc>
        <w:tc>
          <w:tcPr>
            <w:tcW w:w="1700" w:type="dxa"/>
            <w:vAlign w:val="bottom"/>
          </w:tcPr>
          <w:p>
            <w:pPr>
              <w:jc w:val="center"/>
              <w:spacing w:after="0"/>
              <w:rPr>
                <w:sz w:val="20"/>
                <w:szCs w:val="20"/>
                <w:color w:val="auto"/>
              </w:rPr>
            </w:pPr>
            <w:r>
              <w:rPr>
                <w:rFonts w:ascii="Arial" w:cs="Arial" w:eastAsia="Arial" w:hAnsi="Arial"/>
                <w:sz w:val="16"/>
                <w:szCs w:val="16"/>
                <w:color w:val="auto"/>
              </w:rPr>
              <w:t>14,088</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6"/>
                <w:szCs w:val="16"/>
                <w:color w:val="auto"/>
              </w:rPr>
              <w:t>Karen Peacock</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12,297</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Michael Seibel</w:t>
            </w:r>
          </w:p>
        </w:tc>
        <w:tc>
          <w:tcPr>
            <w:tcW w:w="1700" w:type="dxa"/>
            <w:vAlign w:val="bottom"/>
          </w:tcPr>
          <w:p>
            <w:pPr>
              <w:jc w:val="center"/>
              <w:spacing w:after="0"/>
              <w:rPr>
                <w:sz w:val="20"/>
                <w:szCs w:val="20"/>
                <w:color w:val="auto"/>
              </w:rPr>
            </w:pPr>
            <w:r>
              <w:rPr>
                <w:rFonts w:ascii="Arial" w:cs="Arial" w:eastAsia="Arial" w:hAnsi="Arial"/>
                <w:sz w:val="16"/>
                <w:szCs w:val="16"/>
                <w:color w:val="auto"/>
              </w:rPr>
              <w:t>12,297</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0" w:type="dxa"/>
            <w:vAlign w:val="bottom"/>
          </w:tcPr>
          <w:p>
            <w:pPr>
              <w:spacing w:after="0"/>
              <w:rPr>
                <w:sz w:val="1"/>
                <w:szCs w:val="1"/>
                <w:color w:val="auto"/>
              </w:rPr>
            </w:pPr>
          </w:p>
        </w:tc>
      </w:tr>
      <w:tr>
        <w:trPr>
          <w:trHeight w:val="28"/>
        </w:trPr>
        <w:tc>
          <w:tcPr>
            <w:tcW w:w="44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4420" w:type="dxa"/>
            <w:vAlign w:val="bottom"/>
            <w:shd w:val="clear" w:color="auto" w:fill="F2F2F2"/>
          </w:tcPr>
          <w:p>
            <w:pPr>
              <w:ind w:left="20"/>
              <w:spacing w:after="0"/>
              <w:rPr>
                <w:sz w:val="20"/>
                <w:szCs w:val="20"/>
                <w:color w:val="auto"/>
              </w:rPr>
            </w:pPr>
            <w:r>
              <w:rPr>
                <w:rFonts w:ascii="Arial" w:cs="Arial" w:eastAsia="Arial" w:hAnsi="Arial"/>
                <w:sz w:val="16"/>
                <w:szCs w:val="16"/>
                <w:color w:val="auto"/>
              </w:rPr>
              <w:t>All current directors, named executive officers and executive</w:t>
            </w:r>
          </w:p>
        </w:tc>
        <w:tc>
          <w:tcPr>
            <w:tcW w:w="170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10,347,709</w:t>
            </w:r>
          </w:p>
        </w:tc>
        <w:tc>
          <w:tcPr>
            <w:tcW w:w="102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rPr>
              <w:t>4.01</w:t>
            </w:r>
          </w:p>
        </w:tc>
        <w:tc>
          <w:tcPr>
            <w:tcW w:w="172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78,987,013</w:t>
            </w:r>
          </w:p>
        </w:tc>
        <w:tc>
          <w:tcPr>
            <w:tcW w:w="102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98.71</w:t>
            </w:r>
          </w:p>
        </w:tc>
        <w:tc>
          <w:tcPr>
            <w:tcW w:w="1360" w:type="dxa"/>
            <w:vAlign w:val="bottom"/>
            <w:vMerge w:val="restart"/>
            <w:shd w:val="clear" w:color="auto" w:fill="F2F2F2"/>
          </w:tcPr>
          <w:p>
            <w:pPr>
              <w:jc w:val="center"/>
              <w:spacing w:after="0"/>
              <w:rPr>
                <w:sz w:val="20"/>
                <w:szCs w:val="20"/>
                <w:color w:val="auto"/>
              </w:rPr>
            </w:pPr>
            <w:r>
              <w:rPr>
                <w:rFonts w:ascii="Arial" w:cs="Arial" w:eastAsia="Arial" w:hAnsi="Arial"/>
                <w:sz w:val="16"/>
                <w:szCs w:val="16"/>
                <w:color w:val="auto"/>
                <w:w w:val="99"/>
              </w:rPr>
              <w:t>75.60</w:t>
            </w:r>
          </w:p>
        </w:tc>
        <w:tc>
          <w:tcPr>
            <w:tcW w:w="0" w:type="dxa"/>
            <w:vAlign w:val="bottom"/>
          </w:tcPr>
          <w:p>
            <w:pPr>
              <w:spacing w:after="0"/>
              <w:rPr>
                <w:sz w:val="1"/>
                <w:szCs w:val="1"/>
                <w:color w:val="auto"/>
              </w:rPr>
            </w:pPr>
          </w:p>
        </w:tc>
      </w:tr>
      <w:tr>
        <w:trPr>
          <w:trHeight w:val="230"/>
        </w:trPr>
        <w:tc>
          <w:tcPr>
            <w:tcW w:w="4420" w:type="dxa"/>
            <w:vAlign w:val="bottom"/>
            <w:shd w:val="clear" w:color="auto" w:fill="F2F2F2"/>
          </w:tcPr>
          <w:p>
            <w:pPr>
              <w:ind w:left="20"/>
              <w:spacing w:after="0"/>
              <w:rPr>
                <w:sz w:val="20"/>
                <w:szCs w:val="20"/>
                <w:color w:val="auto"/>
              </w:rPr>
            </w:pPr>
            <w:r>
              <w:rPr>
                <w:rFonts w:ascii="Arial" w:cs="Arial" w:eastAsia="Arial" w:hAnsi="Arial"/>
                <w:sz w:val="16"/>
                <w:szCs w:val="16"/>
                <w:color w:val="auto"/>
              </w:rPr>
              <w:t>officers as a group (13 persons)</w:t>
            </w:r>
          </w:p>
        </w:tc>
        <w:tc>
          <w:tcPr>
            <w:tcW w:w="1700" w:type="dxa"/>
            <w:vAlign w:val="bottom"/>
            <w:vMerge w:val="continue"/>
            <w:shd w:val="clear" w:color="auto" w:fill="F2F2F2"/>
          </w:tcPr>
          <w:p>
            <w:pPr>
              <w:spacing w:after="0"/>
              <w:rPr>
                <w:sz w:val="20"/>
                <w:szCs w:val="20"/>
                <w:color w:val="auto"/>
              </w:rPr>
            </w:pPr>
          </w:p>
        </w:tc>
        <w:tc>
          <w:tcPr>
            <w:tcW w:w="1020" w:type="dxa"/>
            <w:vAlign w:val="bottom"/>
            <w:vMerge w:val="continue"/>
            <w:shd w:val="clear" w:color="auto" w:fill="F2F2F2"/>
          </w:tcPr>
          <w:p>
            <w:pPr>
              <w:spacing w:after="0"/>
              <w:rPr>
                <w:sz w:val="20"/>
                <w:szCs w:val="20"/>
                <w:color w:val="auto"/>
              </w:rPr>
            </w:pPr>
          </w:p>
        </w:tc>
        <w:tc>
          <w:tcPr>
            <w:tcW w:w="1720" w:type="dxa"/>
            <w:vAlign w:val="bottom"/>
            <w:vMerge w:val="continue"/>
            <w:shd w:val="clear" w:color="auto" w:fill="F2F2F2"/>
          </w:tcPr>
          <w:p>
            <w:pPr>
              <w:spacing w:after="0"/>
              <w:rPr>
                <w:sz w:val="20"/>
                <w:szCs w:val="20"/>
                <w:color w:val="auto"/>
              </w:rPr>
            </w:pPr>
          </w:p>
        </w:tc>
        <w:tc>
          <w:tcPr>
            <w:tcW w:w="1020" w:type="dxa"/>
            <w:vAlign w:val="bottom"/>
            <w:vMerge w:val="continue"/>
            <w:shd w:val="clear" w:color="auto" w:fill="F2F2F2"/>
          </w:tcPr>
          <w:p>
            <w:pPr>
              <w:spacing w:after="0"/>
              <w:rPr>
                <w:sz w:val="20"/>
                <w:szCs w:val="20"/>
                <w:color w:val="auto"/>
              </w:rPr>
            </w:pPr>
          </w:p>
        </w:tc>
        <w:tc>
          <w:tcPr>
            <w:tcW w:w="1360" w:type="dxa"/>
            <w:vAlign w:val="bottom"/>
            <w:vMerge w:val="continue"/>
            <w:shd w:val="clear" w:color="auto" w:fill="F2F2F2"/>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6263005</wp:posOffset>
            </wp:positionH>
            <wp:positionV relativeFrom="paragraph">
              <wp:posOffset>-264795</wp:posOffset>
            </wp:positionV>
            <wp:extent cx="17145" cy="2654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145" cy="26543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-264795</wp:posOffset>
            </wp:positionV>
            <wp:extent cx="17145" cy="2654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145" cy="26543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-264795</wp:posOffset>
            </wp:positionV>
            <wp:extent cx="17145" cy="2654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145" cy="26543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-264795</wp:posOffset>
            </wp:positionV>
            <wp:extent cx="17145" cy="2654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7145" cy="26543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-264795</wp:posOffset>
            </wp:positionV>
            <wp:extent cx="17145" cy="2654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145" cy="26543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-574040</wp:posOffset>
            </wp:positionV>
            <wp:extent cx="17145"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-574040</wp:posOffset>
            </wp:positionV>
            <wp:extent cx="17145"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-574040</wp:posOffset>
            </wp:positionV>
            <wp:extent cx="17145"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-574040</wp:posOffset>
            </wp:positionV>
            <wp:extent cx="17145" cy="1543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-574040</wp:posOffset>
            </wp:positionV>
            <wp:extent cx="17145"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-882015</wp:posOffset>
            </wp:positionV>
            <wp:extent cx="17145"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-882015</wp:posOffset>
            </wp:positionV>
            <wp:extent cx="17145"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-882015</wp:posOffset>
            </wp:positionV>
            <wp:extent cx="17145"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-882015</wp:posOffset>
            </wp:positionV>
            <wp:extent cx="17145"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-882015</wp:posOffset>
            </wp:positionV>
            <wp:extent cx="17145"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-1190625</wp:posOffset>
            </wp:positionV>
            <wp:extent cx="17145"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-1190625</wp:posOffset>
            </wp:positionV>
            <wp:extent cx="17145"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-1190625</wp:posOffset>
            </wp:positionV>
            <wp:extent cx="17145"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-1190625</wp:posOffset>
            </wp:positionV>
            <wp:extent cx="17145"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-1190625</wp:posOffset>
            </wp:positionV>
            <wp:extent cx="17145"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-1499235</wp:posOffset>
            </wp:positionV>
            <wp:extent cx="17145"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-1499235</wp:posOffset>
            </wp:positionV>
            <wp:extent cx="17145"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-1499235</wp:posOffset>
            </wp:positionV>
            <wp:extent cx="17145"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-1499235</wp:posOffset>
            </wp:positionV>
            <wp:extent cx="17145"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-1499235</wp:posOffset>
            </wp:positionV>
            <wp:extent cx="17145"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-1807845</wp:posOffset>
            </wp:positionV>
            <wp:extent cx="17145"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-1807845</wp:posOffset>
            </wp:positionV>
            <wp:extent cx="17145"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-1807845</wp:posOffset>
            </wp:positionV>
            <wp:extent cx="17145"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-1807845</wp:posOffset>
            </wp:positionV>
            <wp:extent cx="17145"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-1807845</wp:posOffset>
            </wp:positionV>
            <wp:extent cx="17145"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-2116455</wp:posOffset>
            </wp:positionV>
            <wp:extent cx="17145"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-2116455</wp:posOffset>
            </wp:positionV>
            <wp:extent cx="17145" cy="154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-2116455</wp:posOffset>
            </wp:positionV>
            <wp:extent cx="17145"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-2116455</wp:posOffset>
            </wp:positionV>
            <wp:extent cx="17145"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-2116455</wp:posOffset>
            </wp:positionV>
            <wp:extent cx="17145"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80" w:hanging="554"/>
        <w:spacing w:after="0"/>
        <w:tabs>
          <w:tab w:leader="none" w:pos="580" w:val="left"/>
        </w:tabs>
        <w:numPr>
          <w:ilvl w:val="0"/>
          <w:numId w:val="99"/>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ind w:right="1180"/>
        <w:spacing w:after="0" w:line="286" w:lineRule="auto"/>
        <w:rPr>
          <w:sz w:val="20"/>
          <w:szCs w:val="20"/>
          <w:color w:val="auto"/>
        </w:rPr>
      </w:pPr>
      <w:r>
        <w:rPr>
          <w:rFonts w:ascii="Arial" w:cs="Arial" w:eastAsia="Arial" w:hAnsi="Arial"/>
          <w:sz w:val="32"/>
          <w:szCs w:val="32"/>
          <w:color w:val="0063A6"/>
        </w:rPr>
        <w:t>SECURITY OWNERSHIP OF CERTAIN BENEFICIAL OWNERS AND MANAGEMENT (continued)</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41275</wp:posOffset>
            </wp:positionV>
            <wp:extent cx="3188970" cy="17316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188970" cy="17316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4880" w:type="dxa"/>
            <w:vAlign w:val="bottom"/>
            <w:shd w:val="clear" w:color="auto" w:fill="0063A6"/>
          </w:tcPr>
          <w:p>
            <w:pPr>
              <w:spacing w:after="0"/>
              <w:rPr>
                <w:sz w:val="24"/>
                <w:szCs w:val="24"/>
                <w:color w:val="auto"/>
              </w:rPr>
            </w:pPr>
          </w:p>
        </w:tc>
        <w:tc>
          <w:tcPr>
            <w:tcW w:w="4100" w:type="dxa"/>
            <w:vAlign w:val="bottom"/>
            <w:gridSpan w:val="3"/>
            <w:shd w:val="clear" w:color="auto" w:fill="0063A6"/>
          </w:tcPr>
          <w:p>
            <w:pPr>
              <w:ind w:left="1020"/>
              <w:spacing w:after="0"/>
              <w:rPr>
                <w:sz w:val="20"/>
                <w:szCs w:val="20"/>
                <w:color w:val="auto"/>
              </w:rPr>
            </w:pPr>
            <w:r>
              <w:rPr>
                <w:rFonts w:ascii="Arial" w:cs="Arial" w:eastAsia="Arial" w:hAnsi="Arial"/>
                <w:sz w:val="14"/>
                <w:szCs w:val="14"/>
                <w:b w:val="1"/>
                <w:bCs w:val="1"/>
                <w:color w:val="FFFFFF"/>
              </w:rPr>
              <w:t>Amount and nature of beneficial ownership</w:t>
            </w:r>
          </w:p>
        </w:tc>
        <w:tc>
          <w:tcPr>
            <w:tcW w:w="900" w:type="dxa"/>
            <w:vAlign w:val="bottom"/>
            <w:shd w:val="clear" w:color="auto" w:fill="0063A6"/>
          </w:tcPr>
          <w:p>
            <w:pPr>
              <w:spacing w:after="0"/>
              <w:rPr>
                <w:sz w:val="24"/>
                <w:szCs w:val="24"/>
                <w:color w:val="auto"/>
              </w:rPr>
            </w:pPr>
          </w:p>
        </w:tc>
        <w:tc>
          <w:tcPr>
            <w:tcW w:w="1360" w:type="dxa"/>
            <w:vAlign w:val="bottom"/>
            <w:shd w:val="clear" w:color="auto" w:fill="0063A6"/>
          </w:tcPr>
          <w:p>
            <w:pPr>
              <w:spacing w:after="0"/>
              <w:rPr>
                <w:sz w:val="24"/>
                <w:szCs w:val="24"/>
                <w:color w:val="auto"/>
              </w:rPr>
            </w:pPr>
          </w:p>
        </w:tc>
      </w:tr>
      <w:tr>
        <w:trPr>
          <w:trHeight w:val="314"/>
        </w:trPr>
        <w:tc>
          <w:tcPr>
            <w:tcW w:w="4880" w:type="dxa"/>
            <w:vAlign w:val="bottom"/>
            <w:shd w:val="clear" w:color="auto" w:fill="0063A6"/>
          </w:tcPr>
          <w:p>
            <w:pPr>
              <w:spacing w:after="0"/>
              <w:rPr>
                <w:sz w:val="24"/>
                <w:szCs w:val="24"/>
                <w:color w:val="auto"/>
              </w:rPr>
            </w:pPr>
          </w:p>
        </w:tc>
        <w:tc>
          <w:tcPr>
            <w:tcW w:w="16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Class A</w:t>
            </w:r>
          </w:p>
        </w:tc>
        <w:tc>
          <w:tcPr>
            <w:tcW w:w="900" w:type="dxa"/>
            <w:vAlign w:val="bottom"/>
            <w:shd w:val="clear" w:color="auto" w:fill="0063A6"/>
          </w:tcPr>
          <w:p>
            <w:pPr>
              <w:spacing w:after="0"/>
              <w:rPr>
                <w:sz w:val="24"/>
                <w:szCs w:val="24"/>
                <w:color w:val="auto"/>
              </w:rPr>
            </w:pPr>
          </w:p>
        </w:tc>
        <w:tc>
          <w:tcPr>
            <w:tcW w:w="160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Class B</w:t>
            </w:r>
          </w:p>
        </w:tc>
        <w:tc>
          <w:tcPr>
            <w:tcW w:w="900" w:type="dxa"/>
            <w:vAlign w:val="bottom"/>
            <w:shd w:val="clear" w:color="auto" w:fill="0063A6"/>
          </w:tcPr>
          <w:p>
            <w:pPr>
              <w:spacing w:after="0"/>
              <w:rPr>
                <w:sz w:val="24"/>
                <w:szCs w:val="24"/>
                <w:color w:val="auto"/>
              </w:rPr>
            </w:pPr>
          </w:p>
        </w:tc>
        <w:tc>
          <w:tcPr>
            <w:tcW w:w="13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 of total</w:t>
            </w:r>
          </w:p>
        </w:tc>
      </w:tr>
      <w:tr>
        <w:trPr>
          <w:trHeight w:val="248"/>
        </w:trPr>
        <w:tc>
          <w:tcPr>
            <w:tcW w:w="4880" w:type="dxa"/>
            <w:vAlign w:val="bottom"/>
            <w:tcBorders>
              <w:bottom w:val="single" w:sz="8" w:color="0063A6"/>
            </w:tcBorders>
            <w:shd w:val="clear" w:color="auto" w:fill="0063A6"/>
          </w:tcPr>
          <w:p>
            <w:pPr>
              <w:ind w:left="60"/>
              <w:spacing w:after="0"/>
              <w:rPr>
                <w:sz w:val="20"/>
                <w:szCs w:val="20"/>
                <w:color w:val="auto"/>
              </w:rPr>
            </w:pPr>
            <w:r>
              <w:rPr>
                <w:rFonts w:ascii="Arial" w:cs="Arial" w:eastAsia="Arial" w:hAnsi="Arial"/>
                <w:sz w:val="14"/>
                <w:szCs w:val="14"/>
                <w:b w:val="1"/>
                <w:bCs w:val="1"/>
                <w:color w:val="FFFFFF"/>
              </w:rPr>
              <w:t>Name of beneficial owner</w:t>
            </w:r>
          </w:p>
        </w:tc>
        <w:tc>
          <w:tcPr>
            <w:tcW w:w="16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Common Stock</w:t>
            </w:r>
          </w:p>
        </w:tc>
        <w:tc>
          <w:tcPr>
            <w:tcW w:w="9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w:t>
            </w:r>
          </w:p>
        </w:tc>
        <w:tc>
          <w:tcPr>
            <w:tcW w:w="16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Common Stock</w:t>
            </w:r>
          </w:p>
        </w:tc>
        <w:tc>
          <w:tcPr>
            <w:tcW w:w="9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w w:val="96"/>
              </w:rPr>
              <w:t>%</w:t>
            </w:r>
          </w:p>
        </w:tc>
        <w:tc>
          <w:tcPr>
            <w:tcW w:w="136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voting power</w:t>
            </w:r>
            <w:r>
              <w:rPr>
                <w:rFonts w:ascii="Arial" w:cs="Arial" w:eastAsia="Arial" w:hAnsi="Arial"/>
                <w:sz w:val="18"/>
                <w:szCs w:val="18"/>
                <w:b w:val="1"/>
                <w:bCs w:val="1"/>
                <w:color w:val="FFFFFF"/>
                <w:vertAlign w:val="superscript"/>
              </w:rPr>
              <w:t>#</w:t>
            </w:r>
          </w:p>
        </w:tc>
      </w:tr>
      <w:tr>
        <w:trPr>
          <w:trHeight w:val="223"/>
        </w:trPr>
        <w:tc>
          <w:tcPr>
            <w:tcW w:w="48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b w:val="1"/>
                <w:bCs w:val="1"/>
                <w:color w:val="auto"/>
              </w:rPr>
              <w:t>Greater than 5% stockholders</w:t>
            </w:r>
          </w:p>
        </w:tc>
        <w:tc>
          <w:tcPr>
            <w:tcW w:w="1600" w:type="dxa"/>
            <w:vAlign w:val="bottom"/>
            <w:tcBorders>
              <w:bottom w:val="single" w:sz="8" w:color="F2F2F2"/>
            </w:tcBorders>
            <w:shd w:val="clear" w:color="auto" w:fill="F2F2F2"/>
          </w:tcPr>
          <w:p>
            <w:pPr>
              <w:spacing w:after="0"/>
              <w:rPr>
                <w:sz w:val="19"/>
                <w:szCs w:val="19"/>
                <w:color w:val="auto"/>
              </w:rPr>
            </w:pPr>
          </w:p>
        </w:tc>
        <w:tc>
          <w:tcPr>
            <w:tcW w:w="900" w:type="dxa"/>
            <w:vAlign w:val="bottom"/>
            <w:tcBorders>
              <w:bottom w:val="single" w:sz="8" w:color="F2F2F2"/>
            </w:tcBorders>
            <w:shd w:val="clear" w:color="auto" w:fill="F2F2F2"/>
          </w:tcPr>
          <w:p>
            <w:pPr>
              <w:spacing w:after="0"/>
              <w:rPr>
                <w:sz w:val="19"/>
                <w:szCs w:val="19"/>
                <w:color w:val="auto"/>
              </w:rPr>
            </w:pPr>
          </w:p>
        </w:tc>
        <w:tc>
          <w:tcPr>
            <w:tcW w:w="1600" w:type="dxa"/>
            <w:vAlign w:val="bottom"/>
            <w:tcBorders>
              <w:bottom w:val="single" w:sz="8" w:color="F2F2F2"/>
            </w:tcBorders>
            <w:shd w:val="clear" w:color="auto" w:fill="F2F2F2"/>
          </w:tcPr>
          <w:p>
            <w:pPr>
              <w:spacing w:after="0"/>
              <w:rPr>
                <w:sz w:val="19"/>
                <w:szCs w:val="19"/>
                <w:color w:val="auto"/>
              </w:rPr>
            </w:pPr>
          </w:p>
        </w:tc>
        <w:tc>
          <w:tcPr>
            <w:tcW w:w="900" w:type="dxa"/>
            <w:vAlign w:val="bottom"/>
            <w:tcBorders>
              <w:bottom w:val="single" w:sz="8" w:color="F2F2F2"/>
            </w:tcBorders>
            <w:shd w:val="clear" w:color="auto" w:fill="F2F2F2"/>
          </w:tcPr>
          <w:p>
            <w:pPr>
              <w:spacing w:after="0"/>
              <w:rPr>
                <w:sz w:val="19"/>
                <w:szCs w:val="19"/>
                <w:color w:val="auto"/>
              </w:rPr>
            </w:pPr>
          </w:p>
        </w:tc>
        <w:tc>
          <w:tcPr>
            <w:tcW w:w="1360" w:type="dxa"/>
            <w:vAlign w:val="bottom"/>
            <w:tcBorders>
              <w:bottom w:val="single" w:sz="8" w:color="F2F2F2"/>
            </w:tcBorders>
            <w:shd w:val="clear" w:color="auto" w:fill="F2F2F2"/>
          </w:tcPr>
          <w:p>
            <w:pPr>
              <w:spacing w:after="0"/>
              <w:rPr>
                <w:sz w:val="19"/>
                <w:szCs w:val="19"/>
                <w:color w:val="auto"/>
              </w:rPr>
            </w:pPr>
          </w:p>
        </w:tc>
      </w:tr>
      <w:tr>
        <w:trPr>
          <w:trHeight w:val="366"/>
        </w:trPr>
        <w:tc>
          <w:tcPr>
            <w:tcW w:w="4880" w:type="dxa"/>
            <w:vAlign w:val="bottom"/>
          </w:tcPr>
          <w:p>
            <w:pPr>
              <w:ind w:left="60"/>
              <w:spacing w:after="0"/>
              <w:rPr>
                <w:sz w:val="20"/>
                <w:szCs w:val="20"/>
                <w:color w:val="auto"/>
              </w:rPr>
            </w:pPr>
            <w:r>
              <w:rPr>
                <w:rFonts w:ascii="Arial" w:cs="Arial" w:eastAsia="Arial" w:hAnsi="Arial"/>
                <w:sz w:val="16"/>
                <w:szCs w:val="16"/>
                <w:color w:val="auto"/>
              </w:rPr>
              <w:t>Entities affiliated with The Vanguard Group</w:t>
            </w:r>
            <w:r>
              <w:rPr>
                <w:rFonts w:ascii="Arial" w:cs="Arial" w:eastAsia="Arial" w:hAnsi="Arial"/>
                <w:sz w:val="21"/>
                <w:szCs w:val="21"/>
                <w:color w:val="auto"/>
                <w:vertAlign w:val="superscript"/>
              </w:rPr>
              <w:t>(4)</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27,274,282</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10.56</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rPr>
              <w:t>2.58</w:t>
            </w:r>
          </w:p>
        </w:tc>
      </w:tr>
      <w:tr>
        <w:trPr>
          <w:trHeight w:val="39"/>
        </w:trPr>
        <w:tc>
          <w:tcPr>
            <w:tcW w:w="48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385"/>
        </w:trPr>
        <w:tc>
          <w:tcPr>
            <w:tcW w:w="48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Entities affiliated with BlackRock, Inc.</w:t>
            </w:r>
            <w:r>
              <w:rPr>
                <w:rFonts w:ascii="Arial" w:cs="Arial" w:eastAsia="Arial" w:hAnsi="Arial"/>
                <w:sz w:val="21"/>
                <w:szCs w:val="21"/>
                <w:color w:val="auto"/>
                <w:vertAlign w:val="superscript"/>
              </w:rPr>
              <w:t>(5)</w:t>
            </w:r>
          </w:p>
        </w:tc>
        <w:tc>
          <w:tcPr>
            <w:tcW w:w="16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35,534,669</w:t>
            </w:r>
          </w:p>
        </w:tc>
        <w:tc>
          <w:tcPr>
            <w:tcW w:w="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13.75</w:t>
            </w:r>
          </w:p>
        </w:tc>
        <w:tc>
          <w:tcPr>
            <w:tcW w:w="16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3.36</w:t>
            </w:r>
          </w:p>
        </w:tc>
      </w:tr>
      <w:tr>
        <w:trPr>
          <w:trHeight w:val="366"/>
        </w:trPr>
        <w:tc>
          <w:tcPr>
            <w:tcW w:w="4880" w:type="dxa"/>
            <w:vAlign w:val="bottom"/>
          </w:tcPr>
          <w:p>
            <w:pPr>
              <w:ind w:left="60"/>
              <w:spacing w:after="0"/>
              <w:rPr>
                <w:sz w:val="20"/>
                <w:szCs w:val="20"/>
                <w:color w:val="auto"/>
              </w:rPr>
            </w:pPr>
            <w:r>
              <w:rPr>
                <w:rFonts w:ascii="Arial" w:cs="Arial" w:eastAsia="Arial" w:hAnsi="Arial"/>
                <w:sz w:val="16"/>
                <w:szCs w:val="16"/>
                <w:color w:val="auto"/>
              </w:rPr>
              <w:t>Ameriprise Financial, Inc.</w:t>
            </w:r>
            <w:r>
              <w:rPr>
                <w:rFonts w:ascii="Arial" w:cs="Arial" w:eastAsia="Arial" w:hAnsi="Arial"/>
                <w:sz w:val="21"/>
                <w:szCs w:val="21"/>
                <w:color w:val="auto"/>
                <w:vertAlign w:val="superscript"/>
              </w:rPr>
              <w:t>(6)</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19,144,616</w:t>
            </w:r>
          </w:p>
        </w:tc>
        <w:tc>
          <w:tcPr>
            <w:tcW w:w="900" w:type="dxa"/>
            <w:vAlign w:val="bottom"/>
          </w:tcPr>
          <w:p>
            <w:pPr>
              <w:jc w:val="center"/>
              <w:spacing w:after="0"/>
              <w:rPr>
                <w:sz w:val="20"/>
                <w:szCs w:val="20"/>
                <w:color w:val="auto"/>
              </w:rPr>
            </w:pPr>
            <w:r>
              <w:rPr>
                <w:rFonts w:ascii="Arial" w:cs="Arial" w:eastAsia="Arial" w:hAnsi="Arial"/>
                <w:sz w:val="16"/>
                <w:szCs w:val="16"/>
                <w:color w:val="auto"/>
              </w:rPr>
              <w:t>7.41</w:t>
            </w:r>
          </w:p>
        </w:tc>
        <w:tc>
          <w:tcPr>
            <w:tcW w:w="1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tcPr>
          <w:p>
            <w:pPr>
              <w:jc w:val="center"/>
              <w:spacing w:after="0"/>
              <w:rPr>
                <w:sz w:val="20"/>
                <w:szCs w:val="20"/>
                <w:color w:val="auto"/>
              </w:rPr>
            </w:pPr>
            <w:r>
              <w:rPr>
                <w:rFonts w:ascii="Arial" w:cs="Arial" w:eastAsia="Arial" w:hAnsi="Arial"/>
                <w:sz w:val="16"/>
                <w:szCs w:val="16"/>
                <w:color w:val="auto"/>
              </w:rPr>
              <w:t>1.81</w:t>
            </w:r>
          </w:p>
        </w:tc>
      </w:tr>
      <w:tr>
        <w:trPr>
          <w:trHeight w:val="39"/>
        </w:trPr>
        <w:tc>
          <w:tcPr>
            <w:tcW w:w="48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378"/>
        </w:trPr>
        <w:tc>
          <w:tcPr>
            <w:tcW w:w="4880" w:type="dxa"/>
            <w:vAlign w:val="bottom"/>
            <w:shd w:val="clear" w:color="auto" w:fill="F2F2F2"/>
          </w:tcPr>
          <w:p>
            <w:pPr>
              <w:ind w:left="60"/>
              <w:spacing w:after="0"/>
              <w:rPr>
                <w:sz w:val="20"/>
                <w:szCs w:val="20"/>
                <w:color w:val="auto"/>
              </w:rPr>
            </w:pPr>
            <w:r>
              <w:rPr>
                <w:rFonts w:ascii="Arial" w:cs="Arial" w:eastAsia="Arial" w:hAnsi="Arial"/>
                <w:sz w:val="16"/>
                <w:szCs w:val="16"/>
                <w:color w:val="auto"/>
              </w:rPr>
              <w:t>Columbia Management Investment Advisers, LLC</w:t>
            </w:r>
            <w:r>
              <w:rPr>
                <w:rFonts w:ascii="Arial" w:cs="Arial" w:eastAsia="Arial" w:hAnsi="Arial"/>
                <w:sz w:val="21"/>
                <w:szCs w:val="21"/>
                <w:color w:val="auto"/>
                <w:vertAlign w:val="superscript"/>
              </w:rPr>
              <w:t>(7)</w:t>
            </w:r>
          </w:p>
        </w:tc>
        <w:tc>
          <w:tcPr>
            <w:tcW w:w="16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18,085,218</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7.00</w:t>
            </w:r>
          </w:p>
        </w:tc>
        <w:tc>
          <w:tcPr>
            <w:tcW w:w="16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shd w:val="clear" w:color="auto" w:fill="F2F2F2"/>
          </w:tcPr>
          <w:p>
            <w:pPr>
              <w:jc w:val="center"/>
              <w:spacing w:after="0"/>
              <w:rPr>
                <w:sz w:val="20"/>
                <w:szCs w:val="20"/>
                <w:color w:val="auto"/>
              </w:rPr>
            </w:pPr>
            <w:r>
              <w:rPr>
                <w:rFonts w:ascii="Arial" w:cs="Arial" w:eastAsia="Arial" w:hAnsi="Arial"/>
                <w:sz w:val="16"/>
                <w:szCs w:val="16"/>
                <w:color w:val="auto"/>
                <w:w w:val="99"/>
              </w:rPr>
              <w:t>—</w:t>
            </w:r>
          </w:p>
        </w:tc>
        <w:tc>
          <w:tcPr>
            <w:tcW w:w="136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1.71</w:t>
            </w:r>
          </w:p>
        </w:tc>
      </w:tr>
    </w:tbl>
    <w:p>
      <w:pPr>
        <w:spacing w:after="0" w:line="99" w:lineRule="exact"/>
        <w:rPr>
          <w:sz w:val="20"/>
          <w:szCs w:val="20"/>
          <w:color w:val="auto"/>
        </w:rPr>
      </w:pPr>
    </w:p>
    <w:p>
      <w:pPr>
        <w:ind w:left="340" w:right="380" w:hanging="332"/>
        <w:spacing w:after="0" w:line="261" w:lineRule="auto"/>
        <w:tabs>
          <w:tab w:leader="none" w:pos="339"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Class B common stock is convertible at any time by the holder into shares of Class A common stock on a share-for-share basis, such that each holder of Class B common stock beneficially owns an equivalent number of Class A common stock.</w:t>
      </w:r>
    </w:p>
    <w:p>
      <w:pPr>
        <w:spacing w:after="0" w:line="1" w:lineRule="exact"/>
        <w:rPr>
          <w:sz w:val="20"/>
          <w:szCs w:val="20"/>
          <w:color w:val="auto"/>
        </w:rPr>
      </w:pPr>
    </w:p>
    <w:p>
      <w:pPr>
        <w:ind w:left="340" w:right="140" w:hanging="332"/>
        <w:spacing w:after="0" w:line="251" w:lineRule="auto"/>
        <w:tabs>
          <w:tab w:leader="none" w:pos="33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2" w:lineRule="exact"/>
        <w:rPr>
          <w:sz w:val="20"/>
          <w:szCs w:val="20"/>
          <w:color w:val="auto"/>
        </w:rPr>
      </w:pPr>
    </w:p>
    <w:p>
      <w:pPr>
        <w:ind w:left="320" w:hanging="312"/>
        <w:spacing w:after="0"/>
        <w:tabs>
          <w:tab w:leader="none" w:pos="32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27" w:lineRule="exact"/>
        <w:rPr>
          <w:sz w:val="20"/>
          <w:szCs w:val="20"/>
          <w:color w:val="auto"/>
        </w:rPr>
      </w:pPr>
    </w:p>
    <w:p>
      <w:pPr>
        <w:ind w:left="340" w:right="20" w:hanging="332"/>
        <w:spacing w:after="0" w:line="249" w:lineRule="auto"/>
        <w:tabs>
          <w:tab w:leader="none" w:pos="333" w:val="left"/>
        </w:tabs>
        <w:numPr>
          <w:ilvl w:val="0"/>
          <w:numId w:val="103"/>
        </w:numPr>
        <w:rPr>
          <w:rFonts w:ascii="Arial" w:cs="Arial" w:eastAsia="Arial" w:hAnsi="Arial"/>
          <w:sz w:val="9"/>
          <w:szCs w:val="9"/>
          <w:color w:val="auto"/>
        </w:rPr>
      </w:pPr>
      <w:r>
        <w:rPr>
          <w:rFonts w:ascii="Arial" w:cs="Arial" w:eastAsia="Arial" w:hAnsi="Arial"/>
          <w:sz w:val="14"/>
          <w:szCs w:val="14"/>
          <w:color w:val="auto"/>
        </w:rPr>
        <w:t>Consists of (i) 716,728 shares of Class A Common Stock and 7,743,764 shares of Class B Common Stock held by the Houston Remainder Trust u/a/ 12/30/2010, for which Mr. Houston serves as trustee, (ii) 70,679,629 shares of Class B Common Stock were held by Andrew Houston Revocable Trust u/a/d 9/7/2011, for which Mr. Houston serves as trustee, (iii) 500,500 shares of Class B common stock held by the Houston 2012 Irrevocable Children’s Trust dated 4/12/2012, for which Mr. Houston serves as trustee, (iv) 444,444 shares of Class A Common Stock held by the Erin Yu Revocable Trust u/a/d 1/18/2024, for which Mr. Houston's spouse serves as a trustee, and (v) 8,266,666 shares of Class A common stock underlying RSAs subject to Mr. Houston’s Co-Founder Grant.</w:t>
      </w:r>
    </w:p>
    <w:p>
      <w:pPr>
        <w:spacing w:after="0" w:line="2" w:lineRule="exact"/>
        <w:rPr>
          <w:rFonts w:ascii="Arial" w:cs="Arial" w:eastAsia="Arial" w:hAnsi="Arial"/>
          <w:sz w:val="9"/>
          <w:szCs w:val="9"/>
          <w:color w:val="auto"/>
        </w:rPr>
      </w:pPr>
    </w:p>
    <w:p>
      <w:pPr>
        <w:ind w:left="320" w:hanging="312"/>
        <w:spacing w:after="0" w:line="207" w:lineRule="auto"/>
        <w:tabs>
          <w:tab w:leader="none" w:pos="320"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According to the company's records as of June 14, 2023.</w:t>
      </w:r>
    </w:p>
    <w:p>
      <w:pPr>
        <w:spacing w:after="0" w:line="13" w:lineRule="exact"/>
        <w:rPr>
          <w:rFonts w:ascii="Arial" w:cs="Arial" w:eastAsia="Arial" w:hAnsi="Arial"/>
          <w:sz w:val="19"/>
          <w:szCs w:val="19"/>
          <w:color w:val="auto"/>
          <w:vertAlign w:val="superscript"/>
        </w:rPr>
      </w:pPr>
    </w:p>
    <w:p>
      <w:pPr>
        <w:ind w:left="340" w:right="20" w:hanging="332"/>
        <w:spacing w:after="0" w:line="213" w:lineRule="auto"/>
        <w:tabs>
          <w:tab w:leader="none" w:pos="333"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Consists of (i) 178,058 shares of Class A common stock held by the Paul E. Jacobs Trust dated November 7, 2014, for which Mr. Jacobs serves as trustee, and (ii) 113,846 shares of Class A common stock held by Mr. Jacobs.</w:t>
      </w:r>
    </w:p>
    <w:p>
      <w:pPr>
        <w:spacing w:after="0" w:line="1" w:lineRule="exact"/>
        <w:rPr>
          <w:rFonts w:ascii="Arial" w:cs="Arial" w:eastAsia="Arial" w:hAnsi="Arial"/>
          <w:sz w:val="19"/>
          <w:szCs w:val="19"/>
          <w:color w:val="auto"/>
          <w:vertAlign w:val="superscript"/>
        </w:rPr>
      </w:pPr>
    </w:p>
    <w:p>
      <w:pPr>
        <w:ind w:left="340" w:right="100" w:hanging="332"/>
        <w:spacing w:after="0" w:line="230" w:lineRule="auto"/>
        <w:tabs>
          <w:tab w:leader="none" w:pos="333"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Consists of shares of Class A common stock beneficially owned as of December 29, 2023 according to a Schedule 13G/A filed with the SEC by The Vanguard Group, Inc. (“</w:t>
      </w:r>
      <w:r>
        <w:rPr>
          <w:rFonts w:ascii="Arial" w:cs="Arial" w:eastAsia="Arial" w:hAnsi="Arial"/>
          <w:sz w:val="14"/>
          <w:szCs w:val="14"/>
          <w:b w:val="1"/>
          <w:bCs w:val="1"/>
          <w:i w:val="1"/>
          <w:iCs w:val="1"/>
          <w:color w:val="auto"/>
        </w:rPr>
        <w:t>Vanguard</w:t>
      </w:r>
      <w:r>
        <w:rPr>
          <w:rFonts w:ascii="Arial" w:cs="Arial" w:eastAsia="Arial" w:hAnsi="Arial"/>
          <w:sz w:val="14"/>
          <w:szCs w:val="14"/>
          <w:color w:val="auto"/>
        </w:rPr>
        <w:t>”) on February 13, 2024. Vanguard has beneficial ownership of 27,274,282 shares of Class A common stock. The Schedule 13G/A reports that Vanguard has shared voting power with respect to 189,842 shares of Class A common stock, sole dispositive power with respect to 26,873,363 shares of Class A common stock and shared dispositive power over 400,919 shares of Class A common stock. The address for Vanguard is 100 Vanguard Blvd., Malvern, PA 19355.</w:t>
      </w:r>
    </w:p>
    <w:p>
      <w:pPr>
        <w:spacing w:after="0" w:line="2" w:lineRule="exact"/>
        <w:rPr>
          <w:rFonts w:ascii="Arial" w:cs="Arial" w:eastAsia="Arial" w:hAnsi="Arial"/>
          <w:sz w:val="19"/>
          <w:szCs w:val="19"/>
          <w:color w:val="auto"/>
          <w:vertAlign w:val="superscript"/>
        </w:rPr>
      </w:pPr>
    </w:p>
    <w:p>
      <w:pPr>
        <w:ind w:left="320" w:hanging="312"/>
        <w:spacing w:after="0" w:line="191" w:lineRule="auto"/>
        <w:tabs>
          <w:tab w:leader="none" w:pos="320"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Consists of shares of Class A common stock beneficially owned as of December 31, 2023 according to a Schedule 13G filed with the SEC by BlackRock, Inc.</w:t>
      </w:r>
    </w:p>
    <w:p>
      <w:pPr>
        <w:ind w:left="340" w:right="60"/>
        <w:spacing w:after="0" w:line="252" w:lineRule="auto"/>
        <w:rPr>
          <w:rFonts w:ascii="Arial" w:cs="Arial" w:eastAsia="Arial" w:hAnsi="Arial"/>
          <w:sz w:val="19"/>
          <w:szCs w:val="19"/>
          <w:color w:val="auto"/>
          <w:vertAlign w:val="superscript"/>
        </w:rPr>
      </w:pPr>
      <w:r>
        <w:rPr>
          <w:rFonts w:ascii="Arial" w:cs="Arial" w:eastAsia="Arial" w:hAnsi="Arial"/>
          <w:sz w:val="14"/>
          <w:szCs w:val="14"/>
          <w:color w:val="auto"/>
        </w:rPr>
        <w:t>(“</w:t>
      </w:r>
      <w:r>
        <w:rPr>
          <w:rFonts w:ascii="Arial" w:cs="Arial" w:eastAsia="Arial" w:hAnsi="Arial"/>
          <w:sz w:val="14"/>
          <w:szCs w:val="14"/>
          <w:b w:val="1"/>
          <w:bCs w:val="1"/>
          <w:i w:val="1"/>
          <w:iCs w:val="1"/>
          <w:color w:val="auto"/>
        </w:rPr>
        <w:t>BlackRock</w:t>
      </w:r>
      <w:r>
        <w:rPr>
          <w:rFonts w:ascii="Arial" w:cs="Arial" w:eastAsia="Arial" w:hAnsi="Arial"/>
          <w:sz w:val="14"/>
          <w:szCs w:val="14"/>
          <w:color w:val="auto"/>
        </w:rPr>
        <w:t>”) on January 23, 2024. BlackRock has beneficial ownership of 35,534,669 shares of Class A common stock. The address for BlackRock is 50 Hudson Yards, New York, New York 10001.</w:t>
      </w:r>
    </w:p>
    <w:p>
      <w:pPr>
        <w:ind w:left="340" w:right="140" w:hanging="332"/>
        <w:spacing w:after="0" w:line="233" w:lineRule="auto"/>
        <w:tabs>
          <w:tab w:leader="none" w:pos="333"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Consists of shares of Class A common stock beneficially owned as of December 31, 2023 according to a Schedule 13G filed with the SEC by Ameriprise Financial, Inc. (“</w:t>
      </w:r>
      <w:r>
        <w:rPr>
          <w:rFonts w:ascii="Arial" w:cs="Arial" w:eastAsia="Arial" w:hAnsi="Arial"/>
          <w:sz w:val="14"/>
          <w:szCs w:val="14"/>
          <w:b w:val="1"/>
          <w:bCs w:val="1"/>
          <w:i w:val="1"/>
          <w:iCs w:val="1"/>
          <w:color w:val="auto"/>
        </w:rPr>
        <w:t>Ameriprise</w:t>
      </w:r>
      <w:r>
        <w:rPr>
          <w:rFonts w:ascii="Arial" w:cs="Arial" w:eastAsia="Arial" w:hAnsi="Arial"/>
          <w:sz w:val="14"/>
          <w:szCs w:val="14"/>
          <w:color w:val="auto"/>
        </w:rPr>
        <w:t>”) on February 14, 2024. Ameriprise has beneficial ownership of 19,144,616 shares of Class A common stock. The address for Ameriprise is 145 Ameriprise Financial Center, Minneapolis, MN 55474.</w:t>
      </w:r>
    </w:p>
    <w:p>
      <w:pPr>
        <w:spacing w:after="0" w:line="1" w:lineRule="exact"/>
        <w:rPr>
          <w:rFonts w:ascii="Arial" w:cs="Arial" w:eastAsia="Arial" w:hAnsi="Arial"/>
          <w:sz w:val="19"/>
          <w:szCs w:val="19"/>
          <w:color w:val="auto"/>
          <w:vertAlign w:val="superscript"/>
        </w:rPr>
      </w:pPr>
    </w:p>
    <w:p>
      <w:pPr>
        <w:ind w:left="340" w:right="400" w:hanging="332"/>
        <w:spacing w:after="0" w:line="228" w:lineRule="auto"/>
        <w:tabs>
          <w:tab w:leader="none" w:pos="333"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Consists of shares of Class A common stock beneficially owned as of December 31, 2023 according to a Schedule 13G filed with the SEC by Columbia Management Investment Advisers, LLC (“</w:t>
      </w:r>
      <w:r>
        <w:rPr>
          <w:rFonts w:ascii="Arial" w:cs="Arial" w:eastAsia="Arial" w:hAnsi="Arial"/>
          <w:sz w:val="14"/>
          <w:szCs w:val="14"/>
          <w:b w:val="1"/>
          <w:bCs w:val="1"/>
          <w:i w:val="1"/>
          <w:iCs w:val="1"/>
          <w:color w:val="auto"/>
        </w:rPr>
        <w:t>Columbia</w:t>
      </w:r>
      <w:r>
        <w:rPr>
          <w:rFonts w:ascii="Arial" w:cs="Arial" w:eastAsia="Arial" w:hAnsi="Arial"/>
          <w:sz w:val="14"/>
          <w:szCs w:val="14"/>
          <w:color w:val="auto"/>
        </w:rPr>
        <w:t>”) on February 14, 2024. Columbia has beneficial ownership of 18,085,218 shares of Class A common stock. The address for Columbia is 290 Congress Street, Boston, MA 02210.</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65</w:t>
            </w:r>
          </w:p>
        </w:tc>
      </w:tr>
      <w:tr>
        <w:trPr>
          <w:trHeight w:val="212"/>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ind w:right="2280"/>
        <w:spacing w:after="0" w:line="286" w:lineRule="auto"/>
        <w:rPr>
          <w:sz w:val="20"/>
          <w:szCs w:val="20"/>
          <w:color w:val="auto"/>
        </w:rPr>
      </w:pPr>
      <w:r>
        <w:rPr>
          <w:rFonts w:ascii="Arial" w:cs="Arial" w:eastAsia="Arial" w:hAnsi="Arial"/>
          <w:sz w:val="32"/>
          <w:szCs w:val="32"/>
          <w:color w:val="0063A6"/>
        </w:rPr>
        <w:t>CERTAIN RELATIONSHIPS, RELATED PARTY AND OTHER TRANSACTIONS</w:t>
      </w:r>
    </w:p>
    <w:p>
      <w:pPr>
        <w:spacing w:after="0" w:line="36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Since the beginning of our last fiscal year we have not engaged in any transactions that would require disclosure under Item 404(a) of Regulation S-K, and are not aware of any such transactions currently proposed.</w:t>
      </w:r>
    </w:p>
    <w:p>
      <w:pPr>
        <w:spacing w:after="0" w:line="326" w:lineRule="exact"/>
        <w:rPr>
          <w:sz w:val="20"/>
          <w:szCs w:val="20"/>
          <w:color w:val="auto"/>
        </w:rPr>
      </w:pPr>
    </w:p>
    <w:p>
      <w:pPr>
        <w:spacing w:after="0"/>
        <w:rPr>
          <w:sz w:val="20"/>
          <w:szCs w:val="20"/>
          <w:color w:val="auto"/>
        </w:rPr>
      </w:pPr>
      <w:r>
        <w:rPr>
          <w:rFonts w:ascii="Arial" w:cs="Arial" w:eastAsia="Arial" w:hAnsi="Arial"/>
          <w:sz w:val="26"/>
          <w:szCs w:val="26"/>
          <w:color w:val="0063A6"/>
        </w:rPr>
        <w:t>Policies and Procedures for Related Person Transactions</w:t>
      </w:r>
    </w:p>
    <w:p>
      <w:pPr>
        <w:spacing w:after="0" w:line="16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28"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Under this policy, all related person transactions may be consummated or continued only if approved or ratified by our audit committee. In determining whether to approve or ratify any such proposal, our audit committee will take into account, among other factors it deems appropriate, (i) whether the transaction is on terms no less favorable than terms generally available to an unaffiliated third party and (ii) the extent of the related person’s interest in the transaction. The policy grants standing pre-approval of certain transactions, including (i) executive compensation governed by our standard compensation and benefits policies, (ii) director compensation arrangements governed by our standard director compensation policies, (iii) transactions with another company at which a related person’s only relationship is as an employee (other than an executive officer), director, or beneficial owner of less than 10% equity interest of that company, if the aggregate amount involved does not exceed the greater of $200,000 or 2% of the recipient’s consolidated gross revenues, (iv) charitable contributions, grants or endowments by us to a charitable organization, foundation or university where the related person’s only relationship is as an employee (other than an executive officer), or director, if the aggregate amount involved does not exceed the lesser of $1,000,000 or 2% of the charitable organization’s total annual receipts, (v) any transaction available to all U.S. employees generally, and (vi) transactions where a related person’s interest arises solely from the ownership of our common stock and all holders of our common stock received the same benefit on a pro rata basis.</w:t>
      </w:r>
    </w:p>
    <w:p>
      <w:pPr>
        <w:spacing w:after="0" w:line="200" w:lineRule="exact"/>
        <w:rPr>
          <w:sz w:val="20"/>
          <w:szCs w:val="20"/>
          <w:color w:val="auto"/>
        </w:rPr>
      </w:pPr>
    </w:p>
    <w:p>
      <w:pPr>
        <w:spacing w:after="0" w:line="314" w:lineRule="exact"/>
        <w:rPr>
          <w:sz w:val="20"/>
          <w:szCs w:val="20"/>
          <w:color w:val="auto"/>
        </w:rPr>
      </w:pPr>
    </w:p>
    <w:p>
      <w:pPr>
        <w:ind w:left="580" w:hanging="554"/>
        <w:spacing w:after="0"/>
        <w:tabs>
          <w:tab w:leader="none" w:pos="580" w:val="left"/>
        </w:tabs>
        <w:numPr>
          <w:ilvl w:val="0"/>
          <w:numId w:val="104"/>
        </w:numPr>
        <w:rPr>
          <w:rFonts w:ascii="Arial" w:cs="Arial" w:eastAsia="Arial" w:hAnsi="Arial"/>
          <w:sz w:val="14"/>
          <w:szCs w:val="14"/>
          <w:b w:val="1"/>
          <w:bCs w:val="1"/>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OTHER MATTERS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6"/>
          <w:szCs w:val="26"/>
          <w:color w:val="0063A6"/>
        </w:rPr>
        <w:t>Delinquent Section 16(a) Reports</w:t>
      </w:r>
    </w:p>
    <w:p>
      <w:pPr>
        <w:spacing w:after="0" w:line="165"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SEC regulations require us to identify in this proxy statement anyone who filed a required report late during the most recent fiscal year. Based solely on our review of copies of such forms that we have received, or written representations from reporting persons, we believe that during the fiscal year ended December 31, 2023, all executive officers, directors and greater than 10% stockholders complied with all applicable SEC filing requirements, with the exceptions noted below.</w:t>
      </w:r>
    </w:p>
    <w:p>
      <w:pPr>
        <w:spacing w:after="0" w:line="129" w:lineRule="exact"/>
        <w:rPr>
          <w:sz w:val="20"/>
          <w:szCs w:val="20"/>
          <w:color w:val="auto"/>
        </w:rPr>
      </w:pPr>
    </w:p>
    <w:p>
      <w:pPr>
        <w:ind w:left="660" w:right="60" w:hanging="328"/>
        <w:spacing w:after="0" w:line="286" w:lineRule="auto"/>
        <w:tabs>
          <w:tab w:leader="none" w:pos="64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Due to an administrative error, a late Form 4 was filed for Bart Volkmer on March 16, 2023 to report a sale of 11,506 shares of our Class A common stock on March 13th, 2023.</w:t>
      </w:r>
    </w:p>
    <w:p>
      <w:pPr>
        <w:spacing w:after="0" w:line="326" w:lineRule="exact"/>
        <w:rPr>
          <w:sz w:val="20"/>
          <w:szCs w:val="20"/>
          <w:color w:val="auto"/>
        </w:rPr>
      </w:pPr>
    </w:p>
    <w:p>
      <w:pPr>
        <w:spacing w:after="0"/>
        <w:rPr>
          <w:sz w:val="20"/>
          <w:szCs w:val="20"/>
          <w:color w:val="auto"/>
        </w:rPr>
      </w:pPr>
      <w:r>
        <w:rPr>
          <w:rFonts w:ascii="Arial" w:cs="Arial" w:eastAsia="Arial" w:hAnsi="Arial"/>
          <w:sz w:val="26"/>
          <w:szCs w:val="26"/>
          <w:color w:val="0063A6"/>
        </w:rPr>
        <w:t>Fiscal Year 2023 Annual Report and SEC Filings</w:t>
      </w:r>
    </w:p>
    <w:p>
      <w:pPr>
        <w:spacing w:after="0" w:line="16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Our financial statements for our fiscal year ended December 31, 2023 are included in our Annual Report on Form 10-K, which we will make available to stockholders at the same time as this proxy statement. This proxy statement and our annual report are posted on our website at investors.dropbox.com and are available from the SEC on its website at www.sec.gov. You may also obtain a copy of our annual report without charge by sending a written request to Dropbox, Inc., Attention: Corporate Secretary, 1800 Owens Street, San Francisco, California 94158.</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67"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10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It is important that your shares of our common stock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April 2, 2024</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860" w:type="dxa"/>
            <w:vAlign w:val="bottom"/>
          </w:tcPr>
          <w:p>
            <w:pPr>
              <w:ind w:left="5320"/>
              <w:spacing w:after="0"/>
              <w:rPr>
                <w:sz w:val="20"/>
                <w:szCs w:val="20"/>
                <w:color w:val="auto"/>
              </w:rPr>
            </w:pPr>
            <w:r>
              <w:rPr>
                <w:rFonts w:ascii="Arial" w:cs="Arial" w:eastAsia="Arial" w:hAnsi="Arial"/>
                <w:sz w:val="14"/>
                <w:szCs w:val="14"/>
                <w:b w:val="1"/>
                <w:bCs w:val="1"/>
                <w:color w:val="0063A6"/>
              </w:rPr>
              <w:t xml:space="preserve">Dropbox, Inc. </w:t>
            </w:r>
            <w:r>
              <w:rPr>
                <w:rFonts w:ascii="Arial" w:cs="Arial" w:eastAsia="Arial" w:hAnsi="Arial"/>
                <w:sz w:val="14"/>
                <w:szCs w:val="14"/>
                <w:color w:val="0063A6"/>
              </w:rPr>
              <w:t>Proxy Statement and Notice of 2024 Annual Meeting of Stockholders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r>
        <w:trPr>
          <w:trHeight w:val="211"/>
        </w:trPr>
        <w:tc>
          <w:tcPr>
            <w:tcW w:w="108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15" w:lineRule="exact"/>
        <w:rPr>
          <w:sz w:val="20"/>
          <w:szCs w:val="20"/>
          <w:color w:val="auto"/>
        </w:rPr>
      </w:pPr>
    </w:p>
    <w:p>
      <w:pPr>
        <w:spacing w:after="0"/>
        <w:rPr>
          <w:sz w:val="20"/>
          <w:szCs w:val="20"/>
          <w:color w:val="auto"/>
        </w:rPr>
      </w:pPr>
      <w:r>
        <w:rPr>
          <w:rFonts w:ascii="Arial" w:cs="Arial" w:eastAsia="Arial" w:hAnsi="Arial"/>
          <w:sz w:val="32"/>
          <w:szCs w:val="32"/>
          <w:color w:val="0063A6"/>
        </w:rPr>
        <w:t>APPENDIX A</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26"/>
          <w:szCs w:val="26"/>
          <w:color w:val="0063A6"/>
        </w:rPr>
        <w:t>Reconciliation of GAAP financial measures to non-GAAP financial measures</w:t>
      </w:r>
    </w:p>
    <w:p>
      <w:pPr>
        <w:spacing w:after="0" w:line="16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This proxy statement contains information regarding two non-GAAP financial measures: non-GAAP operating margin and free cash flow, each of which are not calculated in accordance with GAAP. Non-GAAP operating margin is calculated as our non-GAAP income (loss) from operations divided by revenue. Non-GAAP income (loss) from operations differs from GAAP in that it excludes stock-based compensation expense, amortization of acquired intangible assets, other acquisition-related expenses, which include third-party diligence costs and expenses related to key employee holdback agreements, net (gain) loss on real estate assets, and expenses related to our reduction in workforce. Free cash flow differs from GAAP net cash provided by operating activities in that it treats capital expenditures as a reduction to net cash provided by operating activities.</w:t>
      </w:r>
    </w:p>
    <w:p>
      <w:pPr>
        <w:spacing w:after="0" w:line="128"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We believe that these non-GAAP financial measures are appropriate to enhance an overall understanding of our fiscal 2022 performance in relation to the principal elements of Dropbox’s annual executive compensation program considered by the talent and compensation committee, as described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 of this proxy statement.</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use of non-GAAP operating margin and free cash flow has certain limitations as they do not reflect all items of income, expense, and cash expenditures, as applicable, that affect Dropbox’s operations. Dropbox compensates for these limitations by reconciling the non-GAAP financial measures to the most comparable GAAP financial measures.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stockholders and others to review Dropbox’s financial information in its entirety and not rely on a single financial measure.</w:t>
      </w:r>
    </w:p>
    <w:p>
      <w:pPr>
        <w:spacing w:after="0" w:line="12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Stockholders should review the reconciliation of non-GAAP operating margin and free cash flow to their most directly comparable GAAP financial measures, as provided in the following tables (in millions, except for percentages, which may not foot due to rounding):</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0063A6"/>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49465" cy="22377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23774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7840" w:type="dxa"/>
            <w:vAlign w:val="bottom"/>
            <w:tcBorders>
              <w:bottom w:val="single" w:sz="8" w:color="0063A6"/>
            </w:tcBorders>
            <w:shd w:val="clear" w:color="auto" w:fill="0063A6"/>
          </w:tcPr>
          <w:p>
            <w:pPr>
              <w:spacing w:after="0"/>
              <w:rPr>
                <w:sz w:val="24"/>
                <w:szCs w:val="24"/>
                <w:color w:val="auto"/>
              </w:rPr>
            </w:pPr>
          </w:p>
        </w:tc>
        <w:tc>
          <w:tcPr>
            <w:tcW w:w="3400" w:type="dxa"/>
            <w:vAlign w:val="bottom"/>
            <w:tcBorders>
              <w:bottom w:val="single" w:sz="8" w:color="0063A6"/>
            </w:tcBorders>
            <w:gridSpan w:val="2"/>
            <w:shd w:val="clear" w:color="auto" w:fill="0063A6"/>
          </w:tcPr>
          <w:p>
            <w:pPr>
              <w:ind w:left="460"/>
              <w:spacing w:after="0"/>
              <w:rPr>
                <w:sz w:val="20"/>
                <w:szCs w:val="20"/>
                <w:color w:val="auto"/>
              </w:rPr>
            </w:pPr>
            <w:r>
              <w:rPr>
                <w:rFonts w:ascii="Arial" w:cs="Arial" w:eastAsia="Arial" w:hAnsi="Arial"/>
                <w:sz w:val="14"/>
                <w:szCs w:val="14"/>
                <w:b w:val="1"/>
                <w:bCs w:val="1"/>
                <w:color w:val="FFFFFF"/>
              </w:rPr>
              <w:t>Twelve Months Ended December 31,</w:t>
            </w:r>
          </w:p>
        </w:tc>
      </w:tr>
      <w:tr>
        <w:trPr>
          <w:trHeight w:val="304"/>
        </w:trPr>
        <w:tc>
          <w:tcPr>
            <w:tcW w:w="7840" w:type="dxa"/>
            <w:vAlign w:val="bottom"/>
            <w:tcBorders>
              <w:bottom w:val="single" w:sz="8" w:color="E5EFFD"/>
            </w:tcBorders>
            <w:shd w:val="clear" w:color="auto" w:fill="E5EFFD"/>
          </w:tcPr>
          <w:p>
            <w:pPr>
              <w:spacing w:after="0"/>
              <w:rPr>
                <w:sz w:val="24"/>
                <w:szCs w:val="24"/>
                <w:color w:val="auto"/>
              </w:rPr>
            </w:pPr>
          </w:p>
        </w:tc>
        <w:tc>
          <w:tcPr>
            <w:tcW w:w="1700" w:type="dxa"/>
            <w:vAlign w:val="bottom"/>
            <w:tcBorders>
              <w:bottom w:val="single" w:sz="8" w:color="E5EFFD"/>
            </w:tcBorders>
            <w:shd w:val="clear" w:color="auto" w:fill="E5EFFD"/>
          </w:tcPr>
          <w:p>
            <w:pPr>
              <w:jc w:val="center"/>
              <w:spacing w:after="0"/>
              <w:rPr>
                <w:sz w:val="20"/>
                <w:szCs w:val="20"/>
                <w:color w:val="auto"/>
              </w:rPr>
            </w:pPr>
            <w:r>
              <w:rPr>
                <w:rFonts w:ascii="Arial" w:cs="Arial" w:eastAsia="Arial" w:hAnsi="Arial"/>
                <w:sz w:val="14"/>
                <w:szCs w:val="14"/>
                <w:b w:val="1"/>
                <w:bCs w:val="1"/>
                <w:color w:val="0063A6"/>
              </w:rPr>
              <w:t>2023</w:t>
            </w:r>
          </w:p>
        </w:tc>
        <w:tc>
          <w:tcPr>
            <w:tcW w:w="1700" w:type="dxa"/>
            <w:vAlign w:val="bottom"/>
            <w:tcBorders>
              <w:bottom w:val="single" w:sz="8" w:color="E5EFFD"/>
            </w:tcBorders>
            <w:shd w:val="clear" w:color="auto" w:fill="E5EFFD"/>
          </w:tcPr>
          <w:p>
            <w:pPr>
              <w:jc w:val="center"/>
              <w:spacing w:after="0"/>
              <w:rPr>
                <w:sz w:val="20"/>
                <w:szCs w:val="20"/>
                <w:color w:val="auto"/>
              </w:rPr>
            </w:pPr>
            <w:r>
              <w:rPr>
                <w:rFonts w:ascii="Arial" w:cs="Arial" w:eastAsia="Arial" w:hAnsi="Arial"/>
                <w:sz w:val="14"/>
                <w:szCs w:val="14"/>
                <w:b w:val="1"/>
                <w:bCs w:val="1"/>
                <w:color w:val="0063A6"/>
              </w:rPr>
              <w:t>2022</w:t>
            </w:r>
          </w:p>
        </w:tc>
      </w:tr>
      <w:tr>
        <w:trPr>
          <w:trHeight w:val="250"/>
        </w:trPr>
        <w:tc>
          <w:tcPr>
            <w:tcW w:w="78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color w:val="auto"/>
              </w:rPr>
              <w:t>GAAP income (loss) from operations</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$538.7</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$181.3</w:t>
            </w:r>
          </w:p>
        </w:tc>
      </w:tr>
      <w:tr>
        <w:trPr>
          <w:trHeight w:val="228"/>
        </w:trPr>
        <w:tc>
          <w:tcPr>
            <w:tcW w:w="7840" w:type="dxa"/>
            <w:vAlign w:val="bottom"/>
          </w:tcPr>
          <w:p>
            <w:pPr>
              <w:ind w:left="280"/>
              <w:spacing w:after="0"/>
              <w:rPr>
                <w:sz w:val="20"/>
                <w:szCs w:val="20"/>
                <w:color w:val="auto"/>
              </w:rPr>
            </w:pPr>
            <w:r>
              <w:rPr>
                <w:rFonts w:ascii="Arial" w:cs="Arial" w:eastAsia="Arial" w:hAnsi="Arial"/>
                <w:sz w:val="16"/>
                <w:szCs w:val="16"/>
                <w:i w:val="1"/>
                <w:iCs w:val="1"/>
                <w:color w:val="auto"/>
              </w:rPr>
              <w:t>GAAP operating margin</w:t>
            </w:r>
          </w:p>
        </w:tc>
        <w:tc>
          <w:tcPr>
            <w:tcW w:w="1700" w:type="dxa"/>
            <w:vAlign w:val="bottom"/>
          </w:tcPr>
          <w:p>
            <w:pPr>
              <w:jc w:val="center"/>
              <w:spacing w:after="0"/>
              <w:rPr>
                <w:sz w:val="20"/>
                <w:szCs w:val="20"/>
                <w:color w:val="auto"/>
              </w:rPr>
            </w:pPr>
            <w:r>
              <w:rPr>
                <w:rFonts w:ascii="Arial" w:cs="Arial" w:eastAsia="Arial" w:hAnsi="Arial"/>
                <w:sz w:val="16"/>
                <w:szCs w:val="16"/>
                <w:color w:val="auto"/>
              </w:rPr>
              <w:t>21.5%</w:t>
            </w:r>
          </w:p>
        </w:tc>
        <w:tc>
          <w:tcPr>
            <w:tcW w:w="1700" w:type="dxa"/>
            <w:vAlign w:val="bottom"/>
          </w:tcPr>
          <w:p>
            <w:pPr>
              <w:jc w:val="center"/>
              <w:spacing w:after="0"/>
              <w:rPr>
                <w:sz w:val="20"/>
                <w:szCs w:val="20"/>
                <w:color w:val="auto"/>
              </w:rPr>
            </w:pPr>
            <w:r>
              <w:rPr>
                <w:rFonts w:ascii="Arial" w:cs="Arial" w:eastAsia="Arial" w:hAnsi="Arial"/>
                <w:sz w:val="16"/>
                <w:szCs w:val="16"/>
                <w:color w:val="auto"/>
              </w:rPr>
              <w:t>7.8%</w:t>
            </w:r>
          </w:p>
        </w:tc>
      </w:tr>
      <w:tr>
        <w:trPr>
          <w:trHeight w:val="43"/>
        </w:trPr>
        <w:tc>
          <w:tcPr>
            <w:tcW w:w="7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308"/>
        </w:trPr>
        <w:tc>
          <w:tcPr>
            <w:tcW w:w="7840" w:type="dxa"/>
            <w:vAlign w:val="bottom"/>
            <w:shd w:val="clear" w:color="auto" w:fill="F2F2F2"/>
          </w:tcPr>
          <w:p>
            <w:pPr>
              <w:ind w:left="40"/>
              <w:spacing w:after="0"/>
              <w:rPr>
                <w:sz w:val="20"/>
                <w:szCs w:val="20"/>
                <w:color w:val="auto"/>
              </w:rPr>
            </w:pPr>
            <w:r>
              <w:rPr>
                <w:rFonts w:ascii="Arial" w:cs="Arial" w:eastAsia="Arial" w:hAnsi="Arial"/>
                <w:sz w:val="16"/>
                <w:szCs w:val="16"/>
                <w:color w:val="auto"/>
              </w:rPr>
              <w:t>Plus:</w:t>
            </w:r>
          </w:p>
        </w:tc>
        <w:tc>
          <w:tcPr>
            <w:tcW w:w="1700" w:type="dxa"/>
            <w:vAlign w:val="bottom"/>
            <w:shd w:val="clear" w:color="auto" w:fill="F2F2F2"/>
          </w:tcPr>
          <w:p>
            <w:pPr>
              <w:spacing w:after="0"/>
              <w:rPr>
                <w:sz w:val="24"/>
                <w:szCs w:val="24"/>
                <w:color w:val="auto"/>
              </w:rPr>
            </w:pPr>
          </w:p>
        </w:tc>
        <w:tc>
          <w:tcPr>
            <w:tcW w:w="1700" w:type="dxa"/>
            <w:vAlign w:val="bottom"/>
            <w:shd w:val="clear" w:color="auto" w:fill="F2F2F2"/>
          </w:tcPr>
          <w:p>
            <w:pPr>
              <w:spacing w:after="0"/>
              <w:rPr>
                <w:sz w:val="24"/>
                <w:szCs w:val="24"/>
                <w:color w:val="auto"/>
              </w:rPr>
            </w:pPr>
          </w:p>
        </w:tc>
      </w:tr>
      <w:tr>
        <w:trPr>
          <w:trHeight w:val="124"/>
        </w:trPr>
        <w:tc>
          <w:tcPr>
            <w:tcW w:w="7840" w:type="dxa"/>
            <w:vAlign w:val="bottom"/>
            <w:shd w:val="clear" w:color="auto" w:fill="F2F2F2"/>
          </w:tcPr>
          <w:p>
            <w:pPr>
              <w:spacing w:after="0"/>
              <w:rPr>
                <w:sz w:val="10"/>
                <w:szCs w:val="10"/>
                <w:color w:val="auto"/>
              </w:rPr>
            </w:pPr>
          </w:p>
        </w:tc>
        <w:tc>
          <w:tcPr>
            <w:tcW w:w="1700" w:type="dxa"/>
            <w:vAlign w:val="bottom"/>
            <w:shd w:val="clear" w:color="auto" w:fill="F2F2F2"/>
          </w:tcPr>
          <w:p>
            <w:pPr>
              <w:spacing w:after="0"/>
              <w:rPr>
                <w:sz w:val="10"/>
                <w:szCs w:val="10"/>
                <w:color w:val="auto"/>
              </w:rPr>
            </w:pPr>
          </w:p>
        </w:tc>
        <w:tc>
          <w:tcPr>
            <w:tcW w:w="1700" w:type="dxa"/>
            <w:vAlign w:val="bottom"/>
            <w:shd w:val="clear" w:color="auto" w:fill="F2F2F2"/>
          </w:tcPr>
          <w:p>
            <w:pPr>
              <w:spacing w:after="0"/>
              <w:rPr>
                <w:sz w:val="10"/>
                <w:szCs w:val="10"/>
                <w:color w:val="auto"/>
              </w:rPr>
            </w:pPr>
          </w:p>
        </w:tc>
      </w:tr>
      <w:tr>
        <w:trPr>
          <w:trHeight w:val="228"/>
        </w:trPr>
        <w:tc>
          <w:tcPr>
            <w:tcW w:w="784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1700" w:type="dxa"/>
            <w:vAlign w:val="bottom"/>
          </w:tcPr>
          <w:p>
            <w:pPr>
              <w:jc w:val="center"/>
              <w:spacing w:after="0"/>
              <w:rPr>
                <w:sz w:val="20"/>
                <w:szCs w:val="20"/>
                <w:color w:val="auto"/>
              </w:rPr>
            </w:pPr>
            <w:r>
              <w:rPr>
                <w:rFonts w:ascii="Arial" w:cs="Arial" w:eastAsia="Arial" w:hAnsi="Arial"/>
                <w:sz w:val="16"/>
                <w:szCs w:val="16"/>
                <w:color w:val="auto"/>
              </w:rPr>
              <w:t>338.0</w:t>
            </w:r>
          </w:p>
        </w:tc>
        <w:tc>
          <w:tcPr>
            <w:tcW w:w="1700" w:type="dxa"/>
            <w:vAlign w:val="bottom"/>
          </w:tcPr>
          <w:p>
            <w:pPr>
              <w:jc w:val="center"/>
              <w:spacing w:after="0"/>
              <w:rPr>
                <w:sz w:val="20"/>
                <w:szCs w:val="20"/>
                <w:color w:val="auto"/>
              </w:rPr>
            </w:pPr>
            <w:r>
              <w:rPr>
                <w:rFonts w:ascii="Arial" w:cs="Arial" w:eastAsia="Arial" w:hAnsi="Arial"/>
                <w:sz w:val="16"/>
                <w:szCs w:val="16"/>
                <w:color w:val="auto"/>
              </w:rPr>
              <w:t>330.7</w:t>
            </w:r>
          </w:p>
        </w:tc>
      </w:tr>
      <w:tr>
        <w:trPr>
          <w:trHeight w:val="43"/>
        </w:trPr>
        <w:tc>
          <w:tcPr>
            <w:tcW w:w="7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0"/>
        </w:trPr>
        <w:tc>
          <w:tcPr>
            <w:tcW w:w="784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6"/>
                <w:szCs w:val="16"/>
                <w:color w:val="auto"/>
              </w:rPr>
              <w:t>Acquisition-related and other expenses</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6"/>
              </w:rPr>
              <w:t>30.9</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6"/>
              </w:rPr>
              <w:t>18.0</w:t>
            </w:r>
          </w:p>
        </w:tc>
      </w:tr>
      <w:tr>
        <w:trPr>
          <w:trHeight w:val="228"/>
        </w:trPr>
        <w:tc>
          <w:tcPr>
            <w:tcW w:w="7840" w:type="dxa"/>
            <w:vAlign w:val="bottom"/>
          </w:tcPr>
          <w:p>
            <w:pPr>
              <w:ind w:left="280"/>
              <w:spacing w:after="0"/>
              <w:rPr>
                <w:sz w:val="20"/>
                <w:szCs w:val="20"/>
                <w:color w:val="auto"/>
              </w:rPr>
            </w:pPr>
            <w:r>
              <w:rPr>
                <w:rFonts w:ascii="Arial" w:cs="Arial" w:eastAsia="Arial" w:hAnsi="Arial"/>
                <w:sz w:val="16"/>
                <w:szCs w:val="16"/>
                <w:color w:val="auto"/>
              </w:rPr>
              <w:t>Amortization of acquired intangible assets</w:t>
            </w: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28.2</w:t>
            </w: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13.8</w:t>
            </w:r>
          </w:p>
        </w:tc>
      </w:tr>
      <w:tr>
        <w:trPr>
          <w:trHeight w:val="42"/>
        </w:trPr>
        <w:tc>
          <w:tcPr>
            <w:tcW w:w="7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0"/>
        </w:trPr>
        <w:tc>
          <w:tcPr>
            <w:tcW w:w="784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6"/>
                <w:szCs w:val="16"/>
                <w:color w:val="auto"/>
              </w:rPr>
              <w:t>Net (gain) loss on real estate assets</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w w:val="98"/>
              </w:rPr>
              <w:t>(155.2)</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175.2</w:t>
            </w:r>
          </w:p>
        </w:tc>
      </w:tr>
      <w:tr>
        <w:trPr>
          <w:trHeight w:val="228"/>
        </w:trPr>
        <w:tc>
          <w:tcPr>
            <w:tcW w:w="7840" w:type="dxa"/>
            <w:vAlign w:val="bottom"/>
          </w:tcPr>
          <w:p>
            <w:pPr>
              <w:ind w:left="280"/>
              <w:spacing w:after="0"/>
              <w:rPr>
                <w:sz w:val="20"/>
                <w:szCs w:val="20"/>
                <w:color w:val="auto"/>
              </w:rPr>
            </w:pPr>
            <w:r>
              <w:rPr>
                <w:rFonts w:ascii="Arial" w:cs="Arial" w:eastAsia="Arial" w:hAnsi="Arial"/>
                <w:sz w:val="16"/>
                <w:szCs w:val="16"/>
                <w:color w:val="auto"/>
              </w:rPr>
              <w:t>Reduction workforce expense</w:t>
            </w: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39.3</w:t>
            </w:r>
          </w:p>
        </w:tc>
        <w:tc>
          <w:tcPr>
            <w:tcW w:w="170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42"/>
        </w:trPr>
        <w:tc>
          <w:tcPr>
            <w:tcW w:w="78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50"/>
        </w:trPr>
        <w:tc>
          <w:tcPr>
            <w:tcW w:w="78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6"/>
                <w:szCs w:val="16"/>
                <w:color w:val="auto"/>
              </w:rPr>
              <w:t>Non-GAAP income (loss) from operations</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819.9</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6"/>
                <w:szCs w:val="16"/>
                <w:color w:val="auto"/>
              </w:rPr>
              <w:t>719.0</w:t>
            </w:r>
          </w:p>
        </w:tc>
      </w:tr>
      <w:tr>
        <w:trPr>
          <w:trHeight w:val="228"/>
        </w:trPr>
        <w:tc>
          <w:tcPr>
            <w:tcW w:w="7840" w:type="dxa"/>
            <w:vAlign w:val="bottom"/>
          </w:tcPr>
          <w:p>
            <w:pPr>
              <w:ind w:left="280"/>
              <w:spacing w:after="0"/>
              <w:rPr>
                <w:sz w:val="20"/>
                <w:szCs w:val="20"/>
                <w:color w:val="auto"/>
              </w:rPr>
            </w:pPr>
            <w:r>
              <w:rPr>
                <w:rFonts w:ascii="Arial" w:cs="Arial" w:eastAsia="Arial" w:hAnsi="Arial"/>
                <w:sz w:val="16"/>
                <w:szCs w:val="16"/>
                <w:i w:val="1"/>
                <w:iCs w:val="1"/>
                <w:color w:val="auto"/>
              </w:rPr>
              <w:t>Non-GAAP operating margin</w:t>
            </w:r>
          </w:p>
        </w:tc>
        <w:tc>
          <w:tcPr>
            <w:tcW w:w="1700" w:type="dxa"/>
            <w:vAlign w:val="bottom"/>
          </w:tcPr>
          <w:p>
            <w:pPr>
              <w:jc w:val="center"/>
              <w:spacing w:after="0"/>
              <w:rPr>
                <w:sz w:val="20"/>
                <w:szCs w:val="20"/>
                <w:color w:val="auto"/>
              </w:rPr>
            </w:pPr>
            <w:r>
              <w:rPr>
                <w:rFonts w:ascii="Arial" w:cs="Arial" w:eastAsia="Arial" w:hAnsi="Arial"/>
                <w:sz w:val="16"/>
                <w:szCs w:val="16"/>
                <w:color w:val="auto"/>
              </w:rPr>
              <w:t>32.8%</w:t>
            </w:r>
          </w:p>
        </w:tc>
        <w:tc>
          <w:tcPr>
            <w:tcW w:w="1700" w:type="dxa"/>
            <w:vAlign w:val="bottom"/>
          </w:tcPr>
          <w:p>
            <w:pPr>
              <w:jc w:val="center"/>
              <w:spacing w:after="0"/>
              <w:rPr>
                <w:sz w:val="20"/>
                <w:szCs w:val="20"/>
                <w:color w:val="auto"/>
              </w:rPr>
            </w:pPr>
            <w:r>
              <w:rPr>
                <w:rFonts w:ascii="Arial" w:cs="Arial" w:eastAsia="Arial" w:hAnsi="Arial"/>
                <w:sz w:val="16"/>
                <w:szCs w:val="16"/>
                <w:color w:val="auto"/>
              </w:rPr>
              <w:t>30.9%</w:t>
            </w:r>
          </w:p>
        </w:tc>
      </w:tr>
      <w:tr>
        <w:trPr>
          <w:trHeight w:val="643"/>
        </w:trPr>
        <w:tc>
          <w:tcPr>
            <w:tcW w:w="7840" w:type="dxa"/>
            <w:vAlign w:val="bottom"/>
          </w:tcPr>
          <w:p>
            <w:pPr>
              <w:spacing w:after="0"/>
              <w:rPr>
                <w:sz w:val="20"/>
                <w:szCs w:val="20"/>
                <w:color w:val="auto"/>
              </w:rPr>
            </w:pPr>
            <w:r>
              <w:rPr>
                <w:rFonts w:ascii="Arial" w:cs="Arial" w:eastAsia="Arial" w:hAnsi="Arial"/>
                <w:sz w:val="16"/>
                <w:szCs w:val="16"/>
                <w:b w:val="1"/>
                <w:bCs w:val="1"/>
                <w:color w:val="0063A6"/>
              </w:rPr>
              <w:t>Free cash flow</w:t>
            </w:r>
          </w:p>
        </w:tc>
        <w:tc>
          <w:tcPr>
            <w:tcW w:w="17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7"/>
        </w:trPr>
        <w:tc>
          <w:tcPr>
            <w:tcW w:w="7840" w:type="dxa"/>
            <w:vAlign w:val="bottom"/>
          </w:tcPr>
          <w:p>
            <w:pPr>
              <w:spacing w:after="0"/>
              <w:rPr>
                <w:sz w:val="20"/>
                <w:szCs w:val="20"/>
                <w:color w:val="auto"/>
              </w:rPr>
            </w:pPr>
          </w:p>
        </w:tc>
        <w:tc>
          <w:tcPr>
            <w:tcW w:w="3400" w:type="dxa"/>
            <w:vAlign w:val="bottom"/>
            <w:gridSpan w:val="2"/>
          </w:tcPr>
          <w:p>
            <w:pPr>
              <w:spacing w:after="0"/>
              <w:rPr>
                <w:sz w:val="20"/>
                <w:szCs w:val="20"/>
                <w:color w:val="auto"/>
              </w:rPr>
            </w:pPr>
          </w:p>
        </w:tc>
      </w:tr>
      <w:tr>
        <w:trPr>
          <w:trHeight w:val="268"/>
        </w:trPr>
        <w:tc>
          <w:tcPr>
            <w:tcW w:w="7840" w:type="dxa"/>
            <w:vAlign w:val="bottom"/>
            <w:shd w:val="clear" w:color="auto" w:fill="0063A6"/>
          </w:tcPr>
          <w:p>
            <w:pPr>
              <w:spacing w:after="0"/>
              <w:rPr>
                <w:sz w:val="23"/>
                <w:szCs w:val="23"/>
                <w:color w:val="auto"/>
              </w:rPr>
            </w:pPr>
          </w:p>
        </w:tc>
        <w:tc>
          <w:tcPr>
            <w:tcW w:w="3400" w:type="dxa"/>
            <w:vAlign w:val="bottom"/>
            <w:gridSpan w:val="2"/>
            <w:shd w:val="clear" w:color="auto" w:fill="0063A6"/>
          </w:tcPr>
          <w:p>
            <w:pPr>
              <w:ind w:left="460"/>
              <w:spacing w:after="0"/>
              <w:rPr>
                <w:sz w:val="20"/>
                <w:szCs w:val="20"/>
                <w:color w:val="auto"/>
              </w:rPr>
            </w:pPr>
            <w:r>
              <w:rPr>
                <w:rFonts w:ascii="Arial" w:cs="Arial" w:eastAsia="Arial" w:hAnsi="Arial"/>
                <w:sz w:val="14"/>
                <w:szCs w:val="14"/>
                <w:b w:val="1"/>
                <w:bCs w:val="1"/>
                <w:color w:val="FFFFFF"/>
              </w:rPr>
              <w:t>Twelve Months Ended December 31,</w:t>
            </w:r>
          </w:p>
        </w:tc>
      </w:tr>
      <w:tr>
        <w:trPr>
          <w:trHeight w:val="360"/>
        </w:trPr>
        <w:tc>
          <w:tcPr>
            <w:tcW w:w="7840" w:type="dxa"/>
            <w:vAlign w:val="bottom"/>
            <w:tcBorders>
              <w:bottom w:val="single" w:sz="8" w:color="0063A6"/>
            </w:tcBorders>
            <w:shd w:val="clear" w:color="auto" w:fill="0063A6"/>
          </w:tcPr>
          <w:p>
            <w:pPr>
              <w:spacing w:after="0"/>
              <w:rPr>
                <w:sz w:val="24"/>
                <w:szCs w:val="24"/>
                <w:color w:val="auto"/>
              </w:rPr>
            </w:pP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2023</w:t>
            </w:r>
          </w:p>
        </w:tc>
        <w:tc>
          <w:tcPr>
            <w:tcW w:w="1700" w:type="dxa"/>
            <w:vAlign w:val="bottom"/>
            <w:tcBorders>
              <w:bottom w:val="single" w:sz="8" w:color="0063A6"/>
            </w:tcBorders>
            <w:shd w:val="clear" w:color="auto" w:fill="0063A6"/>
          </w:tcPr>
          <w:p>
            <w:pPr>
              <w:jc w:val="center"/>
              <w:spacing w:after="0"/>
              <w:rPr>
                <w:sz w:val="20"/>
                <w:szCs w:val="20"/>
                <w:color w:val="auto"/>
              </w:rPr>
            </w:pPr>
            <w:r>
              <w:rPr>
                <w:rFonts w:ascii="Arial" w:cs="Arial" w:eastAsia="Arial" w:hAnsi="Arial"/>
                <w:sz w:val="14"/>
                <w:szCs w:val="14"/>
                <w:b w:val="1"/>
                <w:bCs w:val="1"/>
                <w:color w:val="FFFFFF"/>
              </w:rPr>
              <w:t>2022</w:t>
            </w:r>
          </w:p>
        </w:tc>
      </w:tr>
      <w:tr>
        <w:trPr>
          <w:trHeight w:val="229"/>
        </w:trPr>
        <w:tc>
          <w:tcPr>
            <w:tcW w:w="7840" w:type="dxa"/>
            <w:vAlign w:val="bottom"/>
            <w:shd w:val="clear" w:color="auto" w:fill="F2F2F2"/>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783.7</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$797.3</w:t>
            </w: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Less:</w:t>
            </w:r>
          </w:p>
        </w:tc>
        <w:tc>
          <w:tcPr>
            <w:tcW w:w="17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7"/>
        </w:trPr>
        <w:tc>
          <w:tcPr>
            <w:tcW w:w="7840" w:type="dxa"/>
            <w:vAlign w:val="bottom"/>
            <w:shd w:val="clear" w:color="auto" w:fill="F2F2F2"/>
          </w:tcPr>
          <w:p>
            <w:pPr>
              <w:ind w:left="280"/>
              <w:spacing w:after="0"/>
              <w:rPr>
                <w:sz w:val="20"/>
                <w:szCs w:val="20"/>
                <w:color w:val="auto"/>
              </w:rPr>
            </w:pPr>
            <w:r>
              <w:rPr>
                <w:rFonts w:ascii="Arial" w:cs="Arial" w:eastAsia="Arial" w:hAnsi="Arial"/>
                <w:sz w:val="16"/>
                <w:szCs w:val="16"/>
                <w:color w:val="auto"/>
              </w:rPr>
              <w:t>Capital expenditures</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(24.3)</w:t>
            </w:r>
          </w:p>
        </w:tc>
        <w:tc>
          <w:tcPr>
            <w:tcW w:w="1700" w:type="dxa"/>
            <w:vAlign w:val="bottom"/>
            <w:shd w:val="clear" w:color="auto" w:fill="F2F2F2"/>
          </w:tcPr>
          <w:p>
            <w:pPr>
              <w:jc w:val="center"/>
              <w:spacing w:after="0"/>
              <w:rPr>
                <w:sz w:val="20"/>
                <w:szCs w:val="20"/>
                <w:color w:val="auto"/>
              </w:rPr>
            </w:pPr>
            <w:r>
              <w:rPr>
                <w:rFonts w:ascii="Arial" w:cs="Arial" w:eastAsia="Arial" w:hAnsi="Arial"/>
                <w:sz w:val="16"/>
                <w:szCs w:val="16"/>
                <w:color w:val="auto"/>
              </w:rPr>
              <w:t>(33.8)</w:t>
            </w: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1700" w:type="dxa"/>
            <w:vAlign w:val="bottom"/>
          </w:tcPr>
          <w:p>
            <w:pPr>
              <w:jc w:val="center"/>
              <w:spacing w:after="0"/>
              <w:rPr>
                <w:sz w:val="20"/>
                <w:szCs w:val="20"/>
                <w:color w:val="auto"/>
              </w:rPr>
            </w:pPr>
            <w:r>
              <w:rPr>
                <w:rFonts w:ascii="Arial" w:cs="Arial" w:eastAsia="Arial" w:hAnsi="Arial"/>
                <w:sz w:val="16"/>
                <w:szCs w:val="16"/>
                <w:color w:val="auto"/>
              </w:rPr>
              <w:t>759.4</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763.5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7132320" cy="9683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603250</wp:posOffset>
            </wp:positionV>
            <wp:extent cx="7157720" cy="79851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7985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603250</wp:posOffset>
            </wp:positionV>
            <wp:extent cx="5657850" cy="73120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12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x"/>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x"/>
      <w:numFmt w:val="bullet"/>
      <w:start w:val="1"/>
    </w:lvl>
  </w:abstractNum>
  <w:abstractNum w:abstractNumId="4">
    <w:nsid w:val="23F9C13C"/>
    <w:multiLevelType w:val="hybridMultilevel"/>
    <w:lvl w:ilvl="0">
      <w:lvlJc w:val="left"/>
      <w:lvlText w:val="o"/>
      <w:numFmt w:val="bullet"/>
      <w:start w:val="1"/>
    </w:lvl>
  </w:abstractNum>
  <w:abstractNum w:abstractNumId="5">
    <w:nsid w:val="649BB77C"/>
    <w:multiLevelType w:val="hybridMultilevel"/>
    <w:lvl w:ilvl="0">
      <w:lvlJc w:val="left"/>
      <w:lvlText w:val="%1."/>
      <w:numFmt w:val="decimal"/>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2"/>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4"/>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1)"/>
      <w:numFmt w:val="decimal"/>
      <w:start w:val="1"/>
    </w:lvl>
  </w:abstractNum>
  <w:abstractNum w:abstractNumId="17">
    <w:nsid w:val="3F6AB60F"/>
    <w:multiLevelType w:val="hybridMultilevel"/>
    <w:lvl w:ilvl="0">
      <w:lvlJc w:val="left"/>
      <w:lvlText w:val="6"/>
      <w:numFmt w:val="bullet"/>
      <w:start w:val="1"/>
    </w:lvl>
  </w:abstractNum>
  <w:abstractNum w:abstractNumId="18">
    <w:nsid w:val="61574095"/>
    <w:multiLevelType w:val="hybridMultilevel"/>
    <w:lvl w:ilvl="0">
      <w:lvlJc w:val="left"/>
      <w:lvlText w:val="8"/>
      <w:numFmt w:val="bullet"/>
      <w:start w:val="1"/>
    </w:lvl>
  </w:abstractNum>
  <w:abstractNum w:abstractNumId="19">
    <w:nsid w:val="7E0C57B1"/>
    <w:multiLevelType w:val="hybridMultilevel"/>
    <w:lvl w:ilvl="0">
      <w:lvlJc w:val="left"/>
      <w:lvlText w:val="%1"/>
      <w:numFmt w:val="decimal"/>
      <w:start w:val="10"/>
    </w:lvl>
  </w:abstractNum>
  <w:abstractNum w:abstractNumId="20">
    <w:nsid w:val="77AE35EB"/>
    <w:multiLevelType w:val="hybridMultilevel"/>
    <w:lvl w:ilvl="0">
      <w:lvlJc w:val="left"/>
      <w:lvlText w:val="%1"/>
      <w:numFmt w:val="decimal"/>
      <w:start w:val="12"/>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1"/>
      <w:numFmt w:val="decimal"/>
      <w:start w:val="14"/>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1"/>
      <w:numFmt w:val="decimal"/>
      <w:start w:val="16"/>
    </w:lvl>
  </w:abstractNum>
  <w:abstractNum w:abstractNumId="28">
    <w:nsid w:val="1F48EAA1"/>
    <w:multiLevelType w:val="hybridMultilevel"/>
    <w:lvl w:ilvl="0">
      <w:lvlJc w:val="left"/>
      <w:lvlText w:val="%1"/>
      <w:numFmt w:val="decimal"/>
      <w:start w:val="18"/>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lvl w:ilvl="1">
      <w:lvlJc w:val="left"/>
      <w:lvlText w:val="•"/>
      <w:numFmt w:val="bullet"/>
      <w:start w:val="1"/>
    </w:lvl>
  </w:abstractNum>
  <w:abstractNum w:abstractNumId="31">
    <w:nsid w:val="100F8FCA"/>
    <w:multiLevelType w:val="hybridMultilevel"/>
    <w:lvl w:ilvl="0">
      <w:lvlJc w:val="left"/>
      <w:lvlText w:val="•"/>
      <w:numFmt w:val="bullet"/>
      <w:start w:val="1"/>
    </w:lvl>
    <w:lvl w:ilvl="1">
      <w:lvlJc w:val="left"/>
      <w:lvlText w:val="•"/>
      <w:numFmt w:val="bullet"/>
      <w:start w:val="1"/>
    </w:lvl>
  </w:abstractNum>
  <w:abstractNum w:abstractNumId="32">
    <w:nsid w:val="6590700B"/>
    <w:multiLevelType w:val="hybridMultilevel"/>
    <w:lvl w:ilvl="0">
      <w:lvlJc w:val="left"/>
      <w:lvlText w:val="%1"/>
      <w:numFmt w:val="decimal"/>
      <w:start w:val="20"/>
    </w:lvl>
  </w:abstractNum>
  <w:abstractNum w:abstractNumId="33">
    <w:nsid w:val="15014ACB"/>
    <w:multiLevelType w:val="hybridMultilevel"/>
    <w:lvl w:ilvl="0">
      <w:lvlJc w:val="left"/>
      <w:lvlText w:val="•"/>
      <w:numFmt w:val="bullet"/>
      <w:start w:val="1"/>
    </w:lvl>
    <w:lvl w:ilvl="1">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1"/>
      <w:numFmt w:val="decimal"/>
      <w:start w:val="22"/>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1)"/>
      <w:numFmt w:val="decimal"/>
      <w:start w:val="1"/>
    </w:lvl>
  </w:abstractNum>
  <w:abstractNum w:abstractNumId="42">
    <w:nsid w:val="5DC79EA8"/>
    <w:multiLevelType w:val="hybridMultilevel"/>
    <w:lvl w:ilvl="0">
      <w:lvlJc w:val="left"/>
      <w:lvlText w:val="(%1)"/>
      <w:numFmt w:val="decimal"/>
      <w:start w:val="2"/>
    </w:lvl>
  </w:abstractNum>
  <w:abstractNum w:abstractNumId="43">
    <w:nsid w:val="540A471C"/>
    <w:multiLevelType w:val="hybridMultilevel"/>
    <w:lvl w:ilvl="0">
      <w:lvlJc w:val="left"/>
      <w:lvlText w:val="%1"/>
      <w:numFmt w:val="decimal"/>
      <w:start w:val="24"/>
    </w:lvl>
  </w:abstractNum>
  <w:abstractNum w:abstractNumId="44">
    <w:nsid w:val="7BD3EE7B"/>
    <w:multiLevelType w:val="hybridMultilevel"/>
    <w:lvl w:ilvl="0">
      <w:lvlJc w:val="left"/>
      <w:lvlText w:val="(%1)"/>
      <w:numFmt w:val="decimal"/>
      <w:start w:val="1"/>
    </w:lvl>
  </w:abstractNum>
  <w:abstractNum w:abstractNumId="45">
    <w:nsid w:val="51D9C564"/>
    <w:multiLevelType w:val="hybridMultilevel"/>
    <w:lvl w:ilvl="0">
      <w:lvlJc w:val="left"/>
      <w:lvlText w:val="%1"/>
      <w:numFmt w:val="decimal"/>
      <w:start w:val="26"/>
    </w:lvl>
  </w:abstractNum>
  <w:abstractNum w:abstractNumId="46">
    <w:nsid w:val="613EFDC5"/>
    <w:multiLevelType w:val="hybridMultilevel"/>
    <w:lvl w:ilvl="0">
      <w:lvlJc w:val="left"/>
      <w:lvlText w:val="(%1)"/>
      <w:numFmt w:val="decimal"/>
      <w:start w:val="1"/>
    </w:lvl>
  </w:abstractNum>
  <w:abstractNum w:abstractNumId="47">
    <w:nsid w:val="BF72B14"/>
    <w:multiLevelType w:val="hybridMultilevel"/>
    <w:lvl w:ilvl="0">
      <w:lvlJc w:val="left"/>
      <w:lvlText w:val="%1"/>
      <w:numFmt w:val="decimal"/>
      <w:start w:val="28"/>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1"/>
      <w:numFmt w:val="decimal"/>
      <w:start w:val="30"/>
    </w:lvl>
  </w:abstractNum>
  <w:abstractNum w:abstractNumId="50">
    <w:nsid w:val="A0382C5"/>
    <w:multiLevelType w:val="hybridMultilevel"/>
    <w:lvl w:ilvl="0">
      <w:lvlJc w:val="left"/>
      <w:lvlText w:val="(%1)"/>
      <w:numFmt w:val="decimal"/>
      <w:start w:val="1"/>
    </w:lvl>
  </w:abstractNum>
  <w:abstractNum w:abstractNumId="51">
    <w:nsid w:val="8F2B15E"/>
    <w:multiLevelType w:val="hybridMultilevel"/>
    <w:lvl w:ilvl="0">
      <w:lvlJc w:val="left"/>
      <w:lvlText w:val="(%1)"/>
      <w:numFmt w:val="decimal"/>
      <w:start w:val="1"/>
    </w:lvl>
  </w:abstractNum>
  <w:abstractNum w:abstractNumId="52">
    <w:nsid w:val="1A32234B"/>
    <w:multiLevelType w:val="hybridMultilevel"/>
    <w:lvl w:ilvl="0">
      <w:lvlJc w:val="left"/>
      <w:lvlText w:val="%1"/>
      <w:numFmt w:val="decimal"/>
      <w:start w:val="32"/>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1"/>
      <w:numFmt w:val="decimal"/>
      <w:start w:val="34"/>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1"/>
      <w:numFmt w:val="decimal"/>
      <w:start w:val="36"/>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
      <w:numFmt w:val="bullet"/>
      <w:start w:val="1"/>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1"/>
      <w:numFmt w:val="decimal"/>
      <w:start w:val="38"/>
    </w:lvl>
  </w:abstractNum>
  <w:abstractNum w:abstractNumId="64">
    <w:nsid w:val="6EB5BD4"/>
    <w:multiLevelType w:val="hybridMultilevel"/>
    <w:lvl w:ilvl="0">
      <w:lvlJc w:val="left"/>
      <w:lvlText w:val="(%1)"/>
      <w:numFmt w:val="decimal"/>
      <w:start w:val="1"/>
    </w:lvl>
  </w:abstractNum>
  <w:abstractNum w:abstractNumId="65">
    <w:nsid w:val="6F6DD9AC"/>
    <w:multiLevelType w:val="hybridMultilevel"/>
    <w:lvl w:ilvl="0">
      <w:lvlJc w:val="left"/>
      <w:lvlText w:val="%1"/>
      <w:numFmt w:val="decimal"/>
      <w:start w:val="40"/>
    </w:lvl>
  </w:abstractNum>
  <w:abstractNum w:abstractNumId="66">
    <w:nsid w:val="94211F2"/>
    <w:multiLevelType w:val="hybridMultilevel"/>
    <w:lvl w:ilvl="0">
      <w:lvlJc w:val="left"/>
      <w:lvlText w:val="(%1)"/>
      <w:numFmt w:val="decimal"/>
      <w:start w:val="1"/>
    </w:lvl>
  </w:abstractNum>
  <w:abstractNum w:abstractNumId="67">
    <w:nsid w:val="885E1B"/>
    <w:multiLevelType w:val="hybridMultilevel"/>
    <w:lvl w:ilvl="0">
      <w:lvlJc w:val="left"/>
      <w:lvlText w:val="%1"/>
      <w:numFmt w:val="decimal"/>
      <w:start w:val="42"/>
    </w:lvl>
  </w:abstractNum>
  <w:abstractNum w:abstractNumId="68">
    <w:nsid w:val="76272110"/>
    <w:multiLevelType w:val="hybridMultilevel"/>
    <w:lvl w:ilvl="0">
      <w:lvlJc w:val="left"/>
      <w:lvlText w:val="(%1)"/>
      <w:numFmt w:val="decimal"/>
      <w:start w:val="1"/>
    </w:lvl>
  </w:abstractNum>
  <w:abstractNum w:abstractNumId="69">
    <w:nsid w:val="4C04A8AF"/>
    <w:multiLevelType w:val="hybridMultilevel"/>
    <w:lvl w:ilvl="0">
      <w:lvlJc w:val="left"/>
      <w:lvlText w:val="(%1)"/>
      <w:numFmt w:val="decimal"/>
      <w:start w:val="1"/>
    </w:lvl>
  </w:abstractNum>
  <w:abstractNum w:abstractNumId="70">
    <w:nsid w:val="1716703B"/>
    <w:multiLevelType w:val="hybridMultilevel"/>
    <w:lvl w:ilvl="0">
      <w:lvlJc w:val="left"/>
      <w:lvlText w:val="%1"/>
      <w:numFmt w:val="decimal"/>
      <w:start w:val="44"/>
    </w:lvl>
  </w:abstractNum>
  <w:abstractNum w:abstractNumId="71">
    <w:nsid w:val="14E17E33"/>
    <w:multiLevelType w:val="hybridMultilevel"/>
    <w:lvl w:ilvl="0">
      <w:lvlJc w:val="left"/>
      <w:lvlText w:val="%1"/>
      <w:numFmt w:val="decimal"/>
      <w:start w:val="46"/>
    </w:lvl>
  </w:abstractNum>
  <w:abstractNum w:abstractNumId="72">
    <w:nsid w:val="3222E7CD"/>
    <w:multiLevelType w:val="hybridMultilevel"/>
    <w:lvl w:ilvl="0">
      <w:lvlJc w:val="left"/>
      <w:lvlText w:val="%1"/>
      <w:numFmt w:val="decimal"/>
      <w:start w:val="48"/>
    </w:lvl>
  </w:abstractNum>
  <w:abstractNum w:abstractNumId="73">
    <w:nsid w:val="74DE0EE3"/>
    <w:multiLevelType w:val="hybridMultilevel"/>
    <w:lvl w:ilvl="0">
      <w:lvlJc w:val="left"/>
      <w:lvlText w:val="%1"/>
      <w:numFmt w:val="decimal"/>
      <w:start w:val="50"/>
    </w:lvl>
  </w:abstractNum>
  <w:abstractNum w:abstractNumId="74">
    <w:nsid w:val="68EBC550"/>
    <w:multiLevelType w:val="hybridMultilevel"/>
    <w:lvl w:ilvl="0">
      <w:lvlJc w:val="left"/>
      <w:lvlText w:val="(%1)"/>
      <w:numFmt w:val="decimal"/>
      <w:start w:val="1"/>
    </w:lvl>
  </w:abstractNum>
  <w:abstractNum w:abstractNumId="75">
    <w:nsid w:val="2DF6D648"/>
    <w:multiLevelType w:val="hybridMultilevel"/>
    <w:lvl w:ilvl="0">
      <w:lvlJc w:val="left"/>
      <w:lvlText w:val="(%1)"/>
      <w:numFmt w:val="decimal"/>
      <w:start w:val="1"/>
    </w:lvl>
  </w:abstractNum>
  <w:abstractNum w:abstractNumId="76">
    <w:nsid w:val="46B7D447"/>
    <w:multiLevelType w:val="hybridMultilevel"/>
    <w:lvl w:ilvl="0">
      <w:lvlJc w:val="left"/>
      <w:lvlText w:val="%1"/>
      <w:numFmt w:val="decimal"/>
      <w:start w:val="52"/>
    </w:lvl>
  </w:abstractNum>
  <w:abstractNum w:abstractNumId="77">
    <w:nsid w:val="4A2AC315"/>
    <w:multiLevelType w:val="hybridMultilevel"/>
    <w:lvl w:ilvl="0">
      <w:lvlJc w:val="left"/>
      <w:lvlText w:val="(%1)"/>
      <w:numFmt w:val="decimal"/>
      <w:start w:val="1"/>
    </w:lvl>
  </w:abstractNum>
  <w:abstractNum w:abstractNumId="78">
    <w:nsid w:val="39EE015C"/>
    <w:multiLevelType w:val="hybridMultilevel"/>
    <w:lvl w:ilvl="0">
      <w:lvlJc w:val="left"/>
      <w:lvlText w:val="(%1)"/>
      <w:numFmt w:val="decimal"/>
      <w:start w:val="1"/>
    </w:lvl>
  </w:abstractNum>
  <w:abstractNum w:abstractNumId="79">
    <w:nsid w:val="57FC4FBB"/>
    <w:multiLevelType w:val="hybridMultilevel"/>
    <w:lvl w:ilvl="0">
      <w:lvlJc w:val="left"/>
      <w:lvlText w:val="•"/>
      <w:numFmt w:val="bullet"/>
      <w:start w:val="1"/>
    </w:lvl>
  </w:abstractNum>
  <w:abstractNum w:abstractNumId="80">
    <w:nsid w:val="CC1016F"/>
    <w:multiLevelType w:val="hybridMultilevel"/>
    <w:lvl w:ilvl="0">
      <w:lvlJc w:val="left"/>
      <w:lvlText w:val="%1"/>
      <w:numFmt w:val="decimal"/>
      <w:start w:val="54"/>
    </w:lvl>
  </w:abstractNum>
  <w:abstractNum w:abstractNumId="81">
    <w:nsid w:val="43F18422"/>
    <w:multiLevelType w:val="hybridMultilevel"/>
    <w:lvl w:ilvl="0">
      <w:lvlJc w:val="left"/>
      <w:lvlText w:val="•"/>
      <w:numFmt w:val="bullet"/>
      <w:start w:val="1"/>
    </w:lvl>
  </w:abstractNum>
  <w:abstractNum w:abstractNumId="82">
    <w:nsid w:val="60EF0119"/>
    <w:multiLevelType w:val="hybridMultilevel"/>
    <w:lvl w:ilvl="0">
      <w:lvlJc w:val="left"/>
      <w:lvlText w:val="(%1)"/>
      <w:numFmt w:val="decimal"/>
      <w:start w:val="1"/>
    </w:lvl>
  </w:abstractNum>
  <w:abstractNum w:abstractNumId="83">
    <w:nsid w:val="26F324BA"/>
    <w:multiLevelType w:val="hybridMultilevel"/>
    <w:lvl w:ilvl="0">
      <w:lvlJc w:val="left"/>
      <w:lvlText w:val="(%1)"/>
      <w:numFmt w:val="decimal"/>
      <w:start w:val="1"/>
    </w:lvl>
  </w:abstractNum>
  <w:abstractNum w:abstractNumId="84">
    <w:nsid w:val="7F01579B"/>
    <w:multiLevelType w:val="hybridMultilevel"/>
    <w:lvl w:ilvl="0">
      <w:lvlJc w:val="left"/>
      <w:lvlText w:val="%1"/>
      <w:numFmt w:val="decimal"/>
      <w:start w:val="56"/>
    </w:lvl>
  </w:abstractNum>
  <w:abstractNum w:abstractNumId="85">
    <w:nsid w:val="49DA307D"/>
    <w:multiLevelType w:val="hybridMultilevel"/>
    <w:lvl w:ilvl="0">
      <w:lvlJc w:val="left"/>
      <w:lvlText w:val="(%1)"/>
      <w:numFmt w:val="decimal"/>
      <w:start w:val="1"/>
    </w:lvl>
  </w:abstractNum>
  <w:abstractNum w:abstractNumId="86">
    <w:nsid w:val="7055A5F5"/>
    <w:multiLevelType w:val="hybridMultilevel"/>
    <w:lvl w:ilvl="0">
      <w:lvlJc w:val="left"/>
      <w:lvlText w:val="(%1)"/>
      <w:numFmt w:val="lowerLetter"/>
      <w:start w:val="1"/>
    </w:lvl>
  </w:abstractNum>
  <w:abstractNum w:abstractNumId="87">
    <w:nsid w:val="5FB8370B"/>
    <w:multiLevelType w:val="hybridMultilevel"/>
    <w:lvl w:ilvl="0">
      <w:lvlJc w:val="left"/>
      <w:lvlText w:val="%1"/>
      <w:numFmt w:val="decimal"/>
      <w:start w:val="58"/>
    </w:lvl>
  </w:abstractNum>
  <w:abstractNum w:abstractNumId="88">
    <w:nsid w:val="50801EE1"/>
    <w:multiLevelType w:val="hybridMultilevel"/>
    <w:lvl w:ilvl="0">
      <w:lvlJc w:val="left"/>
      <w:lvlText w:val="(%1)"/>
      <w:numFmt w:val="decimal"/>
      <w:start w:val="3"/>
    </w:lvl>
  </w:abstractNum>
  <w:abstractNum w:abstractNumId="89">
    <w:nsid w:val="488AC1A"/>
    <w:multiLevelType w:val="hybridMultilevel"/>
    <w:lvl w:ilvl="0">
      <w:lvlJc w:val="left"/>
      <w:lvlText w:val="(%1)"/>
      <w:numFmt w:val="lowerLetter"/>
      <w:start w:val="1"/>
    </w:lvl>
  </w:abstractNum>
  <w:abstractNum w:abstractNumId="90">
    <w:nsid w:val="5FB8011C"/>
    <w:multiLevelType w:val="hybridMultilevel"/>
    <w:lvl w:ilvl="0">
      <w:lvlJc w:val="left"/>
      <w:lvlText w:val="%1"/>
      <w:numFmt w:val="decimal"/>
      <w:start w:val="1"/>
    </w:lvl>
    <w:lvl w:ilvl="1">
      <w:lvlJc w:val="left"/>
      <w:lvlText w:val="(%2)"/>
      <w:numFmt w:val="lowerLetter"/>
      <w:start w:val="1"/>
    </w:lvl>
  </w:abstractNum>
  <w:abstractNum w:abstractNumId="91">
    <w:nsid w:val="6AA78F7F"/>
    <w:multiLevelType w:val="hybridMultilevel"/>
    <w:lvl w:ilvl="0">
      <w:lvlJc w:val="left"/>
      <w:lvlText w:val="(%1)"/>
      <w:numFmt w:val="decimal"/>
      <w:start w:val="5"/>
    </w:lvl>
    <w:lvl w:ilvl="1">
      <w:lvlJc w:val="left"/>
      <w:lvlText w:val="%2"/>
      <w:numFmt w:val="lowerLetter"/>
      <w:start w:val="1"/>
    </w:lvl>
  </w:abstractNum>
  <w:abstractNum w:abstractNumId="92">
    <w:nsid w:val="7672BD23"/>
    <w:multiLevelType w:val="hybridMultilevel"/>
    <w:lvl w:ilvl="0">
      <w:lvlJc w:val="left"/>
      <w:lvlText w:val="(%1)"/>
      <w:numFmt w:val="decimal"/>
      <w:start w:val="8"/>
    </w:lvl>
  </w:abstractNum>
  <w:abstractNum w:abstractNumId="93">
    <w:nsid w:val="6FC75AF8"/>
    <w:multiLevelType w:val="hybridMultilevel"/>
    <w:lvl w:ilvl="0">
      <w:lvlJc w:val="left"/>
      <w:lvlText w:val="•"/>
      <w:numFmt w:val="bullet"/>
      <w:start w:val="1"/>
    </w:lvl>
  </w:abstractNum>
  <w:abstractNum w:abstractNumId="94">
    <w:nsid w:val="6A5F7029"/>
    <w:multiLevelType w:val="hybridMultilevel"/>
    <w:lvl w:ilvl="0">
      <w:lvlJc w:val="left"/>
      <w:lvlText w:val="%1"/>
      <w:numFmt w:val="decimal"/>
      <w:start w:val="60"/>
    </w:lvl>
  </w:abstractNum>
  <w:abstractNum w:abstractNumId="95">
    <w:nsid w:val="7D5E18F8"/>
    <w:multiLevelType w:val="hybridMultilevel"/>
    <w:lvl w:ilvl="0">
      <w:lvlJc w:val="left"/>
      <w:lvlText w:val="%1"/>
      <w:numFmt w:val="decimal"/>
      <w:start w:val="62"/>
    </w:lvl>
  </w:abstractNum>
  <w:abstractNum w:abstractNumId="96">
    <w:nsid w:val="5F3534A4"/>
    <w:multiLevelType w:val="hybridMultilevel"/>
    <w:lvl w:ilvl="0">
      <w:lvlJc w:val="left"/>
      <w:lvlText w:val="(%1)"/>
      <w:numFmt w:val="decimal"/>
      <w:start w:val="1"/>
    </w:lvl>
  </w:abstractNum>
  <w:abstractNum w:abstractNumId="97">
    <w:nsid w:val="73A1821B"/>
    <w:multiLevelType w:val="hybridMultilevel"/>
    <w:lvl w:ilvl="0">
      <w:lvlJc w:val="left"/>
      <w:lvlText w:val="•"/>
      <w:numFmt w:val="bullet"/>
      <w:start w:val="1"/>
    </w:lvl>
  </w:abstractNum>
  <w:abstractNum w:abstractNumId="98">
    <w:nsid w:val="7DE67713"/>
    <w:multiLevelType w:val="hybridMultilevel"/>
    <w:lvl w:ilvl="0">
      <w:lvlJc w:val="left"/>
      <w:lvlText w:val="%1"/>
      <w:numFmt w:val="decimal"/>
      <w:start w:val="64"/>
    </w:lvl>
  </w:abstractNum>
  <w:abstractNum w:abstractNumId="99">
    <w:nsid w:val="555C55B5"/>
    <w:multiLevelType w:val="hybridMultilevel"/>
    <w:lvl w:ilvl="0">
      <w:lvlJc w:val="left"/>
      <w:lvlText w:val="†"/>
      <w:numFmt w:val="bullet"/>
      <w:start w:val="1"/>
    </w:lvl>
  </w:abstractNum>
  <w:abstractNum w:abstractNumId="100">
    <w:nsid w:val="3FA62ACA"/>
    <w:multiLevelType w:val="hybridMultilevel"/>
    <w:lvl w:ilvl="0">
      <w:lvlJc w:val="left"/>
      <w:lvlText w:val="#"/>
      <w:numFmt w:val="bullet"/>
      <w:start w:val="1"/>
    </w:lvl>
  </w:abstractNum>
  <w:abstractNum w:abstractNumId="101">
    <w:nsid w:val="14FCE74E"/>
    <w:multiLevelType w:val="hybridMultilevel"/>
    <w:lvl w:ilvl="0">
      <w:lvlJc w:val="left"/>
      <w:lvlText w:val="*"/>
      <w:numFmt w:val="bullet"/>
      <w:start w:val="1"/>
    </w:lvl>
  </w:abstractNum>
  <w:abstractNum w:abstractNumId="102">
    <w:nsid w:val="6A3DD3E8"/>
    <w:multiLevelType w:val="hybridMultilevel"/>
    <w:lvl w:ilvl="0">
      <w:lvlJc w:val="left"/>
      <w:lvlText w:val="(%1)"/>
      <w:numFmt w:val="decimal"/>
      <w:start w:val="1"/>
    </w:lvl>
  </w:abstractNum>
  <w:abstractNum w:abstractNumId="103">
    <w:nsid w:val="71C91298"/>
    <w:multiLevelType w:val="hybridMultilevel"/>
    <w:lvl w:ilvl="0">
      <w:lvlJc w:val="left"/>
      <w:lvlText w:val="%1"/>
      <w:numFmt w:val="decimal"/>
      <w:start w:val="66"/>
    </w:lvl>
  </w:abstractNum>
  <w:abstractNum w:abstractNumId="104">
    <w:nsid w:val="9DAF6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2024-04-02T15:22:13Z</dcterms:created>
  <dcterms:modified xsi:type="dcterms:W3CDTF">2024-04-02T15:22:13Z</dcterms:modified>
</cp:coreProperties>
</file>