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0" w:after="0"/>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2023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0" w:after="0"/>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001-38434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7962" w:type="dxa"/>
        <w:jc w:val="left"/>
        <w:tblInd w:w="0" w:type="dxa"/>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26-0138832</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Street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857-6800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including zip code, and telephone number, including area code, of Registrant’s principal executive offices)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932" w:type="dxa"/>
        <w:jc w:val="center"/>
        <w:tblInd w:w="0" w:type="dxa"/>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360"/>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ind w:left="0" w:right="0" w:firstLine="360"/>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63" w:type="dxa"/>
        <w:jc w:val="left"/>
        <w:tblInd w:w="0" w:type="dxa"/>
        <w:tblCellMar>
          <w:top w:w="28" w:type="dxa"/>
          <w:left w:w="28" w:type="dxa"/>
          <w:bottom w:w="28" w:type="dxa"/>
          <w:right w:w="28" w:type="dxa"/>
        </w:tblCellMar>
      </w:tblPr>
      <w:tblGrid>
        <w:gridCol w:w="308"/>
        <w:gridCol w:w="270"/>
        <w:gridCol w:w="270"/>
        <w:gridCol w:w="270"/>
        <w:gridCol w:w="270"/>
        <w:gridCol w:w="274"/>
        <w:gridCol w:w="109"/>
        <w:gridCol w:w="109"/>
        <w:gridCol w:w="109"/>
        <w:gridCol w:w="109"/>
        <w:gridCol w:w="109"/>
        <w:gridCol w:w="109"/>
        <w:gridCol w:w="336"/>
        <w:gridCol w:w="336"/>
        <w:gridCol w:w="336"/>
        <w:gridCol w:w="336"/>
        <w:gridCol w:w="336"/>
        <w:gridCol w:w="346"/>
        <w:gridCol w:w="211"/>
        <w:gridCol w:w="211"/>
        <w:gridCol w:w="299"/>
      </w:tblGrid>
      <w:tr>
        <w:trPr/>
        <w:tc>
          <w:tcPr>
            <w:tcW w:w="3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66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right"/>
              <w:rPr>
                <w:color w:val="000000"/>
              </w:rPr>
            </w:pPr>
            <w:r>
              <w:rPr>
                <w:color w:val="000000"/>
              </w:rPr>
              <w:t>☐</w:t>
            </w:r>
          </w:p>
        </w:tc>
      </w:tr>
      <w:tr>
        <w:trPr/>
        <w:tc>
          <w:tcPr>
            <w:tcW w:w="16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right"/>
              <w:rPr>
                <w:color w:val="000000"/>
              </w:rPr>
            </w:pPr>
            <w:r>
              <w:rPr>
                <w:color w:val="000000"/>
              </w:rPr>
              <w:t>☐</w:t>
            </w:r>
          </w:p>
        </w:tc>
      </w:tr>
      <w:tr>
        <w:trPr/>
        <w:tc>
          <w:tcPr>
            <w:tcW w:w="198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right"/>
              <w:rPr>
                <w:color w:val="000000"/>
              </w:rPr>
            </w:pPr>
            <w:r>
              <w:rPr>
                <w:color w:val="00000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Indicate by check mark whether the registrant is a shell company (as defined by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As of May 3, 2023, there were 268,167,245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887,427 shares of Class A common stock subject to restricted stock awards that were granted to other Dropbox executives and vest upon the satisfaction of a service condition and as applicable, achievement of certain stock price goals), 81,500,186 shares of the registrant’s Class B common stock outstanding, and no shares of the registrant’s Class C common stock outstanding.</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spacing w:before="0" w:after="0"/>
        <w:jc w:val="center"/>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retain and upgrade paying users;</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attract new users or convert registered users to paying users;</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expectations regarding general economic, political, and market trends and their respective impacts on our business; </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compete successfully in competitive markets;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expectations regarding the potential impacts of a more permanent global shift to remote or distributed work, on our business, the business of our customers, suppliers and partners, and the economy;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demand for our platform or for content collaboration solutions in general;</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effectively integrate our platform with others;</w:t>
      </w:r>
    </w:p>
    <w:p>
      <w:pPr>
        <w:pStyle w:val="TextBody"/>
        <w:spacing w:before="0" w:after="0"/>
        <w:ind w:left="0" w:right="0" w:hanging="36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achieve or maintain profitability;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expectations around future growth;</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successfully introduce new products and features;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effectively invest in the development of new products and technologies;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attract, retain, integrate, and manage key and other highly qualified personnel, including in light of our workforce reduction in April 2023 and as a result of our Virtual First model with an increasingly distributed workforce;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prevent security breaches and unauthorized access to customer data;</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capital allocation plans, including expected allocations of cash and timing for our share repurchases and other investments;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effects of new or modified laws, policies, taxes, and regulations on our business;</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sufficiency of our cash and cash equivalents to meet our liquidity needs; and</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Acquisitions of companies and assets.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TextBody"/>
        <w:spacing w:before="240" w:after="283"/>
        <w:ind w:left="0" w:right="0" w:firstLine="495"/>
        <w:jc w:val="center"/>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business depends on our ability to retain and upgrade paying users, and any decline in renewals or upgrades could adversely affect our future results of operations.</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growth could be harmed if we fail to attract new users or convert registered users to paying users.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business could be damaged, and we could be subject to liability if there is any unauthorized access to our data or our users' content, including through privacy and data security breaches or incidents.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business may be significantly impacted by a change in general economic, political, and market conditions, including any resulting effect on consumer or business spending.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operate in competitive markets, and we must continue to compete effectively.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business depends upon the interoperability of our platform across devices, operating systems, and third-party applications that we do not control.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business could be harmed by any significant disruption of service on our platform or loss of content.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generate revenue from sales of subscriptions to our platform, and any decline in demand for our platform, or for content collaboration solutions in general, could negatively impact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to respond to rapid technological changes, extend our platform, or develop new features or products may harm our ability to compete effectively, which would adversely affect our business.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 may not successfully manage our growth or successfully execute our plan for future growth.</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a limited history of operating with a Virtual First workforce and the long-term impact on our financial results and business operations remains uncertain.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lack of a significant outbound sales force may limit the potential growth of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revenue growth rate has declined in recent periods and may continue to slow in the future.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a history of net losses, we may increase expenses in the future, and we may not be able to achieve or maintain profitability.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Servicing our 2026 Notes and 2028 Notes (as defined below) may require a significant amount of cash, and we may not have sufficient cash flow or the ability to raise the funds necessary to satisfy our obligations under the 2026 Notes or 2028 Notes.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856" w:type="dxa"/>
        <w:jc w:val="left"/>
        <w:tblInd w:w="0" w:type="dxa"/>
        <w:tblCellMar>
          <w:top w:w="28" w:type="dxa"/>
          <w:left w:w="28" w:type="dxa"/>
          <w:bottom w:w="28" w:type="dxa"/>
          <w:right w:w="28" w:type="dxa"/>
        </w:tblCellMar>
      </w:tblPr>
      <w:tblGrid>
        <w:gridCol w:w="288"/>
        <w:gridCol w:w="252"/>
        <w:gridCol w:w="255"/>
        <w:gridCol w:w="2848"/>
        <w:gridCol w:w="2848"/>
        <w:gridCol w:w="2854"/>
        <w:gridCol w:w="149"/>
        <w:gridCol w:w="149"/>
        <w:gridCol w:w="213"/>
      </w:tblGrid>
      <w:tr>
        <w:trPr/>
        <w:tc>
          <w:tcPr>
            <w:tcW w:w="28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848" w:type="dxa"/>
            <w:tcBorders/>
            <w:shd w:fill="auto" w:val="clear"/>
            <w:vAlign w:val="center"/>
          </w:tcPr>
          <w:p>
            <w:pPr>
              <w:pStyle w:val="TableContents"/>
              <w:spacing w:before="0" w:after="283"/>
              <w:rPr>
                <w:sz w:val="4"/>
                <w:szCs w:val="4"/>
              </w:rPr>
            </w:pPr>
            <w:r>
              <w:rPr>
                <w:sz w:val="4"/>
                <w:szCs w:val="4"/>
              </w:rPr>
            </w:r>
          </w:p>
        </w:tc>
        <w:tc>
          <w:tcPr>
            <w:tcW w:w="2848" w:type="dxa"/>
            <w:tcBorders/>
            <w:shd w:fill="auto" w:val="clear"/>
            <w:vAlign w:val="center"/>
          </w:tcPr>
          <w:p>
            <w:pPr>
              <w:pStyle w:val="TableContents"/>
              <w:spacing w:before="0" w:after="283"/>
              <w:rPr>
                <w:sz w:val="4"/>
                <w:szCs w:val="4"/>
              </w:rPr>
            </w:pPr>
            <w:r>
              <w:rPr>
                <w:sz w:val="4"/>
                <w:szCs w:val="4"/>
              </w:rPr>
            </w:r>
          </w:p>
        </w:tc>
        <w:tc>
          <w:tcPr>
            <w:tcW w:w="285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e5b6d7b1eda468aa0f90b1989b0b206_13">
              <w:r>
                <w:rPr>
                  <w:rStyle w:val="InternetLink"/>
                  <w:rFonts w:ascii="Times New Roman;sans-serif" w:hAnsi="Times New Roman;sans-serif"/>
                  <w:b w:val="false"/>
                  <w:color w:val="0000FF"/>
                  <w:sz w:val="18"/>
                  <w:u w:val="single"/>
                </w:rPr>
                <w:t>PART I. FINANCIAL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9">
              <w:r>
                <w:rPr>
                  <w:rStyle w:val="InternetLink"/>
                  <w:rFonts w:ascii="Times New Roman;sans-serif" w:hAnsi="Times New Roman;sans-serif"/>
                  <w:b w:val="false"/>
                  <w:color w:val="0000FF"/>
                  <w:sz w:val="18"/>
                  <w:u w:val="single"/>
                </w:rPr>
                <w:t>Condensed Consolidated Financial Statements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6">
              <w:r>
                <w:rPr>
                  <w:rStyle w:val="InternetLink"/>
                  <w:rFonts w:ascii="Times New Roman;sans-serif" w:hAnsi="Times New Roman;sans-serif"/>
                  <w:b w:val="false"/>
                  <w:color w:val="0000FF"/>
                  <w:sz w:val="18"/>
                  <w:u w:val="single"/>
                </w:rPr>
                <w:t>6</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9">
              <w:r>
                <w:rPr>
                  <w:rStyle w:val="InternetLink"/>
                  <w:rFonts w:ascii="Times New Roman;sans-serif" w:hAnsi="Times New Roman;sans-serif"/>
                  <w:b w:val="false"/>
                  <w:color w:val="0000FF"/>
                  <w:sz w:val="18"/>
                  <w:u w:val="single"/>
                </w:rPr>
                <w:t>Condensed Consolidated Balance Sheets as of March 31, 2023 and December 31,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9">
              <w:r>
                <w:rPr>
                  <w:rStyle w:val="InternetLink"/>
                  <w:rFonts w:ascii="Times New Roman;sans-serif" w:hAnsi="Times New Roman;sans-serif"/>
                  <w:b w:val="false"/>
                  <w:color w:val="0000FF"/>
                  <w:sz w:val="18"/>
                  <w:u w:val="single"/>
                </w:rPr>
                <w:t>6</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22">
              <w:r>
                <w:rPr>
                  <w:rStyle w:val="InternetLink"/>
                  <w:rFonts w:ascii="Times New Roman;sans-serif" w:hAnsi="Times New Roman;sans-serif"/>
                  <w:b w:val="false"/>
                  <w:color w:val="0000FF"/>
                  <w:sz w:val="18"/>
                  <w:u w:val="single"/>
                </w:rPr>
                <w:t>Condensed Consolidated Statements of Operations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22">
              <w:r>
                <w:rPr>
                  <w:rStyle w:val="InternetLink"/>
                  <w:rFonts w:ascii="Times New Roman;sans-serif" w:hAnsi="Times New Roman;sans-serif"/>
                  <w:b w:val="false"/>
                  <w:color w:val="0000FF"/>
                  <w:sz w:val="18"/>
                  <w:u w:val="single"/>
                </w:rPr>
                <w:t>7</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28">
              <w:r>
                <w:rPr>
                  <w:rStyle w:val="InternetLink"/>
                  <w:rFonts w:ascii="Times New Roman;sans-serif" w:hAnsi="Times New Roman;sans-serif"/>
                  <w:b w:val="false"/>
                  <w:color w:val="0000FF"/>
                  <w:sz w:val="18"/>
                  <w:u w:val="single"/>
                </w:rPr>
                <w:t>Condensed Consolidated Statements of Comprehensive Income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28">
              <w:r>
                <w:rPr>
                  <w:rStyle w:val="InternetLink"/>
                  <w:rFonts w:ascii="Times New Roman;sans-serif" w:hAnsi="Times New Roman;sans-serif"/>
                  <w:b w:val="false"/>
                  <w:color w:val="0000FF"/>
                  <w:sz w:val="18"/>
                  <w:u w:val="single"/>
                </w:rPr>
                <w:t>8</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31">
              <w:r>
                <w:rPr>
                  <w:rStyle w:val="InternetLink"/>
                  <w:rFonts w:ascii="Times New Roman;sans-serif" w:hAnsi="Times New Roman;sans-serif"/>
                  <w:b w:val="false"/>
                  <w:color w:val="0000FF"/>
                  <w:sz w:val="18"/>
                  <w:u w:val="single"/>
                </w:rPr>
                <w:t>Condensed Consolidated Statements of Stockholders' Deficit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31">
              <w:r>
                <w:rPr>
                  <w:rStyle w:val="InternetLink"/>
                  <w:rFonts w:ascii="Times New Roman;sans-serif" w:hAnsi="Times New Roman;sans-serif"/>
                  <w:b w:val="false"/>
                  <w:color w:val="0000FF"/>
                  <w:sz w:val="18"/>
                  <w:u w:val="single"/>
                </w:rPr>
                <w:t>9</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34">
              <w:r>
                <w:rPr>
                  <w:rStyle w:val="InternetLink"/>
                  <w:rFonts w:ascii="Times New Roman;sans-serif" w:hAnsi="Times New Roman;sans-serif"/>
                  <w:b w:val="false"/>
                  <w:color w:val="0000FF"/>
                  <w:sz w:val="18"/>
                  <w:u w:val="single"/>
                </w:rPr>
                <w:t>Condensed Consolidated Statements of Cash Flows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34">
              <w:r>
                <w:rPr>
                  <w:rStyle w:val="InternetLink"/>
                  <w:rFonts w:ascii="Times New Roman;sans-serif" w:hAnsi="Times New Roman;sans-serif"/>
                  <w:b w:val="false"/>
                  <w:color w:val="0000FF"/>
                  <w:sz w:val="18"/>
                  <w:u w:val="single"/>
                </w:rPr>
                <w:t>10</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37">
              <w:r>
                <w:rPr>
                  <w:rStyle w:val="InternetLink"/>
                  <w:rFonts w:ascii="Times New Roman;sans-serif" w:hAnsi="Times New Roman;sans-serif"/>
                  <w:b w:val="false"/>
                  <w:color w:val="0000FF"/>
                  <w:sz w:val="18"/>
                  <w:u w:val="single"/>
                </w:rPr>
                <w:t>Notes to Condensed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37">
              <w:r>
                <w:rPr>
                  <w:rStyle w:val="InternetLink"/>
                  <w:rFonts w:ascii="Times New Roman;sans-serif" w:hAnsi="Times New Roman;sans-serif"/>
                  <w:b w:val="false"/>
                  <w:color w:val="0000FF"/>
                  <w:sz w:val="18"/>
                  <w:u w:val="single"/>
                </w:rPr>
                <w:t>11</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2.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97">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97">
              <w:r>
                <w:rPr>
                  <w:rStyle w:val="InternetLink"/>
                  <w:rFonts w:ascii="Times New Roman;sans-serif" w:hAnsi="Times New Roman;sans-serif"/>
                  <w:b w:val="false"/>
                  <w:color w:val="0000FF"/>
                  <w:sz w:val="18"/>
                  <w:u w:val="single"/>
                </w:rPr>
                <w:t>37</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3.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27">
              <w:r>
                <w:rPr>
                  <w:rStyle w:val="InternetLink"/>
                  <w:rFonts w:ascii="Times New Roman;sans-serif" w:hAnsi="Times New Roman;sans-serif"/>
                  <w:b w:val="false"/>
                  <w:color w:val="0000FF"/>
                  <w:sz w:val="18"/>
                  <w:u w:val="single"/>
                </w:rPr>
                <w:t>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27">
              <w:r>
                <w:rPr>
                  <w:rStyle w:val="InternetLink"/>
                  <w:rFonts w:ascii="Times New Roman;sans-serif" w:hAnsi="Times New Roman;sans-serif"/>
                  <w:b w:val="false"/>
                  <w:color w:val="0000FF"/>
                  <w:sz w:val="18"/>
                  <w:u w:val="single"/>
                </w:rPr>
                <w:t>54</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4.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33">
              <w:r>
                <w:rPr>
                  <w:rStyle w:val="InternetLink"/>
                  <w:rFonts w:ascii="Times New Roman;sans-serif" w:hAnsi="Times New Roman;sans-serif"/>
                  <w:b w:val="false"/>
                  <w:color w:val="0000FF"/>
                  <w:sz w:val="18"/>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33">
              <w:r>
                <w:rPr>
                  <w:rStyle w:val="InternetLink"/>
                  <w:rFonts w:ascii="Times New Roman;sans-serif" w:hAnsi="Times New Roman;sans-serif"/>
                  <w:b w:val="false"/>
                  <w:color w:val="0000FF"/>
                  <w:sz w:val="18"/>
                  <w:u w:val="single"/>
                </w:rPr>
                <w:t>55</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e5b6d7b1eda468aa0f90b1989b0b206_139">
              <w:r>
                <w:rPr>
                  <w:rStyle w:val="InternetLink"/>
                  <w:rFonts w:ascii="Times New Roman;sans-serif" w:hAnsi="Times New Roman;sans-serif"/>
                  <w:b w:val="false"/>
                  <w:color w:val="0000FF"/>
                  <w:sz w:val="18"/>
                  <w:u w:val="single"/>
                </w:rPr>
                <w:t>PART II. 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42">
              <w:r>
                <w:rPr>
                  <w:rStyle w:val="InternetLink"/>
                  <w:rFonts w:ascii="Times New Roman;sans-serif" w:hAnsi="Times New Roman;sans-serif"/>
                  <w:b w:val="false"/>
                  <w:color w:val="0000FF"/>
                  <w:sz w:val="18"/>
                  <w:u w:val="single"/>
                </w:rPr>
                <w:t>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42">
              <w:r>
                <w:rPr>
                  <w:rStyle w:val="InternetLink"/>
                  <w:rFonts w:ascii="Times New Roman;sans-serif" w:hAnsi="Times New Roman;sans-serif"/>
                  <w:b w:val="false"/>
                  <w:color w:val="0000FF"/>
                  <w:sz w:val="18"/>
                  <w:u w:val="single"/>
                </w:rPr>
                <w:t>56</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1A.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45">
              <w:r>
                <w:rPr>
                  <w:rStyle w:val="InternetLink"/>
                  <w:rFonts w:ascii="Times New Roman;sans-serif" w:hAnsi="Times New Roman;sans-serif"/>
                  <w:b w:val="false"/>
                  <w:color w:val="0000FF"/>
                  <w:sz w:val="18"/>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45">
              <w:r>
                <w:rPr>
                  <w:rStyle w:val="InternetLink"/>
                  <w:rFonts w:ascii="Times New Roman;sans-serif" w:hAnsi="Times New Roman;sans-serif"/>
                  <w:b w:val="false"/>
                  <w:color w:val="0000FF"/>
                  <w:sz w:val="18"/>
                  <w:u w:val="single"/>
                </w:rPr>
                <w:t>57</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2.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48">
              <w:r>
                <w:rPr>
                  <w:rStyle w:val="InternetLink"/>
                  <w:rFonts w:ascii="Times New Roman;sans-serif" w:hAnsi="Times New Roman;sans-serif"/>
                  <w:b w:val="false"/>
                  <w:color w:val="0000FF"/>
                  <w:sz w:val="18"/>
                  <w:u w:val="single"/>
                </w:rPr>
                <w:t>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51">
              <w:r>
                <w:rPr>
                  <w:rStyle w:val="InternetLink"/>
                  <w:rFonts w:ascii="Times New Roman;sans-serif" w:hAnsi="Times New Roman;sans-serif"/>
                  <w:b w:val="false"/>
                  <w:color w:val="0000FF"/>
                  <w:sz w:val="18"/>
                  <w:u w:val="single"/>
                </w:rPr>
                <w:t>85</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6. </w:t>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51">
              <w:r>
                <w:rPr>
                  <w:rStyle w:val="InternetLink"/>
                  <w:rFonts w:ascii="Times New Roman;sans-serif" w:hAnsi="Times New Roman;sans-serif"/>
                  <w:b w:val="false"/>
                  <w:color w:val="0000FF"/>
                  <w:sz w:val="18"/>
                  <w:u w:val="single"/>
                </w:rPr>
                <w:t>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51">
              <w:r>
                <w:rPr>
                  <w:rStyle w:val="InternetLink"/>
                  <w:rFonts w:ascii="Times New Roman;sans-serif" w:hAnsi="Times New Roman;sans-serif"/>
                  <w:b w:val="false"/>
                  <w:color w:val="0000FF"/>
                  <w:sz w:val="18"/>
                  <w:u w:val="single"/>
                </w:rPr>
                <w:t>85</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54">
              <w:r>
                <w:rPr>
                  <w:rStyle w:val="InternetLink"/>
                  <w:rFonts w:ascii="Times New Roman;sans-serif" w:hAnsi="Times New Roman;sans-serif"/>
                  <w:b w:val="false"/>
                  <w:color w:val="0000FF"/>
                  <w:sz w:val="18"/>
                  <w:u w:val="single"/>
                </w:rPr>
                <w:t>Exhibit Index</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54">
              <w:r>
                <w:rPr>
                  <w:rStyle w:val="InternetLink"/>
                  <w:rFonts w:ascii="Times New Roman;sans-serif" w:hAnsi="Times New Roman;sans-serif"/>
                  <w:b w:val="false"/>
                  <w:color w:val="0000FF"/>
                  <w:sz w:val="18"/>
                  <w:u w:val="single"/>
                </w:rPr>
                <w:t>86</w:t>
              </w:r>
            </w:hyperlink>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e5b6d7b1eda468aa0f90b1989b0b206_157">
              <w:r>
                <w:rPr>
                  <w:rStyle w:val="InternetLink"/>
                  <w:rFonts w:ascii="Times New Roman;sans-serif" w:hAnsi="Times New Roman;sans-serif"/>
                  <w:b w:val="false"/>
                  <w:color w:val="0000FF"/>
                  <w:sz w:val="18"/>
                  <w:u w:val="single"/>
                </w:rPr>
                <w:t>Signatures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e5b6d7b1eda468aa0f90b1989b0b206_157">
              <w:r>
                <w:rPr>
                  <w:rStyle w:val="InternetLink"/>
                  <w:rFonts w:ascii="Times New Roman;sans-serif" w:hAnsi="Times New Roman;sans-serif"/>
                  <w:b w:val="false"/>
                  <w:color w:val="0000FF"/>
                  <w:sz w:val="18"/>
                  <w:u w:val="single"/>
                </w:rPr>
                <w:t>87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PART I.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135" w:type="dxa"/>
        <w:jc w:val="left"/>
        <w:tblInd w:w="0" w:type="dxa"/>
        <w:tblCellMar>
          <w:top w:w="28" w:type="dxa"/>
          <w:left w:w="28" w:type="dxa"/>
          <w:bottom w:w="28" w:type="dxa"/>
          <w:right w:w="28" w:type="dxa"/>
        </w:tblCellMar>
      </w:tblPr>
      <w:tblGrid>
        <w:gridCol w:w="1297"/>
        <w:gridCol w:w="1143"/>
        <w:gridCol w:w="1159"/>
        <w:gridCol w:w="279"/>
        <w:gridCol w:w="1016"/>
        <w:gridCol w:w="144"/>
        <w:gridCol w:w="109"/>
        <w:gridCol w:w="109"/>
        <w:gridCol w:w="109"/>
        <w:gridCol w:w="330"/>
        <w:gridCol w:w="1199"/>
        <w:gridCol w:w="241"/>
      </w:tblGrid>
      <w:tr>
        <w:trPr/>
        <w:tc>
          <w:tcPr>
            <w:tcW w:w="129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1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10205" w:type="dxa"/>
        <w:jc w:val="left"/>
        <w:tblInd w:w="0" w:type="dxa"/>
        <w:tblCellMar>
          <w:top w:w="28" w:type="dxa"/>
          <w:left w:w="28" w:type="dxa"/>
          <w:bottom w:w="28" w:type="dxa"/>
          <w:right w:w="28" w:type="dxa"/>
        </w:tblCellMar>
      </w:tblPr>
      <w:tblGrid>
        <w:gridCol w:w="2828"/>
        <w:gridCol w:w="2341"/>
        <w:gridCol w:w="2354"/>
        <w:gridCol w:w="211"/>
        <w:gridCol w:w="616"/>
        <w:gridCol w:w="109"/>
        <w:gridCol w:w="109"/>
        <w:gridCol w:w="109"/>
        <w:gridCol w:w="109"/>
        <w:gridCol w:w="211"/>
        <w:gridCol w:w="616"/>
        <w:gridCol w:w="109"/>
        <w:gridCol w:w="109"/>
        <w:gridCol w:w="109"/>
        <w:gridCol w:w="109"/>
        <w:gridCol w:w="156"/>
      </w:tblGrid>
      <w:tr>
        <w:trPr/>
        <w:tc>
          <w:tcPr>
            <w:tcW w:w="2828"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share-basic and diluted: </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income per share attributable to common stockholders, diluted </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p>
      <w:pPr>
        <w:pStyle w:val="TextBody"/>
        <w:spacing w:before="20" w:after="283"/>
        <w:rPr/>
      </w:pPr>
      <w:r>
        <w:rPr/>
      </w:r>
    </w:p>
    <w:tbl>
      <w:tblPr>
        <w:tblW w:w="4826" w:type="dxa"/>
        <w:jc w:val="left"/>
        <w:tblInd w:w="0" w:type="dxa"/>
        <w:tblCellMar>
          <w:top w:w="28" w:type="dxa"/>
          <w:left w:w="28" w:type="dxa"/>
          <w:bottom w:w="28" w:type="dxa"/>
          <w:right w:w="28" w:type="dxa"/>
        </w:tblCellMar>
      </w:tblPr>
      <w:tblGrid>
        <w:gridCol w:w="895"/>
        <w:gridCol w:w="788"/>
        <w:gridCol w:w="792"/>
        <w:gridCol w:w="222"/>
        <w:gridCol w:w="428"/>
        <w:gridCol w:w="114"/>
        <w:gridCol w:w="114"/>
        <w:gridCol w:w="114"/>
        <w:gridCol w:w="114"/>
        <w:gridCol w:w="222"/>
        <w:gridCol w:w="428"/>
        <w:gridCol w:w="114"/>
        <w:gridCol w:w="109"/>
        <w:gridCol w:w="109"/>
        <w:gridCol w:w="109"/>
        <w:gridCol w:w="154"/>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(2)</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On March 15, 2023, the Company's President resigned, resulting in the reversal of $6.7 million in stock-based compensation expense. Of the total amount reversed, $4.4 million related to expense recognized prior to January 1, 2023.</w:t>
      </w:r>
    </w:p>
    <w:p>
      <w:pPr>
        <w:pStyle w:val="TextBody"/>
        <w:spacing w:before="20" w:after="283"/>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8200" w:type="dxa"/>
        <w:jc w:val="left"/>
        <w:tblInd w:w="0" w:type="dxa"/>
        <w:tblCellMar>
          <w:top w:w="28" w:type="dxa"/>
          <w:left w:w="28" w:type="dxa"/>
          <w:bottom w:w="28" w:type="dxa"/>
          <w:right w:w="28" w:type="dxa"/>
        </w:tblCellMar>
      </w:tblPr>
      <w:tblGrid>
        <w:gridCol w:w="2048"/>
        <w:gridCol w:w="1795"/>
        <w:gridCol w:w="1812"/>
        <w:gridCol w:w="211"/>
        <w:gridCol w:w="511"/>
        <w:gridCol w:w="109"/>
        <w:gridCol w:w="109"/>
        <w:gridCol w:w="109"/>
        <w:gridCol w:w="109"/>
        <w:gridCol w:w="211"/>
        <w:gridCol w:w="586"/>
        <w:gridCol w:w="109"/>
        <w:gridCol w:w="109"/>
        <w:gridCol w:w="109"/>
        <w:gridCol w:w="109"/>
        <w:gridCol w:w="154"/>
      </w:tblGrid>
      <w:tr>
        <w:trPr/>
        <w:tc>
          <w:tcPr>
            <w:tcW w:w="2048"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gains and losses on short-term investments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before="0" w:after="0"/>
        <w:jc w:val="center"/>
        <w:rPr/>
      </w:pPr>
      <w:r>
        <w:rPr/>
      </w:r>
    </w:p>
    <w:p>
      <w:pPr>
        <w:pStyle w:val="TextBody"/>
        <w:spacing w:before="0" w:after="0"/>
        <w:jc w:val="center"/>
        <w:rPr/>
      </w:pPr>
      <w:r>
        <w:rPr/>
      </w:r>
    </w:p>
    <w:tbl>
      <w:tblPr>
        <w:tblW w:w="16774" w:type="dxa"/>
        <w:jc w:val="center"/>
        <w:tblInd w:w="0" w:type="dxa"/>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109"/>
        <w:gridCol w:w="109"/>
        <w:gridCol w:w="109"/>
        <w:gridCol w:w="251"/>
        <w:gridCol w:w="733"/>
        <w:gridCol w:w="14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0"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2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attributable to bond hedges purchased in connection with issuance of convertible senior notes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end of period</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8229" w:type="dxa"/>
        <w:jc w:val="left"/>
        <w:tblInd w:w="0" w:type="dxa"/>
        <w:tblCellMar>
          <w:top w:w="28" w:type="dxa"/>
          <w:left w:w="28" w:type="dxa"/>
          <w:bottom w:w="28" w:type="dxa"/>
          <w:right w:w="28" w:type="dxa"/>
        </w:tblCellMar>
      </w:tblPr>
      <w:tblGrid>
        <w:gridCol w:w="2222"/>
        <w:gridCol w:w="1949"/>
        <w:gridCol w:w="1964"/>
        <w:gridCol w:w="196"/>
        <w:gridCol w:w="556"/>
        <w:gridCol w:w="109"/>
        <w:gridCol w:w="109"/>
        <w:gridCol w:w="109"/>
        <w:gridCol w:w="109"/>
        <w:gridCol w:w="196"/>
        <w:gridCol w:w="556"/>
        <w:gridCol w:w="154"/>
      </w:tblGrid>
      <w:tr>
        <w:trPr/>
        <w:tc>
          <w:tcPr>
            <w:tcW w:w="2222"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 from operating activities </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improvement allowance reimbursement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 Description of the Business and Summary of Significant Accounting Policies</w:t>
      </w:r>
    </w:p>
    <w:p>
      <w:pPr>
        <w:pStyle w:val="TextBody"/>
        <w:spacing w:before="0" w:after="12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The Company is headquartered in San Francisco, California. </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2022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2023 or any future period.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should be read in conjunction with the audited consolidated financial statements and the related notes thereto as of and for the year ended December 31, 2022, included in the Company's Annual Report on Form 10-K on file with the SEC ("Annual Report"). </w:t>
      </w:r>
    </w:p>
    <w:p>
      <w:pPr>
        <w:pStyle w:val="TextBody"/>
        <w:spacing w:before="0" w:after="0"/>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most significant estimates and judgments involve the valuation of right-of-use and other lease related assets and income taxes. </w:t>
      </w:r>
    </w:p>
    <w:p>
      <w:pPr>
        <w:pStyle w:val="TextBody"/>
        <w:spacing w:before="0" w:after="0"/>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Financial information about segments and geographic areas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to our condensed consolidated financial statements included elsewhere in this Quarterly Report on Form 10-Q for information regarding the Company’s long-lived assets and revenue by geography.</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Foreign currency transactions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 net of tax.</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exchange rates. The Company recorded net foreign currency transaction gains of $0.8 million and $2.8 million during the three months ended March 31, 2023 and 2022, respectively.</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Identification of the contract, or contracts, with a customer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rPr>
        <w:t xml:space="preserve">The Company recognized </w:t>
      </w:r>
      <w:r>
        <w:rPr>
          <w:rFonts w:ascii="Times New Roman;sans-serif" w:hAnsi="Times New Roman;sans-serif"/>
          <w:b w:val="false"/>
          <w:color w:val="000000"/>
          <w:sz w:val="20"/>
          <w:highlight w:val="white"/>
        </w:rPr>
        <w:t>$331.5 million and $313.7</w:t>
      </w:r>
      <w:r>
        <w:rPr>
          <w:color w:val="000000"/>
        </w:rPr>
        <w:t xml:space="preserve"> </w:t>
      </w:r>
      <w:r>
        <w:rPr>
          <w:rFonts w:ascii="Times New Roman;sans-serif" w:hAnsi="Times New Roman;sans-serif"/>
          <w:b w:val="false"/>
          <w:color w:val="000000"/>
          <w:sz w:val="20"/>
        </w:rPr>
        <w:t>million of revenue during the three months ended March 31, 2023 and 2022, respectively, that was included in the deferred revenue balances at the beginning of their respective periods.</w:t>
      </w:r>
    </w:p>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rPr>
        <w:t xml:space="preserve">As of March 31, 2023, future estimated revenue related to performance obligations that were unsatisfied or partially unsatisfied was </w:t>
      </w:r>
      <w:r>
        <w:rPr>
          <w:rFonts w:ascii="Times New Roman;sans-serif" w:hAnsi="Times New Roman;sans-serif"/>
          <w:b w:val="false"/>
          <w:color w:val="000000"/>
          <w:sz w:val="20"/>
          <w:highlight w:val="white"/>
        </w:rPr>
        <w:t>$797.1</w:t>
      </w:r>
      <w:r>
        <w:rPr>
          <w:color w:val="000000"/>
        </w:rPr>
        <w:t xml:space="preserve"> </w:t>
      </w:r>
      <w:r>
        <w:rPr>
          <w:rFonts w:ascii="Times New Roman;sans-serif" w:hAnsi="Times New Roman;sans-serif"/>
          <w:b w:val="false"/>
          <w:color w:val="000000"/>
          <w:sz w:val="20"/>
        </w:rPr>
        <w:t>million. The substantial majority of the unsatisfied performance obligations will be satisfied over the next twelve months.</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pStyle w:val="TextBody"/>
        <w:spacing w:before="120" w:after="283"/>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the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to our condensed consolidated financial statements included elsewhere in this Quarterly Report on Form 10-Q for further information.</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monitors its credit risk by considering factors such as historical experience, credit ratings, current economic conditions, and reasonable and supportable forecasts.</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 xml:space="preserve">Short-term investments </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months ended March 31, 2023. As of March 31, 2023 and December 31, 2022, no allowance for credit losses in short-term investments was recorded.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accounts receivable, and short-term investments. Although the Company deposits its cash and short-term investments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rPr>
        <w:t xml:space="preserve">Trade accounts receivable are typically unsecured and are derived from revenue earned from customers located around the world. Two </w:t>
      </w:r>
      <w:r>
        <w:rPr>
          <w:rFonts w:ascii="Times New Roman;sans-serif" w:hAnsi="Times New Roman;sans-serif"/>
          <w:b w:val="false"/>
          <w:color w:val="000000"/>
          <w:sz w:val="20"/>
          <w:highlight w:val="white"/>
        </w:rPr>
        <w:t>distribution partners accounted for</w:t>
      </w:r>
      <w:r>
        <w:rPr>
          <w:color w:val="000000"/>
        </w:rPr>
        <w:t xml:space="preserve"> </w:t>
      </w:r>
      <w:r>
        <w:rPr>
          <w:rFonts w:ascii="Times New Roman;sans-serif" w:hAnsi="Times New Roman;sans-serif"/>
          <w:b w:val="false"/>
          <w:color w:val="000000"/>
          <w:sz w:val="20"/>
        </w:rPr>
        <w:t>11% and 49% of</w:t>
      </w:r>
      <w:r>
        <w:rPr>
          <w:color w:val="000000"/>
          <w:highlight w:val="white"/>
        </w:rPr>
        <w:t xml:space="preserve"> </w:t>
      </w:r>
      <w:r>
        <w:rPr>
          <w:rFonts w:ascii="Times New Roman;sans-serif" w:hAnsi="Times New Roman;sans-serif"/>
          <w:b w:val="false"/>
          <w:color w:val="000000"/>
          <w:sz w:val="20"/>
          <w:highlight w:val="white"/>
        </w:rPr>
        <w:t xml:space="preserve">total trade and other receivables, net as of March 31, 2023. </w:t>
      </w:r>
      <w:r>
        <w:rPr>
          <w:rFonts w:ascii="Times New Roman;sans-serif" w:hAnsi="Times New Roman;sans-serif"/>
          <w:b w:val="false"/>
          <w:color w:val="000000"/>
          <w:sz w:val="20"/>
        </w:rPr>
        <w:t>Two</w:t>
      </w:r>
      <w:r>
        <w:rPr>
          <w:color w:val="000000"/>
          <w:highlight w:val="white"/>
        </w:rPr>
        <w:t xml:space="preserve"> </w:t>
      </w:r>
      <w:r>
        <w:rPr>
          <w:rFonts w:ascii="Times New Roman;sans-serif" w:hAnsi="Times New Roman;sans-serif"/>
          <w:b w:val="false"/>
          <w:color w:val="000000"/>
          <w:sz w:val="20"/>
          <w:highlight w:val="white"/>
        </w:rPr>
        <w:t>distribution partners accounted for</w:t>
      </w:r>
      <w:r>
        <w:rPr>
          <w:color w:val="000000"/>
        </w:rPr>
        <w:t xml:space="preserve"> </w:t>
      </w:r>
      <w:r>
        <w:rPr>
          <w:rFonts w:ascii="Times New Roman;sans-serif" w:hAnsi="Times New Roman;sans-serif"/>
          <w:b w:val="false"/>
          <w:color w:val="000000"/>
          <w:sz w:val="20"/>
        </w:rPr>
        <w:t>12% and 30% o</w:t>
      </w:r>
      <w:r>
        <w:rPr>
          <w:rFonts w:ascii="Times New Roman;sans-serif" w:hAnsi="Times New Roman;sans-serif"/>
          <w:b w:val="false"/>
          <w:color w:val="000000"/>
          <w:sz w:val="20"/>
          <w:highlight w:val="white"/>
        </w:rPr>
        <w:t xml:space="preserve">f total trade and other receivables, net as of December 31, 2022. </w:t>
      </w:r>
      <w:r>
        <w:rPr>
          <w:rFonts w:ascii="Times New Roman;sans-serif" w:hAnsi="Times New Roman;sans-serif"/>
          <w:b w:val="false"/>
          <w:color w:val="000000"/>
          <w:sz w:val="20"/>
        </w:rPr>
        <w:t>No customer accounted for more than 10% of the Company’s revenue in the periods presented.</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Deferred commissions, net</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$6.1 million and $7.6 million during the three months ended March 31, 2023 and 2022, respectively.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included in prepaid and other current assets were $30.1 million and $33.6 million as of March 31, 2023 and December 31, 2022, respectively. Deferred commissions, net included in other assets were $24.6 million and $25.7 million as of March 31, 2023 and December 31, 2022, respectively.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$10.7 million and $9.0 million for the three months ended March 31, 2023 and 2022, respectively. Amortization of deferred commissions costs are included in sales and marketing expense in the accompanying condensed consolidated statements of operations. There was no impairment loss in relation to the deferred costs for any period presented.</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useful lives of property and equipment:</w:t>
      </w:r>
    </w:p>
    <w:p>
      <w:pPr>
        <w:pStyle w:val="TextBody"/>
        <w:spacing w:before="0" w:after="0"/>
        <w:ind w:left="0" w:right="0" w:firstLine="495"/>
        <w:rPr/>
      </w:pPr>
      <w:r>
        <w:rPr/>
      </w:r>
    </w:p>
    <w:tbl>
      <w:tblPr>
        <w:tblW w:w="8335" w:type="dxa"/>
        <w:jc w:val="left"/>
        <w:tblInd w:w="0" w:type="dxa"/>
        <w:tblCellMar>
          <w:top w:w="28" w:type="dxa"/>
          <w:left w:w="28" w:type="dxa"/>
          <w:bottom w:w="28" w:type="dxa"/>
          <w:right w:w="28" w:type="dxa"/>
        </w:tblCellMar>
      </w:tblPr>
      <w:tblGrid>
        <w:gridCol w:w="1275"/>
        <w:gridCol w:w="1121"/>
        <w:gridCol w:w="1128"/>
        <w:gridCol w:w="109"/>
        <w:gridCol w:w="109"/>
        <w:gridCol w:w="109"/>
        <w:gridCol w:w="1314"/>
        <w:gridCol w:w="1314"/>
        <w:gridCol w:w="1856"/>
      </w:tblGrid>
      <w:tr>
        <w:trPr/>
        <w:tc>
          <w:tcPr>
            <w:tcW w:w="1275"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r>
      <w:tr>
        <w:trPr/>
        <w:tc>
          <w:tcPr>
            <w:tcW w:w="35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to 30 years</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w:t>
            </w:r>
          </w:p>
        </w:tc>
      </w:tr>
    </w:tbl>
    <w:p>
      <w:pPr>
        <w:pStyle w:val="TextBody"/>
        <w:spacing w:before="0" w:after="0"/>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 rate factors in a hypothetical interest rate on a collateralized basis with similar terms, payments, and economic environments. Operating lease right-of-use assets also include any prepaid lease payments and lease incentives. </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spacing w:before="0" w:after="0"/>
        <w:ind w:left="0" w:right="0" w:firstLine="45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part of the Company's Virtual First strategy, Dropbox has retained a portion of its office space for in-person collaboration while the remainder will be subleased. Subsequently, the Company has recorded impairment charges in prior quarters as a result of adverse changes in the corporate real estate market in the San Francisco Bay area which has impacted our subleasing strategy in conjunction with the Company's shift to Virtual First. During the three months ended March 31, 2023 and 2022, the Company did not recognize any impairment charge related to right-of-use assets and other lease related property and equipment assets. See Note 9 "Leases" to our condensed consolidated financial statements included elsewhere in this Quarterly Report on Form 10-Q for further information.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 </w:t>
      </w:r>
    </w:p>
    <w:p>
      <w:pPr>
        <w:pStyle w:val="TextBody"/>
        <w:spacing w:lineRule="auto" w:line="288" w:before="360" w:after="283"/>
        <w:ind w:left="0" w:right="0" w:firstLine="495"/>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pStyle w:val="TextBody"/>
        <w:spacing w:before="120" w:after="283"/>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Long-lived assets, including goodwill and other acquired intangible assets, net</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at least annually in the fourth quarter, or more frequently if events or changes in circumstances would more likely than not reduce the fair value of its single reporting unit below its carrying value. </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not recorded impairment charges on goodwill or intangible assets for the periods presented in these condensed consolidated financial statements.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Cuts and Jobs Act of 2017 ("TCJA") subjects a U.S. shareholder to current tax global intangible low-taxed income ("GILTI") earned by foreign subsidiaries. The Company accounts for GILTI as a period cost as incurred. </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spacing w:before="0" w:after="0"/>
        <w:ind w:left="0" w:right="0" w:firstLine="495"/>
        <w:rPr/>
      </w:pPr>
      <w:r>
        <w:rPr/>
      </w:r>
    </w:p>
    <w:p>
      <w:pPr>
        <w:pStyle w:val="TextBody"/>
        <w:spacing w:lineRule="auto" w:line="288" w:before="0" w:after="60"/>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spacing w:lineRule="auto" w:line="288" w:before="120" w:after="283"/>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spacing w:lineRule="auto" w:line="288" w:before="120" w:after="283"/>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 of assumptions that market participants would use in pricing the asset or liability.</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0" w:after="120"/>
        <w:ind w:left="0" w:right="0" w:firstLine="495"/>
        <w:rPr/>
      </w:pPr>
      <w:r>
        <w:rPr>
          <w:rFonts w:ascii="Times New Roman;sans-serif" w:hAnsi="Times New Roman;sans-serif"/>
          <w:b w:val="false"/>
          <w:color w:val="000000"/>
          <w:sz w:val="20"/>
        </w:rPr>
        <w:t xml:space="preserve">In March 2022, the FASB issued ASU 2022-02, </w:t>
      </w:r>
      <w:r>
        <w:rPr>
          <w:rFonts w:ascii="Times New Roman;sans-serif" w:hAnsi="Times New Roman;sans-serif"/>
          <w:b w:val="false"/>
          <w:i/>
          <w:color w:val="000000"/>
          <w:sz w:val="20"/>
        </w:rPr>
        <w:t xml:space="preserve">Financial Instruments—Credit Losses (Topic 326): Troubled Debt Restructurings and Vintage Disclosures, </w:t>
      </w:r>
      <w:r>
        <w:rPr>
          <w:rFonts w:ascii="Times New Roman;sans-serif" w:hAnsi="Times New Roman;sans-serif"/>
          <w:b w:val="false"/>
          <w:color w:val="000000"/>
          <w:sz w:val="20"/>
        </w:rPr>
        <w:t>which eliminates the accounting guidance on troubled debt restructurings for creditors in ASC 310-40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Company adopted ASU 2022-02 on January 1, 2023. The adoption of the standard did not have a material impact on the Company's condensed consolidated financial statements.</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2.Cash, Cash Equivalents and Short-Term Investments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amortized cost, unrealized gains and losses and estimated fair value of the Company's cash, cash equivalents and short-term investments as of March 31, 2023 and December 31, 2022 consisted of the following:</w:t>
      </w:r>
    </w:p>
    <w:p>
      <w:pPr>
        <w:pStyle w:val="TextBody"/>
        <w:spacing w:before="0" w:after="0"/>
        <w:ind w:left="0" w:right="0" w:firstLine="495"/>
        <w:rPr/>
      </w:pPr>
      <w:r>
        <w:rPr/>
      </w:r>
    </w:p>
    <w:tbl>
      <w:tblPr>
        <w:tblW w:w="10085" w:type="dxa"/>
        <w:jc w:val="center"/>
        <w:tblInd w:w="0" w:type="dxa"/>
        <w:tblCellMar>
          <w:top w:w="28" w:type="dxa"/>
          <w:left w:w="28" w:type="dxa"/>
          <w:bottom w:w="28" w:type="dxa"/>
          <w:right w:w="28" w:type="dxa"/>
        </w:tblCellMar>
      </w:tblPr>
      <w:tblGrid>
        <w:gridCol w:w="991"/>
        <w:gridCol w:w="870"/>
        <w:gridCol w:w="884"/>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4"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4"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4"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1,253.1 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10085" w:type="dxa"/>
        <w:jc w:val="left"/>
        <w:tblInd w:w="0" w:type="dxa"/>
        <w:tblCellMar>
          <w:top w:w="28" w:type="dxa"/>
          <w:left w:w="28" w:type="dxa"/>
          <w:bottom w:w="28" w:type="dxa"/>
          <w:right w:w="28" w:type="dxa"/>
        </w:tblCellMar>
      </w:tblPr>
      <w:tblGrid>
        <w:gridCol w:w="991"/>
        <w:gridCol w:w="870"/>
        <w:gridCol w:w="884"/>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cash and cash equivalents is cash in transit from payment processors for credit and debit card transactions of $9.7 million and $12.4 million as of March 31, 2023 and December 31, 2022, respectively.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All short-term investments were designated as available-for-sale securities as of March 31, 2023 and December 31, 2022.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the Company’s short-term investments as of March 31, 2023:</w:t>
      </w:r>
    </w:p>
    <w:p>
      <w:pPr>
        <w:pStyle w:val="TextBody"/>
        <w:spacing w:before="0" w:after="0"/>
        <w:rPr/>
      </w:pPr>
      <w:r>
        <w:rPr/>
      </w:r>
    </w:p>
    <w:tbl>
      <w:tblPr>
        <w:tblW w:w="6220" w:type="dxa"/>
        <w:jc w:val="center"/>
        <w:tblInd w:w="0" w:type="dxa"/>
        <w:tblCellMar>
          <w:top w:w="28" w:type="dxa"/>
          <w:left w:w="28" w:type="dxa"/>
          <w:bottom w:w="28" w:type="dxa"/>
          <w:right w:w="28" w:type="dxa"/>
        </w:tblCellMar>
      </w:tblPr>
      <w:tblGrid>
        <w:gridCol w:w="957"/>
        <w:gridCol w:w="838"/>
        <w:gridCol w:w="845"/>
        <w:gridCol w:w="310"/>
        <w:gridCol w:w="908"/>
        <w:gridCol w:w="161"/>
        <w:gridCol w:w="109"/>
        <w:gridCol w:w="109"/>
        <w:gridCol w:w="109"/>
        <w:gridCol w:w="402"/>
        <w:gridCol w:w="1176"/>
        <w:gridCol w:w="296"/>
      </w:tblGrid>
      <w:tr>
        <w:trPr/>
        <w:tc>
          <w:tcPr>
            <w:tcW w:w="95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between one to three years</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three years</w:t>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615 short-term investments in unrealized loss positions as of March 31, 2023. There were no material gains or losses from short-term investments that were reclassified out of accumulated other comprehensive loss for the three months ended March 31, 2023 and 2022, respectively. </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Company’s short-term investments portfolio consisted of nine security types, seven of which were in an unrealized loss position. The Company’s short-term investments had unrealized losses of approximately $38.3 million as of March 31, 2023. The following tables present the breakdown of the short-term investments that have been in a continuous unrealized loss position aggregated by investment category, as of March 31, 2023 and December 31, 2022: </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10205" w:type="dxa"/>
        <w:jc w:val="left"/>
        <w:tblInd w:w="0" w:type="dxa"/>
        <w:tblCellMar>
          <w:top w:w="28" w:type="dxa"/>
          <w:left w:w="28" w:type="dxa"/>
          <w:bottom w:w="28" w:type="dxa"/>
          <w:right w:w="28" w:type="dxa"/>
        </w:tblCellMar>
      </w:tblPr>
      <w:tblGrid>
        <w:gridCol w:w="696"/>
        <w:gridCol w:w="474"/>
        <w:gridCol w:w="477"/>
        <w:gridCol w:w="215"/>
        <w:gridCol w:w="630"/>
        <w:gridCol w:w="111"/>
        <w:gridCol w:w="109"/>
        <w:gridCol w:w="109"/>
        <w:gridCol w:w="109"/>
        <w:gridCol w:w="379"/>
        <w:gridCol w:w="757"/>
        <w:gridCol w:w="196"/>
        <w:gridCol w:w="109"/>
        <w:gridCol w:w="109"/>
        <w:gridCol w:w="109"/>
        <w:gridCol w:w="215"/>
        <w:gridCol w:w="630"/>
        <w:gridCol w:w="111"/>
        <w:gridCol w:w="109"/>
        <w:gridCol w:w="109"/>
        <w:gridCol w:w="109"/>
        <w:gridCol w:w="332"/>
        <w:gridCol w:w="829"/>
        <w:gridCol w:w="172"/>
        <w:gridCol w:w="109"/>
        <w:gridCol w:w="109"/>
        <w:gridCol w:w="109"/>
        <w:gridCol w:w="215"/>
        <w:gridCol w:w="630"/>
        <w:gridCol w:w="111"/>
        <w:gridCol w:w="109"/>
        <w:gridCol w:w="109"/>
        <w:gridCol w:w="109"/>
        <w:gridCol w:w="325"/>
        <w:gridCol w:w="813"/>
        <w:gridCol w:w="252"/>
      </w:tblGrid>
      <w:tr>
        <w:trPr/>
        <w:tc>
          <w:tcPr>
            <w:tcW w:w="69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tbl>
      <w:tblPr>
        <w:tblW w:w="10205" w:type="dxa"/>
        <w:jc w:val="left"/>
        <w:tblInd w:w="0" w:type="dxa"/>
        <w:tblCellMar>
          <w:top w:w="28" w:type="dxa"/>
          <w:left w:w="28" w:type="dxa"/>
          <w:bottom w:w="28" w:type="dxa"/>
          <w:right w:w="28" w:type="dxa"/>
        </w:tblCellMar>
      </w:tblPr>
      <w:tblGrid>
        <w:gridCol w:w="665"/>
        <w:gridCol w:w="433"/>
        <w:gridCol w:w="436"/>
        <w:gridCol w:w="214"/>
        <w:gridCol w:w="626"/>
        <w:gridCol w:w="110"/>
        <w:gridCol w:w="109"/>
        <w:gridCol w:w="109"/>
        <w:gridCol w:w="109"/>
        <w:gridCol w:w="354"/>
        <w:gridCol w:w="707"/>
        <w:gridCol w:w="184"/>
        <w:gridCol w:w="109"/>
        <w:gridCol w:w="109"/>
        <w:gridCol w:w="109"/>
        <w:gridCol w:w="214"/>
        <w:gridCol w:w="626"/>
        <w:gridCol w:w="110"/>
        <w:gridCol w:w="109"/>
        <w:gridCol w:w="109"/>
        <w:gridCol w:w="109"/>
        <w:gridCol w:w="310"/>
        <w:gridCol w:w="774"/>
        <w:gridCol w:w="161"/>
        <w:gridCol w:w="109"/>
        <w:gridCol w:w="109"/>
        <w:gridCol w:w="109"/>
        <w:gridCol w:w="214"/>
        <w:gridCol w:w="626"/>
        <w:gridCol w:w="110"/>
        <w:gridCol w:w="308"/>
        <w:gridCol w:w="308"/>
        <w:gridCol w:w="109"/>
        <w:gridCol w:w="304"/>
        <w:gridCol w:w="762"/>
        <w:gridCol w:w="232"/>
      </w:tblGrid>
      <w:tr>
        <w:trPr/>
        <w:tc>
          <w:tcPr>
            <w:tcW w:w="665"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recorded interest income from its cash, cash equivalents, and short-term investments of $7.2 million and $1.8 million during the three months ended March 31, 2023 and 2022,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3.Fair Value Measurements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instruments that are measured at fair value on a recurring basis using the input categories discussed in Note 1:   </w:t>
      </w:r>
    </w:p>
    <w:p>
      <w:pPr>
        <w:pStyle w:val="TextBody"/>
        <w:spacing w:before="0" w:after="0"/>
        <w:ind w:left="0" w:right="0" w:firstLine="495"/>
        <w:rPr/>
      </w:pPr>
      <w:r>
        <w:rPr/>
      </w:r>
    </w:p>
    <w:tbl>
      <w:tblPr>
        <w:tblW w:w="7463" w:type="dxa"/>
        <w:jc w:val="center"/>
        <w:tblInd w:w="0" w:type="dxa"/>
        <w:tblCellMar>
          <w:top w:w="28" w:type="dxa"/>
          <w:left w:w="28" w:type="dxa"/>
          <w:bottom w:w="28" w:type="dxa"/>
          <w:right w:w="28" w:type="dxa"/>
        </w:tblCellMar>
      </w:tblPr>
      <w:tblGrid>
        <w:gridCol w:w="994"/>
        <w:gridCol w:w="874"/>
        <w:gridCol w:w="877"/>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766"/>
        <w:gridCol w:w="154"/>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100" w:after="283"/>
        <w:jc w:val="center"/>
        <w:rPr/>
      </w:pPr>
      <w:r>
        <w:rPr/>
      </w:r>
    </w:p>
    <w:p>
      <w:pPr>
        <w:pStyle w:val="TextBody"/>
        <w:spacing w:before="100" w:after="283"/>
        <w:jc w:val="center"/>
        <w:rPr/>
      </w:pPr>
      <w:r>
        <w:rPr/>
      </w:r>
    </w:p>
    <w:p>
      <w:pPr>
        <w:pStyle w:val="TextBody"/>
        <w:spacing w:before="100" w:after="283"/>
        <w:jc w:val="center"/>
        <w:rPr/>
      </w:pPr>
      <w:r>
        <w:rPr/>
      </w:r>
    </w:p>
    <w:p>
      <w:pPr>
        <w:pStyle w:val="TextBody"/>
        <w:spacing w:before="100" w:after="283"/>
        <w:jc w:val="center"/>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7613" w:type="dxa"/>
        <w:jc w:val="center"/>
        <w:tblInd w:w="0" w:type="dxa"/>
        <w:tblCellMar>
          <w:top w:w="28" w:type="dxa"/>
          <w:left w:w="28" w:type="dxa"/>
          <w:bottom w:w="28" w:type="dxa"/>
          <w:right w:w="28" w:type="dxa"/>
        </w:tblCellMar>
      </w:tblPr>
      <w:tblGrid>
        <w:gridCol w:w="994"/>
        <w:gridCol w:w="874"/>
        <w:gridCol w:w="877"/>
        <w:gridCol w:w="211"/>
        <w:gridCol w:w="616"/>
        <w:gridCol w:w="109"/>
        <w:gridCol w:w="109"/>
        <w:gridCol w:w="109"/>
        <w:gridCol w:w="109"/>
        <w:gridCol w:w="211"/>
        <w:gridCol w:w="766"/>
        <w:gridCol w:w="109"/>
        <w:gridCol w:w="109"/>
        <w:gridCol w:w="109"/>
        <w:gridCol w:w="109"/>
        <w:gridCol w:w="213"/>
        <w:gridCol w:w="411"/>
        <w:gridCol w:w="110"/>
        <w:gridCol w:w="109"/>
        <w:gridCol w:w="109"/>
        <w:gridCol w:w="109"/>
        <w:gridCol w:w="211"/>
        <w:gridCol w:w="766"/>
        <w:gridCol w:w="154"/>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8"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transfers between levels of the fair value hierarchy.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held in banks, accounts receivable and accounts payable approximate fair value due to their short-term maturities and are excluded from the fair value table above.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March 31, 2023. Refer to Note 8 "Debt" for further details on the 2026 Notes and 2028 Notes.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2026 Notes and the 2028 Notes, based on a market approach as of March 31, 2023 was approximately $619.4 million and $600.3 million, respectively. The Notes were categorized as Level 2 instruments as the estimated fair value was determined based on the estimated or actual bids and offers of the Notes in an over-the-counter market on the last business day of the period.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4.Property and Equipment, Net</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spacing w:before="0" w:after="0"/>
        <w:ind w:left="0" w:right="0" w:firstLine="495"/>
        <w:rPr/>
      </w:pPr>
      <w:r>
        <w:rPr/>
      </w:r>
    </w:p>
    <w:tbl>
      <w:tblPr>
        <w:tblW w:w="7225" w:type="dxa"/>
        <w:jc w:val="center"/>
        <w:tblInd w:w="0" w:type="dxa"/>
        <w:tblCellMar>
          <w:top w:w="28" w:type="dxa"/>
          <w:left w:w="28" w:type="dxa"/>
          <w:bottom w:w="28" w:type="dxa"/>
          <w:right w:w="28" w:type="dxa"/>
        </w:tblCellMar>
      </w:tblPr>
      <w:tblGrid>
        <w:gridCol w:w="1337"/>
        <w:gridCol w:w="1173"/>
        <w:gridCol w:w="1180"/>
        <w:gridCol w:w="324"/>
        <w:gridCol w:w="948"/>
        <w:gridCol w:w="167"/>
        <w:gridCol w:w="109"/>
        <w:gridCol w:w="109"/>
        <w:gridCol w:w="109"/>
        <w:gridCol w:w="380"/>
        <w:gridCol w:w="1110"/>
        <w:gridCol w:w="279"/>
      </w:tblGrid>
      <w:tr>
        <w:trPr/>
        <w:tc>
          <w:tcPr>
            <w:tcW w:w="133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rPr>
        <w:t>The Company leases certain infrastructure, computer equipment, and furniture from various third parties, through equipment finance leases. Infrastructure assets as of March 31, 2023 and December 31, 2022 included a total of</w:t>
      </w:r>
      <w:r>
        <w:rPr>
          <w:color w:val="000000"/>
          <w:highlight w:val="white"/>
        </w:rPr>
        <w:t xml:space="preserve"> </w:t>
      </w:r>
      <w:r>
        <w:rPr>
          <w:rFonts w:ascii="Times New Roman;sans-serif" w:hAnsi="Times New Roman;sans-serif"/>
          <w:b w:val="false"/>
          <w:color w:val="000000"/>
          <w:sz w:val="20"/>
        </w:rPr>
        <w:t>$487.4</w:t>
      </w:r>
      <w:r>
        <w:rPr>
          <w:color w:val="000000"/>
          <w:highlight w:val="white"/>
        </w:rPr>
        <w:t xml:space="preserve"> </w:t>
      </w:r>
      <w:r>
        <w:rPr>
          <w:rFonts w:ascii="Times New Roman;sans-serif" w:hAnsi="Times New Roman;sans-serif"/>
          <w:b w:val="false"/>
          <w:color w:val="000000"/>
          <w:sz w:val="20"/>
          <w:highlight w:val="white"/>
        </w:rPr>
        <w:t>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$456.4</w:t>
      </w:r>
      <w:r>
        <w:rPr>
          <w:color w:val="000000"/>
        </w:rPr>
        <w:t xml:space="preserve"> </w:t>
      </w:r>
      <w:r>
        <w:rPr>
          <w:rFonts w:ascii="Times New Roman;sans-serif" w:hAnsi="Times New Roman;sans-serif"/>
          <w:b w:val="false"/>
          <w:color w:val="000000"/>
          <w:sz w:val="20"/>
        </w:rPr>
        <w:t>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$269.1</w:t>
      </w:r>
      <w:r>
        <w:rPr>
          <w:color w:val="000000"/>
          <w:highlight w:val="white"/>
        </w:rPr>
        <w:t xml:space="preserve"> </w:t>
      </w:r>
      <w:r>
        <w:rPr>
          <w:rFonts w:ascii="Times New Roman;sans-serif" w:hAnsi="Times New Roman;sans-serif"/>
          <w:b w:val="false"/>
          <w:color w:val="000000"/>
          <w:sz w:val="20"/>
          <w:highlight w:val="white"/>
        </w:rPr>
        <w:t>million</w:t>
      </w:r>
      <w:r>
        <w:rPr>
          <w:color w:val="000000"/>
        </w:rPr>
        <w:t xml:space="preserve"> </w:t>
      </w:r>
      <w:r>
        <w:rPr>
          <w:rFonts w:ascii="Times New Roman;sans-serif" w:hAnsi="Times New Roman;sans-serif"/>
          <w:b w:val="false"/>
          <w:color w:val="000000"/>
          <w:sz w:val="20"/>
        </w:rPr>
        <w:t>and $240.9 million as of March 31, 2023 and December 31, 2022, respectively.</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rPr>
        <w:t>Depreciation expense related to property and equipment was</w:t>
      </w:r>
      <w:r>
        <w:rPr>
          <w:color w:val="000000"/>
          <w:highlight w:val="white"/>
        </w:rPr>
        <w:t xml:space="preserve"> </w:t>
      </w:r>
      <w:r>
        <w:rPr>
          <w:rFonts w:ascii="Times New Roman;sans-serif" w:hAnsi="Times New Roman;sans-serif"/>
          <w:b w:val="false"/>
          <w:color w:val="000000"/>
          <w:sz w:val="20"/>
        </w:rPr>
        <w:t>$35.0</w:t>
      </w:r>
      <w:r>
        <w:rPr>
          <w:color w:val="000000"/>
          <w:highlight w:val="white"/>
        </w:rPr>
        <w:t xml:space="preserve"> </w:t>
      </w:r>
      <w:r>
        <w:rPr>
          <w:rFonts w:ascii="Times New Roman;sans-serif" w:hAnsi="Times New Roman;sans-serif"/>
          <w:b w:val="false"/>
          <w:color w:val="000000"/>
          <w:sz w:val="20"/>
          <w:highlight w:val="white"/>
        </w:rPr>
        <w:t xml:space="preserve">million and </w:t>
      </w:r>
      <w:r>
        <w:rPr>
          <w:rFonts w:ascii="Times New Roman;sans-serif" w:hAnsi="Times New Roman;sans-serif"/>
          <w:b w:val="false"/>
          <w:color w:val="000000"/>
          <w:sz w:val="20"/>
        </w:rPr>
        <w:t>$35.4 million for the three months ended March 31, 2023 and 2022, respectively.</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5.Business Combinations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2022 Business Combination</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2022, the Company acquired 100% ownership of FormSwift, a cloud-based service that gives individuals and businesses a simple solution to create, complete, edit, and save critical business forms and agreements. The Company believes the combination of Dropbox, Dropbox Sign, DocSend, and FormSwift will help customers across industries manage end-to-end document workflows—from content collaboration to sharing and e-signature—giving them more control over their most important agreements. The results of FormSwift's operations have been included in the Company’s consolidated results of operations since the date of acquisition.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transferred consisted of the following:</w:t>
      </w:r>
    </w:p>
    <w:tbl>
      <w:tblPr>
        <w:tblW w:w="6989" w:type="dxa"/>
        <w:jc w:val="left"/>
        <w:tblInd w:w="0" w:type="dxa"/>
        <w:tblCellMar>
          <w:top w:w="28" w:type="dxa"/>
          <w:left w:w="28" w:type="dxa"/>
          <w:bottom w:w="28" w:type="dxa"/>
          <w:right w:w="28" w:type="dxa"/>
        </w:tblCellMar>
      </w:tblPr>
      <w:tblGrid>
        <w:gridCol w:w="1762"/>
        <w:gridCol w:w="1548"/>
        <w:gridCol w:w="1550"/>
        <w:gridCol w:w="512"/>
        <w:gridCol w:w="1241"/>
        <w:gridCol w:w="376"/>
      </w:tblGrid>
      <w:tr>
        <w:trPr/>
        <w:tc>
          <w:tcPr>
            <w:tcW w:w="1762"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consideration</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stockholders</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extinguishing shadow stock units</w:t>
            </w:r>
          </w:p>
        </w:tc>
        <w:tc>
          <w:tcPr>
            <w:tcW w:w="1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paid by Dropbox on behalf of FormSwift</w:t>
            </w:r>
          </w:p>
        </w:tc>
        <w:tc>
          <w:tcPr>
            <w:tcW w:w="1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purchase consideration</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Indemnification holdback </w:t>
            </w:r>
            <w:r>
              <w:rPr>
                <w:rFonts w:ascii="Times New Roman;sans-serif" w:hAnsi="Times New Roman;sans-serif"/>
                <w:b w:val="false"/>
                <w:color w:val="000000"/>
                <w:sz w:val="13"/>
              </w:rPr>
              <w:t>(1)</w:t>
            </w:r>
          </w:p>
        </w:tc>
        <w:tc>
          <w:tcPr>
            <w:tcW w:w="1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Approximately $14.3 million of the total purchase consideration was withheld as an indemnification holdback to be used for the purpose of satisfying any indemnification claims made by the Company for a period of 18 months following the transaction close date. Any remaining indemnity will be released to the seller's representative following the 18 month period.</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6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to the total purchase consideration above, the Company has compensation agreements with key FormSwift personnel consisting of $25.7 million in cash payments subject to ongoing employee service. The related expenses are recognized within research and development expenses over the required service period of three years. The cash payment was transferred to a paying agent escrow account immediately upon the acquisition close date. The related payments will be paid out by the escrow agent as they vest.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 </w:t>
      </w:r>
    </w:p>
    <w:p>
      <w:pPr>
        <w:pStyle w:val="TextBody"/>
        <w:spacing w:before="0" w:after="0"/>
        <w:ind w:left="0" w:right="0" w:firstLine="495"/>
        <w:rPr/>
      </w:pPr>
      <w:r>
        <w:rPr/>
      </w:r>
    </w:p>
    <w:tbl>
      <w:tblPr>
        <w:tblW w:w="4805" w:type="dxa"/>
        <w:jc w:val="left"/>
        <w:tblInd w:w="0" w:type="dxa"/>
        <w:tblCellMar>
          <w:top w:w="28" w:type="dxa"/>
          <w:left w:w="28" w:type="dxa"/>
          <w:bottom w:w="28" w:type="dxa"/>
          <w:right w:w="28" w:type="dxa"/>
        </w:tblCellMar>
      </w:tblPr>
      <w:tblGrid>
        <w:gridCol w:w="1423"/>
        <w:gridCol w:w="1250"/>
        <w:gridCol w:w="1256"/>
        <w:gridCol w:w="211"/>
        <w:gridCol w:w="511"/>
        <w:gridCol w:w="154"/>
      </w:tblGrid>
      <w:tr>
        <w:trPr/>
        <w:tc>
          <w:tcPr>
            <w:tcW w:w="1423"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prepaid and other assets</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and other liabilities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7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goodwill</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Goodwill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goodwill recognized was primarily attributable to the opportunity to expand the user base of the Company's platform. A portion of the goodwill is deductible for U.S. federal income tax purposes.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separately identifiable finite-lived intangible assets acquired and estimated weighted average useful lives as of the acquisition date are as follows: </w:t>
      </w:r>
    </w:p>
    <w:p>
      <w:pPr>
        <w:pStyle w:val="TextBody"/>
        <w:spacing w:before="0" w:after="0"/>
        <w:ind w:left="0" w:right="0" w:firstLine="495"/>
        <w:rPr/>
      </w:pPr>
      <w:r>
        <w:rPr/>
      </w:r>
    </w:p>
    <w:tbl>
      <w:tblPr>
        <w:tblW w:w="9054" w:type="dxa"/>
        <w:jc w:val="left"/>
        <w:tblInd w:w="0" w:type="dxa"/>
        <w:tblCellMar>
          <w:top w:w="28" w:type="dxa"/>
          <w:left w:w="28" w:type="dxa"/>
          <w:bottom w:w="28" w:type="dxa"/>
          <w:right w:w="28" w:type="dxa"/>
        </w:tblCellMar>
      </w:tblPr>
      <w:tblGrid>
        <w:gridCol w:w="1277"/>
        <w:gridCol w:w="1120"/>
        <w:gridCol w:w="1127"/>
        <w:gridCol w:w="456"/>
        <w:gridCol w:w="1106"/>
        <w:gridCol w:w="237"/>
        <w:gridCol w:w="109"/>
        <w:gridCol w:w="109"/>
        <w:gridCol w:w="109"/>
        <w:gridCol w:w="995"/>
        <w:gridCol w:w="995"/>
        <w:gridCol w:w="1414"/>
      </w:tblGrid>
      <w:tr>
        <w:trPr/>
        <w:tc>
          <w:tcPr>
            <w:tcW w:w="1277"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weighted average useful lives</w:t>
              <w:br/>
              <w:t> (In years)</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values of the acquisition-related intangible assets were determined using the following methodologies: the multi-period excess earnings method for developed technology, the with and without method for customer relationships, and the relief from royalty method for the trade name, respectively. The valuation model inputs required the application of significant judgment by management. The acquired intangible assets have a total weighted average amortization period of 3.7 years as of the acquisition date.</w:t>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6.Intangible Assets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8888" w:type="dxa"/>
        <w:jc w:val="center"/>
        <w:tblInd w:w="0" w:type="dxa"/>
        <w:tblCellMar>
          <w:top w:w="28" w:type="dxa"/>
          <w:left w:w="28" w:type="dxa"/>
          <w:bottom w:w="28" w:type="dxa"/>
          <w:right w:w="28" w:type="dxa"/>
        </w:tblCellMar>
      </w:tblPr>
      <w:tblGrid>
        <w:gridCol w:w="1283"/>
        <w:gridCol w:w="1125"/>
        <w:gridCol w:w="1132"/>
        <w:gridCol w:w="365"/>
        <w:gridCol w:w="886"/>
        <w:gridCol w:w="189"/>
        <w:gridCol w:w="109"/>
        <w:gridCol w:w="109"/>
        <w:gridCol w:w="109"/>
        <w:gridCol w:w="449"/>
        <w:gridCol w:w="1087"/>
        <w:gridCol w:w="234"/>
        <w:gridCol w:w="109"/>
        <w:gridCol w:w="109"/>
        <w:gridCol w:w="109"/>
        <w:gridCol w:w="434"/>
        <w:gridCol w:w="434"/>
        <w:gridCol w:w="616"/>
      </w:tblGrid>
      <w:tr>
        <w:trPr/>
        <w:tc>
          <w:tcPr>
            <w:tcW w:w="128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Weighted-</w:t>
              <w:br/>
              <w:t>average</w:t>
              <w:br/>
              <w:t>remaining</w:t>
              <w:br/>
              <w:t>useful life</w:t>
              <w:br/>
            </w:r>
            <w:r>
              <w:rPr>
                <w:rFonts w:ascii="Times New Roman;sans-serif" w:hAnsi="Times New Roman;sans-serif"/>
                <w:b w:val="false"/>
                <w:color w:val="000000"/>
                <w:sz w:val="20"/>
              </w:rPr>
              <w:t>(In years)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 in asset acquisitions</w:t>
            </w:r>
          </w:p>
        </w:tc>
        <w:tc>
          <w:tcPr>
            <w:tcW w:w="12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2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$7.5 million and $4.0 million for the three months ended March 31, 2023 and 2022, respectively.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for intangible assets as of March 31, 2023 is as follows:</w:t>
      </w:r>
    </w:p>
    <w:p>
      <w:pPr>
        <w:pStyle w:val="TextBody"/>
        <w:spacing w:before="0" w:after="0"/>
        <w:ind w:left="0" w:right="0" w:firstLine="495"/>
        <w:rPr/>
      </w:pPr>
      <w:r>
        <w:rPr/>
      </w:r>
    </w:p>
    <w:tbl>
      <w:tblPr>
        <w:tblW w:w="3224" w:type="dxa"/>
        <w:jc w:val="center"/>
        <w:tblInd w:w="0" w:type="dxa"/>
        <w:tblCellMar>
          <w:top w:w="28" w:type="dxa"/>
          <w:left w:w="28" w:type="dxa"/>
          <w:bottom w:w="28" w:type="dxa"/>
          <w:right w:w="28" w:type="dxa"/>
        </w:tblCellMar>
      </w:tblPr>
      <w:tblGrid>
        <w:gridCol w:w="608"/>
        <w:gridCol w:w="534"/>
        <w:gridCol w:w="538"/>
        <w:gridCol w:w="370"/>
        <w:gridCol w:w="900"/>
        <w:gridCol w:w="274"/>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 assets</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7.Goodwill</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net tangible and intangible assets acquired. The changes in the carrying amounts of goodwill were as follows:</w:t>
      </w:r>
    </w:p>
    <w:p>
      <w:pPr>
        <w:pStyle w:val="TextBody"/>
        <w:spacing w:before="0" w:after="0"/>
        <w:ind w:left="0" w:right="0" w:firstLine="495"/>
        <w:rPr/>
      </w:pPr>
      <w:r>
        <w:rPr/>
      </w:r>
    </w:p>
    <w:tbl>
      <w:tblPr>
        <w:tblW w:w="4086" w:type="dxa"/>
        <w:jc w:val="center"/>
        <w:tblInd w:w="0" w:type="dxa"/>
        <w:tblCellMar>
          <w:top w:w="28" w:type="dxa"/>
          <w:left w:w="28" w:type="dxa"/>
          <w:bottom w:w="28" w:type="dxa"/>
          <w:right w:w="28" w:type="dxa"/>
        </w:tblCellMar>
      </w:tblPr>
      <w:tblGrid>
        <w:gridCol w:w="1125"/>
        <w:gridCol w:w="989"/>
        <w:gridCol w:w="991"/>
        <w:gridCol w:w="211"/>
        <w:gridCol w:w="616"/>
        <w:gridCol w:w="154"/>
      </w:tblGrid>
      <w:tr>
        <w:trPr/>
        <w:tc>
          <w:tcPr>
            <w:tcW w:w="112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translation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amounts are not amortized, but tested for impairment on an annual basis. There was no impairment of goodwill as of March 31, 2023 and December 31,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8.Debt</w:t>
      </w:r>
    </w:p>
    <w:p>
      <w:pPr>
        <w:pStyle w:val="TextBody"/>
        <w:spacing w:before="0" w:after="0"/>
        <w:ind w:left="0" w:right="0" w:firstLine="360"/>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and extended the term of the agreement through February 2026. The Company may from time to 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credit spread adjusted SOFR plus a spread of 1.375% or at an alternative base rate plus a spread of 0.375%.</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March 31, 2023 and December 31, 2022, respectively.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had an aggregate of $38.8 million of letters of credit outstanding under the revolving credit facility as of March 31, 2023, and the Company’s total available borrowing capacity under the revolving credit facility was $461.2 million as of March 31, 2023. The Company’s letters of credit have final expiration dates through 2036.</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March 31, 2023. The 2026 Notes will mature on March 1, 2026, and the 2028 Notes will mature on March 1, 2028, in each case, unless earlier converted, redeemed or repurchased.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March 31, 2023.</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March 31, 2023. In addition, during the three months ended March 31, 2023 and 2022 the conditions allowing holders of the Notes to convert were not met. As a result, the Notes are not convertible during the three months ended March 31, 2023 and 2022.</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convertible senior notes as of March 31, 2023 and December 31, 2022.</w:t>
      </w:r>
    </w:p>
    <w:p>
      <w:pPr>
        <w:pStyle w:val="TextBody"/>
        <w:spacing w:before="0" w:after="0"/>
        <w:ind w:left="0" w:right="0" w:firstLine="495"/>
        <w:rPr/>
      </w:pPr>
      <w:r>
        <w:rPr/>
      </w:r>
    </w:p>
    <w:tbl>
      <w:tblPr>
        <w:tblW w:w="6208" w:type="dxa"/>
        <w:jc w:val="left"/>
        <w:tblInd w:w="0" w:type="dxa"/>
        <w:tblCellMar>
          <w:top w:w="28" w:type="dxa"/>
          <w:left w:w="28" w:type="dxa"/>
          <w:bottom w:w="28" w:type="dxa"/>
          <w:right w:w="28" w:type="dxa"/>
        </w:tblCellMar>
      </w:tblPr>
      <w:tblGrid>
        <w:gridCol w:w="852"/>
        <w:gridCol w:w="750"/>
        <w:gridCol w:w="753"/>
        <w:gridCol w:w="233"/>
        <w:gridCol w:w="681"/>
        <w:gridCol w:w="120"/>
        <w:gridCol w:w="109"/>
        <w:gridCol w:w="109"/>
        <w:gridCol w:w="109"/>
        <w:gridCol w:w="233"/>
        <w:gridCol w:w="681"/>
        <w:gridCol w:w="120"/>
        <w:gridCol w:w="109"/>
        <w:gridCol w:w="109"/>
        <w:gridCol w:w="109"/>
        <w:gridCol w:w="211"/>
        <w:gridCol w:w="766"/>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recognized $0.6 million and $0.5 million in interest expense for the 2026 Notes and $0.4 million and $0.4 million in interest expense for the 2028 Notes, respectively, with such interest expense solely consisting of amortization of issuance costs. The effective interest rate for the 2026 Notes and the 2028 Notes was 0.32% and 0.22%, respectively, as of March 31, 2023.</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Maturities on the Company's long-term convertible debt are as follows:</w:t>
      </w:r>
    </w:p>
    <w:p>
      <w:pPr>
        <w:pStyle w:val="TextBody"/>
        <w:spacing w:before="0" w:after="0"/>
        <w:ind w:left="0" w:right="0" w:firstLine="495"/>
        <w:rPr/>
      </w:pPr>
      <w:r>
        <w:rPr/>
      </w:r>
    </w:p>
    <w:tbl>
      <w:tblPr>
        <w:tblW w:w="3269" w:type="dxa"/>
        <w:jc w:val="left"/>
        <w:tblInd w:w="0" w:type="dxa"/>
        <w:tblCellMar>
          <w:top w:w="28" w:type="dxa"/>
          <w:left w:w="28" w:type="dxa"/>
          <w:bottom w:w="28" w:type="dxa"/>
          <w:right w:w="28" w:type="dxa"/>
        </w:tblCellMar>
      </w:tblPr>
      <w:tblGrid>
        <w:gridCol w:w="608"/>
        <w:gridCol w:w="534"/>
        <w:gridCol w:w="538"/>
        <w:gridCol w:w="295"/>
        <w:gridCol w:w="1076"/>
        <w:gridCol w:w="218"/>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Debt</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Convertible Note Hedges and Warrants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March 31, 2023, the Company’s stock price was below the exercise price of the respective Note Hedges.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March 31, 2023, the Company’s Class A common stock price was below the exercise price of the Warrants.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9.Leases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corporate offices and datacenters, and finance leases for infrastructure and office equipment. The Company’s leases have remaining lease terms of under 1 year to 13 years, some of which include options to extend the leases for up to 5 years. </w:t>
      </w:r>
    </w:p>
    <w:p>
      <w:pPr>
        <w:pStyle w:val="TextBody"/>
        <w:spacing w:before="0" w:after="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also has subleases for several floors of its former corporate offices. The Company classifies its subleases as operating leases. The subleases have remaining lease terms of 1 year to 10 years, some of which include options to extend the sublease for up to approximately 4 years. Sublease income, which is recorded as a reduction of rental expense, was $4.5 million during each of the three months ended March 31, 2023 and 2022, respectively.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2023 were as follows:</w:t>
      </w:r>
    </w:p>
    <w:p>
      <w:pPr>
        <w:pStyle w:val="TextBody"/>
        <w:spacing w:before="0" w:after="0"/>
        <w:ind w:left="0" w:right="0" w:firstLine="450"/>
        <w:rPr/>
      </w:pPr>
      <w:r>
        <w:rPr/>
      </w:r>
    </w:p>
    <w:tbl>
      <w:tblPr>
        <w:tblW w:w="6550" w:type="dxa"/>
        <w:jc w:val="center"/>
        <w:tblInd w:w="0" w:type="dxa"/>
        <w:tblCellMar>
          <w:top w:w="28" w:type="dxa"/>
          <w:left w:w="28" w:type="dxa"/>
          <w:bottom w:w="28" w:type="dxa"/>
          <w:right w:w="28" w:type="dxa"/>
        </w:tblCellMar>
      </w:tblPr>
      <w:tblGrid>
        <w:gridCol w:w="1151"/>
        <w:gridCol w:w="1011"/>
        <w:gridCol w:w="1018"/>
        <w:gridCol w:w="378"/>
        <w:gridCol w:w="1105"/>
        <w:gridCol w:w="196"/>
        <w:gridCol w:w="109"/>
        <w:gridCol w:w="109"/>
        <w:gridCol w:w="109"/>
        <w:gridCol w:w="293"/>
        <w:gridCol w:w="857"/>
        <w:gridCol w:w="214"/>
      </w:tblGrid>
      <w:tr>
        <w:trPr/>
        <w:tc>
          <w:tcPr>
            <w:tcW w:w="115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Operating leases</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tenant improvement receivables</w:t>
            </w:r>
          </w:p>
        </w:tc>
        <w:tc>
          <w:tcPr>
            <w:tcW w:w="14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liability</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spacing w:before="0" w:after="0"/>
        <w:ind w:left="0" w:right="0" w:firstLine="36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Future non-cancelable rent payments from the Company's subtenants as of March 31, 2023 were as follows:</w:t>
      </w:r>
    </w:p>
    <w:p>
      <w:pPr>
        <w:pStyle w:val="TextBody"/>
        <w:spacing w:before="0" w:after="0"/>
        <w:ind w:left="0" w:right="0" w:firstLine="450"/>
        <w:rPr/>
      </w:pPr>
      <w:r>
        <w:rPr/>
      </w:r>
    </w:p>
    <w:tbl>
      <w:tblPr>
        <w:tblW w:w="4903" w:type="dxa"/>
        <w:jc w:val="left"/>
        <w:tblInd w:w="0" w:type="dxa"/>
        <w:tblCellMar>
          <w:top w:w="28" w:type="dxa"/>
          <w:left w:w="28" w:type="dxa"/>
          <w:bottom w:w="28" w:type="dxa"/>
          <w:right w:w="28" w:type="dxa"/>
        </w:tblCellMar>
      </w:tblPr>
      <w:tblGrid>
        <w:gridCol w:w="1211"/>
        <w:gridCol w:w="1062"/>
        <w:gridCol w:w="1071"/>
        <w:gridCol w:w="374"/>
        <w:gridCol w:w="909"/>
        <w:gridCol w:w="276"/>
      </w:tblGrid>
      <w:tr>
        <w:trPr/>
        <w:tc>
          <w:tcPr>
            <w:tcW w:w="1211"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sublease rent payments</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sub-tenant incentive</w:t>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sublease rent payments, net</w:t>
            </w:r>
          </w:p>
        </w:tc>
        <w:tc>
          <w:tcPr>
            <w:tcW w:w="1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2017, the Company signed a 15 year lease agreement for office space in San Francisco, California, to serve as its corporate headquarters which commenced in 2018. The Company's obligations under the lease are supported by a $26.1 million letter of credit, which reduced the borrowing capacity under the revolving credit facility. As of March 31, 2023, the Company's remaining minimum obligation for its headquarters was $542.3 million.</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2020, the Company announced a Virtual First work model pursuant to which remote work has become the primary experience for all of its employees. As part of the Virtual First strategy, Dropbox retained a portion of its office space to be used for the Company’s team collaboration use and a portion will be marketed for sublease.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Accordingly, the Company periodically evaluates the recoverability of its real estate assets and makes adjustments to market participant assumptions as conditions evolve. In the fourth quarter of 2022, the Company determined that there were adverse changes in the corporate real estate markets where it plans to sublease office space. These changes have reduced demand for corporate office real estate, which the Company expects will result in increased real estate vacancy periods and reduced sublease rent rates. Accordingly, the Company assessed the recoverability of its real estate assets in the markets that have been impacted.</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no impairment charges during the three months ended March 31, 2023 and 2022, respectively. </w:t>
      </w:r>
    </w:p>
    <w:p>
      <w:pPr>
        <w:pStyle w:val="TextBody"/>
        <w:spacing w:before="0" w:after="0"/>
        <w:ind w:left="0" w:right="0" w:firstLine="450"/>
        <w:rPr/>
      </w:pPr>
      <w:r>
        <w:rPr/>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hanging="720"/>
        <w:rPr/>
      </w:pPr>
      <w:r>
        <w:rPr>
          <w:rFonts w:ascii="Times New Roman;sans-serif" w:hAnsi="Times New Roman;sans-serif"/>
          <w:b/>
          <w:color w:val="000000"/>
          <w:sz w:val="20"/>
        </w:rPr>
        <w:t>Note 10.</w:t>
      </w:r>
      <w:r>
        <w:rPr>
          <w:color w:val="000000"/>
        </w:rPr>
        <w:t xml:space="preserve"> </w:t>
      </w:r>
      <w:r>
        <w:rPr>
          <w:rFonts w:ascii="Times New Roman;sans-serif" w:hAnsi="Times New Roman;sans-serif"/>
          <w:b/>
          <w:color w:val="000000"/>
          <w:sz w:val="20"/>
        </w:rPr>
        <w:t>Commitments and Contingencies</w:t>
      </w:r>
    </w:p>
    <w:p>
      <w:pPr>
        <w:pStyle w:val="TextBody"/>
        <w:spacing w:before="0" w:after="0"/>
        <w:rPr/>
      </w:pPr>
      <w:r>
        <w:rPr/>
      </w:r>
    </w:p>
    <w:p>
      <w:pPr>
        <w:pStyle w:val="TextBody"/>
        <w:spacing w:lineRule="auto" w:line="288" w:before="0" w:after="120"/>
        <w:ind w:left="0" w:right="0" w:firstLine="450"/>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a variety of claims, lawsuits, investigations, inquires,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spacing w:before="0" w:after="0"/>
        <w:rPr/>
      </w:pPr>
      <w:r>
        <w:rPr/>
      </w:r>
    </w:p>
    <w:p>
      <w:pPr>
        <w:pStyle w:val="TextBody"/>
        <w:spacing w:lineRule="auto" w:line="288" w:before="0" w:after="120"/>
        <w:ind w:left="0" w:right="0" w:firstLine="450"/>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spacing w:before="0" w:after="0"/>
        <w:ind w:left="0" w:right="0" w:firstLine="495"/>
        <w:rPr/>
      </w:pPr>
      <w:r>
        <w:rPr/>
      </w:r>
    </w:p>
    <w:p>
      <w:pPr>
        <w:pStyle w:val="TextBody"/>
        <w:spacing w:lineRule="auto" w:line="288" w:before="0" w:after="120"/>
        <w:ind w:left="0" w:right="0" w:firstLine="450"/>
        <w:rPr>
          <w:rFonts w:ascii="Times New Roman;sans-serif" w:hAnsi="Times New Roman;sans-serif"/>
          <w:b/>
          <w:i/>
          <w:color w:val="000000"/>
          <w:sz w:val="20"/>
        </w:rPr>
      </w:pPr>
      <w:r>
        <w:rPr>
          <w:rFonts w:ascii="Times New Roman;sans-serif" w:hAnsi="Times New Roman;sans-serif"/>
          <w:b/>
          <w:i/>
          <w:color w:val="000000"/>
          <w:sz w:val="20"/>
        </w:rPr>
        <w:t xml:space="preserve">Other commitments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pPr>
      <w:r>
        <w:rPr>
          <w:rFonts w:ascii="Times New Roman;sans-serif" w:hAnsi="Times New Roman;sans-serif"/>
          <w:b/>
          <w:color w:val="000000"/>
          <w:sz w:val="20"/>
        </w:rPr>
        <w:t>Note 11.</w:t>
      </w:r>
      <w:r>
        <w:rPr>
          <w:color w:val="000000"/>
        </w:rPr>
        <w:t xml:space="preserve"> </w:t>
      </w:r>
      <w:r>
        <w:rPr>
          <w:rFonts w:ascii="Times New Roman;sans-serif" w:hAnsi="Times New Roman;sans-serif"/>
          <w:b/>
          <w:color w:val="000000"/>
          <w:sz w:val="20"/>
        </w:rPr>
        <w:t xml:space="preserve">Accrued and Other Current Liabilities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consisted of the following:</w:t>
      </w:r>
    </w:p>
    <w:tbl>
      <w:tblPr>
        <w:tblW w:w="7015" w:type="dxa"/>
        <w:jc w:val="center"/>
        <w:tblInd w:w="0" w:type="dxa"/>
        <w:tblCellMar>
          <w:top w:w="28" w:type="dxa"/>
          <w:left w:w="28" w:type="dxa"/>
          <w:bottom w:w="28" w:type="dxa"/>
          <w:right w:w="28" w:type="dxa"/>
        </w:tblCellMar>
      </w:tblPr>
      <w:tblGrid>
        <w:gridCol w:w="1261"/>
        <w:gridCol w:w="1107"/>
        <w:gridCol w:w="1112"/>
        <w:gridCol w:w="324"/>
        <w:gridCol w:w="948"/>
        <w:gridCol w:w="167"/>
        <w:gridCol w:w="109"/>
        <w:gridCol w:w="109"/>
        <w:gridCol w:w="109"/>
        <w:gridCol w:w="380"/>
        <w:gridCol w:w="1110"/>
        <w:gridCol w:w="279"/>
      </w:tblGrid>
      <w:tr>
        <w:trPr/>
        <w:tc>
          <w:tcPr>
            <w:tcW w:w="1261"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taxes payable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other external fees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and current liabilities </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Note 12.Stockholders’ Deficit</w:t>
      </w:r>
    </w:p>
    <w:p>
      <w:pPr>
        <w:pStyle w:val="TextBody"/>
        <w:spacing w:before="0" w:after="0"/>
        <w:rPr/>
      </w:pPr>
      <w:r>
        <w:rPr/>
      </w:r>
    </w:p>
    <w:p>
      <w:pPr>
        <w:pStyle w:val="TextBody"/>
        <w:spacing w:lineRule="auto" w:line="288" w:before="0" w:after="120"/>
        <w:ind w:left="0" w:right="0" w:firstLine="45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50"/>
        <w:rPr/>
      </w:pPr>
      <w:r>
        <w:rPr>
          <w:rFonts w:ascii="Times New Roman;sans-serif" w:hAnsi="Times New Roman;sans-serif"/>
          <w:b w:val="false"/>
          <w:color w:val="000000"/>
          <w:sz w:val="20"/>
        </w:rPr>
        <w:t>As of March 31, 2023, the Company had authorized 2,400.0 million shares of Class A common stock, 475.0 million shares of Class B common stock, and 800.0 million shares of Class C common stock, each at par value of $0.00001. Holders of Class B common stock voluntarily converted 0.5 million and 0.2 million shares into an equivalent number of shares of Class A common stock during the three months ended March 31, 2023 and 2022, respectively. As of March 31, 2023, 262.0 million shares of Class A common stock, 81.7 million shares of Class B common stock, and no shares of Class C common stock were issued and outstanding. As of December 31, 2022, 267.2 million shares of Class A common stock, 82.2 million shares of Class B common stock, and no shares of Class C common stock were issued and outstanding. Class A shares issued and outstanding as of March 31, 2023 and December 31, 2022 exclude unvested restricted stock awards granted to certain executives. Class A shares issued and outstanding also excludes 8.3 million unvested restricted stock awards granted to one of the Company's co-founders as of March 31, 2023 and December 31, 2022, resp</w:t>
      </w:r>
      <w:r>
        <w:rPr>
          <w:rFonts w:ascii="Times New Roman;sans-serif" w:hAnsi="Times New Roman;sans-serif"/>
          <w:b w:val="false"/>
          <w:color w:val="000000"/>
          <w:sz w:val="20"/>
          <w:highlight w:val="white"/>
        </w:rPr>
        <w:t xml:space="preserve">ectively. See "Co-Founder Grant" section below for further details. </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highlight w:val="white"/>
        </w:rPr>
        <w:t>In February 2022, the Board of Directors authorized the Company to repurchase up to $1.2 billion of the Company's outstanding shares of Class A common stock.</w:t>
      </w:r>
      <w:r>
        <w:rPr>
          <w:color w:val="008080"/>
        </w:rPr>
        <w:t xml:space="preserve"> </w:t>
      </w:r>
      <w:r>
        <w:rPr>
          <w:rFonts w:ascii="Times New Roman;sans-serif" w:hAnsi="Times New Roman;sans-serif"/>
          <w:b w:val="false"/>
          <w:color w:val="000000"/>
          <w:sz w:val="20"/>
        </w:rPr>
        <w:t>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During the three months ended March 31, 2023 and 2022, the Company repurchased and subsequently retired 8.1 million and 11.0 million shares of its Class A common stock, respectively, for an aggregate amount of $176.5 million and $259.9 million, respectively</w:t>
      </w:r>
      <w:r>
        <w:rPr>
          <w:rFonts w:ascii="Times New Roman;sans-serif" w:hAnsi="Times New Roman;sans-serif"/>
          <w:b w:val="false"/>
          <w:color w:val="000000"/>
          <w:sz w:val="20"/>
          <w:highlight w:val="white"/>
        </w:rPr>
        <w:t>. Included in the cost of treasury stock acquired pursuant to common share repurchases is the 1% excise tax imposed as part of the Inflation Reduction Act.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before="0" w:after="0"/>
        <w:ind w:left="0" w:right="0" w:firstLine="720"/>
        <w:rPr/>
      </w:pPr>
      <w:r>
        <w:rPr/>
      </w:r>
    </w:p>
    <w:p>
      <w:pPr>
        <w:pStyle w:val="TextBody"/>
        <w:spacing w:lineRule="auto" w:line="288" w:before="0" w:after="12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spacing w:lineRule="auto" w:line="288" w:before="0" w:after="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connection with the acquisition of DocSend, the Company assumed unvested stock options and an immaterial number of unvested RSUs that had been granted under DocSend's 2013 Stock Plan and DocSend's 2015 Stock Option and Grant Plan.</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highlight w:val="white"/>
        </w:rPr>
        <w:t xml:space="preserve">As of March 31, 2023, there were </w:t>
      </w:r>
      <w:r>
        <w:rPr>
          <w:rFonts w:ascii="Times New Roman;sans-serif" w:hAnsi="Times New Roman;sans-serif"/>
          <w:b w:val="false"/>
          <w:color w:val="000000"/>
          <w:sz w:val="20"/>
        </w:rPr>
        <w:t>32.4</w:t>
      </w:r>
      <w:r>
        <w:rPr>
          <w:color w:val="000000"/>
          <w:highlight w:val="white"/>
        </w:rPr>
        <w:t xml:space="preserve"> </w:t>
      </w:r>
      <w:r>
        <w:rPr>
          <w:rFonts w:ascii="Times New Roman;sans-serif" w:hAnsi="Times New Roman;sans-serif"/>
          <w:b w:val="false"/>
          <w:color w:val="000000"/>
          <w:sz w:val="20"/>
          <w:highlight w:val="white"/>
        </w:rPr>
        <w:t xml:space="preserve">million stock-based awards issued and outstanding and </w:t>
      </w:r>
      <w:r>
        <w:rPr>
          <w:rFonts w:ascii="Times New Roman;sans-serif" w:hAnsi="Times New Roman;sans-serif"/>
          <w:b w:val="false"/>
          <w:color w:val="000000"/>
          <w:sz w:val="20"/>
        </w:rPr>
        <w:t>115.8</w:t>
      </w:r>
      <w:r>
        <w:rPr>
          <w:color w:val="000000"/>
          <w:highlight w:val="white"/>
        </w:rPr>
        <w:t xml:space="preserve"> </w:t>
      </w:r>
      <w:r>
        <w:rPr>
          <w:rFonts w:ascii="Times New Roman;sans-serif" w:hAnsi="Times New Roman;sans-serif"/>
          <w:b w:val="false"/>
          <w:color w:val="000000"/>
          <w:sz w:val="20"/>
          <w:highlight w:val="white"/>
        </w:rPr>
        <w:t>million shares available for issuance under the Dropbox Equity Incentive Plans, Dropbox Sign's 2011 Equity Incentive Plan, DocSend's 2013 Stock Plan and DocSend's 2015 Stock Option and Grant Plan (collectively, the "Plans").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and restricted stock activity for the Plans was as follows for the three months ended March 31, 2023: </w:t>
      </w:r>
    </w:p>
    <w:p>
      <w:pPr>
        <w:pStyle w:val="TextBody"/>
        <w:spacing w:before="0" w:after="0"/>
        <w:ind w:left="0" w:right="0" w:firstLine="495"/>
        <w:rPr/>
      </w:pPr>
      <w:r>
        <w:rPr/>
      </w:r>
    </w:p>
    <w:tbl>
      <w:tblPr>
        <w:tblW w:w="10415" w:type="dxa"/>
        <w:jc w:val="center"/>
        <w:tblInd w:w="0" w:type="dxa"/>
        <w:tblCellMar>
          <w:top w:w="28" w:type="dxa"/>
          <w:left w:w="28" w:type="dxa"/>
          <w:bottom w:w="28" w:type="dxa"/>
          <w:right w:w="28" w:type="dxa"/>
        </w:tblCellMar>
      </w:tblPr>
      <w:tblGrid>
        <w:gridCol w:w="446"/>
        <w:gridCol w:w="392"/>
        <w:gridCol w:w="393"/>
        <w:gridCol w:w="375"/>
        <w:gridCol w:w="375"/>
        <w:gridCol w:w="376"/>
        <w:gridCol w:w="109"/>
        <w:gridCol w:w="109"/>
        <w:gridCol w:w="109"/>
        <w:gridCol w:w="360"/>
        <w:gridCol w:w="360"/>
        <w:gridCol w:w="361"/>
        <w:gridCol w:w="109"/>
        <w:gridCol w:w="109"/>
        <w:gridCol w:w="109"/>
        <w:gridCol w:w="216"/>
        <w:gridCol w:w="632"/>
        <w:gridCol w:w="113"/>
        <w:gridCol w:w="109"/>
        <w:gridCol w:w="109"/>
        <w:gridCol w:w="109"/>
        <w:gridCol w:w="340"/>
        <w:gridCol w:w="340"/>
        <w:gridCol w:w="341"/>
        <w:gridCol w:w="109"/>
        <w:gridCol w:w="109"/>
        <w:gridCol w:w="109"/>
        <w:gridCol w:w="274"/>
        <w:gridCol w:w="529"/>
        <w:gridCol w:w="143"/>
        <w:gridCol w:w="109"/>
        <w:gridCol w:w="109"/>
        <w:gridCol w:w="109"/>
        <w:gridCol w:w="360"/>
        <w:gridCol w:w="360"/>
        <w:gridCol w:w="361"/>
        <w:gridCol w:w="109"/>
        <w:gridCol w:w="109"/>
        <w:gridCol w:w="109"/>
        <w:gridCol w:w="216"/>
        <w:gridCol w:w="631"/>
        <w:gridCol w:w="159"/>
      </w:tblGrid>
      <w:tr>
        <w:trPr/>
        <w:tc>
          <w:tcPr>
            <w:tcW w:w="4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br/>
              <w:t>outstanding</w:t>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available for</w:t>
              <w:br/>
              <w:t>issuance</w:t>
              <w:br/>
              <w:t>under the</w:t>
              <w:br/>
              <w:t>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exercise</w:t>
              <w:br/>
              <w:t>price</w:t>
              <w:br/>
              <w:t>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remaining</w:t>
              <w:br/>
              <w:t>contractual</w:t>
              <w:br/>
              <w:t>term</w:t>
              <w:br/>
              <w:t>(In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grant date</w:t>
              <w:br/>
              <w:t>fair value</w:t>
              <w:br/>
              <w:t>per share</w:t>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at March 31, 2023</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2023</w:t>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the pre-tax intrinsic value of options exercised during the three months ended March 31, 2023 and 2022:</w:t>
      </w:r>
    </w:p>
    <w:p>
      <w:pPr>
        <w:pStyle w:val="TextBody"/>
        <w:spacing w:before="0" w:after="0"/>
        <w:ind w:left="0" w:right="0" w:firstLine="495"/>
        <w:rPr/>
      </w:pPr>
      <w:r>
        <w:rPr/>
      </w:r>
    </w:p>
    <w:tbl>
      <w:tblPr>
        <w:tblW w:w="5320" w:type="dxa"/>
        <w:jc w:val="left"/>
        <w:tblInd w:w="0" w:type="dxa"/>
        <w:tblCellMar>
          <w:top w:w="28" w:type="dxa"/>
          <w:left w:w="28" w:type="dxa"/>
          <w:bottom w:w="28" w:type="dxa"/>
          <w:right w:w="28" w:type="dxa"/>
        </w:tblCellMar>
      </w:tblPr>
      <w:tblGrid>
        <w:gridCol w:w="1076"/>
        <w:gridCol w:w="945"/>
        <w:gridCol w:w="948"/>
        <w:gridCol w:w="222"/>
        <w:gridCol w:w="428"/>
        <w:gridCol w:w="114"/>
        <w:gridCol w:w="114"/>
        <w:gridCol w:w="114"/>
        <w:gridCol w:w="114"/>
        <w:gridCol w:w="222"/>
        <w:gridCol w:w="428"/>
        <w:gridCol w:w="114"/>
        <w:gridCol w:w="109"/>
        <w:gridCol w:w="109"/>
        <w:gridCol w:w="109"/>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highlight w:val="white"/>
        </w:rPr>
        <w:t xml:space="preserve">As of March 31, 2023, unamortized stock-based compensation related to unvested stock options, restricted stock awards (excluding the Co-Founder Grant), and RSUs was </w:t>
      </w:r>
      <w:r>
        <w:rPr>
          <w:rFonts w:ascii="Times New Roman;sans-serif" w:hAnsi="Times New Roman;sans-serif"/>
          <w:b w:val="false"/>
          <w:color w:val="000000"/>
          <w:sz w:val="20"/>
        </w:rPr>
        <w:t>$724.6</w:t>
      </w:r>
      <w:r>
        <w:rPr>
          <w:color w:val="000000"/>
          <w:highlight w:val="white"/>
        </w:rPr>
        <w:t xml:space="preserve"> </w:t>
      </w:r>
      <w:r>
        <w:rPr>
          <w:rFonts w:ascii="Times New Roman;sans-serif" w:hAnsi="Times New Roman;sans-serif"/>
          <w:b w:val="false"/>
          <w:color w:val="000000"/>
          <w:sz w:val="20"/>
          <w:highlight w:val="white"/>
        </w:rPr>
        <w:t>millio</w:t>
      </w:r>
      <w:r>
        <w:rPr>
          <w:rFonts w:ascii="Times New Roman;sans-serif" w:hAnsi="Times New Roman;sans-serif"/>
          <w:b w:val="false"/>
          <w:color w:val="000000"/>
          <w:sz w:val="20"/>
        </w:rPr>
        <w:t>n. The weighted-average period over which such compensation expense will be recognized if the requisite service is provided is approximately 2.7 years as of March 31, 2023.</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Co-Founder Grant</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 </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highlight w:val="white"/>
        </w:rPr>
        <w:t>The Company recognized stock-based compensation expense related to the Co-Founder Grant of $</w:t>
      </w:r>
      <w:r>
        <w:rPr>
          <w:rFonts w:ascii="Times New Roman;sans-serif" w:hAnsi="Times New Roman;sans-serif"/>
          <w:b w:val="false"/>
          <w:color w:val="000000"/>
          <w:sz w:val="20"/>
        </w:rPr>
        <w:t>2.2</w:t>
      </w:r>
      <w:r>
        <w:rPr>
          <w:color w:val="000000"/>
          <w:highlight w:val="white"/>
        </w:rPr>
        <w:t xml:space="preserve"> </w:t>
      </w:r>
      <w:r>
        <w:rPr>
          <w:rFonts w:ascii="Times New Roman;sans-serif" w:hAnsi="Times New Roman;sans-serif"/>
          <w:b w:val="false"/>
          <w:color w:val="000000"/>
          <w:sz w:val="20"/>
          <w:highlight w:val="white"/>
        </w:rPr>
        <w:t xml:space="preserve">million and $3.6 million during the </w:t>
      </w:r>
      <w:r>
        <w:rPr>
          <w:rFonts w:ascii="Times New Roman;sans-serif" w:hAnsi="Times New Roman;sans-serif"/>
          <w:b w:val="false"/>
          <w:color w:val="000000"/>
          <w:sz w:val="20"/>
        </w:rPr>
        <w:t xml:space="preserve">three months ended March 31, 2023 and 2022, respectively. </w:t>
      </w:r>
      <w:r>
        <w:rPr>
          <w:rFonts w:ascii="Times New Roman;sans-serif" w:hAnsi="Times New Roman;sans-serif"/>
          <w:b w:val="false"/>
          <w:color w:val="000000"/>
          <w:sz w:val="20"/>
          <w:highlight w:val="white"/>
        </w:rPr>
        <w:t>As of March 31, 2023, unamortized stock-based compensation expense related to the Co-Founder Grant was $</w:t>
      </w:r>
      <w:r>
        <w:rPr>
          <w:rFonts w:ascii="Times New Roman;sans-serif" w:hAnsi="Times New Roman;sans-serif"/>
          <w:b w:val="false"/>
          <w:color w:val="000000"/>
          <w:sz w:val="20"/>
        </w:rPr>
        <w:t>7.2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pPr>
      <w:r>
        <w:rPr>
          <w:rFonts w:ascii="Times New Roman;sans-serif" w:hAnsi="Times New Roman;sans-serif"/>
          <w:b/>
          <w:color w:val="000000"/>
          <w:sz w:val="20"/>
        </w:rPr>
        <w:t>Note 13.</w:t>
      </w:r>
      <w:r>
        <w:rPr>
          <w:color w:val="000000"/>
        </w:rPr>
        <w:t xml:space="preserve"> </w:t>
      </w:r>
      <w:r>
        <w:rPr>
          <w:rFonts w:ascii="Times New Roman;sans-serif" w:hAnsi="Times New Roman;sans-serif"/>
          <w:b/>
          <w:color w:val="000000"/>
          <w:sz w:val="20"/>
        </w:rPr>
        <w:t>Net Income Per Share</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numerators and denominators of the basic and diluted EPS computations for the Company's common stock are calculated as follows (in millions, except for per share amounts):</w:t>
      </w:r>
    </w:p>
    <w:p>
      <w:pPr>
        <w:pStyle w:val="TextBody"/>
        <w:spacing w:before="0" w:after="0"/>
        <w:ind w:left="0" w:right="0" w:firstLine="450"/>
        <w:rPr/>
      </w:pPr>
      <w:r>
        <w:rPr/>
      </w:r>
    </w:p>
    <w:tbl>
      <w:tblPr>
        <w:tblW w:w="10205" w:type="dxa"/>
        <w:jc w:val="left"/>
        <w:tblInd w:w="0" w:type="dxa"/>
        <w:tblCellMar>
          <w:top w:w="28" w:type="dxa"/>
          <w:left w:w="28" w:type="dxa"/>
          <w:bottom w:w="28" w:type="dxa"/>
          <w:right w:w="28" w:type="dxa"/>
        </w:tblCellMar>
      </w:tblPr>
      <w:tblGrid>
        <w:gridCol w:w="2345"/>
        <w:gridCol w:w="1746"/>
        <w:gridCol w:w="176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345"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7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203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8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Numerator </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as a result of conversion of Class B to Class A common stock </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to Class B common stock </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effect of dilutive restricted stock units and awards and employee stock options</w:t>
            </w:r>
          </w:p>
        </w:tc>
        <w:tc>
          <w:tcPr>
            <w:tcW w:w="8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of Class B to Class A common stock </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diluted net income per share</w:t>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weighted-average impact of potentially dilutive securities that were not included in the diluted per share calculations because they would be anti-dilutive was as follows:</w:t>
      </w:r>
    </w:p>
    <w:p>
      <w:pPr>
        <w:pStyle w:val="TextBody"/>
        <w:spacing w:before="0" w:after="0"/>
        <w:ind w:left="0" w:right="0" w:firstLine="495"/>
        <w:rPr/>
      </w:pPr>
      <w:r>
        <w:rPr/>
      </w:r>
    </w:p>
    <w:tbl>
      <w:tblPr>
        <w:tblW w:w="6368" w:type="dxa"/>
        <w:jc w:val="center"/>
        <w:tblInd w:w="0" w:type="dxa"/>
        <w:tblCellMar>
          <w:top w:w="28" w:type="dxa"/>
          <w:left w:w="28" w:type="dxa"/>
          <w:bottom w:w="28" w:type="dxa"/>
          <w:right w:w="28" w:type="dxa"/>
        </w:tblCellMar>
      </w:tblPr>
      <w:tblGrid>
        <w:gridCol w:w="1345"/>
        <w:gridCol w:w="1184"/>
        <w:gridCol w:w="1191"/>
        <w:gridCol w:w="307"/>
        <w:gridCol w:w="309"/>
        <w:gridCol w:w="208"/>
        <w:gridCol w:w="208"/>
        <w:gridCol w:w="208"/>
        <w:gridCol w:w="208"/>
        <w:gridCol w:w="255"/>
        <w:gridCol w:w="256"/>
        <w:gridCol w:w="208"/>
        <w:gridCol w:w="109"/>
        <w:gridCol w:w="109"/>
        <w:gridCol w:w="109"/>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shares of common stock</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Grant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pPr>
      <w:r>
        <w:rPr>
          <w:rFonts w:ascii="Times New Roman;sans-serif" w:hAnsi="Times New Roman;sans-serif"/>
          <w:b/>
          <w:color w:val="000000"/>
          <w:sz w:val="20"/>
        </w:rPr>
        <w:t>Note 14.</w:t>
      </w:r>
      <w:r>
        <w:rPr>
          <w:color w:val="000000"/>
        </w:rPr>
        <w:t xml:space="preserve"> </w:t>
      </w:r>
      <w:r>
        <w:rPr>
          <w:rFonts w:ascii="Times New Roman;sans-serif" w:hAnsi="Times New Roman;sans-serif"/>
          <w:b/>
          <w:color w:val="000000"/>
          <w:sz w:val="20"/>
        </w:rPr>
        <w:t>Income Taxes</w:t>
      </w:r>
    </w:p>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rPr>
        <w:t>The Company computed the year-to-date income tax provision by applying the estimated annual effective tax rate to the year-to-date pre-tax income and adjusted for discrete tax items in the period. The Company's provision for income taxes was</w:t>
      </w:r>
      <w:r>
        <w:rPr>
          <w:color w:val="000000"/>
          <w:highlight w:val="white"/>
        </w:rPr>
        <w:t xml:space="preserve"> </w:t>
      </w:r>
      <w:r>
        <w:rPr>
          <w:rFonts w:ascii="Times New Roman;sans-serif" w:hAnsi="Times New Roman;sans-serif"/>
          <w:b w:val="false"/>
          <w:color w:val="000000"/>
          <w:sz w:val="20"/>
          <w:highlight w:val="white"/>
        </w:rPr>
        <w:t xml:space="preserve">$18.6 million and </w:t>
      </w:r>
      <w:r>
        <w:rPr>
          <w:rFonts w:ascii="Times New Roman;sans-serif" w:hAnsi="Times New Roman;sans-serif"/>
          <w:b w:val="false"/>
          <w:color w:val="000000"/>
          <w:sz w:val="20"/>
        </w:rPr>
        <w:t>$14.1 million</w:t>
      </w:r>
      <w:r>
        <w:rPr>
          <w:color w:val="000000"/>
          <w:highlight w:val="white"/>
        </w:rPr>
        <w:t xml:space="preserve"> </w:t>
      </w:r>
      <w:r>
        <w:rPr>
          <w:rFonts w:ascii="Times New Roman;sans-serif" w:hAnsi="Times New Roman;sans-serif"/>
          <w:b w:val="false"/>
          <w:color w:val="000000"/>
          <w:sz w:val="20"/>
        </w:rPr>
        <w:t>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68" w:before="0" w:after="0"/>
        <w:ind w:left="0" w:right="0" w:firstLine="495"/>
        <w:rPr/>
      </w:pPr>
      <w:r>
        <w:rPr>
          <w:rFonts w:ascii="Times New Roman;sans-serif" w:hAnsi="Times New Roman;sans-serif"/>
          <w:b w:val="false"/>
          <w:color w:val="000000"/>
          <w:sz w:val="20"/>
          <w:highlight w:val="white"/>
        </w:rPr>
        <w:t xml:space="preserve">The provision for income taxes for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was primarily attributable to federal, state and foreign income taxes.</w:t>
      </w:r>
    </w:p>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highlight w:val="white"/>
        </w:rPr>
        <w:t>, the difference between the U.S. statutory rate and the Company's effective tax rate was primarily due to jurisdictional mix of earnings and state income taxes.</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xml:space="preserve">, the difference between the U.S. statutory rate and the Company's effective tax rate was primarily due to the requirement to capitalize research expenditures in accordance with Tax Cuts and Jobs Act of 2017 (TCJA), which was partially offset by the utilization of U.S. deferred tax assets which had a full valuation allowance.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2023, the Company continues to maintain valuation allowances against its California deferred tax assets.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is subject to income tax audits in the U.S. and foreign jurisdictions. The Company records liabilities related to uncertain tax positions and believes that it has provided adequate reserves for income tax uncertainties in all open tax years. </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highlight w:val="white"/>
        </w:rPr>
        <w:t>Unrecognized tax benefits increased by approximately</w:t>
      </w:r>
      <w:r>
        <w:rPr>
          <w:color w:val="000000"/>
        </w:rPr>
        <w:t xml:space="preserve"> </w:t>
      </w:r>
      <w:r>
        <w:rPr>
          <w:rFonts w:ascii="Times New Roman;sans-serif" w:hAnsi="Times New Roman;sans-serif"/>
          <w:b w:val="false"/>
          <w:color w:val="000000"/>
          <w:sz w:val="20"/>
        </w:rPr>
        <w:t xml:space="preserve">$4.2 million for the three months ended March 31, 2023, of which $3.0 million, if recognized, would affect the Company's effective tax rate and $1.2 million would result in adjustment to deferred tax assets with corresponding adjustments to the valuation allowance. Additionally, unrecognized tax benefits decreased by approximately $1.2 million </w:t>
      </w: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due to a statute of limitations lapse related to prior period tax positions. This resulted in a net increase in unrecognized tax benefits of </w:t>
      </w:r>
      <w:r>
        <w:rPr>
          <w:rFonts w:ascii="Times New Roman;sans-serif" w:hAnsi="Times New Roman;sans-serif"/>
          <w:b w:val="false"/>
          <w:color w:val="000000"/>
          <w:sz w:val="20"/>
        </w:rPr>
        <w:t>$3.0 million</w:t>
      </w:r>
      <w:r>
        <w:rPr>
          <w:color w:val="000000"/>
          <w:highlight w:val="white"/>
        </w:rPr>
        <w:t xml:space="preserve"> </w:t>
      </w:r>
      <w:r>
        <w:rPr>
          <w:rFonts w:ascii="Times New Roman;sans-serif" w:hAnsi="Times New Roman;sans-serif"/>
          <w:b w:val="false"/>
          <w:color w:val="000000"/>
          <w:sz w:val="20"/>
          <w:highlight w:val="white"/>
        </w:rPr>
        <w:t>for the three months ended March 31, 2023.</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pPr>
      <w:r>
        <w:rPr>
          <w:rFonts w:ascii="Times New Roman;sans-serif" w:hAnsi="Times New Roman;sans-serif"/>
          <w:b/>
          <w:color w:val="000000"/>
          <w:sz w:val="20"/>
        </w:rPr>
        <w:t>Note 15.</w:t>
      </w:r>
      <w:r>
        <w:rPr>
          <w:color w:val="000000"/>
        </w:rPr>
        <w:t xml:space="preserve"> </w:t>
      </w:r>
      <w:r>
        <w:rPr>
          <w:rFonts w:ascii="Times New Roman;sans-serif" w:hAnsi="Times New Roman;sans-serif"/>
          <w:b/>
          <w:color w:val="000000"/>
          <w:sz w:val="20"/>
        </w:rPr>
        <w:t>Geographic Areas</w:t>
      </w:r>
    </w:p>
    <w:p>
      <w:pPr>
        <w:pStyle w:val="TextBody"/>
        <w:spacing w:before="0" w:after="0"/>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long-lived assets by geographic area:</w:t>
      </w:r>
    </w:p>
    <w:p>
      <w:pPr>
        <w:pStyle w:val="TextBody"/>
        <w:spacing w:before="0" w:after="0"/>
        <w:ind w:left="0" w:right="0" w:firstLine="495"/>
        <w:rPr/>
      </w:pPr>
      <w:r>
        <w:rPr/>
      </w:r>
    </w:p>
    <w:tbl>
      <w:tblPr>
        <w:tblW w:w="6430" w:type="dxa"/>
        <w:jc w:val="center"/>
        <w:tblInd w:w="0" w:type="dxa"/>
        <w:tblCellMar>
          <w:top w:w="28" w:type="dxa"/>
          <w:left w:w="28" w:type="dxa"/>
          <w:bottom w:w="28" w:type="dxa"/>
          <w:right w:w="28" w:type="dxa"/>
        </w:tblCellMar>
      </w:tblPr>
      <w:tblGrid>
        <w:gridCol w:w="1051"/>
        <w:gridCol w:w="919"/>
        <w:gridCol w:w="925"/>
        <w:gridCol w:w="324"/>
        <w:gridCol w:w="948"/>
        <w:gridCol w:w="167"/>
        <w:gridCol w:w="109"/>
        <w:gridCol w:w="109"/>
        <w:gridCol w:w="109"/>
        <w:gridCol w:w="380"/>
        <w:gridCol w:w="1110"/>
        <w:gridCol w:w="279"/>
      </w:tblGrid>
      <w:tr>
        <w:trPr/>
        <w:tc>
          <w:tcPr>
            <w:tcW w:w="1051"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 xml:space="preserve">No single country other than the United States had a property and equipment balance greater than 10% of total property and equipment, net, as of March 31, 2023 and December 31, 2022. </w:t>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spacing w:lineRule="auto" w:line="288" w:before="12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geography is generally based on the address of the customer as defined in the Company’s subscription agreement. The following table sets forth revenue by geographic area for the three months ended March 31, 2023 and 2022. </w:t>
      </w:r>
    </w:p>
    <w:p>
      <w:pPr>
        <w:pStyle w:val="TextBody"/>
        <w:spacing w:before="0" w:after="0"/>
        <w:ind w:left="0" w:right="0" w:firstLine="495"/>
        <w:rPr/>
      </w:pPr>
      <w:r>
        <w:rPr/>
      </w:r>
    </w:p>
    <w:tbl>
      <w:tblPr>
        <w:tblW w:w="4060" w:type="dxa"/>
        <w:jc w:val="center"/>
        <w:tblInd w:w="0" w:type="dxa"/>
        <w:tblCellMar>
          <w:top w:w="28" w:type="dxa"/>
          <w:left w:w="28" w:type="dxa"/>
          <w:bottom w:w="28" w:type="dxa"/>
          <w:right w:w="28" w:type="dxa"/>
        </w:tblCellMar>
      </w:tblPr>
      <w:tblGrid>
        <w:gridCol w:w="501"/>
        <w:gridCol w:w="438"/>
        <w:gridCol w:w="441"/>
        <w:gridCol w:w="211"/>
        <w:gridCol w:w="616"/>
        <w:gridCol w:w="109"/>
        <w:gridCol w:w="109"/>
        <w:gridCol w:w="109"/>
        <w:gridCol w:w="109"/>
        <w:gridCol w:w="211"/>
        <w:gridCol w:w="616"/>
        <w:gridCol w:w="109"/>
        <w:gridCol w:w="109"/>
        <w:gridCol w:w="109"/>
        <w:gridCol w:w="109"/>
        <w:gridCol w:w="154"/>
      </w:tblGrid>
      <w:tr>
        <w:trPr/>
        <w:tc>
          <w:tcPr>
            <w:tcW w:w="501"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120" w:after="283"/>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No single country outside of the United States accounted for more than 10% of total revenue during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pPr>
      <w:r>
        <w:rPr>
          <w:rFonts w:ascii="Times New Roman;sans-serif" w:hAnsi="Times New Roman;sans-serif"/>
          <w:b/>
          <w:color w:val="000000"/>
          <w:sz w:val="20"/>
        </w:rPr>
        <w:t>Note 16.</w:t>
      </w:r>
      <w:r>
        <w:rPr>
          <w:color w:val="000000"/>
        </w:rPr>
        <w:t xml:space="preserve"> </w:t>
      </w:r>
      <w:r>
        <w:rPr>
          <w:rFonts w:ascii="Times New Roman;sans-serif" w:hAnsi="Times New Roman;sans-serif"/>
          <w:b/>
          <w:color w:val="000000"/>
          <w:sz w:val="20"/>
        </w:rPr>
        <w:t xml:space="preserve">Subsequent Events </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April 27, 2023, the Company announced that the Board of Directors approved a reduction of its global workforce by approximately 16% to streamline the Company’s team structure to support its long-term growth and profitability objectives. The Company intends to strategically reinvest some savings from this reduction in force into future growth initiatives, and will continue to hire for roles critical to those initiatives. The Company estimates that it will incur charges of approximately $37 million to $42 million, primarily consisting of cash expenditures for severance payments, employee benefits and related costs. The Company expects that the majority of these charges will be incurred in the second quarter of 2023 and substantially all of these charges will have been incurred by the end of 2023. The estimated charges are based on certain assumptions, including local law requirements in various jurisdictions, and actual amounts may differ materially from such estimates.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may incur other charges or cash expenditures not currently contemplated due to unanticipated events that may occur as a result of or in connection with the implementation of the reduction in force.</w:t>
      </w:r>
    </w:p>
    <w:p>
      <w:pPr>
        <w:pStyle w:val="TextBody"/>
        <w:spacing w:before="240" w:after="283"/>
        <w:ind w:left="0" w:right="0" w:hanging="360"/>
        <w:rPr/>
      </w:pPr>
      <w:r>
        <w:rPr/>
      </w:r>
    </w:p>
    <w:p>
      <w:pPr>
        <w:pStyle w:val="TextBody"/>
        <w:spacing w:before="0" w:after="0"/>
        <w:rPr/>
      </w:pPr>
      <w:r>
        <w:rPr/>
      </w:r>
    </w:p>
    <w:p>
      <w:pPr>
        <w:pStyle w:val="TextBody"/>
        <w:spacing w:before="240" w:after="283"/>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center"/>
        <w:rPr/>
      </w:pPr>
      <w:r>
        <w:rPr/>
      </w:r>
    </w:p>
    <w:p>
      <w:pPr>
        <w:pStyle w:val="TextBody"/>
        <w:spacing w:lineRule="auto" w:line="288" w:before="0" w:after="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 </w:t>
      </w:r>
    </w:p>
    <w:p>
      <w:pPr>
        <w:pStyle w:val="TextBody"/>
        <w:spacing w:before="0" w:after="0"/>
        <w:ind w:left="0" w:right="0" w:firstLine="495"/>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By solving these universal problems, we’ve become invaluable to our users. The popularity of our platform allows us to scale efficiently. We’ve built a thriving global business with 17.90 million paying users.</w:t>
      </w:r>
    </w:p>
    <w:p>
      <w:pPr>
        <w:pStyle w:val="TextBody"/>
        <w:spacing w:before="0" w:after="0"/>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Subscription Plans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pStyle w:val="TextBody"/>
        <w:spacing w:before="0" w:after="0"/>
        <w:ind w:left="0" w:right="0" w:firstLine="495"/>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pStyle w:val="TextBody"/>
        <w:spacing w:before="0" w:after="0"/>
        <w:ind w:left="0" w:right="0" w:firstLine="36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Dropbox Sign, as our e-signature solution. Dropbox 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 </w:t>
      </w:r>
    </w:p>
    <w:p>
      <w:pPr>
        <w:pStyle w:val="TextBody"/>
        <w:spacing w:before="0" w:after="0"/>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 xml:space="preserve">Our Customers </w:t>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spacing w:before="0" w:after="0"/>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Drive new signups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Increase conversion of registered users to our paid subscription plans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Upgrade and expand existing customers</w:t>
      </w:r>
    </w:p>
    <w:p>
      <w:pPr>
        <w:pStyle w:val="TextBody"/>
        <w:spacing w:before="0" w:after="0"/>
        <w:ind w:left="0" w:right="0" w:firstLine="495"/>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FormSwift.</w:t>
      </w:r>
    </w:p>
    <w:p>
      <w:pPr>
        <w:pStyle w:val="TextBody"/>
        <w:spacing w:before="0" w:after="0"/>
        <w:ind w:left="0" w:right="0" w:firstLine="495"/>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Impact of Macroeconomic Factors on our Business</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in part on worldwide economic and geopolitical conditions and their impact on customer behavior. Worsening economic conditions, including rising inflation, the U.S. Federal Reserve raising interest rates, volatility and uncertainty in the banking and financial services sector, tightening of credit markets, changes in the corporate real estate market, supply chain disruptions, and fluctuations in currency exchange rates have impacted our results of operations during the three months ended March 31, 2023.</w:t>
      </w:r>
    </w:p>
    <w:p>
      <w:pPr>
        <w:pStyle w:val="TextBody"/>
        <w:spacing w:before="0" w:after="0"/>
        <w:ind w:left="0" w:right="0" w:firstLine="45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continued to see macro headwinds weighing on our Teams plans, as our customers face pressure in their own businesses, as well as both DocSend and Sign, due to ongoing softness in their respective markets. While we are not immune to macroeconomic conditions, we remain optimistic about our strategy as we improve our execution while continuing to invest towards our future in this new AI era.</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and cash flows are also subject to fluctuations due to changes in foreign currency exchange rates relative to U.S. dollars, our reporting currency, as well as changes in interest rates. Volatile market conditions, directly or indirectly related to macroeconomic or geopolitical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subscription-based business model, and impact of the current macroeconomic environment on our business, particularly as a result of changes in our customer behavior, may not be fully reflected in our results of operations until future periods, if at all. For a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further discussion of the potential impacts of the macroeconomic environment on our business, see “Risk Factors” included in Part II, Item 1A. of this report.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Virtual First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effects of the COVID-19 pandemic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will be subleased. We have recorded impairment charges in prior quarters as a result of adverse changes in the corporate real estate market in the San Francisco Bay area which has impacted our subleasing strategy in conjunction with our shift to Virtual First. See Note 9, "Leases" for additional information. We may incur additional charges depending on the continued recovery of the corporate real estate market or shifts in our Virtual First strategy. In addition to generating sublease income, we expect that as a result of our shift to Virtual First, we will continue to see savings in certain areas, including reductions in facilities related costs and depreciation expense due to these impairment charges.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Reduction in Force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April 27, 2023, we announced a reduction of our global workforce by approximately 16% to streamline our team structure in support of our long-term growth and profitability objectives.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spacing w:before="0" w:after="0"/>
        <w:ind w:left="0" w:right="0" w:firstLine="495"/>
        <w:rPr/>
      </w:pPr>
      <w:r>
        <w:rPr/>
      </w:r>
    </w:p>
    <w:p>
      <w:pPr>
        <w:pStyle w:val="TextBody"/>
        <w:spacing w:lineRule="auto" w:line="288" w:before="0" w:after="120"/>
        <w:ind w:left="0" w:right="0" w:firstLine="450"/>
        <w:rPr>
          <w:rFonts w:ascii="Times New Roman;sans-serif" w:hAnsi="Times New Roman;sans-serif"/>
          <w:b/>
          <w:i/>
          <w:color w:val="000000"/>
          <w:sz w:val="20"/>
        </w:rPr>
      </w:pPr>
      <w:r>
        <w:rPr>
          <w:rFonts w:ascii="Times New Roman;sans-serif" w:hAnsi="Times New Roman;sans-serif"/>
          <w:b/>
          <w:i/>
          <w:color w:val="000000"/>
          <w:sz w:val="20"/>
        </w:rPr>
        <w:t>Total annual recurring revenue</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spacing w:before="0" w:after="0"/>
        <w:ind w:left="0" w:right="0" w:firstLine="45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2022, we repackaged our existing Dropbox Standard and Dropbox Advanced plans to include additional features. As a result, we increased the price for new and existing users on these plans, with new users starting in the second quarter of 2022 and existing users as their billing cycles occur. For a majority of existing users, the increase in price is effective on their next renewal date. As a result of the price increase, combined with an increase in paying users across our product portfolio and an increased mix of sales from our higher-priced subscription plans, we experienced an increase in Total ARR for the period ended March 31, 2023, compared to the period ended March 31, 2022. We also acquired FormSwift in the fourth quarter of 2022, resulting in a benefit to Total ARR beginning in the period of the acquisition. In the first quarter of 2023, sequential ARR was negatively impacted by the foreign currency exchange rates used to calculate ARR, which we update annually at the beginning of the year. On a constant currency basis, Total ARR increased for the periods presented.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below tables set forth our Total ARR using the exchange rates set at the beginning of each year, as well as on a constant currency basis relative to the exchange rates used in 2023.</w:t>
      </w:r>
    </w:p>
    <w:p>
      <w:pPr>
        <w:pStyle w:val="TextBody"/>
        <w:spacing w:before="0" w:after="0"/>
        <w:ind w:left="0" w:right="0" w:firstLine="495"/>
        <w:rPr/>
      </w:pPr>
      <w:r>
        <w:rPr/>
      </w:r>
    </w:p>
    <w:tbl>
      <w:tblPr>
        <w:tblW w:w="6306" w:type="dxa"/>
        <w:jc w:val="center"/>
        <w:tblInd w:w="0" w:type="dxa"/>
        <w:tblCellMar>
          <w:top w:w="28" w:type="dxa"/>
          <w:left w:w="28" w:type="dxa"/>
          <w:bottom w:w="28" w:type="dxa"/>
          <w:right w:w="28" w:type="dxa"/>
        </w:tblCellMar>
      </w:tblPr>
      <w:tblGrid>
        <w:gridCol w:w="363"/>
        <w:gridCol w:w="320"/>
        <w:gridCol w:w="322"/>
        <w:gridCol w:w="479"/>
        <w:gridCol w:w="479"/>
        <w:gridCol w:w="481"/>
        <w:gridCol w:w="109"/>
        <w:gridCol w:w="109"/>
        <w:gridCol w:w="109"/>
        <w:gridCol w:w="574"/>
        <w:gridCol w:w="574"/>
        <w:gridCol w:w="576"/>
        <w:gridCol w:w="109"/>
        <w:gridCol w:w="109"/>
        <w:gridCol w:w="109"/>
        <w:gridCol w:w="434"/>
        <w:gridCol w:w="434"/>
        <w:gridCol w:w="616"/>
      </w:tblGrid>
      <w:tr>
        <w:trPr/>
        <w:tc>
          <w:tcPr>
            <w:tcW w:w="36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w:t>
            </w:r>
          </w:p>
        </w:tc>
      </w:tr>
    </w:tbl>
    <w:p>
      <w:pPr>
        <w:pStyle w:val="TextBody"/>
        <w:spacing w:before="0" w:after="0"/>
        <w:ind w:left="0" w:right="0" w:firstLine="495"/>
        <w:jc w:val="center"/>
        <w:rPr/>
      </w:pPr>
      <w:r>
        <w:rPr/>
      </w:r>
    </w:p>
    <w:tbl>
      <w:tblPr>
        <w:tblW w:w="7025" w:type="dxa"/>
        <w:jc w:val="center"/>
        <w:tblInd w:w="0" w:type="dxa"/>
        <w:tblCellMar>
          <w:top w:w="28" w:type="dxa"/>
          <w:left w:w="28" w:type="dxa"/>
          <w:bottom w:w="28" w:type="dxa"/>
          <w:right w:w="28" w:type="dxa"/>
        </w:tblCellMar>
      </w:tblPr>
      <w:tblGrid>
        <w:gridCol w:w="624"/>
        <w:gridCol w:w="548"/>
        <w:gridCol w:w="552"/>
        <w:gridCol w:w="479"/>
        <w:gridCol w:w="479"/>
        <w:gridCol w:w="481"/>
        <w:gridCol w:w="109"/>
        <w:gridCol w:w="109"/>
        <w:gridCol w:w="109"/>
        <w:gridCol w:w="574"/>
        <w:gridCol w:w="574"/>
        <w:gridCol w:w="576"/>
        <w:gridCol w:w="109"/>
        <w:gridCol w:w="109"/>
        <w:gridCol w:w="109"/>
        <w:gridCol w:w="434"/>
        <w:gridCol w:w="434"/>
        <w:gridCol w:w="616"/>
      </w:tblGrid>
      <w:tr>
        <w:trPr/>
        <w:tc>
          <w:tcPr>
            <w:tcW w:w="62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Constant Currency</w:t>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r>
    </w:tbl>
    <w:p>
      <w:pPr>
        <w:pStyle w:val="TextBody"/>
        <w:spacing w:before="0" w:after="12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Paying users</w:t>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 We first include paying users related to acquired companies among our paying users in the period of the acquisition.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FormSwift and DocSend, we define paying users as the number of users who have active paid licenses for access to our platform as of the end of the period. FormSwift and DocSend users have been included as paying users since our acquisition of FormSwift in the fourth quarter of 2022 and our acquisition of DocSend in the first quarter of 2021, respectively.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experienced growth in the number of paying users for the periods presented largely from our self-serve channels as well as our acquisition of FormSwift in the fourth quarter of 2022. However, our overall paying user growth rate has declined and may decline in the future. We expect growth in paying users to fluctuate from period to period in the future.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table sets forth the number of paying users as of March 31, 2023, December 31, 2022, and March 31, 2022. </w:t>
      </w:r>
    </w:p>
    <w:p>
      <w:pPr>
        <w:pStyle w:val="TextBody"/>
        <w:spacing w:before="0" w:after="0"/>
        <w:ind w:left="0" w:right="0" w:firstLine="495"/>
        <w:rPr/>
      </w:pPr>
      <w:r>
        <w:rPr/>
      </w:r>
    </w:p>
    <w:tbl>
      <w:tblPr>
        <w:tblW w:w="6440" w:type="dxa"/>
        <w:jc w:val="left"/>
        <w:tblInd w:w="0" w:type="dxa"/>
        <w:tblCellMar>
          <w:top w:w="28" w:type="dxa"/>
          <w:left w:w="28" w:type="dxa"/>
          <w:bottom w:w="28" w:type="dxa"/>
          <w:right w:w="28" w:type="dxa"/>
        </w:tblCellMar>
      </w:tblPr>
      <w:tblGrid>
        <w:gridCol w:w="412"/>
        <w:gridCol w:w="363"/>
        <w:gridCol w:w="364"/>
        <w:gridCol w:w="479"/>
        <w:gridCol w:w="479"/>
        <w:gridCol w:w="481"/>
        <w:gridCol w:w="109"/>
        <w:gridCol w:w="109"/>
        <w:gridCol w:w="109"/>
        <w:gridCol w:w="574"/>
        <w:gridCol w:w="574"/>
        <w:gridCol w:w="576"/>
        <w:gridCol w:w="109"/>
        <w:gridCol w:w="109"/>
        <w:gridCol w:w="109"/>
        <w:gridCol w:w="434"/>
        <w:gridCol w:w="434"/>
        <w:gridCol w:w="616"/>
      </w:tblGrid>
      <w:tr>
        <w:trPr/>
        <w:tc>
          <w:tcPr>
            <w:tcW w:w="41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users</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5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Average revenue per paying user</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a result of the repackaging and repricing of our existing Dropbox Standard and Dropbox Advanced plans, an increased mix of sales towards our higher-priced subscription plans, and our acquisition of FormSwift in the fourth quarter of 2022, offset by the impact of unfavorable foreign exchange rates across multiple currencies, we experienced an increase in our average revenue per paying user for the three months ended March 31, 2023, compared to the three months ended March 31, 2022.</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below table sets forth our ARPU for the three months ended March 31, 2023 and 2022.</w:t>
      </w:r>
    </w:p>
    <w:p>
      <w:pPr>
        <w:pStyle w:val="TextBody"/>
        <w:spacing w:before="0" w:after="0"/>
        <w:ind w:left="0" w:right="0" w:firstLine="495"/>
        <w:rPr/>
      </w:pPr>
      <w:r>
        <w:rPr/>
      </w:r>
    </w:p>
    <w:tbl>
      <w:tblPr>
        <w:tblW w:w="3521" w:type="dxa"/>
        <w:jc w:val="left"/>
        <w:tblInd w:w="0" w:type="dxa"/>
        <w:tblCellMar>
          <w:top w:w="28" w:type="dxa"/>
          <w:left w:w="28" w:type="dxa"/>
          <w:bottom w:w="28" w:type="dxa"/>
          <w:right w:w="28" w:type="dxa"/>
        </w:tblCellMar>
      </w:tblPr>
      <w:tblGrid>
        <w:gridCol w:w="228"/>
        <w:gridCol w:w="201"/>
        <w:gridCol w:w="202"/>
        <w:gridCol w:w="211"/>
        <w:gridCol w:w="721"/>
        <w:gridCol w:w="109"/>
        <w:gridCol w:w="109"/>
        <w:gridCol w:w="109"/>
        <w:gridCol w:w="109"/>
        <w:gridCol w:w="211"/>
        <w:gridCol w:w="721"/>
        <w:gridCol w:w="109"/>
        <w:gridCol w:w="109"/>
        <w:gridCol w:w="109"/>
        <w:gridCol w:w="109"/>
        <w:gridCol w:w="154"/>
      </w:tblGrid>
      <w:tr>
        <w:trPr/>
        <w:tc>
          <w:tcPr>
            <w:tcW w:w="22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spacing w:before="0" w:after="0"/>
        <w:ind w:left="0" w:right="0" w:firstLine="495"/>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FCF increased for the three months ended March 31, 2023, compared to the three months ended March 31, 2022, primarily due to a decrease in capital expenditures. </w:t>
      </w:r>
    </w:p>
    <w:p>
      <w:pPr>
        <w:pStyle w:val="TextBody"/>
        <w:spacing w:before="0" w:after="0"/>
        <w:ind w:left="0" w:right="0" w:firstLine="495"/>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FCF to generally increase in future periods as we increase subscription sales and drive operating efficiencies. We expect to continue to purchase infrastructure equipment to support our user base and anticipate that our capital expenditures will remain approximately consistent in future periods as we continue to invest in our internal infrastructure, network and security. The timing of our operating expenses as described below, may result in FCF to vary from period to period as a percentage of revenue.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FCF to the most comparable GAAP measure, net cash provided by operating activities:</w:t>
      </w:r>
    </w:p>
    <w:p>
      <w:pPr>
        <w:pStyle w:val="TextBody"/>
        <w:spacing w:before="0" w:after="0"/>
        <w:ind w:left="0" w:right="0" w:firstLine="495"/>
        <w:rPr/>
      </w:pPr>
      <w:r>
        <w:rPr/>
      </w:r>
    </w:p>
    <w:tbl>
      <w:tblPr>
        <w:tblW w:w="5709" w:type="dxa"/>
        <w:jc w:val="left"/>
        <w:tblInd w:w="0" w:type="dxa"/>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before="0" w:after="0"/>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sales of subscriptions to our platform.</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 priced subscription plans, to offset slower growth or decline in paying users, our revenue and revenue growth rate will decline.</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p>
      <w:pPr>
        <w:pStyle w:val="TextBody"/>
        <w:spacing w:lineRule="auto" w:line="288" w:before="0" w:after="0"/>
        <w:ind w:left="0" w:right="0" w:firstLine="495"/>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increasing the capacity and enhancing the capability and reliability of our infrastructure to support user growth and increased use of our platform. We expect that cost of revenue will increase in absolute dollars in future periods. </w:t>
      </w:r>
    </w:p>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is gross profit expressed as a percentage of revenue. Our gross margin may fluctuate from period to period based on the 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0"/>
        <w:ind w:left="0" w:right="0" w:firstLine="495"/>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employee-related costs for our engineering, product, and design 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research and development costs will decrease in absolute dollars and as a percentage of revenue in the near term and increase in absolute dollars and fluctuate as a percentage of revenue in the long term as we reinvest some savings from our reduction in force into future growth initiatives. We plan to continue to hire employees for our engineering, product, and design teams in roles critical to those initiatives. </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95"/>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relate to both self-serve and outbound sales activities, and consist primarily of employee-related costs,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expect that sales and marketing expenses will generally decrease in absolute dollars and as a percentage of revenue in the near term, due to our reduction in force and increase in absolute dollars and as a percentage of revenue in the long term. We plan to continue to invest in sales and marketing, long term, to grow our user base and increase our brand awareness. The trend and timing of sales and marketing expenses will depend in part on the timing of marketing campaigns.</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and non income-based taxes.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Interest income (expense), net</w:t>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consists primarily of interest income earned on our money market funds classified as cash and cash equivalents and short-term investments as well as interest expense related to our finance lease obligations for infrastructure and amortization of debt issuance costs.</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Other income (loss), net</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Other income (loss),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pStyle w:val="TextBody"/>
        <w:spacing w:before="0" w:after="0"/>
        <w:ind w:left="0" w:right="0" w:firstLine="495"/>
        <w:rPr/>
      </w:pPr>
      <w:r>
        <w:rPr/>
      </w:r>
    </w:p>
    <w:p>
      <w:pPr>
        <w:pStyle w:val="TextBody"/>
        <w:spacing w:lineRule="auto" w:line="288" w:before="0" w:after="120"/>
        <w:ind w:left="0" w:right="0" w:firstLine="495"/>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U.S. federal, state and foreign jurisdiction income taxes. For 2023, the difference between the U.S. statutory rate and our effective tax rate is primarily due to jurisdictional mix of earnings and state income taxes. For 2022, the difference between the U.S. statutory rate and our effective tax rate is primarily due to changes to the valuation allowance on deferred tax assets, research credits and the impact of capitalization of research and experimental expenditures.</w:t>
      </w:r>
    </w:p>
    <w:p>
      <w:pPr>
        <w:pStyle w:val="TextBody"/>
        <w:spacing w:before="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w:t>
      </w:r>
    </w:p>
    <w:tbl>
      <w:tblPr>
        <w:tblW w:w="5214" w:type="dxa"/>
        <w:jc w:val="left"/>
        <w:tblInd w:w="0" w:type="dxa"/>
        <w:tblCellMar>
          <w:top w:w="28" w:type="dxa"/>
          <w:left w:w="28" w:type="dxa"/>
          <w:bottom w:w="28" w:type="dxa"/>
          <w:right w:w="28" w:type="dxa"/>
        </w:tblCellMar>
      </w:tblPr>
      <w:tblGrid>
        <w:gridCol w:w="915"/>
        <w:gridCol w:w="806"/>
        <w:gridCol w:w="813"/>
        <w:gridCol w:w="211"/>
        <w:gridCol w:w="616"/>
        <w:gridCol w:w="109"/>
        <w:gridCol w:w="109"/>
        <w:gridCol w:w="109"/>
        <w:gridCol w:w="109"/>
        <w:gridCol w:w="211"/>
        <w:gridCol w:w="616"/>
        <w:gridCol w:w="109"/>
        <w:gridCol w:w="109"/>
        <w:gridCol w:w="109"/>
        <w:gridCol w:w="109"/>
        <w:gridCol w:w="154"/>
      </w:tblGrid>
      <w:tr>
        <w:trPr/>
        <w:tc>
          <w:tcPr>
            <w:tcW w:w="91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p>
      <w:pPr>
        <w:pStyle w:val="TextBody"/>
        <w:spacing w:before="0" w:after="0"/>
        <w:rPr/>
      </w:pPr>
      <w:r>
        <w:rPr/>
      </w:r>
    </w:p>
    <w:tbl>
      <w:tblPr>
        <w:tblW w:w="5214" w:type="dxa"/>
        <w:jc w:val="center"/>
        <w:tblInd w:w="0" w:type="dxa"/>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(2)</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68" w:before="0" w:after="0"/>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revenue:</w:t>
      </w:r>
    </w:p>
    <w:tbl>
      <w:tblPr>
        <w:tblW w:w="5359" w:type="dxa"/>
        <w:jc w:val="left"/>
        <w:tblInd w:w="0" w:type="dxa"/>
        <w:tblCellMar>
          <w:top w:w="28" w:type="dxa"/>
          <w:left w:w="28" w:type="dxa"/>
          <w:bottom w:w="28" w:type="dxa"/>
          <w:right w:w="28" w:type="dxa"/>
        </w:tblCellMar>
      </w:tblPr>
      <w:tblGrid>
        <w:gridCol w:w="975"/>
        <w:gridCol w:w="859"/>
        <w:gridCol w:w="866"/>
        <w:gridCol w:w="266"/>
        <w:gridCol w:w="200"/>
        <w:gridCol w:w="389"/>
        <w:gridCol w:w="156"/>
        <w:gridCol w:w="156"/>
        <w:gridCol w:w="156"/>
        <w:gridCol w:w="266"/>
        <w:gridCol w:w="200"/>
        <w:gridCol w:w="389"/>
        <w:gridCol w:w="109"/>
        <w:gridCol w:w="109"/>
        <w:gridCol w:w="109"/>
        <w:gridCol w:w="154"/>
      </w:tblGrid>
      <w:tr>
        <w:trPr/>
        <w:tc>
          <w:tcPr>
            <w:tcW w:w="97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c>
          <w:tcPr>
            <w:tcW w:w="481" w:type="dxa"/>
            <w:gridSpan w:val="4"/>
            <w:tcBorders/>
            <w:shd w:fill="auto" w:val="clea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from income taxes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a percentage of revenue as follows:</w:t>
      </w:r>
    </w:p>
    <w:p>
      <w:pPr>
        <w:pStyle w:val="TextBody"/>
        <w:spacing w:before="0" w:after="0"/>
        <w:rPr/>
      </w:pPr>
      <w:r>
        <w:rPr/>
      </w:r>
    </w:p>
    <w:tbl>
      <w:tblPr>
        <w:tblW w:w="5197" w:type="dxa"/>
        <w:jc w:val="center"/>
        <w:tblInd w:w="0" w:type="dxa"/>
        <w:tblCellMar>
          <w:top w:w="28" w:type="dxa"/>
          <w:left w:w="28" w:type="dxa"/>
          <w:bottom w:w="28" w:type="dxa"/>
          <w:right w:w="28" w:type="dxa"/>
        </w:tblCellMar>
      </w:tblPr>
      <w:tblGrid>
        <w:gridCol w:w="992"/>
        <w:gridCol w:w="874"/>
        <w:gridCol w:w="878"/>
        <w:gridCol w:w="207"/>
        <w:gridCol w:w="156"/>
        <w:gridCol w:w="389"/>
        <w:gridCol w:w="156"/>
        <w:gridCol w:w="156"/>
        <w:gridCol w:w="156"/>
        <w:gridCol w:w="207"/>
        <w:gridCol w:w="156"/>
        <w:gridCol w:w="389"/>
        <w:gridCol w:w="109"/>
        <w:gridCol w:w="109"/>
        <w:gridCol w:w="109"/>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c>
          <w:tcPr>
            <w:tcW w:w="481" w:type="dxa"/>
            <w:gridSpan w:val="4"/>
            <w:tcBorders/>
            <w:shd w:fill="auto" w:val="clea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(2)</w:t>
            </w:r>
          </w:p>
        </w:tc>
        <w:tc>
          <w:tcPr>
            <w:tcW w:w="3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spacing w:before="0" w:after="0"/>
        <w:rPr/>
      </w:pPr>
      <w:r>
        <w:rPr/>
      </w:r>
    </w:p>
    <w:p>
      <w:pPr>
        <w:pStyle w:val="TextBody"/>
        <w:spacing w:lineRule="auto" w:line="288" w:before="0" w:after="0"/>
        <w:ind w:left="0" w:right="0" w:hanging="180"/>
        <w:rPr>
          <w:rFonts w:ascii="Times New Roman;sans-serif" w:hAnsi="Times New Roman;sans-serif"/>
          <w:b w:val="false"/>
          <w:color w:val="000000"/>
          <w:sz w:val="18"/>
        </w:rPr>
      </w:pPr>
      <w:r>
        <w:rPr>
          <w:rFonts w:ascii="Times New Roman;sans-serif" w:hAnsi="Times New Roman;sans-serif"/>
          <w:b w:val="false"/>
          <w:color w:val="000000"/>
          <w:sz w:val="18"/>
        </w:rPr>
        <w:t>*Percentages may not foot due to rounding.</w:t>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before="0" w:after="0"/>
        <w:ind w:left="0" w:right="0" w:firstLine="180"/>
        <w:rPr/>
      </w:pPr>
      <w:r>
        <w:rPr/>
      </w:r>
    </w:p>
    <w:p>
      <w:pPr>
        <w:pStyle w:val="TextBody"/>
        <w:spacing w:lineRule="auto" w:line="288" w:before="0" w:after="16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631" w:type="dxa"/>
        <w:jc w:val="left"/>
        <w:tblInd w:w="0" w:type="dxa"/>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Revenue increased $48.7 million or 8.7% during the three months ended March 31, 2023, as compared to the three months ended March 31, 2022</w:t>
      </w:r>
      <w:r>
        <w:rPr>
          <w:color w:val="000000"/>
          <w:highlight w:val="white"/>
        </w:rPr>
        <w:t xml:space="preserve"> </w:t>
      </w:r>
      <w:r>
        <w:rPr>
          <w:rFonts w:ascii="Times New Roman;sans-serif" w:hAnsi="Times New Roman;sans-serif"/>
          <w:b w:val="false"/>
          <w:color w:val="000000"/>
          <w:sz w:val="20"/>
          <w:highlight w:val="white"/>
        </w:rPr>
        <w:t>primarily due to an increase of $65.2 million from additional paying users, the acquisition of FormSwift in the fourth quarter of 2022 and the repricing and repackaging of the Dropbox Standard and Dropbox Advanced plans in the second quarter of 2022. These increases were offset by a $16.5 million unfavorable impact from changes in foreign exchange rates across multiple currencies.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profit, and gross margin</w:t>
      </w:r>
    </w:p>
    <w:tbl>
      <w:tblPr>
        <w:tblW w:w="6597" w:type="dxa"/>
        <w:jc w:val="left"/>
        <w:tblInd w:w="0" w:type="dxa"/>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61"/>
        <w:gridCol w:w="503"/>
        <w:gridCol w:w="137"/>
        <w:gridCol w:w="109"/>
        <w:gridCol w:w="109"/>
        <w:gridCol w:w="109"/>
        <w:gridCol w:w="255"/>
        <w:gridCol w:w="256"/>
        <w:gridCol w:w="61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$3.9 million or 3.5% during the three months ended March 31, 2023, as compared to the three months ended March 31, 2022, primarily due to increases of $1.8 million in credit card fees, $1.5 million in employee-related costs and $1.4 million in amortization of intangible assets. These increases were offset by a decrease of $0.9 million in infrastructure cost due to lower facilities costs.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during the three months ended March 31, 2023 compared to the three months ended March 31, 2022, primarily due to an 8.7% increase in revenue during the period, which was offset by the lower percentage increase in our cost of revenue described above.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188" w:type="dxa"/>
        <w:jc w:val="left"/>
        <w:tblInd w:w="0" w:type="dxa"/>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55"/>
        <w:gridCol w:w="256"/>
        <w:gridCol w:w="61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$24.4 million or 11.6% during the three months ended March 31, 2023, as compared to the three months ended March 31, 2022, primarily due to increases of $16.0 million in employee-related costs driven by an increase in headcount offset by a $6.7 million reversal of previously recognized stock-based compensation expense from the resignation of our President and the resulting forfeiture of his unvested awards, $5.4 million in software subscription licenses and $3.0 million in allocated overhead. </w:t>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528" w:type="dxa"/>
        <w:jc w:val="left"/>
        <w:tblInd w:w="0" w:type="dxa"/>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511"/>
        <w:gridCol w:w="109"/>
        <w:gridCol w:w="109"/>
        <w:gridCol w:w="109"/>
        <w:gridCol w:w="109"/>
        <w:gridCol w:w="228"/>
        <w:gridCol w:w="554"/>
        <w:gridCol w:w="119"/>
        <w:gridCol w:w="109"/>
        <w:gridCol w:w="109"/>
        <w:gridCol w:w="109"/>
        <w:gridCol w:w="255"/>
        <w:gridCol w:w="256"/>
        <w:gridCol w:w="614"/>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$23.5 million or 24.6% during the three months ended March 31, 2023, as compared to the three months ended March 31, 2022, primarily due to increases of $15.3 million related to advertising and other marketing related expenses, $4.8 million in employee-related costs, $2.2 million in amortization of intangible assets and $1.0 million in app store fees due to increased sales.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889" w:type="dxa"/>
        <w:jc w:val="left"/>
        <w:tblInd w:w="0" w:type="dxa"/>
        <w:tblCellMar>
          <w:top w:w="28" w:type="dxa"/>
          <w:left w:w="28" w:type="dxa"/>
          <w:bottom w:w="28" w:type="dxa"/>
          <w:right w:w="28" w:type="dxa"/>
        </w:tblCellMar>
      </w:tblPr>
      <w:tblGrid>
        <w:gridCol w:w="837"/>
        <w:gridCol w:w="735"/>
        <w:gridCol w:w="737"/>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11"/>
        <w:gridCol w:w="211"/>
        <w:gridCol w:w="61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$2.3 million or 4.3% during the three months ended March 31, 2023, as compared to the three months ended March 31, 2022, primarily due to increases of $4.8 million in employee-related costs, $0.5 million in allocated overhead, and $0.4 million in outside services. This increase was offset by a decrease of $3.9 million in non-income based taxes.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Interest income (expense), net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increased by $5.3 million during the three months ended March 31, 2023, as compared to the three months ended March 31, 2022, primarily due to higher interest income as a result of interest rate increases.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Other (loss) income, net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(loss) income, net decreased $6.1 million during the three months ended March 31, 2023, as compared to the three months ended March 31, 2022, primarily due to a $2.6 million reduction in sales of retired infrastructure asset, $2.0 million in foreign currency transaction losses, and $1.1 million in losses from the sale of short-term investments.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highlight w:val="white"/>
        </w:rPr>
        <w:t>Provision for income taxes increased</w:t>
      </w:r>
      <w:r>
        <w:rPr>
          <w:color w:val="000000"/>
        </w:rPr>
        <w:t xml:space="preserve"> </w:t>
      </w:r>
      <w:r>
        <w:rPr>
          <w:rFonts w:ascii="Times New Roman;sans-serif" w:hAnsi="Times New Roman;sans-serif"/>
          <w:b w:val="false"/>
          <w:color w:val="000000"/>
          <w:sz w:val="20"/>
        </w:rPr>
        <w:t>$4.5 million</w:t>
      </w:r>
      <w:r>
        <w:rPr>
          <w:color w:val="000000"/>
          <w:highlight w:val="white"/>
        </w:rPr>
        <w:t xml:space="preserve"> </w:t>
      </w:r>
      <w:r>
        <w:rPr>
          <w:rFonts w:ascii="Times New Roman;sans-serif" w:hAnsi="Times New Roman;sans-serif"/>
          <w:b w:val="false"/>
          <w:color w:val="000000"/>
          <w:sz w:val="20"/>
          <w:highlight w:val="white"/>
        </w:rPr>
        <w:t>during the three months ended March 31, 2023, as compared to the three months ended March 31, 2022,</w:t>
      </w:r>
      <w:r>
        <w:rPr>
          <w:color w:val="000000"/>
        </w:rPr>
        <w:t xml:space="preserve"> </w:t>
      </w:r>
      <w:r>
        <w:rPr>
          <w:rFonts w:ascii="Times New Roman;sans-serif" w:hAnsi="Times New Roman;sans-serif"/>
          <w:b w:val="false"/>
          <w:color w:val="000000"/>
          <w:sz w:val="20"/>
        </w:rPr>
        <w:t xml:space="preserve">primarily due to the impact of the full U.S. valuation allowance on the prior year provision for income taxes. </w:t>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$332.7 million and short-term investments of $920.4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March 31, 2023, we had $228.2 million of our cash and cash equivalents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times. We believe these policies mitigate our exposure to any risk concentrations.</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our failure to comply with certain of our reporting obligations. These Notes can be converted or repurchased prior to maturity if certain conditions are met.</w:t>
      </w:r>
    </w:p>
    <w:p>
      <w:pPr>
        <w:pStyle w:val="TextBody"/>
        <w:spacing w:lineRule="auto" w:line="288" w:before="0" w:after="0"/>
        <w:ind w:left="0" w:right="0" w:firstLine="450"/>
        <w:rPr/>
      </w:pPr>
      <w:r>
        <w:rPr>
          <w:rFonts w:ascii="Times New Roman;sans-serif" w:hAnsi="Times New Roman;sans-serif"/>
          <w:b w:val="false"/>
          <w:color w:val="000000"/>
          <w:sz w:val="20"/>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w:t>
      </w:r>
      <w:r>
        <w:rPr>
          <w:rFonts w:ascii="Times New Roman;sans-serif" w:hAnsi="Times New Roman;sans-serif"/>
          <w:b w:val="false"/>
          <w:color w:val="000000"/>
          <w:sz w:val="20"/>
          <w:highlight w:val="white"/>
        </w:rPr>
        <w:t>1.2 billion</w:t>
      </w:r>
      <w:r>
        <w:rPr>
          <w:color w:val="000000"/>
        </w:rPr>
        <w:t xml:space="preserve"> </w:t>
      </w:r>
      <w:r>
        <w:rPr>
          <w:rFonts w:ascii="Times New Roman;sans-serif" w:hAnsi="Times New Roman;sans-serif"/>
          <w:b w:val="false"/>
          <w:color w:val="000000"/>
          <w:sz w:val="20"/>
        </w:rPr>
        <w:t xml:space="preserve">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months ended March 31, 2023, we repurchased and subsequently retired 8.1 million shares of our Class A common stock for an aggregate amount of $176.5 million. </w:t>
      </w:r>
      <w:r>
        <w:rPr>
          <w:rFonts w:ascii="Times New Roman;sans-serif" w:hAnsi="Times New Roman;sans-serif"/>
          <w:b w:val="false"/>
          <w:color w:val="000000"/>
          <w:sz w:val="20"/>
          <w:highlight w:val="white"/>
        </w:rPr>
        <w:t xml:space="preserve">Included in the cost of treasury stock acquired pursuant to common share repurchases is the 1% excise tax imposed as part of the Inflation Reduction Act. </w:t>
      </w:r>
      <w:r>
        <w:rPr>
          <w:rFonts w:ascii="Times New Roman;sans-serif" w:hAnsi="Times New Roman;sans-serif"/>
          <w:b w:val="false"/>
          <w:color w:val="000000"/>
          <w:sz w:val="20"/>
        </w:rPr>
        <w:t>The pace of our share repurchases may fluctuate due to various circumstances, including market conditions and our stock price.</w:t>
      </w:r>
    </w:p>
    <w:p>
      <w:pPr>
        <w:pStyle w:val="TextBody"/>
        <w:spacing w:before="0" w:after="0"/>
        <w:ind w:left="0" w:right="0" w:firstLine="45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2017, we entered into a $600.0 million credit facility with a syndicate of financial institutions, which we subsequently amended in February 2018, February 2021, and March 2023.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 In March 2023, we amended the revolving credit facility to update our borrowing benchmark from LIBOR to SOFR. The revolving credit facility terminates on February 23, 2026. </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March 31, 2023.</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no amounts outstanding under the revolving credit facility and an aggregate of $38.8 million in letters of credit issued under the revolving credit facility. Our total available borrowing capacity under the revolving credit facility was $461.2 million as of March 31, 2023.</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we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together with our short-term investments, cash provided by operations and amounts available under the revolving credit facility, will be sufficient to meet our needs for the foreseeable future. As of March 31, 2023, our principal commitments consist of obligations under the Notes, and cash commitments due to additional known contractual obligations.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spacing w:before="0" w:after="0"/>
        <w:ind w:left="0" w:right="0" w:firstLine="45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were as follows for the periods presented:</w:t>
      </w:r>
    </w:p>
    <w:tbl>
      <w:tblPr>
        <w:tblW w:w="7328" w:type="dxa"/>
        <w:jc w:val="left"/>
        <w:tblInd w:w="0" w:type="dxa"/>
        <w:tblCellMar>
          <w:top w:w="28" w:type="dxa"/>
          <w:left w:w="28" w:type="dxa"/>
          <w:bottom w:w="28" w:type="dxa"/>
          <w:right w:w="28" w:type="dxa"/>
        </w:tblCellMar>
      </w:tblPr>
      <w:tblGrid>
        <w:gridCol w:w="1840"/>
        <w:gridCol w:w="1620"/>
        <w:gridCol w:w="1624"/>
        <w:gridCol w:w="211"/>
        <w:gridCol w:w="616"/>
        <w:gridCol w:w="109"/>
        <w:gridCol w:w="109"/>
        <w:gridCol w:w="109"/>
        <w:gridCol w:w="109"/>
        <w:gridCol w:w="211"/>
        <w:gridCol w:w="616"/>
        <w:gridCol w:w="154"/>
      </w:tblGrid>
      <w:tr>
        <w:trPr/>
        <w:tc>
          <w:tcPr>
            <w:tcW w:w="1840"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60"/>
        <w:ind w:left="0" w:right="0" w:firstLine="45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and impairment related to real estate assets, as well as the effect of changes in operating assets and liabilities.</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provided by operating activities was $139.9 million, which primarily consisted of our net income of $69.0 million, adjusted for stock-based compensation expense of $76.0 million, depreciation and amortization expenses of $42.5 million, and net cash outflow of $76.1 million from operating assets and liabilities. The outflow from operating assets and liabilities was primarily due to the payment of our corporate bonus and key employee holdback payments related to acquisitions, offset by an increase in deferred revenue from increased subscription sales, as a majority of our paying users are invoiced in advance. </w:t>
      </w:r>
    </w:p>
    <w:p>
      <w:pPr>
        <w:pStyle w:val="TextBody"/>
        <w:spacing w:before="0" w:after="160"/>
        <w:ind w:left="0" w:right="0" w:firstLine="45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160"/>
        <w:ind w:left="0" w:right="0" w:firstLine="45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is primarily impacted by net investment activity, which includes sales, maturities, and purchases of short-term investments, cash paid for acquisitions, purchases of property and equipment to make improvements or modifications to existing and new office spaces, and for purchasing infrastructure equipment in co-location facilities that we directly lease and operate.</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provided by investing activities was $200.8 million, which primarily related to $199.4 million in net investment activity inflows, driven by the sales and maturities of short-term investments, net of purchases. The increase was partially offset by cash paid for capital expenditures of $1.9 million related to purchases of infrastructure assets at our datacenters. </w:t>
      </w:r>
    </w:p>
    <w:p>
      <w:pPr>
        <w:pStyle w:val="TextBody"/>
        <w:spacing w:lineRule="auto" w:line="288" w:before="0" w:after="160"/>
        <w:ind w:left="0" w:right="0" w:firstLine="45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is primarily impacted by cash used for repurchases of common stock, tax withholding obligations for the release of RSUs and RSAs, and principal payments on finance lease obligations for our infrastructure equipment. </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in financing activities was $241.3 million, which primarily consisted of $175.4 million for the repurchase of our common stock, $34.1 million for the satisfaction of tax withholding obligations for the release of restricted stock units and awards, and $32.0 million in principal payments on finance lease obligations.</w:t>
      </w:r>
    </w:p>
    <w:p>
      <w:pPr>
        <w:pStyle w:val="TextBody"/>
        <w:spacing w:before="0" w:after="160"/>
        <w:ind w:left="0" w:right="0" w:firstLine="450"/>
        <w:rPr/>
      </w:pPr>
      <w:r>
        <w:rPr/>
      </w:r>
    </w:p>
    <w:p>
      <w:pPr>
        <w:pStyle w:val="TextBody"/>
        <w:spacing w:before="0" w:after="160"/>
        <w:rPr/>
      </w:pPr>
      <w:r>
        <w:rPr/>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Part II, Item 7, “Critical Accounting Estimates” in our Annual Report on Form 10-K for the year ended December 31, 2022. There have been no material changes to our critical accounting policies and estimates since our Annual Report on Form 10-K for the year ended December 31, 2022.</w:t>
      </w:r>
    </w:p>
    <w:p>
      <w:pPr>
        <w:pStyle w:val="TextBody"/>
        <w:spacing w:before="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450"/>
        <w:rPr/>
      </w:pPr>
      <w:r>
        <w:rPr/>
      </w:r>
    </w:p>
    <w:p>
      <w:pPr>
        <w:pStyle w:val="TextBody"/>
        <w:spacing w:lineRule="auto" w:line="288" w:before="0" w:after="160"/>
        <w:ind w:left="0" w:right="0" w:firstLine="45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of $332.7 million and short-term investments of $920.4 million as of March 31, 2023.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 </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Any borrowings under the revolving credit facility bear interest at a variable rate tied to SOFR or an alternative base rate. As of March 31, 2023, we had no amounts outstanding under the revolving credit facility. We do not have any other long-term debt or financial liabilities with floating interest rates that would subject us to interest rate fluctuations.</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a hypothetical increase in interest rates by 100 basis points would have resulted in a $13.0 million reduction in the market value of our investment portfolio. This estimate is based on a sensitivity model that measures market value changes when changes in interest rates occur.</w:t>
      </w:r>
    </w:p>
    <w:p>
      <w:pPr>
        <w:pStyle w:val="TextBody"/>
        <w:spacing w:lineRule="auto" w:line="288" w:before="0" w:after="160"/>
        <w:ind w:left="0" w:right="0" w:firstLine="450"/>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and cash flows are subject to fluctuations due to changes in foreign currency exchange rates relative to U.S. dollars, our reporting currency. </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revenue is generated in U.S. dollars, with the remainder generated in Euros, British pounds sterling, Australian dollars, Canadian dollars, and Japanese yen. </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inflation and increased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three months ended March 31, 2023,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spacing w:before="0" w:after="0"/>
        <w:ind w:left="0" w:right="0" w:firstLine="45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recorded net foreign currency transaction gains of $0.8 million and $2.8 million during the three months ended March 31, 2023 and 2022, respectively. A hypothetical 10% change in foreign currency rates would not have resulted in material gains or losses for the three months ended March 31, 2023 and 2022, respectively.</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To date, we have not engaged in any hedging activities. As our international operations grow, we will continue to reassess our approach to managing risks relating to fluctuations in currency rates.</w:t>
      </w:r>
    </w:p>
    <w:p>
      <w:pPr>
        <w:pStyle w:val="TextBody"/>
        <w:spacing w:before="0" w:after="160"/>
        <w:ind w:left="0" w:right="0" w:firstLine="450"/>
        <w:rPr/>
      </w:pPr>
      <w:r>
        <w:rPr/>
      </w:r>
    </w:p>
    <w:p>
      <w:pPr>
        <w:pStyle w:val="TextBody"/>
        <w:spacing w:before="0" w:after="16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Inherent Limitations on Effectiveness of Disclosure Controls and Procedures</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spacing w:before="0" w:after="0"/>
        <w:ind w:left="0" w:right="0" w:firstLine="495"/>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One such matter, described below, is scheduled for the first trial phase in May 2023. While we are confident in the Company’s defenses to the asserted allegations, it is not possible to determine the outcome of this matter, and we cannot reasonably estimate the maximum potential exposure or the range of possible loss.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’158 and ’052 patents, as well as U.S. Patent Nos. 10,303,353, 10,613,737, and 10,587,548. On July 23, 2021, Motion Offense filed a related patent infringement suit against Dropbox in the Western District of Texas asserting that Dropbox also infringes U.S. Patent No. 11,044,215. The two cases have been consolidated.</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believe that Motion Offense’s allegations are without merit both because the asserted patents are invalid and because Dropbox does not infringe. The Western District of Texas has set the case for a jury trial in May 2023, and certain issues and defenses will be decided by the court outside of the jury trial. A final judgment in the district court may be appealed by either party to the Federal Circuit.</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spacing w:before="0" w:after="16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retain and upgrade paying users, and any decline in renewals or upgrades could adversely affect our future results of operations.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and may decline in any period or over time, or paying users may downgrade or not renew their subscriptions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Accordingly, an enterprise decision not to renew its license may have a large impact on our number of paying users and therefore, our business, results of operations, and financial condition.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Additionally, although we believe our multiple product strategy represents strong opportunities for future growth, at present, a significant majority of our paying customers purchase only one of our products. Furthermore, we have and may continue to see an increase in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future growth could be harmed if we fail to attract new users or convert registered users to paying users.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Any decrease in user satisfaction with our products or support could harm our brand, word-of-mouth referrals, and ability to grow.</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2023, we served over 700 million registered users but only 17.90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paying and registered user growth rates have declined and may continue to decline in the future as our pricing strategy changes, our market penetration rates increase and we turn our focus to converting registered users to paying users rather than growing the total number of registered users. The availability of less expensive and bundled competitive products also has slowed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events that financially impact our registered users and other prospective paying users, such as macroeconomic factors, layoffs, inflation, increased interest rates, or catastrophic events, may cause these users to delay or reduce technology spending, which may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growth rate will decline and operating results will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could be damaged, and we could be subject to liability, if there is any unauthorized access to our data or our users’ content, including through privacy and data security breaches or incidents.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and evolving cybersecurity threats such as the attack on SolarWinds and the Log4j vulnerability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pPr>
      <w:r>
        <w:rPr>
          <w:rFonts w:ascii="Times New Roman;sans-serif" w:hAnsi="Times New Roman;sans-serif"/>
          <w:b w:val="false"/>
          <w:color w:val="000000"/>
          <w:sz w:val="20"/>
        </w:rPr>
        <w:t>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the conflict between Russia and Ukraine.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r>
        <w:rPr>
          <w:color w:val="000000"/>
        </w:rPr>
        <w:t xml:space="preserve">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or other compromise of their networks or systems, our data or our users' data may be improperly accessed, used, or disclosed.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recent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may be significantly impacted by a change in general economic, political, and market conditions, including any resulting effect on consumer or business spending.</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affected by general economic, political, and market conditions, including any resulting negative impact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rising interest rates, unemployment trends, geopolitical issues, such as the conflict between Russia and Ukraine, lasting adverse effects of the COVID-19 pandemic, bank insolvency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ability to grow and invest in our business. As a result, our business, results of operations, and financial condition may be significantly affected by changes in the economy generally.</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operate in competitive markets, and we must continue to compete effectively.</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also compete with smaller private companies that offer point solutions in the cloud storage market or the content collaboration market. We believe the principal competitive factors in our markets include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user-centric design;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ease of adoption and use;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scale of user network;</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features and platform experience;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performance;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brand;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security and privacy;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accessibility across several devices, operating systems, and applications;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third-party integration;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customer support;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continued innovation;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pricing;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macroeconomic trends.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make it increasingly difficult for us to compete effectively. We expect these trends to continue as competitors continue to strengthen or maintain their market positions.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depends upon the interoperability of our platform across devices, operating systems, and third-party applications that we do not control.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to assure its compatibility with that of other third parties following development changes. If we are unable to ensure compatibility of our platform with desired third party services, our business may be adversely impacted.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could be harmed by any significant disruption of service on our platform or loss of content.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our user base and the amount and types of information stored, synced, and shared on our platform continue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generate revenue from sales of subscriptions to our platform, and any decline in demand for our platform, or for content collaboration solutions in general, could negatively impact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awareness of the content collaboration category generally;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availability of products and services that compete with ours;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impact, scale, and duration, of trends towards or away from remote or distributed work;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ease of adoption and use;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features and platform experience;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performance;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brand;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security and privacy;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customer support;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pricing;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macroeconomic trends.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Failure to respond to rapid technological changes, extend our platform, or develop new features or products may harm our ability to compete effectively, which would adversely affect our business.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artificial intelligence (“AI”), and while we are optimistic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that such new products will drive future growth of our business, the development of such new features could incur significant costs, and there is no guarantee that such new product offerings will ultimately be successful. Additionally, unforeseen failures in newly-developed AI technology could result in reputational harm or legal liability, and changes in the regulatory landscape relating to AI could negatively impact our business in the U.S. or in other jurisdictions where we operate.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while we believe trends towards remote or distributed work will prove to be significant and long lasting, and that these trends will open up increased market opportunities for us, such as our work on new AI-driven products,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2022 we launched Dropbox Replay, which allows users to review, approve and collaborate on video workflows, and 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not successfully manage our growth or successfully execute our plan for future growth.</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in connection with our Virtual First work model and our need to align our resources in order to create a more nimble and streamlined organization. Managing our growth will also require significant expenditures and allocation of valuable management resources.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ability to forecast our future results of operations is subject to a number of uncertainties, including our ability to effectively plan for and model future growth, and we may not receive our expected return on investments that we make in our business in the time we expect or at all.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or our investments do not result in the growth we expect, our business, results of operations, and financial condition could be harmed.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depend on our key personnel and other highly qualified personnel, and if we fail to attract, integrate, and retain our personnel, and maintain our unique corporate culture, our business could be harmed.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the continued service and performance of our key personnel. In particular, Andrew W. Houston, our Chief Executive Officer and one of our co-founders, is critical to our vision, strategic direction, culture, and offerings. From time to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time, there have been changes in our management team resulting from the hiring or departure of our executives, and there may be additional changes in the future. For example, Timothy Young stepped down as our President in February 2023.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workforce reduction in April 2023 may result in increased attrition beyond our intended reduction-in-force, reduce employee morale, and negatively impact employee recruiting and retention. If we fail to attract new personnel, or fail to retain and motivate our current personnel, our business and growth prospects could be harmed.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a limited history of operating with a Virtual First workforce and the long-term impact on our financial results and business operations remains uncertain.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continuing shift to a Virtual First work model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lack of a significant outbound sales force may limit the potential growth of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expand sales to large organizations, which could lengthen sales cycles and result in greater deployment challenges.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Any failure to offer high-quality customer support may harm our relationships with our users and our financial results.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17.90 million as of March 31, 2023.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unable to maintain and enhance our brand, our ability to expand our base of users will be impaired and our business, results of operations, and financial condition will be harmed.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are continuing to expand our operations outside the United States, where we may be subject to increased business and economic risks that could impact our results of operations.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paying users across approximately 180 countries and approximately half of our revenue in the year ended December 31, 2022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compliance with applicable international laws, regulations, and standards including laws and regulations with respect to labor and employment, privacy, data protection, cybersecurity, consumer protection, tax, export control and sanctions, and unsolicited email, and the risk of penalties to our users and individual members of management or employees if our practices are deemed to be out of compliance;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does the United States;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operating in jurisdictions that do not protect intellectual property rights in the same manner or to the same extent as does the United States;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political, social, and economic instability, conflicts, and wars, such as the conflict between Russia and Ukraine and its regional and global ramifications;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natural disasters and public health epidemics on employees, travel and the global economy.</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depend on our infrastructure and third-party datacenters, and any disruption in the operation of these facilities or failure to renew the services could adversely affect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relationships with third parties to provide, develop, and create applications that integrate with our platform, and our business could be harmed if we are unable to continue these relationships.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also depend on our ecosystem of developers to create applications that will integrate with our platform. As of December 31, 2022,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may not have the ability to control or prevent these risks. As a result, issues relating to these applications could adversely affect our business, brand, and reputation.</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offer and sell subscriptions to our platform and subject us to possible litigation.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could be harmed by real or perceived material defects or errors in our platform.</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 us to issue refunds to our users or expose us to claims for damages;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cause us to lose existing users and make it more difficult to attract new users;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increase our technical support costs;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harm our reputation and brand.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We have acquired, and may in the future acquire, other businesses and technologies, which could require significant management attention, disrupt our business operations, cause us to incur debt or dilute stockholder value.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have acquired, and may in the future acquire, other companies, employee teams, or technologies to complement or expand our products, obtain personnel, or otherwise complement or grow our business. For example, in the fourth fiscal quarter of 2022, we acquired key assets from Boxcryptor, a provider of end-to-end "zero knowledge" encryption for cloud storage services, with plans to embed these capabilities natively within Dropbox to provide an additional layer of data protection for certain of our customers on paid plans. Additionally, in the fourth fiscal quarter of 2022, we acquired FormSwift, a cloud-based service that provides users the ability to create, edit, and save critical business forms and agreements.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pursuit of acquisitions may divert the attention of management and cause us to incur various expenses in identifying, investigating, and pursuing suitable acquisitions, whether or not they are consummated.</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may not be able to find suitable acquisition candidates and we may not be able to complete acquisitions on favorable terms, if at all, and even if we are able to identify suitable acquisition candidates, we may not be able to receive approval from the applicable competition authorities, or such target may be acquired by another company, including one of our competitors. If we do complete acquisitions, we may not ultimately strengthen our competitive position or achieve the anticipated benefits from such acquisitions, due to a number of factors, including: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acquisition-related costs, liabilities, or tax impacts, some of which may be unanticipated;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difficulty utilizing or integrating the acquired intellectual property, technology infrastructure, and operations;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difficulty integrating and retaining key employees of acquired businesses and related challenges motivating and retaining our key employees after such acquisition;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ineffective or inadequate, controls, procedures, or policies at an acquired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inability to effectively offer, price, and support multiple product lines or services offerings of acquired businesses;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inability to maintain relationships with key customers, suppliers, and partners of an acquired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to accurately forecast the financial impact of an acquisition transaction, including accounting charges;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challenges integrating accounting, finance and forecasting practices of acquired business within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lack of experience in new markets, products or technologies;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inability to effectively integrate brand identity of acquired businesses within those of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diversion of management's attention from other business concerns;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use of resources that are needed in other parts of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Any acquisition we complete could be viewed negatively by users, developers, partners, or investors, and could have adverse effects on our existing business relationships, financial condition, or the value of our capital stock.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current and future indebtedness may limit our operating flexibility or otherwise affect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such current and future indebtedness could: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make it more difficult for us to satisfy our debt obligations, including the 2026 Notes and the 2028 Notes;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increase our vulnerability to general adverse economic and industry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 our flexibility in planning for, or reacting to, changes in our business and the industry in which we operate;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restrict our current and future operations, make it more difficult to successfully execute our business strategy, or restrict us from exploiting business opportunities;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place us at a competitive disadvantage compared to our competitors that have less indebtedness or are not subject to restrictive covenants;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restrict or otherwise impact the pace and timing of repurchases under our stock repurchase program;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 our availability to borrow additional funds for working capital, capital expenditures, acquisitions, debt service requirements, execution of our business strategy, or other general purposes.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have a material adverse effect on our business, cash flows,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operations may be interrupted and our business, results of operations, and financial condition could be adversely affected if we default on our leasing or credit obligations.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finance a significant portion of our expenditures through leasing arrangements, and we may enter into additional similar arrangements in the future. As of December 31, 2022, we had an aggregate of $1,157.6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 repayment of any outstanding lease obligations;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terminate our leasing arrangements;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terminate our access to the leased datacenters we utilize;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stop delivery of ordered equipment;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sell or require us to return our leased equipment;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 repayment of any outstanding amounts drawn on our revolving credit facility;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terminate our revolving credit facility; or</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 us to pay significant fees, penalties, or damages.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Financial Performance or Results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revenue growth rate has declined in recent periods and may continue to slow in the future.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a history of net losses, we may increase expenses in the future, and we may not be able to achieve or maintain profitability.</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Although we had been profitable on a GAAP basis in prior fiscal quarters, 2021 was our first profitable full fiscal year. We may, however, not achieve or maintain profitability in future periods, or, if we are profitable, we may not fully achieve our profitability targets. We incurred net losses on an annual basis from our inception through 2020. We generated net income of $553.2 million and $335.8 million during the years ended December 31, 2022 and 2021, respectively and we had an accumulated deficit of $2,772.1 million as of March 31, 2023. As we strive to grow our business, expenses may increase, particularly as we continue to make investments to scale our business, reposition our products or respond to new technologies.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Servicing our 2026 Notes and 2028 Notes may require a significant amount of cash, and we may not have sufficient cash flow or the ability to raise the funds necessary to satisfy our obligations under the 2026 Notes or 2028 Notes.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may not fully reflect the underlying performance of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retain and upgrade paying users;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attract new paying users and convert registered to paying users;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timing of expenses and recognition of revenue;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entry into operating and finance leases;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timing of expenses related to acquisitions;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our pricing policies or those of our competitors;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timing and success of new product feature and service introductions by us or our competitors;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network outages or actual or perceived security breaches;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laws and regulations that impact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general economic and market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fluctuations in foreign currency exchange rates;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catastrophic events, including earthquakes, fires, floods, tsunamis, or other weather events, power loss, telecommunications failures, software or hardware malfunctions, cyber-attack, war, or terrorist attacks, and pandemics;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reserves or other non-cash credits or charges, such as the impairment charges as a result of adverse changes in the corporate real estate market which has impacted our subleasing strategy in conjunction with our shift to Virtual First, and releases of deferred tax asset valuation allowances; and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other impacts of shifting our operations to a Virtual First work model.</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Fluctuation in quarterly results may negatively impact the value of our securities.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results of operations may not immediately reflect downturns or upturns in sales because we recognize revenue from our users over the term of their subscriptions with us.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results of operations, which are reported in U.S. dollars, could be adversely affected if currency exchange rates fluctuate substantially in the future.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2022,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convertible note hedge transactions.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tax credits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operating results may be harmed if we are required to collect sales or other related taxes for our subscription services in jurisdictions where we have not historically done so.</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results of operations and financial condition could be materially affected by the enactment of legislation implementing changes in the U.S. or foreign taxation of international business activities or the adoption of other tax reform policies.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For example, many countries and the Organization for Economic Cooperation and Development (“OECD”)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by December 31, 2023. In addition, the United States recently enacted the “Inflation Reduction Act” (“IRA”), which includes a 15% book-income alternative minimum tax for corporations with financial accounting profits over $1 billion and a 1% excise tax on the value of certain stock repurchases by publicly traded corporations. The alternative minimum tax is not expected to have a material adverse impact on our business, results of operations, financial conditions, and cash flows; however, if we repurchase stock pursuant to our stock repurchase program or otherwise, the 1% excise tax on stock repurchases generally will increase the costs to us of such repurchases. Other changes to U.S. or non-U.S. tax laws could have an adverse impact on our business, results of operations, financial condition and cash flows.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pStyle w:val="TextBody"/>
        <w:spacing w:before="0" w:after="0"/>
        <w:rPr/>
      </w:pPr>
      <w:r>
        <w:rPr/>
      </w:r>
    </w:p>
    <w:p>
      <w:pPr>
        <w:pStyle w:val="TextBody"/>
        <w:spacing w:before="0" w:after="0"/>
        <w:rPr/>
      </w:pPr>
      <w:r>
        <w:rPr/>
      </w:r>
    </w:p>
    <w:p>
      <w:pPr>
        <w:pStyle w:val="TextBody"/>
        <w:spacing w:lineRule="auto" w:line="288" w:before="0" w:after="0"/>
        <w:ind w:left="0" w:right="0" w:firstLine="1170"/>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Compliance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are subject to export and import control laws and regulations that could impair our ability to compete in international markets or subject us to liability if we violate such laws and regulations.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privacy, data protection, and information security laws, regulations, and obligations could harm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("CJEU") invalidated Decision 2016/1250 on the adequacy of the protection provided by the U.S.-EU Privacy Shield Framework, and on September 8, 2020, the Swiss Federal Data Protection and Information Commissioner announced that it no longer considers the U.S.-Swiss Privacy Shield adequate for the purposes of transfers of personal data from Switzerland to the U.S. 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In its decision invalidating the U.S.-EU Privacy Shield Framework, the CJEU also imposed additional obligations on companies relying on standard contractual clauses approved by the European Commission (“SCCs”) to transfer personal data. The CJEU decision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such as Virginia, which in March 2021 enacted a Consumer Data Protection Act that went into effect January 1, 2023, Colorado, which in June 2021 enacted a Colorado Privacy Act that will go into effect July 1, 2023, Utah, which in March 2022 enacted a Utah Consumer Privacy Act that will go into effect July 1, 2023, Connecticut, which in May 2022 enacted a similar law, An Act Concerning Personal Data Privacy and Online Monitoring, which will go into effect July 1, 2023, and Iowa, which in March 2023 enacted an Act Relating to Consumer Data Protection, which will go into effect January 1, 2025. Similar laws are being considered by other state legislatures. These developments create the potential for a patchwork of overlapping but different state laws.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could be adversely impacted by changes in internet access for our users or laws specifically governing the internet.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implement usage-based pricing;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discount pricing for competitive products;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otherwise materially change their pricing rates or schemes;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charge us to deliver our traffic at certain levels or at all;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throttle traffic based on its source or type;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implement bandwidth caps or other usage restrictions; or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otherwise try to monetize or control access to their networks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as discussed above in the section titled “Legal Proceedings,” we are currently involved in legal proceedings against Motion Offense, which allege that Dropbox infringes certain of its patents. Although we assert that Motion Offense’s allegations are without merit both because the asserted patents are invalid and because Dropbox does not infringe, it is not possible presently to either (i) determine the outcome of this matter or (ii) estimate any maximum possible exposure or range of possible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1,550 issued patents and more than 350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anticipated changes in our key metrics;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perceived breaches of, or failures related to, privacy, data protection or data security;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significant change in our management;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 war, such as the conflict between Russia and Ukraine, or terrorist attacks, and pandemics.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multi-class structure of our common stock has the effect of concentrating voting control with those stockholders who held our capital stock prior to the completion of our IPO, and it may depress the trading price of our Class A common stock.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one vote per share, our Class B common stock has ten votes per share, and our Class C common stock has no voting rights, except as otherwise required by law. As of March 31, 2023, our directors, executive officers and holders of more than 5% of our common stock, and their respective affiliates, held in the aggregate 82.5% of the voting power of our capital stock, with Mr. Houston holding approximately 74.7% of the voting power of our capital stock. We are including the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Substantial future sales could depress the market price of our Class A common stock.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Transactions relating to our 2026 Notes and 2028 Notes may dilute the ownership interest of stockholders, or may otherwise depress the price of our common stock.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issuances of shares of our Class A common stock upon conversion of the 2026 Notes or 2028 Notes could depress the price of our Class A common stock.</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Delaware law and provisions in our restated certificate of incorporation and restated bylaws could make a merger, tender offer, or proxy contest difficult, thereby depressing the market price of our Class A common stock.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transaction that would result in a change in control of our company requires the approval of a majority of our outstanding Class B common stock voting as a separate class;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amended and restated bylaws will provide that approval of stockholders holding two-thirds of our outstanding voting power voting as a single class is required for stockholders to amend or adopt any provision of our bylaws;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after the Voting Threshold Date our stockholders will only be able to take action at a meeting of stockholders, and will not be able to take action by written consent for any matter;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until the Voting Threshold Date, our stockholders will be able to act by written consent only if the action is first recommended or approved by the Board of Directors;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vacancies on our Board of Directors will be able to be filled only by our Board of Directors and not by stockholders;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certain litigation against us may be required to be brought in Delaware;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the approval of the holders of Class A common stock;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We cannot guarantee that our stock repurchase program will be fully implemented or that it will enhance long-term stockholder value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and in February 2022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excise tax on the value of certain stock repurchase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pStyle w:val="TextBody"/>
        <w:spacing w:before="0" w:after="0"/>
        <w:ind w:left="0" w:right="0" w:firstLine="450"/>
        <w:rPr/>
      </w:pPr>
      <w:r>
        <w:rPr/>
      </w:r>
    </w:p>
    <w:p>
      <w:pPr>
        <w:pStyle w:val="TextBody"/>
        <w:spacing w:lineRule="auto" w:line="288" w:before="0" w:after="0"/>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adversely impact our results of operations.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In addition to introducing a new minimum corporate income tax on certain large corporations, and an excise tax of 1% on certain share repurchases by corporations, the recently enacted IRA increased funding for the Internal Revenue Service (“IRS”). Although we do not anticipate the new corporate minimum income tax will currently apply, changes in the business and pending regulations on the interpretation and application of the new corporate minimum tax may have adverse tax consequences for us. The excise tax on share repurchases applies to any repurchase of stock (including transactions deemed to be repurchases for U.S. income tax purposes) we undertake, which will generally increase the costs to us of any share repurchases.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from our independent registered public accounting firm, we could be subject to investigations or sanctions by regulatory authorities and we could incur substantial expenses.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with respect to Dropbox's repurchases of Class A common stock during the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quarter ended March 31, 2023. </w:t>
      </w:r>
    </w:p>
    <w:tbl>
      <w:tblPr>
        <w:tblW w:w="10205" w:type="dxa"/>
        <w:jc w:val="center"/>
        <w:tblInd w:w="0" w:type="dxa"/>
        <w:tblCellMar>
          <w:top w:w="28" w:type="dxa"/>
          <w:left w:w="28" w:type="dxa"/>
          <w:bottom w:w="28" w:type="dxa"/>
          <w:right w:w="28" w:type="dxa"/>
        </w:tblCellMar>
      </w:tblPr>
      <w:tblGrid>
        <w:gridCol w:w="395"/>
        <w:gridCol w:w="289"/>
        <w:gridCol w:w="294"/>
        <w:gridCol w:w="109"/>
        <w:gridCol w:w="109"/>
        <w:gridCol w:w="109"/>
        <w:gridCol w:w="533"/>
        <w:gridCol w:w="533"/>
        <w:gridCol w:w="535"/>
        <w:gridCol w:w="109"/>
        <w:gridCol w:w="109"/>
        <w:gridCol w:w="109"/>
        <w:gridCol w:w="296"/>
        <w:gridCol w:w="866"/>
        <w:gridCol w:w="153"/>
        <w:gridCol w:w="109"/>
        <w:gridCol w:w="109"/>
        <w:gridCol w:w="109"/>
        <w:gridCol w:w="726"/>
        <w:gridCol w:w="726"/>
        <w:gridCol w:w="728"/>
        <w:gridCol w:w="109"/>
        <w:gridCol w:w="109"/>
        <w:gridCol w:w="109"/>
        <w:gridCol w:w="547"/>
        <w:gridCol w:w="1870"/>
        <w:gridCol w:w="406"/>
      </w:tblGrid>
      <w:tr>
        <w:trPr/>
        <w:tc>
          <w:tcPr>
            <w:tcW w:w="39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9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Total Number of Shares Purchased (in millions)</w:t>
            </w:r>
            <w:r>
              <w:rPr>
                <w:rFonts w:ascii="Times New Roman;sans-serif" w:hAnsi="Times New Roman;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Average Price Paid per Share</w:t>
            </w:r>
            <w:r>
              <w:rPr>
                <w:rFonts w:ascii="Times New Roman;sans-serif" w:hAnsi="Times New Roman;sans-serif"/>
                <w:b w:val="false"/>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Total Number of Shares Purchased as Part of Publicly Announced Programs</w:t>
            </w:r>
          </w:p>
          <w:p>
            <w:pPr>
              <w:pStyle w:val="TableContents"/>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Approximate Dollar Value of Shares that May Yet Be Purchased Under Publicly Announced Programs</w:t>
            </w:r>
          </w:p>
          <w:p>
            <w:pPr>
              <w:pStyle w:val="TableContents"/>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r>
      <w:tr>
        <w:trPr/>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1 - 31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695.72 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2.42</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644.34 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572.32 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On February 17, 2022, we announced that our Board of Directors authorized the repurchase of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condensed consolidated financial statements included elsewhere in this Quarterly Report on Form 10-Q for additional information related to share repurchases.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Average price paid per share includes costs associated with the repurchases, excluding the 1% excise tax.</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Includes 150,924 shares of restricted common stock withheld by the Company upon vesting of restricted stock awards to satisfy tax withholding requirements.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6.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filed the exhibits listed on the accompanying Exhibit Index, which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567"/>
        <w:gridCol w:w="1567"/>
        <w:gridCol w:w="1583"/>
        <w:gridCol w:w="109"/>
        <w:gridCol w:w="109"/>
        <w:gridCol w:w="109"/>
        <w:gridCol w:w="170"/>
        <w:gridCol w:w="170"/>
        <w:gridCol w:w="171"/>
        <w:gridCol w:w="109"/>
        <w:gridCol w:w="109"/>
        <w:gridCol w:w="109"/>
        <w:gridCol w:w="240"/>
        <w:gridCol w:w="240"/>
        <w:gridCol w:w="241"/>
        <w:gridCol w:w="109"/>
        <w:gridCol w:w="109"/>
        <w:gridCol w:w="109"/>
        <w:gridCol w:w="442"/>
        <w:gridCol w:w="442"/>
        <w:gridCol w:w="443"/>
        <w:gridCol w:w="109"/>
        <w:gridCol w:w="109"/>
        <w:gridCol w:w="109"/>
        <w:gridCol w:w="170"/>
        <w:gridCol w:w="170"/>
        <w:gridCol w:w="248"/>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from 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with SEC</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q123.htm">
              <w:r>
                <w:rPr>
                  <w:rStyle w:val="InternetLink"/>
                  <w:rFonts w:ascii="Times New Roman;sans-serif" w:hAnsi="Times New Roman;sans-serif"/>
                  <w:b w:val="false"/>
                  <w:color w:val="0000FF"/>
                  <w:sz w:val="16"/>
                  <w:u w:val="single"/>
                </w:rPr>
                <w:t>Certification of Principal Executive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q123.htm">
              <w:r>
                <w:rPr>
                  <w:rStyle w:val="InternetLink"/>
                  <w:rFonts w:ascii="Times New Roman;sans-serif" w:hAnsi="Times New Roman;sans-serif"/>
                  <w:b w:val="false"/>
                  <w:color w:val="0000FF"/>
                  <w:sz w:val="16"/>
                  <w:u w:val="single"/>
                </w:rPr>
                <w:t>Certification of Principal Financial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q123.htm">
              <w:r>
                <w:rPr>
                  <w:rStyle w:val="InternetLink"/>
                  <w:rFonts w:ascii="Times New Roman;sans-serif" w:hAnsi="Times New Roman;sans-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following financial statements from the Company's Quarterly Report on Form 10-Q for the quarter ended March 31, 2023,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16"/>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1e5b6d7b1eda468aa0f90b1989b0b206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00" w:type="dxa"/>
        <w:jc w:val="left"/>
        <w:tblInd w:w="0" w:type="dxa"/>
        <w:tblCellMar>
          <w:top w:w="28" w:type="dxa"/>
          <w:left w:w="28" w:type="dxa"/>
          <w:bottom w:w="28" w:type="dxa"/>
          <w:right w:w="28" w:type="dxa"/>
        </w:tblCellMar>
      </w:tblPr>
      <w:tblGrid>
        <w:gridCol w:w="200"/>
        <w:gridCol w:w="177"/>
        <w:gridCol w:w="178"/>
        <w:gridCol w:w="379"/>
        <w:gridCol w:w="379"/>
        <w:gridCol w:w="381"/>
        <w:gridCol w:w="167"/>
        <w:gridCol w:w="167"/>
        <w:gridCol w:w="167"/>
        <w:gridCol w:w="167"/>
        <w:gridCol w:w="167"/>
        <w:gridCol w:w="167"/>
        <w:gridCol w:w="717"/>
        <w:gridCol w:w="717"/>
        <w:gridCol w:w="107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295" w:type="dxa"/>
        <w:jc w:val="center"/>
        <w:tblInd w:w="0" w:type="dxa"/>
        <w:tblCellMar>
          <w:top w:w="28" w:type="dxa"/>
          <w:left w:w="28" w:type="dxa"/>
          <w:bottom w:w="28" w:type="dxa"/>
          <w:right w:w="28" w:type="dxa"/>
        </w:tblCellMar>
      </w:tblPr>
      <w:tblGrid>
        <w:gridCol w:w="200"/>
        <w:gridCol w:w="177"/>
        <w:gridCol w:w="178"/>
        <w:gridCol w:w="379"/>
        <w:gridCol w:w="379"/>
        <w:gridCol w:w="381"/>
        <w:gridCol w:w="134"/>
        <w:gridCol w:w="134"/>
        <w:gridCol w:w="136"/>
        <w:gridCol w:w="109"/>
        <w:gridCol w:w="109"/>
        <w:gridCol w:w="109"/>
        <w:gridCol w:w="1134"/>
        <w:gridCol w:w="1134"/>
        <w:gridCol w:w="160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W. Houston, certify that: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Dropbox,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bl>
      <w:tblPr>
        <w:tblW w:w="3531" w:type="dxa"/>
        <w:jc w:val="right"/>
        <w:tblInd w:w="0" w:type="dxa"/>
        <w:tblCellMar>
          <w:top w:w="28" w:type="dxa"/>
          <w:left w:w="28" w:type="dxa"/>
          <w:bottom w:w="28" w:type="dxa"/>
          <w:right w:w="28" w:type="dxa"/>
        </w:tblCellMar>
      </w:tblPr>
      <w:tblGrid>
        <w:gridCol w:w="124"/>
        <w:gridCol w:w="109"/>
        <w:gridCol w:w="109"/>
        <w:gridCol w:w="238"/>
        <w:gridCol w:w="238"/>
        <w:gridCol w:w="238"/>
        <w:gridCol w:w="721"/>
        <w:gridCol w:w="721"/>
        <w:gridCol w:w="10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9"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Timothy J. Regan, certify that: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Dropbox,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bl>
      <w:tblPr>
        <w:tblW w:w="4820" w:type="dxa"/>
        <w:jc w:val="left"/>
        <w:tblInd w:w="0" w:type="dxa"/>
        <w:tblCellMar>
          <w:top w:w="28" w:type="dxa"/>
          <w:left w:w="28" w:type="dxa"/>
          <w:bottom w:w="28" w:type="dxa"/>
          <w:right w:w="28" w:type="dxa"/>
        </w:tblCellMar>
      </w:tblPr>
      <w:tblGrid>
        <w:gridCol w:w="124"/>
        <w:gridCol w:w="109"/>
        <w:gridCol w:w="109"/>
        <w:gridCol w:w="238"/>
        <w:gridCol w:w="238"/>
        <w:gridCol w:w="238"/>
        <w:gridCol w:w="1100"/>
        <w:gridCol w:w="1100"/>
        <w:gridCol w:w="15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8"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4"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Accounting and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CERTIFICATIONS OF PRINCIPAL EXECUTIVE OFFICER AND PRINCIPAL FINANCIAL OFFICER</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Andrew W. Houston, certify, pursuant to 18 U.S.C. Section 1350, as adopted pursuant to Section 906 of the Sarbanes-Oxley Act of 2002, that the Quarterly Report on Form 10-Q of Dropbox, Inc. for the fiscal quarter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5532" w:type="dxa"/>
        <w:jc w:val="center"/>
        <w:tblInd w:w="0" w:type="dxa"/>
        <w:tblCellMar>
          <w:top w:w="28" w:type="dxa"/>
          <w:left w:w="28" w:type="dxa"/>
          <w:bottom w:w="28" w:type="dxa"/>
          <w:right w:w="28" w:type="dxa"/>
        </w:tblCellMar>
      </w:tblPr>
      <w:tblGrid>
        <w:gridCol w:w="244"/>
        <w:gridCol w:w="215"/>
        <w:gridCol w:w="216"/>
        <w:gridCol w:w="434"/>
        <w:gridCol w:w="434"/>
        <w:gridCol w:w="436"/>
        <w:gridCol w:w="238"/>
        <w:gridCol w:w="238"/>
        <w:gridCol w:w="243"/>
        <w:gridCol w:w="829"/>
        <w:gridCol w:w="829"/>
        <w:gridCol w:w="1176"/>
      </w:tblGrid>
      <w:tr>
        <w:trPr/>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1304"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May 8, 2023</w:t>
            </w:r>
          </w:p>
        </w:tc>
        <w:tc>
          <w:tcPr>
            <w:tcW w:w="7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Andrew W. Houston</w:t>
            </w:r>
          </w:p>
        </w:tc>
      </w:tr>
      <w:tr>
        <w:trPr/>
        <w:tc>
          <w:tcPr>
            <w:tcW w:w="675"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834"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Andrew W. Houston</w:t>
            </w:r>
          </w:p>
        </w:tc>
      </w:tr>
      <w:tr>
        <w:trPr/>
        <w:tc>
          <w:tcPr>
            <w:tcW w:w="675"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675"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spacing w:lineRule="auto" w:line="288"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p>
            <w:pPr>
              <w:pStyle w:val="TableContents"/>
              <w:spacing w:before="20" w:after="283"/>
              <w:rPr/>
            </w:pPr>
            <w:r>
              <w:rPr/>
            </w:r>
          </w:p>
        </w:tc>
      </w:tr>
    </w:tbl>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Timothy J. Regan, certify, pursuant to 18 U.S.C. Section 1350, as adopted pursuant to Section 906 of the Sarbanes-Oxley Act of 2002, that the Quarterly Report on Form 10-Q of Dropbox, Inc. for the fiscal quarter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7017" w:type="dxa"/>
        <w:jc w:val="center"/>
        <w:tblInd w:w="0" w:type="dxa"/>
        <w:tblCellMar>
          <w:top w:w="28" w:type="dxa"/>
          <w:left w:w="28" w:type="dxa"/>
          <w:bottom w:w="28" w:type="dxa"/>
          <w:right w:w="28" w:type="dxa"/>
        </w:tblCellMar>
      </w:tblPr>
      <w:tblGrid>
        <w:gridCol w:w="244"/>
        <w:gridCol w:w="215"/>
        <w:gridCol w:w="216"/>
        <w:gridCol w:w="434"/>
        <w:gridCol w:w="434"/>
        <w:gridCol w:w="436"/>
        <w:gridCol w:w="238"/>
        <w:gridCol w:w="238"/>
        <w:gridCol w:w="243"/>
        <w:gridCol w:w="1265"/>
        <w:gridCol w:w="1265"/>
        <w:gridCol w:w="1789"/>
      </w:tblGrid>
      <w:tr>
        <w:trPr/>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1304"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May 8, 2023</w:t>
            </w:r>
          </w:p>
        </w:tc>
        <w:tc>
          <w:tcPr>
            <w:tcW w:w="7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Timothy J. Regan</w:t>
            </w:r>
          </w:p>
        </w:tc>
      </w:tr>
      <w:tr>
        <w:trPr/>
        <w:tc>
          <w:tcPr>
            <w:tcW w:w="675"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319"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Timothy J. Regan</w:t>
            </w:r>
          </w:p>
        </w:tc>
      </w:tr>
      <w:tr>
        <w:trPr/>
        <w:tc>
          <w:tcPr>
            <w:tcW w:w="675"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3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675"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and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49840</Words>
  <CharactersWithSpaces>321222</CharactersWithSpaces>
  <Paragraphs>3166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