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110490</wp:posOffset>
            </wp:positionV>
            <wp:extent cx="1758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125095</wp:posOffset>
            </wp:positionV>
            <wp:extent cx="17589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2" w:lineRule="exact"/>
        <w:rPr>
          <w:sz w:val="24"/>
          <w:szCs w:val="24"/>
          <w:color w:val="auto"/>
        </w:rPr>
      </w:pPr>
    </w:p>
    <w:p>
      <w:pPr>
        <w:ind w:left="4040" w:right="2100" w:hanging="4034"/>
        <w:spacing w:after="0" w:line="254" w:lineRule="auto"/>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2023</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3720" w:right="2080" w:hanging="3714"/>
        <w:spacing w:after="0" w:line="254" w:lineRule="auto"/>
        <w:tabs>
          <w:tab w:leader="none" w:pos="21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64770</wp:posOffset>
            </wp:positionV>
            <wp:extent cx="2964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Dropbox,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111125</wp:posOffset>
            </wp:positionV>
            <wp:extent cx="2964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65" w:lineRule="exact"/>
        <w:rPr>
          <w:sz w:val="24"/>
          <w:szCs w:val="24"/>
          <w:color w:val="auto"/>
        </w:rPr>
      </w:pPr>
    </w:p>
    <w:p>
      <w:pPr>
        <w:ind w:left="2040"/>
        <w:spacing w:after="0"/>
        <w:tabs>
          <w:tab w:leader="none" w:pos="9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26-0138832</w:t>
      </w:r>
    </w:p>
    <w:p>
      <w:pPr>
        <w:spacing w:after="0" w:line="37" w:lineRule="exact"/>
        <w:rPr>
          <w:sz w:val="24"/>
          <w:szCs w:val="24"/>
          <w:color w:val="auto"/>
        </w:rPr>
      </w:pPr>
    </w:p>
    <w:p>
      <w:pPr>
        <w:ind w:left="520"/>
        <w:spacing w:after="0"/>
        <w:tabs>
          <w:tab w:leader="none" w:pos="8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129540</wp:posOffset>
            </wp:positionV>
            <wp:extent cx="2964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1800 Owens Street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94158</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(415) 857-6800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103505</wp:posOffset>
            </wp:positionV>
            <wp:extent cx="2964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34925</wp:posOffset>
            </wp:positionV>
            <wp:extent cx="6247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7765" cy="8255"/>
                    </a:xfrm>
                    <a:prstGeom prst="rect">
                      <a:avLst/>
                    </a:prstGeom>
                    <a:noFill/>
                  </pic:spPr>
                </pic:pic>
              </a:graphicData>
            </a:graphic>
          </wp:anchor>
        </w:drawing>
      </w:r>
    </w:p>
    <w:p>
      <w:pPr>
        <w:spacing w:after="0" w:line="72"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5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r>
      <w:tr>
        <w:trPr>
          <w:trHeight w:val="207"/>
        </w:trPr>
        <w:tc>
          <w:tcPr>
            <w:tcW w:w="3640" w:type="dxa"/>
            <w:vAlign w:val="bottom"/>
            <w:gridSpan w:val="3"/>
          </w:tcPr>
          <w:p>
            <w:pPr>
              <w:jc w:val="center"/>
              <w:ind w:right="600"/>
              <w:spacing w:after="0"/>
              <w:rPr>
                <w:sz w:val="20"/>
                <w:szCs w:val="20"/>
                <w:color w:val="auto"/>
              </w:rPr>
            </w:pPr>
            <w:r>
              <w:rPr>
                <w:rFonts w:ascii="Arial" w:cs="Arial" w:eastAsia="Arial" w:hAnsi="Arial"/>
                <w:sz w:val="14"/>
                <w:szCs w:val="14"/>
                <w:color w:val="auto"/>
                <w:w w:val="89"/>
              </w:rPr>
              <w:t>Class A Common Stock, par value $0.00001 per share</w:t>
            </w:r>
          </w:p>
        </w:tc>
        <w:tc>
          <w:tcPr>
            <w:tcW w:w="6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DBX</w:t>
            </w:r>
          </w:p>
        </w:tc>
        <w:tc>
          <w:tcPr>
            <w:tcW w:w="15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8"/>
        </w:trPr>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0"/>
              </w:rPr>
              <w:t>(Nasdaq Global Select Market)</w:t>
            </w:r>
          </w:p>
        </w:tc>
      </w:tr>
    </w:tbl>
    <w:p>
      <w:pPr>
        <w:spacing w:after="0" w:line="375" w:lineRule="exact"/>
        <w:rPr>
          <w:sz w:val="24"/>
          <w:szCs w:val="24"/>
          <w:color w:val="auto"/>
        </w:rPr>
      </w:pPr>
    </w:p>
    <w:p>
      <w:pPr>
        <w:ind w:right="120" w:firstLine="316"/>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firstLine="316"/>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78" w:right="379" w:bottom="1440" w:gutter="0" w:footer="0" w:header="0"/>
        </w:sectPr>
      </w:pPr>
    </w:p>
    <w:p>
      <w:pPr>
        <w:spacing w:after="0" w:line="209" w:lineRule="exact"/>
        <w:rPr>
          <w:sz w:val="24"/>
          <w:szCs w:val="24"/>
          <w:color w:val="auto"/>
        </w:rPr>
      </w:pPr>
    </w:p>
    <w:p>
      <w:pPr>
        <w:ind w:firstLine="316"/>
        <w:spacing w:after="0" w:line="32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7" w:lineRule="exact"/>
        <w:rPr>
          <w:sz w:val="24"/>
          <w:szCs w:val="24"/>
          <w:color w:val="auto"/>
        </w:rPr>
      </w:pPr>
    </w:p>
    <w:p>
      <w:pPr>
        <w:ind w:left="20"/>
        <w:spacing w:after="0" w:line="161" w:lineRule="exact"/>
        <w:tabs>
          <w:tab w:leader="none" w:pos="5100" w:val="left"/>
          <w:tab w:leader="none" w:pos="56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56" w:lineRule="exact"/>
        <w:rPr>
          <w:sz w:val="24"/>
          <w:szCs w:val="24"/>
          <w:color w:val="auto"/>
        </w:rPr>
      </w:pPr>
    </w:p>
    <w:p>
      <w:pPr>
        <w:ind w:left="20"/>
        <w:spacing w:after="0" w:line="161" w:lineRule="exact"/>
        <w:tabs>
          <w:tab w:leader="none" w:pos="5100" w:val="left"/>
          <w:tab w:leader="none" w:pos="56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164" w:lineRule="exact"/>
        <w:rPr>
          <w:sz w:val="24"/>
          <w:szCs w:val="24"/>
          <w:color w:val="auto"/>
        </w:rPr>
      </w:pPr>
    </w:p>
    <w:p>
      <w:pPr>
        <w:ind w:left="56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3" w:lineRule="exact"/>
        <w:rPr>
          <w:sz w:val="24"/>
          <w:szCs w:val="24"/>
          <w:color w:val="auto"/>
        </w:rPr>
      </w:pPr>
    </w:p>
    <w:p>
      <w:pPr>
        <w:sectPr>
          <w:pgSz w:w="11900" w:h="16838" w:orient="portrait"/>
          <w:cols w:equalWidth="0" w:num="2">
            <w:col w:w="10860" w:space="220"/>
            <w:col w:w="120"/>
          </w:cols>
          <w:pgMar w:left="320" w:top="978" w:right="379" w:bottom="1440" w:gutter="0" w:footer="0" w:header="0"/>
          <w:type w:val="continuous"/>
        </w:sectPr>
      </w:pPr>
    </w:p>
    <w:p>
      <w:pPr>
        <w:spacing w:after="0" w:line="140"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3" w:lineRule="exact"/>
        <w:rPr>
          <w:sz w:val="24"/>
          <w:szCs w:val="24"/>
          <w:color w:val="auto"/>
        </w:rPr>
      </w:pPr>
    </w:p>
    <w:p>
      <w:pPr>
        <w:spacing w:after="0" w:line="284" w:lineRule="auto"/>
        <w:rPr>
          <w:sz w:val="20"/>
          <w:szCs w:val="20"/>
          <w:color w:val="auto"/>
        </w:rPr>
      </w:pPr>
      <w:r>
        <w:rPr>
          <w:rFonts w:ascii="Arial" w:cs="Arial" w:eastAsia="Arial" w:hAnsi="Arial"/>
          <w:sz w:val="13"/>
          <w:szCs w:val="13"/>
          <w:color w:val="auto"/>
        </w:rPr>
        <w:t>As of July 31, 2023, there were 266,850,762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709,236 shares of Class A common stock subject to restricted stock awards that were granted to other Dropbox executives and vest upon the satisfaction of a service condition and as applicable, achievement of certain stock price goals), 80,947,177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822960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8"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FORWARD-LOOKING STATEMENTS</w:t>
      </w:r>
    </w:p>
    <w:p>
      <w:pPr>
        <w:spacing w:after="0" w:line="248" w:lineRule="exact"/>
        <w:rPr>
          <w:sz w:val="20"/>
          <w:szCs w:val="20"/>
          <w:color w:val="auto"/>
        </w:rPr>
      </w:pPr>
    </w:p>
    <w:p>
      <w:pPr>
        <w:ind w:right="20" w:firstLine="396"/>
        <w:spacing w:after="0" w:line="24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23"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41" w:lineRule="exact"/>
        <w:rPr>
          <w:rFonts w:ascii="Arial" w:cs="Arial" w:eastAsia="Arial" w:hAnsi="Arial"/>
          <w:sz w:val="18"/>
          <w:szCs w:val="18"/>
          <w:color w:val="auto"/>
        </w:rPr>
      </w:pPr>
    </w:p>
    <w:p>
      <w:pPr>
        <w:ind w:left="720" w:right="420" w:hanging="319"/>
        <w:spacing w:after="0" w:line="32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47"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general economic, political, and market trends and their respective impacts on our business;</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8" w:lineRule="exact"/>
        <w:rPr>
          <w:rFonts w:ascii="Arial" w:cs="Arial" w:eastAsia="Arial" w:hAnsi="Arial"/>
          <w:sz w:val="18"/>
          <w:szCs w:val="18"/>
          <w:color w:val="auto"/>
        </w:rPr>
      </w:pPr>
    </w:p>
    <w:p>
      <w:pPr>
        <w:ind w:left="720"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impacts of a more permanent global shift to remote or distributed work, on our business, the business of our customers, suppliers and partners, and the economy;</w:t>
      </w:r>
    </w:p>
    <w:p>
      <w:pPr>
        <w:spacing w:after="0" w:line="220"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8" w:lineRule="exact"/>
        <w:rPr>
          <w:rFonts w:ascii="Arial" w:cs="Arial" w:eastAsia="Arial" w:hAnsi="Arial"/>
          <w:sz w:val="18"/>
          <w:szCs w:val="18"/>
          <w:color w:val="auto"/>
        </w:rPr>
      </w:pPr>
    </w:p>
    <w:p>
      <w:pPr>
        <w:ind w:left="720" w:right="40"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220"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future growth;</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introduce new products and features;</w:t>
      </w:r>
    </w:p>
    <w:p>
      <w:pPr>
        <w:spacing w:after="0" w:line="26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ability to effectively invest in the development of new products and technologies;</w:t>
      </w:r>
    </w:p>
    <w:p>
      <w:pPr>
        <w:spacing w:after="0" w:line="225" w:lineRule="exact"/>
        <w:rPr>
          <w:rFonts w:ascii="Arial" w:cs="Arial" w:eastAsia="Arial" w:hAnsi="Arial"/>
          <w:sz w:val="21"/>
          <w:szCs w:val="21"/>
          <w:color w:val="auto"/>
        </w:rPr>
      </w:pPr>
    </w:p>
    <w:p>
      <w:pPr>
        <w:ind w:left="720" w:right="200" w:hanging="319"/>
        <w:spacing w:after="0" w:line="262"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integrate, and manage key and other highly qualified personnel, including in light of our workforce reduction in April 2023 and as a result of our Virtual First model with an increasingly distributed workforce;</w:t>
      </w:r>
    </w:p>
    <w:p>
      <w:pPr>
        <w:spacing w:after="0" w:line="20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security breaches and unauthorized access to customer data;</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plans, including expected allocations of cash and timing for our share repurchases and other investments;</w:t>
      </w:r>
    </w:p>
    <w:p>
      <w:pPr>
        <w:spacing w:after="0" w:line="241" w:lineRule="exact"/>
        <w:rPr>
          <w:rFonts w:ascii="Arial" w:cs="Arial" w:eastAsia="Arial" w:hAnsi="Arial"/>
          <w:sz w:val="18"/>
          <w:szCs w:val="18"/>
          <w:color w:val="auto"/>
        </w:rPr>
      </w:pPr>
    </w:p>
    <w:p>
      <w:pPr>
        <w:ind w:left="720" w:right="280" w:hanging="319"/>
        <w:spacing w:after="0" w:line="262"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challenges and anticipated benefits to our business from our Virtual First work model as well as the impact to our financial results and business operations as a result of this model;</w:t>
      </w:r>
    </w:p>
    <w:p>
      <w:pPr>
        <w:spacing w:after="0" w:line="20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new or modified laws, policies, taxes, and regulations on our business;</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of companies and assets.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38" w:lineRule="exact"/>
        <w:rPr>
          <w:sz w:val="20"/>
          <w:szCs w:val="20"/>
          <w:color w:val="auto"/>
        </w:rPr>
      </w:pPr>
    </w:p>
    <w:p>
      <w:pPr>
        <w:ind w:right="60" w:firstLine="435"/>
        <w:spacing w:after="0" w:line="282"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0"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93980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SUMMARY OF RISK FACTORS</w:t>
      </w:r>
    </w:p>
    <w:p>
      <w:pPr>
        <w:spacing w:after="0" w:line="247" w:lineRule="exact"/>
        <w:rPr>
          <w:sz w:val="20"/>
          <w:szCs w:val="20"/>
          <w:color w:val="auto"/>
        </w:rPr>
      </w:pPr>
    </w:p>
    <w:p>
      <w:pPr>
        <w:ind w:right="120" w:firstLine="396"/>
        <w:spacing w:after="0" w:line="249" w:lineRule="auto"/>
        <w:rPr>
          <w:sz w:val="20"/>
          <w:szCs w:val="20"/>
          <w:color w:val="auto"/>
        </w:rPr>
      </w:pPr>
      <w:r>
        <w:rPr>
          <w:rFonts w:ascii="Arial" w:cs="Arial" w:eastAsia="Arial" w:hAnsi="Arial"/>
          <w:sz w:val="18"/>
          <w:szCs w:val="18"/>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19" w:lineRule="exact"/>
        <w:rPr>
          <w:sz w:val="20"/>
          <w:szCs w:val="20"/>
          <w:color w:val="auto"/>
        </w:rPr>
      </w:pPr>
    </w:p>
    <w:p>
      <w:pPr>
        <w:ind w:left="720" w:right="28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our ability to retain and upgrade paying users, and any decline in renewals or upgrades could adversely affect our future results of operations.</w:t>
      </w:r>
    </w:p>
    <w:p>
      <w:pPr>
        <w:spacing w:after="0" w:line="207"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growth could be harmed if we fail to attract new users or convert registered users to paying users.</w:t>
      </w:r>
    </w:p>
    <w:p>
      <w:pPr>
        <w:spacing w:after="0" w:line="241" w:lineRule="exact"/>
        <w:rPr>
          <w:rFonts w:ascii="Arial" w:cs="Arial" w:eastAsia="Arial" w:hAnsi="Arial"/>
          <w:sz w:val="18"/>
          <w:szCs w:val="18"/>
          <w:color w:val="auto"/>
        </w:rPr>
      </w:pPr>
    </w:p>
    <w:p>
      <w:pPr>
        <w:ind w:left="720" w:right="24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damaged, and we could be subject to liability if there is any unauthorized access to our data or our users' content, including through privacy and data security breaches or incidents.</w:t>
      </w:r>
    </w:p>
    <w:p>
      <w:pPr>
        <w:spacing w:after="0" w:line="207" w:lineRule="exact"/>
        <w:rPr>
          <w:rFonts w:ascii="Arial" w:cs="Arial" w:eastAsia="Arial" w:hAnsi="Arial"/>
          <w:sz w:val="18"/>
          <w:szCs w:val="18"/>
          <w:color w:val="auto"/>
        </w:rPr>
      </w:pPr>
    </w:p>
    <w:p>
      <w:pPr>
        <w:ind w:left="720" w:right="38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may be significantly impacted by a change in general economic, political, and market conditions, including any resulting effect on consumer or business spending.</w:t>
      </w:r>
    </w:p>
    <w:p>
      <w:pPr>
        <w:spacing w:after="0" w:line="207"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5" w:lineRule="exact"/>
        <w:rPr>
          <w:rFonts w:ascii="Arial" w:cs="Arial" w:eastAsia="Arial" w:hAnsi="Arial"/>
          <w:sz w:val="15"/>
          <w:szCs w:val="15"/>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harmed by any significant disruption of service on our platform or loss of content.</w:t>
      </w:r>
    </w:p>
    <w:p>
      <w:pPr>
        <w:spacing w:after="0" w:line="241" w:lineRule="exact"/>
        <w:rPr>
          <w:rFonts w:ascii="Arial" w:cs="Arial" w:eastAsia="Arial" w:hAnsi="Arial"/>
          <w:sz w:val="18"/>
          <w:szCs w:val="18"/>
          <w:color w:val="auto"/>
        </w:rPr>
      </w:pPr>
    </w:p>
    <w:p>
      <w:pPr>
        <w:ind w:left="720" w:right="14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content collaboration solutions in general, could negatively impact our business.</w:t>
      </w:r>
    </w:p>
    <w:p>
      <w:pPr>
        <w:spacing w:after="0" w:line="207" w:lineRule="exact"/>
        <w:rPr>
          <w:rFonts w:ascii="Arial" w:cs="Arial" w:eastAsia="Arial" w:hAnsi="Arial"/>
          <w:sz w:val="18"/>
          <w:szCs w:val="18"/>
          <w:color w:val="auto"/>
        </w:rPr>
      </w:pPr>
    </w:p>
    <w:p>
      <w:pPr>
        <w:ind w:left="720" w:right="60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respond to rapid technological changes, extend our platform, or develop new features or products may harm our ability to compete effectively, which would adversely affect our business.</w:t>
      </w:r>
    </w:p>
    <w:p>
      <w:pPr>
        <w:spacing w:after="0" w:line="19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manage our growth or successfully execute our plan for future growth.</w:t>
      </w:r>
    </w:p>
    <w:p>
      <w:pPr>
        <w:spacing w:after="0" w:line="241" w:lineRule="exact"/>
        <w:rPr>
          <w:rFonts w:ascii="Arial" w:cs="Arial" w:eastAsia="Arial" w:hAnsi="Arial"/>
          <w:sz w:val="18"/>
          <w:szCs w:val="18"/>
          <w:color w:val="auto"/>
        </w:rPr>
      </w:pPr>
    </w:p>
    <w:p>
      <w:pPr>
        <w:ind w:left="720" w:right="14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our key personnel and other highly qualified personnel, and if we fail to attract, integrate, and retain our personnel, and maintain our unique corporate culture, our business could be harmed.</w:t>
      </w:r>
    </w:p>
    <w:p>
      <w:pPr>
        <w:spacing w:after="0" w:line="207" w:lineRule="exact"/>
        <w:rPr>
          <w:rFonts w:ascii="Arial" w:cs="Arial" w:eastAsia="Arial" w:hAnsi="Arial"/>
          <w:sz w:val="18"/>
          <w:szCs w:val="18"/>
          <w:color w:val="auto"/>
        </w:rPr>
      </w:pPr>
    </w:p>
    <w:p>
      <w:pPr>
        <w:ind w:left="720" w:right="48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history of operating with a Virtual First workforce and the long-term impact on our financial results and business operations remains uncertain.</w:t>
      </w:r>
    </w:p>
    <w:p>
      <w:pPr>
        <w:spacing w:after="0" w:line="207"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a significant outbound sales force may limit the potential growth of our business.</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growth rate has declined in recent periods and may continue to slow in the future.</w:t>
      </w:r>
    </w:p>
    <w:p>
      <w:pPr>
        <w:spacing w:after="0" w:line="24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net losses, we may increase expenses in the future, and we may not be able to achieve or maintain profitability.</w:t>
      </w:r>
    </w:p>
    <w:p>
      <w:pPr>
        <w:spacing w:after="0" w:line="264" w:lineRule="exact"/>
        <w:rPr>
          <w:rFonts w:ascii="Arial" w:cs="Arial" w:eastAsia="Arial" w:hAnsi="Arial"/>
          <w:sz w:val="16"/>
          <w:szCs w:val="16"/>
          <w:color w:val="auto"/>
        </w:rPr>
      </w:pPr>
    </w:p>
    <w:p>
      <w:pPr>
        <w:ind w:left="720" w:right="80" w:hanging="319"/>
        <w:spacing w:after="0" w:line="26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Page</w:t>
            </w:r>
          </w:p>
        </w:tc>
      </w:tr>
      <w:tr>
        <w:trPr>
          <w:trHeight w:val="191"/>
        </w:trPr>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Borders>
              <w:bottom w:val="single" w:sz="8" w:color="0000FF"/>
            </w:tcBorders>
            <w:gridSpan w:val="7"/>
          </w:tcPr>
          <w:p>
            <w:pPr>
              <w:jc w:val="center"/>
              <w:spacing w:after="0"/>
              <w:rPr>
                <w:sz w:val="20"/>
                <w:szCs w:val="20"/>
                <w:color w:val="auto"/>
              </w:rPr>
            </w:pPr>
            <w:r>
              <w:rPr>
                <w:rFonts w:ascii="Arial" w:cs="Arial" w:eastAsia="Arial" w:hAnsi="Arial"/>
                <w:sz w:val="16"/>
                <w:szCs w:val="16"/>
                <w:color w:val="0000FF"/>
                <w:w w:val="97"/>
              </w:rPr>
              <w:t>PART I. FINANCIAL INFORMATION</w:t>
            </w:r>
          </w:p>
        </w:tc>
        <w:tc>
          <w:tcPr>
            <w:tcW w:w="3060" w:type="dxa"/>
            <w:vAlign w:val="bottom"/>
            <w:gridSpan w:val="5"/>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8920" w:type="dxa"/>
            <w:vAlign w:val="bottom"/>
            <w:gridSpan w:val="19"/>
          </w:tcPr>
          <w:p>
            <w:pPr>
              <w:spacing w:after="0"/>
              <w:rPr>
                <w:sz w:val="20"/>
                <w:szCs w:val="20"/>
                <w:color w:val="auto"/>
              </w:rPr>
            </w:pPr>
            <w:r>
              <w:rPr>
                <w:rFonts w:ascii="Arial" w:cs="Arial" w:eastAsia="Arial" w:hAnsi="Arial"/>
                <w:sz w:val="16"/>
                <w:szCs w:val="16"/>
                <w:color w:val="0000FF"/>
              </w:rPr>
              <w:t>Condensed Consolidated Financial Statements (Unaudited)</w:t>
            </w: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40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87"/>
              </w:rPr>
              <w:t>Condensed Consolidated Balance Sheets as of June 30, 2023 and December 31, 2022</w:t>
            </w:r>
          </w:p>
        </w:tc>
        <w:tc>
          <w:tcPr>
            <w:tcW w:w="3520" w:type="dxa"/>
            <w:vAlign w:val="bottom"/>
            <w:gridSpan w:val="8"/>
          </w:tcPr>
          <w:p>
            <w:pPr>
              <w:spacing w:after="0"/>
              <w:rPr>
                <w:sz w:val="16"/>
                <w:szCs w:val="16"/>
                <w:color w:val="auto"/>
              </w:rPr>
            </w:pPr>
          </w:p>
        </w:tc>
        <w:tc>
          <w:tcPr>
            <w:tcW w:w="1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r>
      <w:tr>
        <w:trPr>
          <w:trHeight w:val="191"/>
        </w:trPr>
        <w:tc>
          <w:tcPr>
            <w:tcW w:w="940" w:type="dxa"/>
            <w:vAlign w:val="bottom"/>
          </w:tcPr>
          <w:p>
            <w:pPr>
              <w:spacing w:after="0"/>
              <w:rPr>
                <w:sz w:val="16"/>
                <w:szCs w:val="16"/>
                <w:color w:val="auto"/>
              </w:rPr>
            </w:pPr>
          </w:p>
        </w:tc>
        <w:tc>
          <w:tcPr>
            <w:tcW w:w="71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88"/>
              </w:rPr>
              <w:t>Condensed Consolidated Statements of Operations for the Three and Six Months Ended June 30, 2023 and 2022</w:t>
            </w:r>
          </w:p>
        </w:tc>
        <w:tc>
          <w:tcPr>
            <w:tcW w:w="180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r>
      <w:tr>
        <w:trPr>
          <w:trHeight w:val="191"/>
        </w:trPr>
        <w:tc>
          <w:tcPr>
            <w:tcW w:w="940" w:type="dxa"/>
            <w:vAlign w:val="bottom"/>
          </w:tcPr>
          <w:p>
            <w:pPr>
              <w:spacing w:after="0"/>
              <w:rPr>
                <w:sz w:val="16"/>
                <w:szCs w:val="16"/>
                <w:color w:val="auto"/>
              </w:rPr>
            </w:pPr>
          </w:p>
        </w:tc>
        <w:tc>
          <w:tcPr>
            <w:tcW w:w="8920" w:type="dxa"/>
            <w:vAlign w:val="bottom"/>
            <w:gridSpan w:val="19"/>
          </w:tcPr>
          <w:p>
            <w:pPr>
              <w:spacing w:after="0"/>
              <w:rPr>
                <w:sz w:val="20"/>
                <w:szCs w:val="20"/>
                <w:color w:val="auto"/>
              </w:rPr>
            </w:pPr>
            <w:r>
              <w:rPr>
                <w:rFonts w:ascii="Arial" w:cs="Arial" w:eastAsia="Arial" w:hAnsi="Arial"/>
                <w:sz w:val="16"/>
                <w:szCs w:val="16"/>
                <w:color w:val="0000FF"/>
                <w:w w:val="99"/>
              </w:rPr>
              <w:t>Condensed Consolidated Statements of Comprehensive Income for the Three and Six Months Ended June 30, 2023 and 2022</w:t>
            </w: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8</w:t>
            </w:r>
          </w:p>
        </w:tc>
      </w:tr>
      <w:tr>
        <w:trPr>
          <w:trHeight w:val="191"/>
        </w:trPr>
        <w:tc>
          <w:tcPr>
            <w:tcW w:w="940" w:type="dxa"/>
            <w:vAlign w:val="bottom"/>
          </w:tcPr>
          <w:p>
            <w:pPr>
              <w:spacing w:after="0"/>
              <w:rPr>
                <w:sz w:val="16"/>
                <w:szCs w:val="16"/>
                <w:color w:val="auto"/>
              </w:rPr>
            </w:pPr>
          </w:p>
        </w:tc>
        <w:tc>
          <w:tcPr>
            <w:tcW w:w="776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6"/>
                <w:szCs w:val="16"/>
                <w:color w:val="0000FF"/>
                <w:w w:val="88"/>
              </w:rPr>
              <w:t>Condensed Consolidated Statements of Stockholders' Deficit for the Three and Six Months Ended June 30, 2023 and 2022</w:t>
            </w:r>
          </w:p>
        </w:tc>
        <w:tc>
          <w:tcPr>
            <w:tcW w:w="160" w:type="dxa"/>
            <w:vAlign w:val="bottom"/>
            <w:tcBorders>
              <w:top w:val="single" w:sz="8" w:color="0000FF"/>
            </w:tcBorders>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9</w:t>
            </w:r>
          </w:p>
        </w:tc>
      </w:tr>
      <w:tr>
        <w:trPr>
          <w:trHeight w:val="191"/>
        </w:trPr>
        <w:tc>
          <w:tcPr>
            <w:tcW w:w="940" w:type="dxa"/>
            <w:vAlign w:val="bottom"/>
          </w:tcPr>
          <w:p>
            <w:pPr>
              <w:spacing w:after="0"/>
              <w:rPr>
                <w:sz w:val="16"/>
                <w:szCs w:val="16"/>
                <w:color w:val="auto"/>
              </w:rPr>
            </w:pPr>
          </w:p>
        </w:tc>
        <w:tc>
          <w:tcPr>
            <w:tcW w:w="892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Cash Flows for the Six Months Ended June 30, 2023 and 2022</w:t>
            </w: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10</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3520" w:type="dxa"/>
            <w:vAlign w:val="bottom"/>
            <w:gridSpan w:val="8"/>
          </w:tcPr>
          <w:p>
            <w:pPr>
              <w:spacing w:after="0"/>
              <w:rPr>
                <w:sz w:val="20"/>
                <w:szCs w:val="20"/>
                <w:color w:val="auto"/>
              </w:rPr>
            </w:pPr>
            <w:r>
              <w:rPr>
                <w:rFonts w:ascii="Arial" w:cs="Arial" w:eastAsia="Arial" w:hAnsi="Arial"/>
                <w:sz w:val="16"/>
                <w:szCs w:val="16"/>
                <w:color w:val="0000FF"/>
                <w:w w:val="87"/>
              </w:rPr>
              <w:t>Notes to Condensed Consolidated Financial Statements</w:t>
            </w:r>
          </w:p>
        </w:tc>
        <w:tc>
          <w:tcPr>
            <w:tcW w:w="2960" w:type="dxa"/>
            <w:vAlign w:val="bottom"/>
            <w:gridSpan w:val="7"/>
          </w:tcPr>
          <w:p>
            <w:pPr>
              <w:spacing w:after="0"/>
              <w:rPr>
                <w:sz w:val="16"/>
                <w:szCs w:val="16"/>
                <w:color w:val="auto"/>
              </w:rPr>
            </w:pPr>
          </w:p>
        </w:tc>
        <w:tc>
          <w:tcPr>
            <w:tcW w:w="2440" w:type="dxa"/>
            <w:vAlign w:val="bottom"/>
            <w:gridSpan w:val="4"/>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11</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5660" w:type="dxa"/>
            <w:vAlign w:val="bottom"/>
            <w:gridSpan w:val="12"/>
          </w:tcPr>
          <w:p>
            <w:pPr>
              <w:spacing w:after="0"/>
              <w:rPr>
                <w:sz w:val="20"/>
                <w:szCs w:val="20"/>
                <w:color w:val="auto"/>
              </w:rPr>
            </w:pPr>
            <w:r>
              <w:rPr>
                <w:rFonts w:ascii="Arial" w:cs="Arial" w:eastAsia="Arial" w:hAnsi="Arial"/>
                <w:sz w:val="16"/>
                <w:szCs w:val="16"/>
                <w:color w:val="0000FF"/>
                <w:w w:val="89"/>
              </w:rPr>
              <w:t>Management's Discussion and Analysis of Financial Condition and Results of Operations</w:t>
            </w:r>
          </w:p>
        </w:tc>
        <w:tc>
          <w:tcPr>
            <w:tcW w:w="3260" w:type="dxa"/>
            <w:vAlign w:val="bottom"/>
            <w:gridSpan w:val="7"/>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39</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3820" w:type="dxa"/>
            <w:vAlign w:val="bottom"/>
            <w:gridSpan w:val="10"/>
          </w:tcPr>
          <w:p>
            <w:pPr>
              <w:spacing w:after="0"/>
              <w:rPr>
                <w:sz w:val="20"/>
                <w:szCs w:val="20"/>
                <w:color w:val="auto"/>
              </w:rPr>
            </w:pPr>
            <w:r>
              <w:rPr>
                <w:rFonts w:ascii="Arial" w:cs="Arial" w:eastAsia="Arial" w:hAnsi="Arial"/>
                <w:sz w:val="16"/>
                <w:szCs w:val="16"/>
                <w:color w:val="0000FF"/>
                <w:w w:val="90"/>
              </w:rPr>
              <w:t>Quantitative and Qualitative Disclosures About Market Risk</w:t>
            </w:r>
          </w:p>
        </w:tc>
        <w:tc>
          <w:tcPr>
            <w:tcW w:w="1840" w:type="dxa"/>
            <w:vAlign w:val="bottom"/>
            <w:gridSpan w:val="2"/>
          </w:tcPr>
          <w:p>
            <w:pPr>
              <w:spacing w:after="0"/>
              <w:rPr>
                <w:sz w:val="16"/>
                <w:szCs w:val="16"/>
                <w:color w:val="auto"/>
              </w:rPr>
            </w:pPr>
          </w:p>
        </w:tc>
        <w:tc>
          <w:tcPr>
            <w:tcW w:w="3260" w:type="dxa"/>
            <w:vAlign w:val="bottom"/>
            <w:gridSpan w:val="7"/>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58</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3"/>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3820" w:type="dxa"/>
            <w:vAlign w:val="bottom"/>
            <w:gridSpan w:val="10"/>
          </w:tcPr>
          <w:p>
            <w:pPr>
              <w:spacing w:after="0"/>
              <w:rPr>
                <w:sz w:val="20"/>
                <w:szCs w:val="20"/>
                <w:color w:val="auto"/>
              </w:rPr>
            </w:pPr>
            <w:r>
              <w:rPr>
                <w:rFonts w:ascii="Arial" w:cs="Arial" w:eastAsia="Arial" w:hAnsi="Arial"/>
                <w:sz w:val="16"/>
                <w:szCs w:val="16"/>
                <w:color w:val="0000FF"/>
              </w:rPr>
              <w:t>Controls and Procedures</w:t>
            </w:r>
          </w:p>
        </w:tc>
        <w:tc>
          <w:tcPr>
            <w:tcW w:w="5100" w:type="dxa"/>
            <w:vAlign w:val="bottom"/>
            <w:gridSpan w:val="9"/>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59</w:t>
            </w:r>
          </w:p>
        </w:tc>
      </w:tr>
      <w:tr>
        <w:trPr>
          <w:trHeight w:val="442"/>
        </w:trPr>
        <w:tc>
          <w:tcPr>
            <w:tcW w:w="9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color w:val="0000FF"/>
                <w:w w:val="92"/>
              </w:rPr>
              <w:t>PART II. OTHER INFORMATION</w:t>
            </w:r>
          </w:p>
        </w:tc>
        <w:tc>
          <w:tcPr>
            <w:tcW w:w="320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1160" w:type="dxa"/>
            <w:vAlign w:val="bottom"/>
            <w:gridSpan w:val="5"/>
          </w:tcPr>
          <w:p>
            <w:pPr>
              <w:spacing w:after="0"/>
              <w:rPr>
                <w:sz w:val="20"/>
                <w:szCs w:val="20"/>
                <w:color w:val="auto"/>
              </w:rPr>
            </w:pPr>
            <w:r>
              <w:rPr>
                <w:rFonts w:ascii="Arial" w:cs="Arial" w:eastAsia="Arial" w:hAnsi="Arial"/>
                <w:sz w:val="16"/>
                <w:szCs w:val="16"/>
                <w:color w:val="0000FF"/>
                <w:w w:val="84"/>
              </w:rPr>
              <w:t>Legal Proceedings</w:t>
            </w:r>
          </w:p>
        </w:tc>
        <w:tc>
          <w:tcPr>
            <w:tcW w:w="7760" w:type="dxa"/>
            <w:vAlign w:val="bottom"/>
            <w:gridSpan w:val="14"/>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60</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800" w:type="dxa"/>
            <w:vAlign w:val="bottom"/>
            <w:gridSpan w:val="3"/>
          </w:tcPr>
          <w:p>
            <w:pPr>
              <w:spacing w:after="0"/>
              <w:rPr>
                <w:sz w:val="20"/>
                <w:szCs w:val="20"/>
                <w:color w:val="auto"/>
              </w:rPr>
            </w:pPr>
            <w:r>
              <w:rPr>
                <w:rFonts w:ascii="Arial" w:cs="Arial" w:eastAsia="Arial" w:hAnsi="Arial"/>
                <w:sz w:val="16"/>
                <w:szCs w:val="16"/>
                <w:color w:val="0000FF"/>
                <w:w w:val="87"/>
              </w:rPr>
              <w:t>Risk Factors</w:t>
            </w:r>
          </w:p>
        </w:tc>
        <w:tc>
          <w:tcPr>
            <w:tcW w:w="360" w:type="dxa"/>
            <w:vAlign w:val="bottom"/>
            <w:gridSpan w:val="2"/>
          </w:tcPr>
          <w:p>
            <w:pPr>
              <w:spacing w:after="0"/>
              <w:rPr>
                <w:sz w:val="16"/>
                <w:szCs w:val="16"/>
                <w:color w:val="auto"/>
              </w:rPr>
            </w:pPr>
          </w:p>
        </w:tc>
        <w:tc>
          <w:tcPr>
            <w:tcW w:w="7760" w:type="dxa"/>
            <w:vAlign w:val="bottom"/>
            <w:gridSpan w:val="14"/>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61</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8920" w:type="dxa"/>
            <w:vAlign w:val="bottom"/>
            <w:gridSpan w:val="19"/>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90</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gridSpan w:val="5"/>
            <w:shd w:val="clear" w:color="auto" w:fill="0000FF"/>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5.</w:t>
            </w:r>
          </w:p>
        </w:tc>
        <w:tc>
          <w:tcPr>
            <w:tcW w:w="1160" w:type="dxa"/>
            <w:vAlign w:val="bottom"/>
            <w:gridSpan w:val="5"/>
          </w:tcPr>
          <w:p>
            <w:pPr>
              <w:spacing w:after="0"/>
              <w:rPr>
                <w:sz w:val="20"/>
                <w:szCs w:val="20"/>
                <w:color w:val="auto"/>
              </w:rPr>
            </w:pPr>
            <w:r>
              <w:rPr>
                <w:rFonts w:ascii="Arial" w:cs="Arial" w:eastAsia="Arial" w:hAnsi="Arial"/>
                <w:sz w:val="16"/>
                <w:szCs w:val="16"/>
                <w:color w:val="0000FF"/>
                <w:w w:val="89"/>
              </w:rPr>
              <w:t>Other Information</w:t>
            </w:r>
          </w:p>
        </w:tc>
        <w:tc>
          <w:tcPr>
            <w:tcW w:w="2660" w:type="dxa"/>
            <w:vAlign w:val="bottom"/>
            <w:gridSpan w:val="5"/>
          </w:tcPr>
          <w:p>
            <w:pPr>
              <w:spacing w:after="0"/>
              <w:rPr>
                <w:sz w:val="16"/>
                <w:szCs w:val="16"/>
                <w:color w:val="auto"/>
              </w:rPr>
            </w:pPr>
          </w:p>
        </w:tc>
        <w:tc>
          <w:tcPr>
            <w:tcW w:w="5100" w:type="dxa"/>
            <w:vAlign w:val="bottom"/>
            <w:gridSpan w:val="9"/>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90</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Item 6.</w:t>
            </w:r>
          </w:p>
        </w:tc>
        <w:tc>
          <w:tcPr>
            <w:tcW w:w="1160" w:type="dxa"/>
            <w:vAlign w:val="bottom"/>
            <w:gridSpan w:val="5"/>
          </w:tcPr>
          <w:p>
            <w:pPr>
              <w:spacing w:after="0"/>
              <w:rPr>
                <w:sz w:val="20"/>
                <w:szCs w:val="20"/>
                <w:color w:val="auto"/>
              </w:rPr>
            </w:pPr>
            <w:r>
              <w:rPr>
                <w:rFonts w:ascii="Arial" w:cs="Arial" w:eastAsia="Arial" w:hAnsi="Arial"/>
                <w:sz w:val="16"/>
                <w:szCs w:val="16"/>
                <w:color w:val="0000FF"/>
              </w:rPr>
              <w:t>Exhibits</w:t>
            </w:r>
          </w:p>
        </w:tc>
        <w:tc>
          <w:tcPr>
            <w:tcW w:w="7760" w:type="dxa"/>
            <w:vAlign w:val="bottom"/>
            <w:gridSpan w:val="14"/>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90</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8920" w:type="dxa"/>
            <w:vAlign w:val="bottom"/>
            <w:gridSpan w:val="19"/>
          </w:tcPr>
          <w:p>
            <w:pPr>
              <w:spacing w:after="0"/>
              <w:rPr>
                <w:sz w:val="20"/>
                <w:szCs w:val="20"/>
                <w:color w:val="auto"/>
              </w:rPr>
            </w:pPr>
            <w:r>
              <w:rPr>
                <w:rFonts w:ascii="Arial" w:cs="Arial" w:eastAsia="Arial" w:hAnsi="Arial"/>
                <w:sz w:val="16"/>
                <w:szCs w:val="16"/>
                <w:color w:val="0000FF"/>
              </w:rPr>
              <w:t>Exhibit Index</w:t>
            </w: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91</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8060" w:type="dxa"/>
            <w:vAlign w:val="bottom"/>
            <w:gridSpan w:val="15"/>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0000FF"/>
              </w:rPr>
              <w:t>92</w:t>
            </w:r>
          </w:p>
        </w:tc>
      </w:tr>
      <w:tr>
        <w:trPr>
          <w:trHeight w:val="20"/>
        </w:trPr>
        <w:tc>
          <w:tcPr>
            <w:tcW w:w="9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1840" w:type="dxa"/>
            <w:vAlign w:val="bottom"/>
            <w:tcBorders>
              <w:bottom w:val="single" w:sz="8" w:color="auto"/>
            </w:tcBorders>
          </w:tcPr>
          <w:p>
            <w:pPr>
              <w:spacing w:after="0"/>
              <w:rPr>
                <w:sz w:val="20"/>
                <w:szCs w:val="20"/>
                <w:color w:val="auto"/>
              </w:rPr>
            </w:pPr>
          </w:p>
        </w:tc>
      </w:tr>
      <w:tr>
        <w:trPr>
          <w:trHeight w:val="224"/>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2"/>
              </w:rPr>
              <w:t>December 31, 2022</w:t>
            </w: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5"/>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67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1,110.6</w:t>
            </w:r>
          </w:p>
        </w:tc>
      </w:tr>
      <w:tr>
        <w:trPr>
          <w:trHeight w:val="231"/>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4"/>
        </w:trPr>
        <w:tc>
          <w:tcPr>
            <w:tcW w:w="67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3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w:t>
            </w: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2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3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498.7</w:t>
            </w: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17"/>
        </w:trPr>
        <w:tc>
          <w:tcPr>
            <w:tcW w:w="6760" w:type="dxa"/>
            <w:vAlign w:val="bottom"/>
          </w:tcPr>
          <w:p>
            <w:pPr>
              <w:ind w:left="20"/>
              <w:spacing w:after="0" w:line="203" w:lineRule="exact"/>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2,938.6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6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Liabilities and stockholders' deficit</w:t>
            </w: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1"/>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4"/>
        </w:trPr>
        <w:tc>
          <w:tcPr>
            <w:tcW w:w="676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38"/>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4"/>
        </w:trPr>
        <w:tc>
          <w:tcPr>
            <w:tcW w:w="676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5"/>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obligation</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1"/>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 non-current</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4"/>
        </w:trPr>
        <w:tc>
          <w:tcPr>
            <w:tcW w:w="6760" w:type="dxa"/>
            <w:vAlign w:val="bottom"/>
          </w:tcPr>
          <w:p>
            <w:pPr>
              <w:ind w:left="20"/>
              <w:spacing w:after="0"/>
              <w:rPr>
                <w:sz w:val="20"/>
                <w:szCs w:val="20"/>
                <w:color w:val="auto"/>
              </w:rPr>
            </w:pPr>
            <w:r>
              <w:rPr>
                <w:rFonts w:ascii="Arial" w:cs="Arial" w:eastAsia="Arial" w:hAnsi="Arial"/>
                <w:sz w:val="18"/>
                <w:szCs w:val="18"/>
                <w:color w:val="auto"/>
              </w:rPr>
              <w:t>Convertible senior notes, net, non-current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1,374.0</w:t>
            </w: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1"/>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r>
      <w:tr>
        <w:trPr>
          <w:trHeight w:val="224"/>
        </w:trPr>
        <w:tc>
          <w:tcPr>
            <w:tcW w:w="67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(2,895.6)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(2,772.1)</w:t>
            </w:r>
          </w:p>
        </w:tc>
      </w:tr>
      <w:tr>
        <w:trPr>
          <w:trHeight w:val="238"/>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7"/>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w:t>
            </w: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04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19"/>
                <w:szCs w:val="19"/>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37"/>
        </w:trPr>
        <w:tc>
          <w:tcPr>
            <w:tcW w:w="394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128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7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tcPr>
          <w:p>
            <w:pPr>
              <w:ind w:left="260"/>
              <w:spacing w:after="0" w:line="238"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line="224"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24"/>
        </w:trPr>
        <w:tc>
          <w:tcPr>
            <w:tcW w:w="39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tcPr>
          <w:p>
            <w:pPr>
              <w:ind w:left="220"/>
              <w:spacing w:after="0" w:line="238"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(3)</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38"/>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1"/>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8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5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7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share-basic and diluted:</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9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1180" w:type="dxa"/>
            <w:vAlign w:val="bottom"/>
          </w:tcPr>
          <w:p>
            <w:pPr>
              <w:jc w:val="right"/>
              <w:ind w:right="972"/>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0.13</w:t>
            </w:r>
          </w:p>
        </w:tc>
        <w:tc>
          <w:tcPr>
            <w:tcW w:w="1280" w:type="dxa"/>
            <w:vAlign w:val="bottom"/>
            <w:gridSpan w:val="2"/>
          </w:tcPr>
          <w:p>
            <w:pPr>
              <w:jc w:val="right"/>
              <w:ind w:right="97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0.17</w:t>
            </w:r>
          </w:p>
        </w:tc>
        <w:tc>
          <w:tcPr>
            <w:tcW w:w="520" w:type="dxa"/>
            <w:vAlign w:val="bottom"/>
            <w:gridSpan w:val="2"/>
          </w:tcPr>
          <w:p>
            <w:pPr>
              <w:jc w:val="right"/>
              <w:ind w:right="212"/>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0.32</w:t>
            </w:r>
          </w:p>
        </w:tc>
        <w:tc>
          <w:tcPr>
            <w:tcW w:w="760" w:type="dxa"/>
            <w:vAlign w:val="bottom"/>
            <w:gridSpan w:val="2"/>
          </w:tcPr>
          <w:p>
            <w:pPr>
              <w:jc w:val="right"/>
              <w:ind w:right="472"/>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40" w:type="dxa"/>
            <w:vAlign w:val="bottom"/>
            <w:shd w:val="clear" w:color="auto" w:fill="CCEEFF"/>
          </w:tcPr>
          <w:p>
            <w:pPr>
              <w:ind w:left="20"/>
              <w:spacing w:after="0" w:line="139" w:lineRule="exact"/>
              <w:rPr>
                <w:sz w:val="20"/>
                <w:szCs w:val="20"/>
                <w:color w:val="auto"/>
              </w:rPr>
            </w:pPr>
            <w:r>
              <w:rPr>
                <w:rFonts w:ascii="Arial" w:cs="Arial" w:eastAsia="Arial" w:hAnsi="Arial"/>
                <w:sz w:val="16"/>
                <w:szCs w:val="16"/>
                <w:color w:val="auto"/>
              </w:rPr>
              <w:t>Weighted-average shares used in computing net</w:t>
            </w:r>
          </w:p>
        </w:tc>
        <w:tc>
          <w:tcPr>
            <w:tcW w:w="1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4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shd w:val="clear" w:color="auto" w:fill="CCEEFF"/>
          </w:tcPr>
          <w:p>
            <w:pPr>
              <w:ind w:left="180"/>
              <w:spacing w:after="0" w:line="197" w:lineRule="exact"/>
              <w:rPr>
                <w:sz w:val="20"/>
                <w:szCs w:val="20"/>
                <w:color w:val="auto"/>
              </w:rPr>
            </w:pPr>
            <w:r>
              <w:rPr>
                <w:rFonts w:ascii="Arial" w:cs="Arial" w:eastAsia="Arial" w:hAnsi="Arial"/>
                <w:sz w:val="18"/>
                <w:szCs w:val="18"/>
                <w:color w:val="auto"/>
              </w:rPr>
              <w:t>stockholders, basic</w:t>
            </w: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940" w:type="dxa"/>
            <w:vAlign w:val="bottom"/>
          </w:tcPr>
          <w:p>
            <w:pPr>
              <w:ind w:left="180"/>
              <w:spacing w:after="0" w:line="185"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346.8</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197"/>
        </w:trPr>
        <w:tc>
          <w:tcPr>
            <w:tcW w:w="3940" w:type="dxa"/>
            <w:vAlign w:val="bottom"/>
          </w:tcPr>
          <w:p>
            <w:pPr>
              <w:ind w:left="180"/>
              <w:spacing w:after="0" w:line="197" w:lineRule="exact"/>
              <w:rPr>
                <w:sz w:val="20"/>
                <w:szCs w:val="20"/>
                <w:color w:val="auto"/>
              </w:rPr>
            </w:pPr>
            <w:r>
              <w:rPr>
                <w:rFonts w:ascii="Arial" w:cs="Arial" w:eastAsia="Arial" w:hAnsi="Arial"/>
                <w:sz w:val="18"/>
                <w:szCs w:val="18"/>
                <w:color w:val="auto"/>
              </w:rPr>
              <w:t>stockholders, diluted</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160" w:hanging="154"/>
        <w:spacing w:after="0"/>
        <w:tabs>
          <w:tab w:leader="none" w:pos="16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Includes stock-based compensation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3060" w:type="dxa"/>
            <w:vAlign w:val="bottom"/>
            <w:gridSpan w:val="4"/>
          </w:tcPr>
          <w:p>
            <w:pPr>
              <w:jc w:val="center"/>
              <w:ind w:left="452"/>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1080" w:type="dxa"/>
            <w:vAlign w:val="bottom"/>
          </w:tcPr>
          <w:p>
            <w:pPr>
              <w:spacing w:after="0"/>
              <w:rPr>
                <w:sz w:val="18"/>
                <w:szCs w:val="18"/>
                <w:color w:val="auto"/>
              </w:rPr>
            </w:pPr>
          </w:p>
        </w:tc>
      </w:tr>
      <w:tr>
        <w:trPr>
          <w:trHeight w:val="229"/>
        </w:trPr>
        <w:tc>
          <w:tcPr>
            <w:tcW w:w="39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080" w:type="dxa"/>
            <w:vAlign w:val="bottom"/>
            <w:tcBorders>
              <w:bottom w:val="single" w:sz="8" w:color="auto"/>
            </w:tcBorders>
          </w:tcPr>
          <w:p>
            <w:pPr>
              <w:spacing w:after="0"/>
              <w:rPr>
                <w:sz w:val="19"/>
                <w:szCs w:val="19"/>
                <w:color w:val="auto"/>
              </w:rPr>
            </w:pPr>
          </w:p>
        </w:tc>
      </w:tr>
      <w:tr>
        <w:trPr>
          <w:trHeight w:val="218"/>
        </w:trPr>
        <w:tc>
          <w:tcPr>
            <w:tcW w:w="3960" w:type="dxa"/>
            <w:vAlign w:val="bottom"/>
          </w:tcPr>
          <w:p>
            <w:pPr>
              <w:spacing w:after="0"/>
              <w:rPr>
                <w:sz w:val="18"/>
                <w:szCs w:val="18"/>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b w:val="1"/>
                <w:bCs w:val="1"/>
                <w:color w:val="auto"/>
                <w:w w:val="89"/>
              </w:rPr>
              <w:t>2022</w:t>
            </w:r>
          </w:p>
        </w:tc>
      </w:tr>
      <w:tr>
        <w:trPr>
          <w:trHeight w:val="46"/>
        </w:trPr>
        <w:tc>
          <w:tcPr>
            <w:tcW w:w="396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2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3960" w:type="dxa"/>
            <w:vAlign w:val="bottom"/>
          </w:tcPr>
          <w:p>
            <w:pPr>
              <w:ind w:left="220"/>
              <w:spacing w:after="0" w:line="238"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(4)</w:t>
            </w:r>
          </w:p>
        </w:tc>
        <w:tc>
          <w:tcPr>
            <w:tcW w:w="1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321" w:lineRule="exact"/>
        <w:rPr>
          <w:sz w:val="20"/>
          <w:szCs w:val="20"/>
          <w:color w:val="auto"/>
        </w:rPr>
      </w:pPr>
    </w:p>
    <w:p>
      <w:pPr>
        <w:ind w:left="160" w:hanging="154"/>
        <w:spacing w:after="0"/>
        <w:tabs>
          <w:tab w:leader="none" w:pos="16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Includes expenses related to the Company's reduction in workforce such as severance, benefits and other related items during the three and six months ended June 30, 2023.</w:t>
      </w:r>
    </w:p>
    <w:p>
      <w:pPr>
        <w:spacing w:after="0" w:line="226" w:lineRule="exact"/>
        <w:rPr>
          <w:rFonts w:ascii="Arial" w:cs="Arial" w:eastAsia="Arial" w:hAnsi="Arial"/>
          <w:sz w:val="17"/>
          <w:szCs w:val="17"/>
          <w:color w:val="auto"/>
          <w:vertAlign w:val="superscript"/>
        </w:rPr>
      </w:pPr>
    </w:p>
    <w:p>
      <w:pPr>
        <w:ind w:left="160" w:hanging="154"/>
        <w:spacing w:after="0"/>
        <w:tabs>
          <w:tab w:leader="none" w:pos="16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Includes impairment charges related to real estate assets as a result of the Company's Virtual First work model.</w:t>
      </w:r>
    </w:p>
    <w:p>
      <w:pPr>
        <w:spacing w:after="0" w:line="239" w:lineRule="exact"/>
        <w:rPr>
          <w:rFonts w:ascii="Arial" w:cs="Arial" w:eastAsia="Arial" w:hAnsi="Arial"/>
          <w:sz w:val="17"/>
          <w:szCs w:val="17"/>
          <w:color w:val="auto"/>
          <w:vertAlign w:val="superscript"/>
        </w:rPr>
      </w:pPr>
    </w:p>
    <w:p>
      <w:pPr>
        <w:ind w:right="400" w:firstLine="6"/>
        <w:spacing w:after="0" w:line="283" w:lineRule="auto"/>
        <w:tabs>
          <w:tab w:leader="none" w:pos="146"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On March 15, 2023, the Company's President resigned, resulting in the reversal of $6.7 million in stock-based compensation expense. Of the total amount reversed, $4.4 million related to expense recognized prior to January 1, 2023.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58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7"/>
        </w:trPr>
        <w:tc>
          <w:tcPr>
            <w:tcW w:w="496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5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2"/>
        </w:trPr>
        <w:tc>
          <w:tcPr>
            <w:tcW w:w="4960" w:type="dxa"/>
            <w:vAlign w:val="bottom"/>
          </w:tcPr>
          <w:p>
            <w:pPr>
              <w:ind w:left="220"/>
              <w:spacing w:after="0" w:line="172" w:lineRule="exact"/>
              <w:rPr>
                <w:sz w:val="20"/>
                <w:szCs w:val="20"/>
                <w:color w:val="auto"/>
              </w:rPr>
            </w:pPr>
            <w:r>
              <w:rPr>
                <w:rFonts w:ascii="Arial" w:cs="Arial" w:eastAsia="Arial" w:hAnsi="Arial"/>
                <w:sz w:val="18"/>
                <w:szCs w:val="18"/>
                <w:color w:val="auto"/>
              </w:rPr>
              <w:t>Change in net unrealized gains and losses on short-term</w:t>
            </w:r>
          </w:p>
        </w:tc>
        <w:tc>
          <w:tcPr>
            <w:tcW w:w="10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9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7"/>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108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4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122.9</w:t>
            </w:r>
          </w:p>
        </w:tc>
        <w:tc>
          <w:tcPr>
            <w:tcW w:w="5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Three Months Ended June 30, 2023</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Three Months Ended June 30, 2022</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1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8"/>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5"/>
              </w:rPr>
              <w:t>Class B</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160" w:type="dxa"/>
            <w:vAlign w:val="bottom"/>
            <w:vMerge w:val="continue"/>
          </w:tcPr>
          <w:p>
            <w:pPr>
              <w:spacing w:after="0"/>
              <w:rPr>
                <w:sz w:val="4"/>
                <w:szCs w:val="4"/>
                <w:color w:val="auto"/>
              </w:rPr>
            </w:pPr>
          </w:p>
        </w:tc>
        <w:tc>
          <w:tcPr>
            <w:tcW w:w="88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7"/>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other</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7"/>
              </w:rPr>
              <w:t>Additional</w:t>
            </w:r>
          </w:p>
        </w:tc>
        <w:tc>
          <w:tcPr>
            <w:tcW w:w="102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other</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common stock</w:t>
            </w: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ind w:left="220"/>
              <w:spacing w:after="0" w:line="106" w:lineRule="exact"/>
              <w:rPr>
                <w:sz w:val="20"/>
                <w:szCs w:val="20"/>
                <w:color w:val="auto"/>
              </w:rPr>
            </w:pPr>
            <w:r>
              <w:rPr>
                <w:rFonts w:ascii="Arial" w:cs="Arial" w:eastAsia="Arial" w:hAnsi="Arial"/>
                <w:sz w:val="12"/>
                <w:szCs w:val="12"/>
                <w:b w:val="1"/>
                <w:bCs w:val="1"/>
                <w:color w:val="auto"/>
              </w:rPr>
              <w:t>paid in</w:t>
            </w:r>
          </w:p>
        </w:tc>
        <w:tc>
          <w:tcPr>
            <w:tcW w:w="100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w:t>
            </w:r>
          </w:p>
        </w:tc>
        <w:tc>
          <w:tcPr>
            <w:tcW w:w="11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comprehensive</w:t>
            </w:r>
          </w:p>
        </w:tc>
        <w:tc>
          <w:tcPr>
            <w:tcW w:w="9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stockholders'</w:t>
            </w: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60" w:type="dxa"/>
            <w:vAlign w:val="bottom"/>
            <w:vMerge w:val="restart"/>
          </w:tcPr>
          <w:p>
            <w:pPr>
              <w:ind w:left="200"/>
              <w:spacing w:after="0" w:line="106" w:lineRule="exact"/>
              <w:rPr>
                <w:sz w:val="20"/>
                <w:szCs w:val="20"/>
                <w:color w:val="auto"/>
              </w:rPr>
            </w:pPr>
            <w:r>
              <w:rPr>
                <w:rFonts w:ascii="Arial" w:cs="Arial" w:eastAsia="Arial" w:hAnsi="Arial"/>
                <w:sz w:val="12"/>
                <w:szCs w:val="12"/>
                <w:b w:val="1"/>
                <w:bCs w:val="1"/>
                <w:color w:val="auto"/>
              </w:rPr>
              <w:t>paid-in</w:t>
            </w:r>
          </w:p>
        </w:tc>
        <w:tc>
          <w:tcPr>
            <w:tcW w:w="10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w:t>
            </w:r>
          </w:p>
        </w:tc>
        <w:tc>
          <w:tcPr>
            <w:tcW w:w="11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comprehensive</w:t>
            </w:r>
          </w:p>
        </w:tc>
        <w:tc>
          <w:tcPr>
            <w:tcW w:w="9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880" w:type="dxa"/>
            <w:vAlign w:val="bottom"/>
          </w:tcPr>
          <w:p>
            <w:pPr>
              <w:ind w:left="220"/>
              <w:spacing w:after="0"/>
              <w:rPr>
                <w:sz w:val="20"/>
                <w:szCs w:val="20"/>
                <w:color w:val="auto"/>
              </w:rPr>
            </w:pPr>
            <w:r>
              <w:rPr>
                <w:rFonts w:ascii="Arial" w:cs="Arial" w:eastAsia="Arial" w:hAnsi="Arial"/>
                <w:sz w:val="16"/>
                <w:szCs w:val="16"/>
                <w:b w:val="1"/>
                <w:bCs w:val="1"/>
                <w:color w:val="auto"/>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60" w:type="dxa"/>
            <w:vAlign w:val="bottom"/>
          </w:tcPr>
          <w:p>
            <w:pPr>
              <w:ind w:left="220"/>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02170" cy="34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4353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57"/>
        </w:trPr>
        <w:tc>
          <w:tcPr>
            <w:tcW w:w="980" w:type="dxa"/>
            <w:vAlign w:val="bottom"/>
          </w:tcPr>
          <w:p>
            <w:pPr>
              <w:spacing w:after="0" w:line="158" w:lineRule="exact"/>
              <w:rPr>
                <w:sz w:val="20"/>
                <w:szCs w:val="20"/>
                <w:color w:val="auto"/>
              </w:rPr>
            </w:pPr>
            <w:r>
              <w:rPr>
                <w:rFonts w:ascii="Arial" w:cs="Arial" w:eastAsia="Arial" w:hAnsi="Arial"/>
                <w:sz w:val="16"/>
                <w:szCs w:val="16"/>
                <w:b w:val="1"/>
                <w:bCs w:val="1"/>
                <w:color w:val="auto"/>
              </w:rPr>
              <w:t>Balances at</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b w:val="1"/>
                <w:bCs w:val="1"/>
                <w:color w:val="auto"/>
                <w:w w:val="99"/>
              </w:rPr>
              <w:t>beginning of</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343.7</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3"/>
              </w:rPr>
              <w:t>2,501.6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(2,827.5)</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4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Release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restricted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9"/>
              </w:rPr>
              <w:t>stock units and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Shares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withheld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related to net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share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settlement of</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restricted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9"/>
              </w:rPr>
              <w:t>stock units and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Repurchases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of common</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Exercise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stock options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Tax benefit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98"/>
              </w:rPr>
              <w:t>attributable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bond hedges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purchased in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connection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99"/>
              </w:rPr>
              <w:t>with issuance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of convertible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Stock-based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95.3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Other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8"/>
              </w:rPr>
              <w:t>comprehensive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income (loss)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980" w:type="dxa"/>
            <w:vAlign w:val="bottom"/>
          </w:tcPr>
          <w:p>
            <w:pPr>
              <w:spacing w:after="0" w:line="145" w:lineRule="exact"/>
              <w:rPr>
                <w:sz w:val="20"/>
                <w:szCs w:val="20"/>
                <w:color w:val="auto"/>
              </w:rPr>
            </w:pPr>
            <w:r>
              <w:rPr>
                <w:rFonts w:ascii="Arial" w:cs="Arial" w:eastAsia="Arial" w:hAnsi="Arial"/>
                <w:sz w:val="16"/>
                <w:szCs w:val="16"/>
                <w:b w:val="1"/>
                <w:bCs w:val="1"/>
                <w:color w:val="auto"/>
              </w:rPr>
              <w:t>Balances at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339.6</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3"/>
              </w:rPr>
              <w:t>2,521.9</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(2,895.6)</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20"/>
                <w:szCs w:val="20"/>
                <w:color w:val="auto"/>
              </w:rPr>
            </w:pPr>
            <w:r>
              <w:rPr>
                <w:rFonts w:ascii="Arial" w:cs="Arial" w:eastAsia="Arial" w:hAnsi="Arial"/>
                <w:sz w:val="16"/>
                <w:szCs w:val="16"/>
                <w:b w:val="1"/>
                <w:bCs w:val="1"/>
                <w:color w:val="auto"/>
                <w:w w:val="94"/>
              </w:rPr>
              <w:t>end of period</w:t>
            </w:r>
          </w:p>
        </w:tc>
        <w:tc>
          <w:tcPr>
            <w:tcW w:w="4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620" w:val="left"/>
          <w:tab w:leader="none" w:pos="1140" w:val="left"/>
          <w:tab w:leader="none" w:pos="1480" w:val="left"/>
          <w:tab w:leader="none" w:pos="1800" w:val="left"/>
          <w:tab w:leader="none" w:pos="2640" w:val="left"/>
          <w:tab w:leader="none" w:pos="2940" w:val="left"/>
          <w:tab w:leader="none" w:pos="3660" w:val="left"/>
          <w:tab w:leader="none" w:pos="4260" w:val="left"/>
          <w:tab w:leader="none" w:pos="4780" w:val="left"/>
          <w:tab w:leader="none" w:pos="5200" w:val="left"/>
        </w:tabs>
        <w:rPr>
          <w:sz w:val="20"/>
          <w:szCs w:val="20"/>
          <w:color w:val="auto"/>
        </w:rPr>
      </w:pPr>
      <w:r>
        <w:rPr>
          <w:rFonts w:ascii="Arial" w:cs="Arial" w:eastAsia="Arial" w:hAnsi="Arial"/>
          <w:sz w:val="16"/>
          <w:szCs w:val="16"/>
          <w:color w:val="auto"/>
        </w:rPr>
        <w:t>(365.2)</w:t>
        <w:tab/>
        <w:t>367.0</w:t>
        <w:tab/>
        <w:t>$</w:t>
      </w:r>
      <w:r>
        <w:rPr>
          <w:sz w:val="20"/>
          <w:szCs w:val="20"/>
          <w:color w:val="auto"/>
        </w:rPr>
        <w:tab/>
      </w:r>
      <w:r>
        <w:rPr>
          <w:rFonts w:ascii="Arial" w:cs="Arial" w:eastAsia="Arial" w:hAnsi="Arial"/>
          <w:sz w:val="16"/>
          <w:szCs w:val="16"/>
          <w:color w:val="auto"/>
        </w:rPr>
        <w:t>—</w:t>
        <w:tab/>
        <w:t>$  2,419.7</w:t>
        <w:tab/>
        <w:t>$</w:t>
        <w:tab/>
        <w:t>(2,854.9)</w:t>
        <w:tab/>
        <w:t>$</w:t>
      </w:r>
      <w:r>
        <w:rPr>
          <w:sz w:val="20"/>
          <w:szCs w:val="20"/>
          <w:color w:val="auto"/>
        </w:rPr>
        <w:tab/>
      </w:r>
      <w:r>
        <w:rPr>
          <w:rFonts w:ascii="Arial" w:cs="Arial" w:eastAsia="Arial" w:hAnsi="Arial"/>
          <w:sz w:val="16"/>
          <w:szCs w:val="16"/>
          <w:color w:val="auto"/>
        </w:rPr>
        <w:t>(28.1)</w:t>
        <w:tab/>
        <w:t>$</w:t>
      </w:r>
      <w:r>
        <w:rPr>
          <w:sz w:val="20"/>
          <w:szCs w:val="20"/>
          <w:color w:val="auto"/>
        </w:rPr>
        <w:tab/>
      </w:r>
      <w:r>
        <w:rPr>
          <w:rFonts w:ascii="Arial" w:cs="Arial" w:eastAsia="Arial" w:hAnsi="Arial"/>
          <w:sz w:val="14"/>
          <w:szCs w:val="14"/>
          <w:color w:val="auto"/>
        </w:rPr>
        <w:t>(463.3)</w:t>
      </w:r>
    </w:p>
    <w:p>
      <w:pPr>
        <w:spacing w:after="0" w:line="200" w:lineRule="exact"/>
        <w:rPr>
          <w:sz w:val="20"/>
          <w:szCs w:val="20"/>
          <w:color w:val="auto"/>
        </w:rPr>
      </w:pPr>
    </w:p>
    <w:p>
      <w:pPr>
        <w:spacing w:after="0" w:line="302" w:lineRule="exact"/>
        <w:rPr>
          <w:sz w:val="20"/>
          <w:szCs w:val="20"/>
          <w:color w:val="auto"/>
        </w:rPr>
      </w:pPr>
    </w:p>
    <w:p>
      <w:pPr>
        <w:ind w:left="260"/>
        <w:spacing w:after="0"/>
        <w:tabs>
          <w:tab w:leader="none" w:pos="780" w:val="left"/>
          <w:tab w:leader="none" w:pos="1480" w:val="left"/>
          <w:tab w:leader="none" w:pos="2320" w:val="left"/>
          <w:tab w:leader="none" w:pos="3340" w:val="left"/>
          <w:tab w:leader="none" w:pos="4460" w:val="left"/>
          <w:tab w:leader="none" w:pos="5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15240</wp:posOffset>
            </wp:positionV>
            <wp:extent cx="7202170" cy="837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83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 w:type="dxa"/>
            <w:vAlign w:val="bottom"/>
          </w:tcPr>
          <w:p>
            <w:pPr>
              <w:jc w:val="right"/>
              <w:ind w:right="61"/>
              <w:spacing w:after="0"/>
              <w:rPr>
                <w:sz w:val="20"/>
                <w:szCs w:val="20"/>
                <w:color w:val="auto"/>
              </w:rPr>
            </w:pPr>
            <w:r>
              <w:rPr>
                <w:rFonts w:ascii="Arial" w:cs="Arial" w:eastAsia="Arial" w:hAnsi="Arial"/>
                <w:sz w:val="16"/>
                <w:szCs w:val="16"/>
                <w:color w:val="auto"/>
              </w:rPr>
              <w:t>(32.1)</w:t>
            </w:r>
          </w:p>
        </w:tc>
        <w:tc>
          <w:tcPr>
            <w:tcW w:w="680" w:type="dxa"/>
            <w:vAlign w:val="bottom"/>
          </w:tcPr>
          <w:p>
            <w:pPr>
              <w:jc w:val="center"/>
              <w:ind w:right="21"/>
              <w:spacing w:after="0"/>
              <w:rPr>
                <w:sz w:val="20"/>
                <w:szCs w:val="20"/>
                <w:color w:val="auto"/>
              </w:rPr>
            </w:pPr>
            <w:r>
              <w:rPr>
                <w:rFonts w:ascii="Arial" w:cs="Arial" w:eastAsia="Arial" w:hAnsi="Arial"/>
                <w:sz w:val="16"/>
                <w:szCs w:val="16"/>
                <w:color w:val="auto"/>
                <w:w w:val="91"/>
              </w:rPr>
              <w:t>(1.2)</w:t>
            </w:r>
          </w:p>
        </w:tc>
        <w:tc>
          <w:tcPr>
            <w:tcW w:w="620" w:type="dxa"/>
            <w:vAlign w:val="bottom"/>
          </w:tcPr>
          <w:p>
            <w:pPr>
              <w:ind w:lef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1"/>
              <w:spacing w:after="0"/>
              <w:rPr>
                <w:sz w:val="20"/>
                <w:szCs w:val="20"/>
                <w:color w:val="auto"/>
              </w:rPr>
            </w:pPr>
            <w:r>
              <w:rPr>
                <w:rFonts w:ascii="Arial" w:cs="Arial" w:eastAsia="Arial" w:hAnsi="Arial"/>
                <w:sz w:val="16"/>
                <w:szCs w:val="16"/>
                <w:color w:val="auto"/>
              </w:rPr>
              <w:t>(9.6)</w:t>
            </w:r>
          </w:p>
        </w:tc>
        <w:tc>
          <w:tcPr>
            <w:tcW w:w="1200" w:type="dxa"/>
            <w:vAlign w:val="bottom"/>
          </w:tcPr>
          <w:p>
            <w:pPr>
              <w:jc w:val="right"/>
              <w:ind w:right="401"/>
              <w:spacing w:after="0"/>
              <w:rPr>
                <w:sz w:val="20"/>
                <w:szCs w:val="20"/>
                <w:color w:val="auto"/>
              </w:rPr>
            </w:pPr>
            <w:r>
              <w:rPr>
                <w:rFonts w:ascii="Arial" w:cs="Arial" w:eastAsia="Arial" w:hAnsi="Arial"/>
                <w:sz w:val="16"/>
                <w:szCs w:val="16"/>
                <w:color w:val="auto"/>
              </w:rPr>
              <w:t>(15.1)</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528"/>
        </w:trPr>
        <w:tc>
          <w:tcPr>
            <w:tcW w:w="600" w:type="dxa"/>
            <w:vAlign w:val="bottom"/>
          </w:tcPr>
          <w:p>
            <w:pPr>
              <w:jc w:val="right"/>
              <w:ind w:right="61"/>
              <w:spacing w:after="0"/>
              <w:rPr>
                <w:sz w:val="20"/>
                <w:szCs w:val="20"/>
                <w:color w:val="auto"/>
              </w:rPr>
            </w:pPr>
            <w:r>
              <w:rPr>
                <w:rFonts w:ascii="Arial" w:cs="Arial" w:eastAsia="Arial" w:hAnsi="Arial"/>
                <w:sz w:val="16"/>
                <w:szCs w:val="16"/>
                <w:color w:val="auto"/>
                <w:w w:val="86"/>
              </w:rPr>
              <w:t>(155.2)</w:t>
            </w:r>
          </w:p>
        </w:tc>
        <w:tc>
          <w:tcPr>
            <w:tcW w:w="680" w:type="dxa"/>
            <w:vAlign w:val="bottom"/>
          </w:tcPr>
          <w:p>
            <w:pPr>
              <w:jc w:val="center"/>
              <w:ind w:right="21"/>
              <w:spacing w:after="0"/>
              <w:rPr>
                <w:sz w:val="20"/>
                <w:szCs w:val="20"/>
                <w:color w:val="auto"/>
              </w:rPr>
            </w:pPr>
            <w:r>
              <w:rPr>
                <w:rFonts w:ascii="Arial" w:cs="Arial" w:eastAsia="Arial" w:hAnsi="Arial"/>
                <w:sz w:val="16"/>
                <w:szCs w:val="16"/>
                <w:color w:val="auto"/>
                <w:w w:val="91"/>
              </w:rPr>
              <w:t>(8.9)</w:t>
            </w:r>
          </w:p>
        </w:tc>
        <w:tc>
          <w:tcPr>
            <w:tcW w:w="620" w:type="dxa"/>
            <w:vAlign w:val="bottom"/>
          </w:tcPr>
          <w:p>
            <w:pPr>
              <w:ind w:lef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1"/>
              <w:spacing w:after="0"/>
              <w:rPr>
                <w:sz w:val="20"/>
                <w:szCs w:val="20"/>
                <w:color w:val="auto"/>
              </w:rPr>
            </w:pPr>
            <w:r>
              <w:rPr>
                <w:rFonts w:ascii="Arial" w:cs="Arial" w:eastAsia="Arial" w:hAnsi="Arial"/>
                <w:sz w:val="16"/>
                <w:szCs w:val="16"/>
                <w:color w:val="auto"/>
              </w:rPr>
              <w:t>(71.7)</w:t>
            </w:r>
          </w:p>
        </w:tc>
        <w:tc>
          <w:tcPr>
            <w:tcW w:w="1200" w:type="dxa"/>
            <w:vAlign w:val="bottom"/>
          </w:tcPr>
          <w:p>
            <w:pPr>
              <w:jc w:val="right"/>
              <w:ind w:right="401"/>
              <w:spacing w:after="0"/>
              <w:rPr>
                <w:sz w:val="20"/>
                <w:szCs w:val="20"/>
                <w:color w:val="auto"/>
              </w:rPr>
            </w:pPr>
            <w:r>
              <w:rPr>
                <w:rFonts w:ascii="Arial" w:cs="Arial" w:eastAsia="Arial" w:hAnsi="Arial"/>
                <w:sz w:val="16"/>
                <w:szCs w:val="16"/>
                <w:color w:val="auto"/>
              </w:rPr>
              <w:t>(118.1)</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(189.8)</w:t>
            </w:r>
          </w:p>
        </w:tc>
      </w:tr>
      <w:tr>
        <w:trPr>
          <w:trHeight w:val="528"/>
        </w:trPr>
        <w:tc>
          <w:tcPr>
            <w:tcW w:w="600" w:type="dxa"/>
            <w:vAlign w:val="bottom"/>
          </w:tcPr>
          <w:p>
            <w:pPr>
              <w:jc w:val="right"/>
              <w:ind w:right="101"/>
              <w:spacing w:after="0"/>
              <w:rPr>
                <w:sz w:val="20"/>
                <w:szCs w:val="20"/>
                <w:color w:val="auto"/>
              </w:rPr>
            </w:pPr>
            <w:r>
              <w:rPr>
                <w:rFonts w:ascii="Arial" w:cs="Arial" w:eastAsia="Arial" w:hAnsi="Arial"/>
                <w:sz w:val="16"/>
                <w:szCs w:val="16"/>
                <w:color w:val="auto"/>
              </w:rPr>
              <w:t>1.0</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tcPr>
          <w:p>
            <w:pPr>
              <w:ind w:lef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1"/>
              <w:spacing w:after="0"/>
              <w:rPr>
                <w:sz w:val="20"/>
                <w:szCs w:val="20"/>
                <w:color w:val="auto"/>
              </w:rPr>
            </w:pPr>
            <w:r>
              <w:rPr>
                <w:rFonts w:ascii="Arial" w:cs="Arial" w:eastAsia="Arial" w:hAnsi="Arial"/>
                <w:sz w:val="16"/>
                <w:szCs w:val="16"/>
                <w:color w:val="auto"/>
              </w:rPr>
              <w:t>0.1</w:t>
            </w:r>
          </w:p>
        </w:tc>
        <w:tc>
          <w:tcPr>
            <w:tcW w:w="12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-330200</wp:posOffset>
            </wp:positionV>
            <wp:extent cx="7202170" cy="335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69"/>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95.3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528"/>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1.1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4"/>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43.2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323"/>
        </w:trPr>
        <w:tc>
          <w:tcPr>
            <w:tcW w:w="580" w:type="dxa"/>
            <w:vAlign w:val="bottom"/>
          </w:tcPr>
          <w:p>
            <w:pPr>
              <w:jc w:val="right"/>
              <w:ind w:right="41"/>
              <w:spacing w:after="0"/>
              <w:rPr>
                <w:sz w:val="20"/>
                <w:szCs w:val="20"/>
                <w:color w:val="auto"/>
              </w:rPr>
            </w:pPr>
            <w:r>
              <w:rPr>
                <w:rFonts w:ascii="Arial" w:cs="Arial" w:eastAsia="Arial" w:hAnsi="Arial"/>
                <w:sz w:val="16"/>
                <w:szCs w:val="16"/>
                <w:color w:val="auto"/>
                <w:w w:val="86"/>
              </w:rPr>
              <w:t>(411.9)</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360.3</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2,424.1</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(2,926.1)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(542.9)</w:t>
            </w:r>
          </w:p>
        </w:tc>
      </w:tr>
      <w:tr>
        <w:trPr>
          <w:trHeight w:val="23"/>
        </w:trPr>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-954405</wp:posOffset>
            </wp:positionV>
            <wp:extent cx="7202170" cy="234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2343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-384810</wp:posOffset>
            </wp:positionV>
            <wp:extent cx="7202170" cy="142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14224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-33020</wp:posOffset>
            </wp:positionV>
            <wp:extent cx="594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360"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-7620</wp:posOffset>
            </wp:positionV>
            <wp:extent cx="594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ectPr>
          <w:pgSz w:w="11900" w:h="16838" w:orient="portrait"/>
          <w:cols w:equalWidth="0" w:num="2">
            <w:col w:w="5300" w:space="340"/>
            <w:col w:w="5700"/>
          </w:cols>
          <w:pgMar w:left="320" w:top="121" w:right="239" w:bottom="1440" w:gutter="0" w:footer="0" w:header="0"/>
          <w:type w:val="continuous"/>
        </w:sectPr>
      </w:pPr>
    </w:p>
    <w:bookmarkStart w:id="9" w:name="page10"/>
    <w:bookmarkEnd w:id="9"/>
    <w:tbl>
      <w:tblPr>
        <w:tblLayout w:type="fixed"/>
        <w:tblInd w:w="980" w:type="dxa"/>
        <w:tblCellMar>
          <w:top w:w="0" w:type="dxa"/>
          <w:left w:w="0" w:type="dxa"/>
          <w:bottom w:w="0" w:type="dxa"/>
          <w:right w:w="0" w:type="dxa"/>
        </w:tblCellMar>
      </w:tblPr>
      <w:tr>
        <w:trPr>
          <w:trHeight w:val="208"/>
        </w:trPr>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Six Months Ended June 30, 2023</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Six Months Ended June 30, 2022</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1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8"/>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85"/>
              </w:rPr>
              <w:t>Class B</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other</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02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other</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common stock</w:t>
            </w: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paid in</w:t>
            </w:r>
          </w:p>
        </w:tc>
        <w:tc>
          <w:tcPr>
            <w:tcW w:w="100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w:t>
            </w:r>
          </w:p>
        </w:tc>
        <w:tc>
          <w:tcPr>
            <w:tcW w:w="11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comprehensive</w:t>
            </w:r>
          </w:p>
        </w:tc>
        <w:tc>
          <w:tcPr>
            <w:tcW w:w="98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stockholders'</w:t>
            </w: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paid-in</w:t>
            </w:r>
          </w:p>
        </w:tc>
        <w:tc>
          <w:tcPr>
            <w:tcW w:w="10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Accumulated</w:t>
            </w:r>
          </w:p>
        </w:tc>
        <w:tc>
          <w:tcPr>
            <w:tcW w:w="112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comprehensive</w:t>
            </w:r>
          </w:p>
        </w:tc>
        <w:tc>
          <w:tcPr>
            <w:tcW w:w="9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7202170" cy="343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43535"/>
                    </a:xfrm>
                    <a:prstGeom prst="rect">
                      <a:avLst/>
                    </a:prstGeom>
                    <a:noFill/>
                  </pic:spPr>
                </pic:pic>
              </a:graphicData>
            </a:graphic>
          </wp:anchor>
        </w:drawing>
      </w:r>
    </w:p>
    <w:p>
      <w:pPr>
        <w:sectPr>
          <w:pgSz w:w="11900" w:h="16838" w:orient="portrait"/>
          <w:cols w:equalWidth="0" w:num="1">
            <w:col w:w="11320"/>
          </w:cols>
          <w:pgMar w:left="340" w:top="165" w:right="239" w:bottom="1440" w:gutter="0" w:footer="0" w:header="0"/>
        </w:sectPr>
      </w:pPr>
    </w:p>
    <w:tbl>
      <w:tblPr>
        <w:tblLayout w:type="fixed"/>
        <w:tblInd w:w="0" w:type="dxa"/>
        <w:tblCellMar>
          <w:top w:w="0" w:type="dxa"/>
          <w:left w:w="0" w:type="dxa"/>
          <w:bottom w:w="0" w:type="dxa"/>
          <w:right w:w="0" w:type="dxa"/>
        </w:tblCellMar>
      </w:tblPr>
      <w:tr>
        <w:trPr>
          <w:trHeight w:val="157"/>
        </w:trPr>
        <w:tc>
          <w:tcPr>
            <w:tcW w:w="980" w:type="dxa"/>
            <w:vAlign w:val="bottom"/>
          </w:tcPr>
          <w:p>
            <w:pPr>
              <w:spacing w:after="0" w:line="158" w:lineRule="exact"/>
              <w:rPr>
                <w:sz w:val="20"/>
                <w:szCs w:val="20"/>
                <w:color w:val="auto"/>
              </w:rPr>
            </w:pPr>
            <w:r>
              <w:rPr>
                <w:rFonts w:ascii="Arial" w:cs="Arial" w:eastAsia="Arial" w:hAnsi="Arial"/>
                <w:sz w:val="16"/>
                <w:szCs w:val="16"/>
                <w:b w:val="1"/>
                <w:bCs w:val="1"/>
                <w:color w:val="auto"/>
              </w:rPr>
              <w:t>Balances at</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b w:val="1"/>
                <w:bCs w:val="1"/>
                <w:color w:val="auto"/>
                <w:w w:val="99"/>
              </w:rPr>
              <w:t>beginning of</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349.4</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3"/>
              </w:rPr>
              <w:t>2,511.6</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(2,772.1)</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4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Release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restricted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9"/>
              </w:rPr>
              <w:t>stock units and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Shares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withheld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related to net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share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settlement of</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restricted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9"/>
              </w:rPr>
              <w:t>stock units and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Repurchases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of common</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Exercise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stock options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Tax benefit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98"/>
              </w:rPr>
              <w:t>attributable to</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bond hedges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purchased in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connection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99"/>
              </w:rPr>
              <w:t>with issuance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rPr>
              <w:t>of convertible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Stock-based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171.3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color w:val="auto"/>
              </w:rPr>
              <w:t>Other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80" w:type="dxa"/>
            <w:vAlign w:val="bottom"/>
          </w:tcPr>
          <w:p>
            <w:pPr>
              <w:spacing w:after="0" w:line="158" w:lineRule="exact"/>
              <w:rPr>
                <w:sz w:val="20"/>
                <w:szCs w:val="20"/>
                <w:color w:val="auto"/>
              </w:rPr>
            </w:pPr>
            <w:r>
              <w:rPr>
                <w:rFonts w:ascii="Arial" w:cs="Arial" w:eastAsia="Arial" w:hAnsi="Arial"/>
                <w:sz w:val="16"/>
                <w:szCs w:val="16"/>
                <w:color w:val="auto"/>
                <w:w w:val="88"/>
              </w:rPr>
              <w:t>comprehensive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20"/>
                <w:szCs w:val="20"/>
                <w:color w:val="auto"/>
              </w:rPr>
            </w:pPr>
            <w:r>
              <w:rPr>
                <w:rFonts w:ascii="Arial" w:cs="Arial" w:eastAsia="Arial" w:hAnsi="Arial"/>
                <w:sz w:val="16"/>
                <w:szCs w:val="16"/>
                <w:color w:val="auto"/>
              </w:rPr>
              <w:t>income (loss)</w:t>
            </w: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980" w:type="dxa"/>
            <w:vAlign w:val="bottom"/>
          </w:tcPr>
          <w:p>
            <w:pPr>
              <w:spacing w:after="0" w:line="145" w:lineRule="exact"/>
              <w:rPr>
                <w:sz w:val="20"/>
                <w:szCs w:val="20"/>
                <w:color w:val="auto"/>
              </w:rPr>
            </w:pPr>
            <w:r>
              <w:rPr>
                <w:rFonts w:ascii="Arial" w:cs="Arial" w:eastAsia="Arial" w:hAnsi="Arial"/>
                <w:sz w:val="16"/>
                <w:szCs w:val="16"/>
                <w:b w:val="1"/>
                <w:bCs w:val="1"/>
                <w:color w:val="auto"/>
              </w:rPr>
              <w:t>Balances at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339.6</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3"/>
              </w:rPr>
              <w:t>2,521.9</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(2,895.6)</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20"/>
                <w:szCs w:val="20"/>
                <w:color w:val="auto"/>
              </w:rPr>
            </w:pPr>
            <w:r>
              <w:rPr>
                <w:rFonts w:ascii="Arial" w:cs="Arial" w:eastAsia="Arial" w:hAnsi="Arial"/>
                <w:sz w:val="16"/>
                <w:szCs w:val="16"/>
                <w:b w:val="1"/>
                <w:bCs w:val="1"/>
                <w:color w:val="auto"/>
                <w:w w:val="94"/>
              </w:rPr>
              <w:t>end of period</w:t>
            </w:r>
          </w:p>
        </w:tc>
        <w:tc>
          <w:tcPr>
            <w:tcW w:w="4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620" w:val="left"/>
          <w:tab w:leader="none" w:pos="1140" w:val="left"/>
          <w:tab w:leader="none" w:pos="1480" w:val="left"/>
          <w:tab w:leader="none" w:pos="1800" w:val="left"/>
          <w:tab w:leader="none" w:pos="2640" w:val="left"/>
          <w:tab w:leader="none" w:pos="2940" w:val="left"/>
          <w:tab w:leader="none" w:pos="3660" w:val="left"/>
          <w:tab w:leader="none" w:pos="4340" w:val="left"/>
          <w:tab w:leader="none" w:pos="4780" w:val="left"/>
          <w:tab w:leader="none" w:pos="5200" w:val="left"/>
        </w:tabs>
        <w:rPr>
          <w:sz w:val="20"/>
          <w:szCs w:val="20"/>
          <w:color w:val="auto"/>
        </w:rPr>
      </w:pPr>
      <w:r>
        <w:rPr>
          <w:rFonts w:ascii="Arial" w:cs="Arial" w:eastAsia="Arial" w:hAnsi="Arial"/>
          <w:sz w:val="16"/>
          <w:szCs w:val="16"/>
          <w:color w:val="auto"/>
        </w:rPr>
        <w:t>(309.4)</w:t>
        <w:tab/>
        <w:t>375.5</w:t>
        <w:tab/>
        <w:t>$</w:t>
      </w:r>
      <w:r>
        <w:rPr>
          <w:sz w:val="20"/>
          <w:szCs w:val="20"/>
          <w:color w:val="auto"/>
        </w:rPr>
        <w:tab/>
      </w:r>
      <w:r>
        <w:rPr>
          <w:rFonts w:ascii="Arial" w:cs="Arial" w:eastAsia="Arial" w:hAnsi="Arial"/>
          <w:sz w:val="16"/>
          <w:szCs w:val="16"/>
          <w:color w:val="auto"/>
        </w:rPr>
        <w:t>—</w:t>
        <w:tab/>
        <w:t>$  2,448.1</w:t>
        <w:tab/>
        <w:t>$</w:t>
        <w:tab/>
        <w:t>(2,739.4)</w:t>
        <w:tab/>
        <w:t>$</w:t>
      </w:r>
      <w:r>
        <w:rPr>
          <w:sz w:val="20"/>
          <w:szCs w:val="20"/>
          <w:color w:val="auto"/>
        </w:rPr>
        <w:tab/>
      </w:r>
      <w:r>
        <w:rPr>
          <w:rFonts w:ascii="Arial" w:cs="Arial" w:eastAsia="Arial" w:hAnsi="Arial"/>
          <w:sz w:val="16"/>
          <w:szCs w:val="16"/>
          <w:color w:val="auto"/>
        </w:rPr>
        <w:t>(2.6)</w:t>
        <w:tab/>
        <w:t>$</w:t>
      </w:r>
      <w:r>
        <w:rPr>
          <w:sz w:val="20"/>
          <w:szCs w:val="20"/>
          <w:color w:val="auto"/>
        </w:rPr>
        <w:tab/>
      </w:r>
      <w:r>
        <w:rPr>
          <w:rFonts w:ascii="Arial" w:cs="Arial" w:eastAsia="Arial" w:hAnsi="Arial"/>
          <w:sz w:val="14"/>
          <w:szCs w:val="14"/>
          <w:color w:val="auto"/>
        </w:rPr>
        <w:t>(293.9)</w:t>
      </w:r>
    </w:p>
    <w:p>
      <w:pPr>
        <w:spacing w:after="0" w:line="200" w:lineRule="exact"/>
        <w:rPr>
          <w:sz w:val="20"/>
          <w:szCs w:val="20"/>
          <w:color w:val="auto"/>
        </w:rPr>
      </w:pPr>
    </w:p>
    <w:p>
      <w:pPr>
        <w:spacing w:after="0" w:line="302" w:lineRule="exact"/>
        <w:rPr>
          <w:sz w:val="20"/>
          <w:szCs w:val="20"/>
          <w:color w:val="auto"/>
        </w:rPr>
      </w:pPr>
    </w:p>
    <w:p>
      <w:pPr>
        <w:ind w:left="260"/>
        <w:spacing w:after="0"/>
        <w:tabs>
          <w:tab w:leader="none" w:pos="780" w:val="left"/>
          <w:tab w:leader="none" w:pos="1480" w:val="left"/>
          <w:tab w:leader="none" w:pos="2320" w:val="left"/>
          <w:tab w:leader="none" w:pos="3340" w:val="left"/>
          <w:tab w:leader="none" w:pos="4460" w:val="left"/>
          <w:tab w:leader="none" w:pos="5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15240</wp:posOffset>
            </wp:positionV>
            <wp:extent cx="7202170" cy="837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83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0" w:type="dxa"/>
            <w:vAlign w:val="bottom"/>
          </w:tcPr>
          <w:p>
            <w:pPr>
              <w:jc w:val="right"/>
              <w:ind w:right="21"/>
              <w:spacing w:after="0"/>
              <w:rPr>
                <w:sz w:val="20"/>
                <w:szCs w:val="20"/>
                <w:color w:val="auto"/>
              </w:rPr>
            </w:pPr>
            <w:r>
              <w:rPr>
                <w:rFonts w:ascii="Arial" w:cs="Arial" w:eastAsia="Arial" w:hAnsi="Arial"/>
                <w:sz w:val="16"/>
                <w:szCs w:val="16"/>
                <w:color w:val="auto"/>
              </w:rPr>
              <w:t>(66.2)</w:t>
            </w:r>
          </w:p>
        </w:tc>
        <w:tc>
          <w:tcPr>
            <w:tcW w:w="720" w:type="dxa"/>
            <w:vAlign w:val="bottom"/>
          </w:tcPr>
          <w:p>
            <w:pPr>
              <w:jc w:val="right"/>
              <w:ind w:right="161"/>
              <w:spacing w:after="0"/>
              <w:rPr>
                <w:sz w:val="20"/>
                <w:szCs w:val="20"/>
                <w:color w:val="auto"/>
              </w:rPr>
            </w:pPr>
            <w:r>
              <w:rPr>
                <w:rFonts w:ascii="Arial" w:cs="Arial" w:eastAsia="Arial" w:hAnsi="Arial"/>
                <w:sz w:val="16"/>
                <w:szCs w:val="16"/>
                <w:color w:val="auto"/>
              </w:rPr>
              <w:t>(2.7)</w:t>
            </w:r>
          </w:p>
        </w:tc>
        <w:tc>
          <w:tcPr>
            <w:tcW w:w="60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(21.8)</w:t>
            </w:r>
          </w:p>
        </w:tc>
        <w:tc>
          <w:tcPr>
            <w:tcW w:w="1200" w:type="dxa"/>
            <w:vAlign w:val="bottom"/>
          </w:tcPr>
          <w:p>
            <w:pPr>
              <w:jc w:val="right"/>
              <w:ind w:right="401"/>
              <w:spacing w:after="0"/>
              <w:rPr>
                <w:sz w:val="20"/>
                <w:szCs w:val="20"/>
                <w:color w:val="auto"/>
              </w:rPr>
            </w:pPr>
            <w:r>
              <w:rPr>
                <w:rFonts w:ascii="Arial" w:cs="Arial" w:eastAsia="Arial" w:hAnsi="Arial"/>
                <w:sz w:val="16"/>
                <w:szCs w:val="16"/>
                <w:color w:val="auto"/>
              </w:rPr>
              <w:t>(39.6)</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528"/>
        </w:trPr>
        <w:tc>
          <w:tcPr>
            <w:tcW w:w="560" w:type="dxa"/>
            <w:vAlign w:val="bottom"/>
          </w:tcPr>
          <w:p>
            <w:pPr>
              <w:jc w:val="right"/>
              <w:ind w:right="21"/>
              <w:spacing w:after="0"/>
              <w:rPr>
                <w:sz w:val="20"/>
                <w:szCs w:val="20"/>
                <w:color w:val="auto"/>
              </w:rPr>
            </w:pPr>
            <w:r>
              <w:rPr>
                <w:rFonts w:ascii="Arial" w:cs="Arial" w:eastAsia="Arial" w:hAnsi="Arial"/>
                <w:sz w:val="16"/>
                <w:szCs w:val="16"/>
                <w:color w:val="auto"/>
                <w:w w:val="86"/>
              </w:rPr>
              <w:t>(331.7)</w:t>
            </w:r>
          </w:p>
        </w:tc>
        <w:tc>
          <w:tcPr>
            <w:tcW w:w="720" w:type="dxa"/>
            <w:vAlign w:val="bottom"/>
          </w:tcPr>
          <w:p>
            <w:pPr>
              <w:jc w:val="right"/>
              <w:ind w:right="161"/>
              <w:spacing w:after="0"/>
              <w:rPr>
                <w:sz w:val="20"/>
                <w:szCs w:val="20"/>
                <w:color w:val="auto"/>
              </w:rPr>
            </w:pPr>
            <w:r>
              <w:rPr>
                <w:rFonts w:ascii="Arial" w:cs="Arial" w:eastAsia="Arial" w:hAnsi="Arial"/>
                <w:sz w:val="16"/>
                <w:szCs w:val="16"/>
                <w:color w:val="auto"/>
              </w:rPr>
              <w:t>(19.9)</w:t>
            </w:r>
          </w:p>
        </w:tc>
        <w:tc>
          <w:tcPr>
            <w:tcW w:w="60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(160.9)</w:t>
            </w:r>
          </w:p>
        </w:tc>
        <w:tc>
          <w:tcPr>
            <w:tcW w:w="1200" w:type="dxa"/>
            <w:vAlign w:val="bottom"/>
          </w:tcPr>
          <w:p>
            <w:pPr>
              <w:jc w:val="right"/>
              <w:ind w:right="401"/>
              <w:spacing w:after="0"/>
              <w:rPr>
                <w:sz w:val="20"/>
                <w:szCs w:val="20"/>
                <w:color w:val="auto"/>
              </w:rPr>
            </w:pPr>
            <w:r>
              <w:rPr>
                <w:rFonts w:ascii="Arial" w:cs="Arial" w:eastAsia="Arial" w:hAnsi="Arial"/>
                <w:sz w:val="16"/>
                <w:szCs w:val="16"/>
                <w:color w:val="auto"/>
              </w:rPr>
              <w:t>(288.8)</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(449.7)</w:t>
            </w:r>
          </w:p>
        </w:tc>
      </w:tr>
      <w:tr>
        <w:trPr>
          <w:trHeight w:val="528"/>
        </w:trPr>
        <w:tc>
          <w:tcPr>
            <w:tcW w:w="56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720" w:type="dxa"/>
            <w:vAlign w:val="bottom"/>
          </w:tcPr>
          <w:p>
            <w:pPr>
              <w:jc w:val="right"/>
              <w:ind w:right="201"/>
              <w:spacing w:after="0"/>
              <w:rPr>
                <w:sz w:val="20"/>
                <w:szCs w:val="20"/>
                <w:color w:val="auto"/>
              </w:rPr>
            </w:pPr>
            <w:r>
              <w:rPr>
                <w:rFonts w:ascii="Arial" w:cs="Arial" w:eastAsia="Arial" w:hAnsi="Arial"/>
                <w:sz w:val="16"/>
                <w:szCs w:val="16"/>
                <w:color w:val="auto"/>
              </w:rPr>
              <w:t>0.1</w:t>
            </w:r>
          </w:p>
        </w:tc>
        <w:tc>
          <w:tcPr>
            <w:tcW w:w="60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1"/>
              <w:spacing w:after="0"/>
              <w:rPr>
                <w:sz w:val="20"/>
                <w:szCs w:val="20"/>
                <w:color w:val="auto"/>
              </w:rPr>
            </w:pPr>
            <w:r>
              <w:rPr>
                <w:rFonts w:ascii="Arial" w:cs="Arial" w:eastAsia="Arial" w:hAnsi="Arial"/>
                <w:sz w:val="16"/>
                <w:szCs w:val="16"/>
                <w:color w:val="auto"/>
              </w:rPr>
              <w:t>0.3</w:t>
            </w:r>
          </w:p>
        </w:tc>
        <w:tc>
          <w:tcPr>
            <w:tcW w:w="12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900" w:type="dxa"/>
            <w:vAlign w:val="bottom"/>
          </w:tcPr>
          <w:p>
            <w:pPr>
              <w:ind w:left="4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-330200</wp:posOffset>
            </wp:positionV>
            <wp:extent cx="7202170" cy="335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69"/>
        </w:trPr>
        <w:tc>
          <w:tcPr>
            <w:tcW w:w="580" w:type="dxa"/>
            <w:vAlign w:val="bottom"/>
          </w:tcPr>
          <w:p>
            <w:pPr>
              <w:jc w:val="right"/>
              <w:ind w:right="81"/>
              <w:spacing w:after="0"/>
              <w:rPr>
                <w:sz w:val="20"/>
                <w:szCs w:val="20"/>
                <w:color w:val="auto"/>
              </w:rPr>
            </w:pPr>
            <w:r>
              <w:rPr>
                <w:rFonts w:ascii="Arial" w:cs="Arial" w:eastAsia="Arial" w:hAnsi="Arial"/>
                <w:sz w:val="16"/>
                <w:szCs w:val="16"/>
                <w:color w:val="auto"/>
                <w:w w:val="99"/>
              </w:rPr>
              <w:t>171.3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157.3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157.3</w:t>
            </w:r>
          </w:p>
        </w:tc>
      </w:tr>
      <w:tr>
        <w:trPr>
          <w:trHeight w:val="528"/>
        </w:trPr>
        <w:tc>
          <w:tcPr>
            <w:tcW w:w="580" w:type="dxa"/>
            <w:vAlign w:val="bottom"/>
          </w:tcPr>
          <w:p>
            <w:pPr>
              <w:jc w:val="right"/>
              <w:ind w:right="81"/>
              <w:spacing w:after="0"/>
              <w:rPr>
                <w:sz w:val="20"/>
                <w:szCs w:val="20"/>
                <w:color w:val="auto"/>
              </w:rPr>
            </w:pPr>
            <w:r>
              <w:rPr>
                <w:rFonts w:ascii="Arial" w:cs="Arial" w:eastAsia="Arial" w:hAnsi="Arial"/>
                <w:sz w:val="16"/>
                <w:szCs w:val="16"/>
                <w:color w:val="auto"/>
              </w:rPr>
              <w:t>10.7</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4"/>
        </w:trPr>
        <w:tc>
          <w:tcPr>
            <w:tcW w:w="580" w:type="dxa"/>
            <w:vAlign w:val="bottom"/>
          </w:tcPr>
          <w:p>
            <w:pPr>
              <w:jc w:val="right"/>
              <w:ind w:right="81"/>
              <w:spacing w:after="0"/>
              <w:rPr>
                <w:sz w:val="20"/>
                <w:szCs w:val="20"/>
                <w:color w:val="auto"/>
              </w:rPr>
            </w:pPr>
            <w:r>
              <w:rPr>
                <w:rFonts w:ascii="Arial" w:cs="Arial" w:eastAsia="Arial" w:hAnsi="Arial"/>
                <w:sz w:val="16"/>
                <w:szCs w:val="16"/>
                <w:color w:val="auto"/>
                <w:w w:val="99"/>
              </w:rPr>
              <w:t>112.2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r>
      <w:tr>
        <w:trPr>
          <w:trHeight w:val="323"/>
        </w:trPr>
        <w:tc>
          <w:tcPr>
            <w:tcW w:w="580" w:type="dxa"/>
            <w:vAlign w:val="bottom"/>
          </w:tcPr>
          <w:p>
            <w:pPr>
              <w:jc w:val="right"/>
              <w:ind w:right="41"/>
              <w:spacing w:after="0"/>
              <w:rPr>
                <w:sz w:val="20"/>
                <w:szCs w:val="20"/>
                <w:color w:val="auto"/>
              </w:rPr>
            </w:pPr>
            <w:r>
              <w:rPr>
                <w:rFonts w:ascii="Arial" w:cs="Arial" w:eastAsia="Arial" w:hAnsi="Arial"/>
                <w:sz w:val="16"/>
                <w:szCs w:val="16"/>
                <w:color w:val="auto"/>
                <w:w w:val="86"/>
              </w:rPr>
              <w:t>(411.9)</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360.3</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2,424.1</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(2,926.1)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(542.9)</w:t>
            </w:r>
          </w:p>
        </w:tc>
      </w:tr>
      <w:tr>
        <w:trPr>
          <w:trHeight w:val="23"/>
        </w:trPr>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-954405</wp:posOffset>
            </wp:positionV>
            <wp:extent cx="7202170" cy="234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2343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-384810</wp:posOffset>
            </wp:positionV>
            <wp:extent cx="7202170" cy="142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14224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-33020</wp:posOffset>
            </wp:positionV>
            <wp:extent cx="5943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360"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-7620</wp:posOffset>
            </wp:positionV>
            <wp:extent cx="594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40"/>
            <w:col w:w="5700"/>
          </w:cols>
          <w:pgMar w:left="340" w:top="165" w:right="239" w:bottom="1440" w:gutter="0" w:footer="0" w:header="0"/>
          <w:type w:val="continuous"/>
        </w:sectPr>
      </w:pP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40" w:top="16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15"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Six Months Ended</w:t>
      </w:r>
    </w:p>
    <w:p>
      <w:pPr>
        <w:jc w:val="center"/>
        <w:ind w:left="79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r>
      <w:tr>
        <w:trPr>
          <w:trHeight w:val="36"/>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112.2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78.6</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Non-cash operating lease expense</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1"/>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327.5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r>
      <w:tr>
        <w:trPr>
          <w:trHeight w:val="208"/>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18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4"/>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8"/>
        </w:trPr>
        <w:tc>
          <w:tcPr>
            <w:tcW w:w="798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1"/>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r>
      <w:tr>
        <w:trPr>
          <w:trHeight w:val="20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(458.6)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(575.2)</w:t>
            </w:r>
          </w:p>
        </w:tc>
      </w:t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(180.9)</w:t>
            </w:r>
          </w:p>
        </w:tc>
      </w:tr>
      <w:tr>
        <w:trPr>
          <w:trHeight w:val="21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r>
      <w:tr>
        <w:trPr>
          <w:trHeight w:val="20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510.3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352.1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0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4"/>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Property and equipment acquired under finance leases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3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0" w:lineRule="exact"/>
        <w:rPr>
          <w:sz w:val="20"/>
          <w:szCs w:val="20"/>
          <w:color w:val="auto"/>
        </w:rPr>
      </w:pPr>
    </w:p>
    <w:p>
      <w:pPr>
        <w:ind w:right="220" w:firstLine="435"/>
        <w:spacing w:after="0" w:line="325" w:lineRule="auto"/>
        <w:rPr>
          <w:sz w:val="20"/>
          <w:szCs w:val="20"/>
          <w:color w:val="auto"/>
        </w:rPr>
      </w:pPr>
      <w:r>
        <w:rPr>
          <w:rFonts w:ascii="Arial" w:cs="Arial" w:eastAsia="Arial" w:hAnsi="Arial"/>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0"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19" w:lineRule="exact"/>
        <w:rPr>
          <w:sz w:val="20"/>
          <w:szCs w:val="20"/>
          <w:color w:val="auto"/>
        </w:rPr>
      </w:pPr>
    </w:p>
    <w:p>
      <w:pPr>
        <w:ind w:right="20" w:firstLine="435"/>
        <w:spacing w:after="0" w:line="292" w:lineRule="auto"/>
        <w:rPr>
          <w:sz w:val="20"/>
          <w:szCs w:val="20"/>
          <w:color w:val="auto"/>
        </w:rPr>
      </w:pPr>
      <w:r>
        <w:rPr>
          <w:rFonts w:ascii="Arial" w:cs="Arial" w:eastAsia="Arial" w:hAnsi="Arial"/>
          <w:sz w:val="16"/>
          <w:szCs w:val="16"/>
          <w:color w:val="auto"/>
        </w:rPr>
        <w:t>The condensed consolidated balance sheet as of December 31, 2022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2023 or any future period.</w:t>
      </w:r>
    </w:p>
    <w:p>
      <w:pPr>
        <w:spacing w:after="0" w:line="186"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The unaudited condensed consolidated financial statements should be read in conjunction with the audited consolidated financial statements and the related notes thereto as of and for the year ended December 31, 2022, included in the Company's Annual Report on Form 10-K on file with the SEC ("Annual Report").</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0" w:lineRule="exact"/>
        <w:rPr>
          <w:sz w:val="20"/>
          <w:szCs w:val="20"/>
          <w:color w:val="auto"/>
        </w:rPr>
      </w:pPr>
    </w:p>
    <w:p>
      <w:pPr>
        <w:ind w:right="160" w:firstLine="435"/>
        <w:spacing w:after="0" w:line="25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most significant estimates and judgments involve the valuation of right-of-use and other lease related assets and income taxes.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0" w:lineRule="exact"/>
        <w:rPr>
          <w:sz w:val="20"/>
          <w:szCs w:val="20"/>
          <w:color w:val="auto"/>
        </w:rPr>
      </w:pPr>
    </w:p>
    <w:p>
      <w:pPr>
        <w:ind w:right="200" w:firstLine="435"/>
        <w:spacing w:after="0" w:line="287"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0"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 net of tax.</w:t>
      </w:r>
    </w:p>
    <w:p>
      <w:pPr>
        <w:spacing w:after="0" w:line="216"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$0.9 million and $0.1 million during the three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and six months ended June 30, 2023, respectively, and net foreign currency transaction losses of $3.9 million and $1.0 million during the three and six months ended June 30, 2022, respectively.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0" w:lineRule="exact"/>
        <w:rPr>
          <w:sz w:val="20"/>
          <w:szCs w:val="20"/>
          <w:color w:val="auto"/>
        </w:rPr>
      </w:pPr>
    </w:p>
    <w:p>
      <w:pPr>
        <w:jc w:val="both"/>
        <w:ind w:right="160" w:firstLine="435"/>
        <w:spacing w:after="0" w:line="253"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84" w:lineRule="exact"/>
        <w:rPr>
          <w:sz w:val="20"/>
          <w:szCs w:val="20"/>
          <w:color w:val="auto"/>
        </w:rPr>
      </w:pPr>
    </w:p>
    <w:p>
      <w:pPr>
        <w:ind w:left="960" w:hanging="32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41" w:lineRule="exact"/>
        <w:rPr>
          <w:sz w:val="20"/>
          <w:szCs w:val="20"/>
          <w:color w:val="auto"/>
        </w:rPr>
      </w:pPr>
    </w:p>
    <w:p>
      <w:pPr>
        <w:ind w:right="60" w:firstLine="435"/>
        <w:spacing w:after="0" w:line="311"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firstLine="435"/>
        <w:spacing w:after="0" w:line="300"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1" w:lineRule="exact"/>
        <w:rPr>
          <w:sz w:val="20"/>
          <w:szCs w:val="20"/>
          <w:color w:val="auto"/>
        </w:rPr>
      </w:pPr>
    </w:p>
    <w:p>
      <w:pPr>
        <w:ind w:right="380" w:firstLine="435"/>
        <w:spacing w:after="0" w:line="262"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208" w:lineRule="exact"/>
        <w:rPr>
          <w:sz w:val="20"/>
          <w:szCs w:val="20"/>
          <w:color w:val="auto"/>
        </w:rPr>
      </w:pPr>
    </w:p>
    <w:p>
      <w:pPr>
        <w:jc w:val="both"/>
        <w:ind w:right="80" w:firstLine="435"/>
        <w:spacing w:after="0" w:line="253"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216"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The Company recognized $341.9 million and $536.7 million of revenue during the three and six months ended June 30, 2023, respectively, and recognized $323.5 million and $511.1 million of revenue during the three and six months ended June 30, 2022, respectively, that was included in the deferred revenue balances at the beginning of their respective periods.</w:t>
      </w:r>
    </w:p>
    <w:p>
      <w:pPr>
        <w:spacing w:after="0" w:line="216"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As of June 30, 2023, future estimated revenue related to performance obligations that were unsatisfied or partially unsatisfied was $808.3 million. The substantial majority of the unsatisfied performance obligations will be satisfied over the next twelve months.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0" w:lineRule="exact"/>
        <w:rPr>
          <w:sz w:val="20"/>
          <w:szCs w:val="20"/>
          <w:color w:val="auto"/>
        </w:rPr>
      </w:pPr>
    </w:p>
    <w:p>
      <w:pPr>
        <w:ind w:right="20" w:firstLine="435"/>
        <w:spacing w:after="0" w:line="307" w:lineRule="auto"/>
        <w:rPr>
          <w:sz w:val="20"/>
          <w:szCs w:val="20"/>
          <w:color w:val="auto"/>
        </w:rPr>
      </w:pPr>
      <w:r>
        <w:rPr>
          <w:rFonts w:ascii="Arial" w:cs="Arial" w:eastAsia="Arial" w:hAnsi="Arial"/>
          <w:sz w:val="15"/>
          <w:szCs w:val="15"/>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600" w:firstLine="435"/>
        <w:spacing w:after="0" w:line="262" w:lineRule="auto"/>
        <w:rPr>
          <w:sz w:val="20"/>
          <w:szCs w:val="20"/>
          <w:color w:val="auto"/>
        </w:rPr>
      </w:pPr>
      <w:r>
        <w:rPr>
          <w:rFonts w:ascii="Arial" w:cs="Arial" w:eastAsia="Arial" w:hAnsi="Arial"/>
          <w:sz w:val="18"/>
          <w:szCs w:val="18"/>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8" w:lineRule="exact"/>
        <w:rPr>
          <w:sz w:val="20"/>
          <w:szCs w:val="20"/>
          <w:color w:val="auto"/>
        </w:rPr>
      </w:pPr>
    </w:p>
    <w:p>
      <w:pPr>
        <w:ind w:firstLine="435"/>
        <w:spacing w:after="0" w:line="280" w:lineRule="auto"/>
        <w:rPr>
          <w:sz w:val="20"/>
          <w:szCs w:val="20"/>
          <w:color w:val="auto"/>
        </w:rPr>
      </w:pPr>
      <w:r>
        <w:rPr>
          <w:rFonts w:ascii="Arial" w:cs="Arial" w:eastAsia="Arial" w:hAnsi="Arial"/>
          <w:sz w:val="16"/>
          <w:szCs w:val="16"/>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0" w:lineRule="exact"/>
        <w:rPr>
          <w:sz w:val="20"/>
          <w:szCs w:val="20"/>
          <w:color w:val="auto"/>
        </w:rPr>
      </w:pPr>
    </w:p>
    <w:p>
      <w:pPr>
        <w:ind w:firstLine="435"/>
        <w:spacing w:after="0" w:line="281"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Reduction in Workforce</w:t>
      </w:r>
    </w:p>
    <w:p>
      <w:pPr>
        <w:spacing w:after="0" w:line="110" w:lineRule="exact"/>
        <w:rPr>
          <w:sz w:val="20"/>
          <w:szCs w:val="20"/>
          <w:color w:val="auto"/>
        </w:rPr>
      </w:pPr>
    </w:p>
    <w:p>
      <w:pPr>
        <w:ind w:right="100" w:firstLine="396"/>
        <w:spacing w:after="0" w:line="292" w:lineRule="auto"/>
        <w:rPr>
          <w:sz w:val="20"/>
          <w:szCs w:val="20"/>
          <w:color w:val="auto"/>
        </w:rPr>
      </w:pPr>
      <w:r>
        <w:rPr>
          <w:rFonts w:ascii="Arial" w:cs="Arial" w:eastAsia="Arial" w:hAnsi="Arial"/>
          <w:sz w:val="16"/>
          <w:szCs w:val="16"/>
          <w:color w:val="auto"/>
        </w:rPr>
        <w:t>On April 27, 2023, the Company announced a reduction of its global workforce by approximately 16% to streamline its team structure in support of its long-term growth and profitability objectives. The Company estimates that it will incur charges of approximately $40 million in connection with the reduction in workforce, primarily consisting of cash expenditures for severance payments, employee benefits and related costs. The Company expects to incur substantially all of these charges by the end of 2023. During the three and six months ended June 30, 2023, the Company incurred $37.5 million in charges.</w:t>
      </w:r>
    </w:p>
    <w:p>
      <w:pPr>
        <w:spacing w:after="0" w:line="18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These severance charges are included within the Company's condensed consolidated statements of operations for the three and six months ended June 30, 2023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Severance and Related</w:t>
            </w:r>
          </w:p>
        </w:tc>
      </w:tr>
      <w:tr>
        <w:trPr>
          <w:trHeight w:val="233"/>
        </w:trPr>
        <w:tc>
          <w:tcPr>
            <w:tcW w:w="9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Costs</w:t>
            </w:r>
          </w:p>
        </w:tc>
      </w:tr>
      <w:tr>
        <w:trPr>
          <w:trHeight w:val="222"/>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4"/>
        </w:trPr>
        <w:tc>
          <w:tcPr>
            <w:tcW w:w="9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8"/>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4"/>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six months ended June 30, 2023, changes in liabilities resulting from the severance charges and related accruals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Severance and Related</w:t>
            </w:r>
          </w:p>
        </w:tc>
      </w:tr>
      <w:tr>
        <w:trPr>
          <w:trHeight w:val="233"/>
        </w:trPr>
        <w:tc>
          <w:tcPr>
            <w:tcW w:w="9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Costs</w:t>
            </w:r>
          </w:p>
        </w:tc>
      </w:tr>
      <w:tr>
        <w:trPr>
          <w:trHeight w:val="222"/>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060" w:type="dxa"/>
            <w:vAlign w:val="bottom"/>
          </w:tcPr>
          <w:p>
            <w:pPr>
              <w:ind w:left="22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8"/>
        </w:trPr>
        <w:tc>
          <w:tcPr>
            <w:tcW w:w="906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0" w:lineRule="exact"/>
        <w:rPr>
          <w:sz w:val="20"/>
          <w:szCs w:val="20"/>
          <w:color w:val="auto"/>
        </w:rPr>
      </w:pPr>
    </w:p>
    <w:p>
      <w:pPr>
        <w:ind w:right="80" w:firstLine="435"/>
        <w:spacing w:after="0" w:line="253"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216" w:lineRule="exact"/>
        <w:rPr>
          <w:sz w:val="20"/>
          <w:szCs w:val="20"/>
          <w:color w:val="auto"/>
        </w:rPr>
      </w:pPr>
    </w:p>
    <w:p>
      <w:pPr>
        <w:ind w:right="260" w:firstLine="435"/>
        <w:spacing w:after="0" w:line="262" w:lineRule="auto"/>
        <w:rPr>
          <w:sz w:val="20"/>
          <w:szCs w:val="20"/>
          <w:color w:val="auto"/>
        </w:rPr>
      </w:pPr>
      <w:r>
        <w:rPr>
          <w:rFonts w:ascii="Arial" w:cs="Arial" w:eastAsia="Arial" w:hAnsi="Arial"/>
          <w:sz w:val="18"/>
          <w:szCs w:val="18"/>
          <w:color w:val="auto"/>
        </w:rPr>
        <w:t>The Company monitors its credit risk by considering factors such as historical experience, credit ratings, current economic conditions, and reasonable and supportable forecasts.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0" w:lineRule="exact"/>
        <w:rPr>
          <w:sz w:val="20"/>
          <w:szCs w:val="20"/>
          <w:color w:val="auto"/>
        </w:rPr>
      </w:pPr>
    </w:p>
    <w:p>
      <w:pPr>
        <w:ind w:right="80" w:firstLine="435"/>
        <w:spacing w:after="0" w:line="285"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93" w:lineRule="exact"/>
        <w:rPr>
          <w:sz w:val="20"/>
          <w:szCs w:val="20"/>
          <w:color w:val="auto"/>
        </w:rPr>
      </w:pPr>
    </w:p>
    <w:p>
      <w:pPr>
        <w:ind w:right="20" w:firstLine="435"/>
        <w:spacing w:after="0" w:line="282"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2023. As of June 30, 2023 and December 31, 2022, no allowance for credit losses in short-term investments was recorded.</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0" w:lineRule="exact"/>
        <w:rPr>
          <w:sz w:val="20"/>
          <w:szCs w:val="20"/>
          <w:color w:val="auto"/>
        </w:rPr>
      </w:pPr>
    </w:p>
    <w:p>
      <w:pPr>
        <w:ind w:right="140" w:firstLine="435"/>
        <w:spacing w:after="0" w:line="316"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accounts receivable, and short-term investments. Although the Company deposits its cash and short-term investments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spacing w:after="0" w:line="173" w:lineRule="exact"/>
        <w:rPr>
          <w:sz w:val="20"/>
          <w:szCs w:val="20"/>
          <w:color w:val="auto"/>
        </w:rPr>
      </w:pPr>
    </w:p>
    <w:p>
      <w:pPr>
        <w:ind w:firstLine="435"/>
        <w:spacing w:after="0" w:line="328"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13% and 47% of total trade and other receivables, net as of June 30, 2023. Two distribution partners accounted for 12% and 30% of total trade and other receivables, net as of December 31, 2022. No customer accounted for more than 10% of the Company’s revenue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Deferred commissions, net is stated as gross deferred commissions less accumulated amortization. Deferred commissions are considered to be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incremental and recoverable costs of obtaining a contract with a customer such as sales commissions earned by the Company’s sales force including related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payroll taxes, and revenue share earned by strategic partners. These amounts have been capitalized as deferred commissions within prepaid and other 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assets and other assets on the condensed consolidated balance sheets. The Company deferred incremental costs of obtaining a contract of $6.2 million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$12.3 million during the three and six months ended June 30, 2023, respectively and $8.4 million and $16.0 million during the three and six months ended June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30, 2022, respectively.</w:t>
      </w:r>
    </w:p>
    <w:p>
      <w:pPr>
        <w:spacing w:after="0" w:line="230" w:lineRule="exact"/>
        <w:rPr>
          <w:sz w:val="20"/>
          <w:szCs w:val="20"/>
          <w:color w:val="auto"/>
        </w:rPr>
      </w:pPr>
    </w:p>
    <w:p>
      <w:pPr>
        <w:jc w:val="both"/>
        <w:ind w:right="420" w:firstLine="435"/>
        <w:spacing w:after="0" w:line="253" w:lineRule="auto"/>
        <w:rPr>
          <w:sz w:val="20"/>
          <w:szCs w:val="20"/>
          <w:color w:val="auto"/>
        </w:rPr>
      </w:pPr>
      <w:r>
        <w:rPr>
          <w:rFonts w:ascii="Arial" w:cs="Arial" w:eastAsia="Arial" w:hAnsi="Arial"/>
          <w:sz w:val="18"/>
          <w:szCs w:val="18"/>
          <w:color w:val="auto"/>
        </w:rPr>
        <w:t>Deferred commissions, net included in prepaid and other current assets were $27.4 million and $33.6 million as of June 30, 2023 and December 31, 2022, respectively. Deferred commissions, net included in other assets were $23.4 million and $25.7 million as of June 30, 2023 and December 31, 2022, respectively.</w:t>
      </w:r>
    </w:p>
    <w:p>
      <w:pPr>
        <w:spacing w:after="0" w:line="216" w:lineRule="exact"/>
        <w:rPr>
          <w:sz w:val="20"/>
          <w:szCs w:val="20"/>
          <w:color w:val="auto"/>
        </w:rPr>
      </w:pPr>
    </w:p>
    <w:p>
      <w:pPr>
        <w:ind w:right="80" w:firstLine="435"/>
        <w:spacing w:after="0" w:line="285"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$10.1 million and $20.8 million for the three and six months ended June 30, 2023, respectively and $9.7 million and $18.7 million for the three and six months ended June 30, 2022, respectively. Amortization of deferred commissions costs are included in sales and marketing expense in the accompanying condensed consolidated statements of operations. There was no impairment loss in relation to the deferred costs for any period presented.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0" w:lineRule="exact"/>
        <w:rPr>
          <w:sz w:val="20"/>
          <w:szCs w:val="20"/>
          <w:color w:val="auto"/>
        </w:rPr>
      </w:pPr>
    </w:p>
    <w:p>
      <w:pPr>
        <w:jc w:val="both"/>
        <w:ind w:right="160" w:firstLine="435"/>
        <w:spacing w:after="0" w:line="253"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gridSpan w:val="3"/>
          </w:tcPr>
          <w:p>
            <w:pPr>
              <w:ind w:left="440"/>
              <w:spacing w:after="0"/>
              <w:rPr>
                <w:sz w:val="20"/>
                <w:szCs w:val="20"/>
                <w:color w:val="auto"/>
              </w:rPr>
            </w:pPr>
            <w:r>
              <w:rPr>
                <w:rFonts w:ascii="Arial" w:cs="Arial" w:eastAsia="Arial" w:hAnsi="Arial"/>
                <w:sz w:val="18"/>
                <w:szCs w:val="18"/>
                <w:color w:val="auto"/>
                <w:w w:val="90"/>
              </w:rPr>
              <w:t>The following table presents the estimated useful lives of property and equipment:</w:t>
            </w:r>
          </w:p>
        </w:tc>
        <w:tc>
          <w:tcPr>
            <w:tcW w:w="4860" w:type="dxa"/>
            <w:vAlign w:val="bottom"/>
          </w:tcPr>
          <w:p>
            <w:pPr>
              <w:spacing w:after="0"/>
              <w:rPr>
                <w:sz w:val="19"/>
                <w:szCs w:val="19"/>
                <w:color w:val="auto"/>
              </w:rPr>
            </w:pPr>
          </w:p>
        </w:tc>
      </w:tr>
      <w:tr>
        <w:trPr>
          <w:trHeight w:val="488"/>
        </w:trPr>
        <w:tc>
          <w:tcPr>
            <w:tcW w:w="63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486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Useful life</w:t>
            </w:r>
          </w:p>
        </w:tc>
      </w:tr>
      <w:tr>
        <w:trPr>
          <w:trHeight w:val="46"/>
        </w:trPr>
        <w:tc>
          <w:tcPr>
            <w:tcW w:w="55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60" w:type="dxa"/>
            <w:vAlign w:val="bottom"/>
            <w:tcBorders>
              <w:top w:val="single" w:sz="8" w:color="auto"/>
            </w:tcBorders>
          </w:tcPr>
          <w:p>
            <w:pPr>
              <w:spacing w:after="0"/>
              <w:rPr>
                <w:sz w:val="4"/>
                <w:szCs w:val="4"/>
                <w:color w:val="auto"/>
              </w:rPr>
            </w:pPr>
          </w:p>
        </w:tc>
      </w:tr>
      <w:tr>
        <w:trPr>
          <w:trHeight w:val="224"/>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860" w:type="dxa"/>
            <w:vAlign w:val="bottom"/>
            <w:shd w:val="clear" w:color="auto" w:fill="CCEEFF"/>
          </w:tcPr>
          <w:p>
            <w:pPr>
              <w:jc w:val="center"/>
              <w:ind w:right="652"/>
              <w:spacing w:after="0"/>
              <w:rPr>
                <w:sz w:val="20"/>
                <w:szCs w:val="20"/>
                <w:color w:val="auto"/>
              </w:rPr>
            </w:pPr>
            <w:r>
              <w:rPr>
                <w:rFonts w:ascii="Arial" w:cs="Arial" w:eastAsia="Arial" w:hAnsi="Arial"/>
                <w:sz w:val="18"/>
                <w:szCs w:val="18"/>
                <w:color w:val="auto"/>
                <w:w w:val="87"/>
              </w:rPr>
              <w:t>20 to 30 years</w:t>
            </w:r>
          </w:p>
        </w:tc>
      </w:tr>
      <w:tr>
        <w:trPr>
          <w:trHeight w:val="224"/>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Datacenter and other computer equipment</w:t>
            </w:r>
          </w:p>
        </w:tc>
        <w:tc>
          <w:tcPr>
            <w:tcW w:w="4860" w:type="dxa"/>
            <w:vAlign w:val="bottom"/>
          </w:tcPr>
          <w:p>
            <w:pPr>
              <w:jc w:val="center"/>
              <w:ind w:right="672"/>
              <w:spacing w:after="0"/>
              <w:rPr>
                <w:sz w:val="20"/>
                <w:szCs w:val="20"/>
                <w:color w:val="auto"/>
              </w:rPr>
            </w:pPr>
            <w:r>
              <w:rPr>
                <w:rFonts w:ascii="Arial" w:cs="Arial" w:eastAsia="Arial" w:hAnsi="Arial"/>
                <w:sz w:val="18"/>
                <w:szCs w:val="18"/>
                <w:color w:val="auto"/>
                <w:w w:val="87"/>
              </w:rPr>
              <w:t>3 to 5 years</w:t>
            </w:r>
          </w:p>
        </w:tc>
      </w:tr>
      <w:tr>
        <w:trPr>
          <w:trHeight w:val="238"/>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Office equipment and other</w:t>
            </w:r>
          </w:p>
        </w:tc>
        <w:tc>
          <w:tcPr>
            <w:tcW w:w="4860" w:type="dxa"/>
            <w:vAlign w:val="bottom"/>
            <w:shd w:val="clear" w:color="auto" w:fill="CCEEFF"/>
          </w:tcPr>
          <w:p>
            <w:pPr>
              <w:jc w:val="center"/>
              <w:ind w:right="672"/>
              <w:spacing w:after="0"/>
              <w:rPr>
                <w:sz w:val="20"/>
                <w:szCs w:val="20"/>
                <w:color w:val="auto"/>
              </w:rPr>
            </w:pPr>
            <w:r>
              <w:rPr>
                <w:rFonts w:ascii="Arial" w:cs="Arial" w:eastAsia="Arial" w:hAnsi="Arial"/>
                <w:sz w:val="18"/>
                <w:szCs w:val="18"/>
                <w:color w:val="auto"/>
                <w:w w:val="87"/>
              </w:rPr>
              <w:t>3 to 7 years</w:t>
            </w:r>
          </w:p>
        </w:tc>
      </w:tr>
      <w:tr>
        <w:trPr>
          <w:trHeight w:val="223"/>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Leasehold improvements</w:t>
            </w:r>
          </w:p>
        </w:tc>
        <w:tc>
          <w:tcPr>
            <w:tcW w:w="4860" w:type="dxa"/>
            <w:vAlign w:val="bottom"/>
          </w:tcPr>
          <w:p>
            <w:pPr>
              <w:jc w:val="center"/>
              <w:ind w:right="672"/>
              <w:spacing w:after="0"/>
              <w:rPr>
                <w:sz w:val="20"/>
                <w:szCs w:val="20"/>
                <w:color w:val="auto"/>
              </w:rPr>
            </w:pPr>
            <w:r>
              <w:rPr>
                <w:rFonts w:ascii="Arial" w:cs="Arial" w:eastAsia="Arial" w:hAnsi="Arial"/>
                <w:sz w:val="18"/>
                <w:szCs w:val="18"/>
                <w:color w:val="auto"/>
                <w:w w:val="88"/>
              </w:rPr>
              <w:t>Lesser of estimated useful life or remaining lease term</w:t>
            </w:r>
          </w:p>
        </w:tc>
      </w:tr>
    </w:tbl>
    <w:p>
      <w:pPr>
        <w:spacing w:after="0" w:line="3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2036. The Company determines if an arrangement contains a lease at inception.</w:t>
      </w:r>
    </w:p>
    <w:p>
      <w:pPr>
        <w:spacing w:after="0" w:line="230" w:lineRule="exact"/>
        <w:rPr>
          <w:sz w:val="20"/>
          <w:szCs w:val="20"/>
          <w:color w:val="auto"/>
        </w:rPr>
      </w:pPr>
    </w:p>
    <w:p>
      <w:pPr>
        <w:ind w:right="180" w:firstLine="435"/>
        <w:spacing w:after="0" w:line="292"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6" w:lineRule="exact"/>
        <w:rPr>
          <w:sz w:val="20"/>
          <w:szCs w:val="20"/>
          <w:color w:val="auto"/>
        </w:rPr>
      </w:pPr>
    </w:p>
    <w:p>
      <w:pPr>
        <w:ind w:firstLine="435"/>
        <w:spacing w:after="0" w:line="249" w:lineRule="auto"/>
        <w:rPr>
          <w:sz w:val="20"/>
          <w:szCs w:val="20"/>
          <w:color w:val="auto"/>
        </w:rPr>
      </w:pPr>
      <w:r>
        <w:rPr>
          <w:rFonts w:ascii="Arial" w:cs="Arial" w:eastAsia="Arial" w:hAnsi="Arial"/>
          <w:sz w:val="18"/>
          <w:szCs w:val="18"/>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208" w:lineRule="exact"/>
        <w:rPr>
          <w:sz w:val="20"/>
          <w:szCs w:val="20"/>
          <w:color w:val="auto"/>
        </w:rPr>
      </w:pPr>
    </w:p>
    <w:p>
      <w:pPr>
        <w:ind w:right="40" w:firstLine="435"/>
        <w:spacing w:after="0" w:line="249" w:lineRule="auto"/>
        <w:rPr>
          <w:sz w:val="20"/>
          <w:szCs w:val="20"/>
          <w:color w:val="auto"/>
        </w:rPr>
      </w:pPr>
      <w:r>
        <w:rPr>
          <w:rFonts w:ascii="Arial" w:cs="Arial" w:eastAsia="Arial" w:hAnsi="Arial"/>
          <w:sz w:val="18"/>
          <w:szCs w:val="18"/>
          <w:color w:val="auto"/>
        </w:rPr>
        <w:t>As part of the Company's Virtual First strategy, Dropbox has retained a portion of its office space for in-person collaboration while the remainder will be subleased. The Company recorded total impairment charges of $2.2 million during the three and six months ended June 30, 2023 and $8.7 million during the three and six months ended June 30, 2022, for right-of-use and other lease related assets. These impairment charges were recorded as a result of the Company's decision to move towards a Virtual First work model. See Note 9 "Leases" to our condensed consolidated financial statements included elsewhere in this Quarterly Report on Form 10-Q for further information.</w:t>
      </w:r>
    </w:p>
    <w:p>
      <w:pPr>
        <w:spacing w:after="0" w:line="219" w:lineRule="exact"/>
        <w:rPr>
          <w:sz w:val="20"/>
          <w:szCs w:val="20"/>
          <w:color w:val="auto"/>
        </w:rPr>
      </w:pPr>
    </w:p>
    <w:p>
      <w:pPr>
        <w:ind w:right="140" w:firstLine="435"/>
        <w:spacing w:after="0" w:line="287" w:lineRule="auto"/>
        <w:rPr>
          <w:sz w:val="20"/>
          <w:szCs w:val="20"/>
          <w:color w:val="auto"/>
        </w:rPr>
      </w:pPr>
      <w:r>
        <w:rPr>
          <w:rFonts w:ascii="Arial" w:cs="Arial" w:eastAsia="Arial" w:hAnsi="Arial"/>
          <w:sz w:val="16"/>
          <w:szCs w:val="16"/>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92"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0" w:lineRule="exact"/>
        <w:rPr>
          <w:sz w:val="20"/>
          <w:szCs w:val="20"/>
          <w:color w:val="auto"/>
        </w:rPr>
      </w:pPr>
    </w:p>
    <w:p>
      <w:pPr>
        <w:ind w:right="60" w:firstLine="435"/>
        <w:spacing w:after="0" w:line="285" w:lineRule="auto"/>
        <w:rPr>
          <w:sz w:val="20"/>
          <w:szCs w:val="20"/>
          <w:color w:val="auto"/>
        </w:rPr>
      </w:pPr>
      <w:r>
        <w:rPr>
          <w:rFonts w:ascii="Arial" w:cs="Arial" w:eastAsia="Arial" w:hAnsi="Arial"/>
          <w:sz w:val="16"/>
          <w:szCs w:val="16"/>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0" w:lineRule="exact"/>
        <w:rPr>
          <w:sz w:val="20"/>
          <w:szCs w:val="20"/>
          <w:color w:val="auto"/>
        </w:rPr>
      </w:pPr>
    </w:p>
    <w:p>
      <w:pPr>
        <w:jc w:val="both"/>
        <w:ind w:right="120" w:firstLine="435"/>
        <w:spacing w:after="0" w:line="287"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2"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208" w:lineRule="exact"/>
        <w:rPr>
          <w:sz w:val="20"/>
          <w:szCs w:val="20"/>
          <w:color w:val="auto"/>
        </w:rPr>
      </w:pPr>
    </w:p>
    <w:p>
      <w:pPr>
        <w:ind w:right="140" w:firstLine="435"/>
        <w:spacing w:after="0" w:line="262" w:lineRule="auto"/>
        <w:rPr>
          <w:sz w:val="20"/>
          <w:szCs w:val="20"/>
          <w:color w:val="auto"/>
        </w:rPr>
      </w:pPr>
      <w:r>
        <w:rPr>
          <w:rFonts w:ascii="Arial" w:cs="Arial" w:eastAsia="Arial" w:hAnsi="Arial"/>
          <w:sz w:val="18"/>
          <w:szCs w:val="18"/>
          <w:color w:val="auto"/>
        </w:rPr>
        <w:t>The Company has not recorded impairment charges on goodwill or intangible assets for the periods presented in these condensed consolidated financial statements.</w:t>
      </w:r>
    </w:p>
    <w:p>
      <w:pPr>
        <w:spacing w:after="0" w:line="208" w:lineRule="exact"/>
        <w:rPr>
          <w:sz w:val="20"/>
          <w:szCs w:val="20"/>
          <w:color w:val="auto"/>
        </w:rPr>
      </w:pPr>
    </w:p>
    <w:p>
      <w:pPr>
        <w:jc w:val="both"/>
        <w:ind w:right="80" w:firstLine="396"/>
        <w:spacing w:after="0" w:line="249" w:lineRule="auto"/>
        <w:rPr>
          <w:sz w:val="20"/>
          <w:szCs w:val="20"/>
          <w:color w:val="auto"/>
        </w:rPr>
      </w:pPr>
      <w:r>
        <w:rPr>
          <w:rFonts w:ascii="Arial" w:cs="Arial" w:eastAsia="Arial" w:hAnsi="Arial"/>
          <w:sz w:val="18"/>
          <w:szCs w:val="18"/>
          <w:color w:val="auto"/>
        </w:rPr>
        <w:t>The Company recorded total impairment charges of $2.2 million during the three and six months ended June 30, 2023, and $8.7 million during the three and six months ended June 30, 2022, for right-of-use and other lease related assets, in conjunction with its decision to move towards a Virtual First model. See Note 9 "Leases" for further information.</w:t>
      </w:r>
    </w:p>
    <w:p>
      <w:pPr>
        <w:ind w:firstLine="435"/>
        <w:spacing w:after="0" w:line="246"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0"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216"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216"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19" w:lineRule="exact"/>
        <w:rPr>
          <w:sz w:val="20"/>
          <w:szCs w:val="20"/>
          <w:color w:val="auto"/>
        </w:rPr>
      </w:pPr>
    </w:p>
    <w:p>
      <w:pPr>
        <w:ind w:right="240" w:firstLine="435"/>
        <w:spacing w:after="0" w:line="250"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19" w:lineRule="exact"/>
        <w:rPr>
          <w:sz w:val="20"/>
          <w:szCs w:val="20"/>
          <w:color w:val="auto"/>
        </w:rPr>
      </w:pPr>
    </w:p>
    <w:p>
      <w:pPr>
        <w:ind w:firstLine="435"/>
        <w:spacing w:after="0" w:line="325"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1" w:lineRule="exact"/>
        <w:rPr>
          <w:sz w:val="20"/>
          <w:szCs w:val="20"/>
          <w:color w:val="auto"/>
        </w:rPr>
      </w:pPr>
    </w:p>
    <w:p>
      <w:pPr>
        <w:ind w:right="440" w:firstLine="435"/>
        <w:spacing w:after="0" w:line="262" w:lineRule="auto"/>
        <w:rPr>
          <w:sz w:val="20"/>
          <w:szCs w:val="20"/>
          <w:color w:val="auto"/>
        </w:rPr>
      </w:pPr>
      <w:r>
        <w:rPr>
          <w:rFonts w:ascii="Arial" w:cs="Arial" w:eastAsia="Arial" w:hAnsi="Arial"/>
          <w:sz w:val="18"/>
          <w:szCs w:val="18"/>
          <w:color w:val="auto"/>
        </w:rPr>
        <w:t>The Tax Cuts and Jobs Act of 2017 ("TCJA") subjects a U.S. shareholder to current tax on global intangible low-taxed income ("GILTI") earned by foreign subsidiaries. The Company accounts for GILTI as a period cost as incurred.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0" w:lineRule="exact"/>
        <w:rPr>
          <w:sz w:val="20"/>
          <w:szCs w:val="20"/>
          <w:color w:val="auto"/>
        </w:rPr>
      </w:pPr>
    </w:p>
    <w:p>
      <w:pPr>
        <w:ind w:right="40" w:firstLine="435"/>
        <w:spacing w:after="0" w:line="283"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0" w:lineRule="exact"/>
        <w:rPr>
          <w:sz w:val="20"/>
          <w:szCs w:val="20"/>
          <w:color w:val="auto"/>
        </w:rPr>
      </w:pPr>
    </w:p>
    <w:p>
      <w:pPr>
        <w:jc w:val="both"/>
        <w:ind w:left="480" w:right="180"/>
        <w:spacing w:after="0" w:line="25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84" w:lineRule="exact"/>
        <w:rPr>
          <w:sz w:val="20"/>
          <w:szCs w:val="20"/>
          <w:color w:val="auto"/>
        </w:rPr>
      </w:pPr>
    </w:p>
    <w:p>
      <w:pPr>
        <w:ind w:left="480" w:right="500"/>
        <w:spacing w:after="0" w:line="26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31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0" w:lineRule="exact"/>
        <w:rPr>
          <w:sz w:val="20"/>
          <w:szCs w:val="20"/>
          <w:color w:val="auto"/>
        </w:rPr>
      </w:pPr>
    </w:p>
    <w:p>
      <w:pPr>
        <w:ind w:right="300" w:firstLine="435"/>
        <w:spacing w:after="0" w:line="249" w:lineRule="auto"/>
        <w:rPr>
          <w:sz w:val="20"/>
          <w:szCs w:val="20"/>
          <w:color w:val="auto"/>
        </w:rPr>
      </w:pPr>
      <w:r>
        <w:rPr>
          <w:rFonts w:ascii="Arial" w:cs="Arial" w:eastAsia="Arial" w:hAnsi="Arial"/>
          <w:sz w:val="18"/>
          <w:szCs w:val="18"/>
          <w:color w:val="auto"/>
        </w:rPr>
        <w:t xml:space="preserve">In March 2022, the FASB issued ASU 2022-02, </w:t>
      </w:r>
      <w:r>
        <w:rPr>
          <w:rFonts w:ascii="Arial" w:cs="Arial" w:eastAsia="Arial" w:hAnsi="Arial"/>
          <w:sz w:val="18"/>
          <w:szCs w:val="18"/>
          <w:i w:val="1"/>
          <w:iCs w:val="1"/>
          <w:color w:val="auto"/>
        </w:rPr>
        <w:t>Financial Instruments—Credit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eliminates the accounting guidance on troubled debt restructurings for creditors in ASC 310-40 and amends the guidance on "vintage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difficulty. The Company adopted ASU 2022-02 on January 1, 2023. The adoption of the standard did not have a material impact on the Company's condensed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 consisted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4"/>
          </w:tcPr>
          <w:p>
            <w:pPr>
              <w:jc w:val="right"/>
              <w:ind w:right="1112"/>
              <w:spacing w:after="0"/>
              <w:rPr>
                <w:sz w:val="20"/>
                <w:szCs w:val="20"/>
                <w:color w:val="auto"/>
              </w:rPr>
            </w:pPr>
            <w:r>
              <w:rPr>
                <w:rFonts w:ascii="Arial" w:cs="Arial" w:eastAsia="Arial" w:hAnsi="Arial"/>
                <w:sz w:val="18"/>
                <w:szCs w:val="18"/>
                <w:b w:val="1"/>
                <w:bCs w:val="1"/>
                <w:color w:val="auto"/>
              </w:rPr>
              <w:t>As of June 30, 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35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6"/>
              </w:rPr>
              <w:t>Amortized Cost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Unrealized Gain</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2"/>
              </w:rPr>
              <w:t>Unrealized Loss</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Estimated Fair Value</w:t>
            </w:r>
          </w:p>
        </w:tc>
      </w:tr>
      <w:tr>
        <w:trPr>
          <w:trHeight w:val="222"/>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4"/>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1"/>
        </w:trPr>
        <w:tc>
          <w:tcPr>
            <w:tcW w:w="3520" w:type="dxa"/>
            <w:vAlign w:val="bottom"/>
          </w:tcPr>
          <w:p>
            <w:pPr>
              <w:ind w:left="20"/>
              <w:spacing w:after="0"/>
              <w:rPr>
                <w:sz w:val="20"/>
                <w:szCs w:val="20"/>
                <w:color w:val="auto"/>
              </w:rPr>
            </w:pPr>
            <w:r>
              <w:rPr>
                <w:rFonts w:ascii="Arial" w:cs="Arial" w:eastAsia="Arial" w:hAnsi="Arial"/>
                <w:sz w:val="18"/>
                <w:szCs w:val="18"/>
                <w:color w:val="auto"/>
              </w:rPr>
              <w:t>Total cash &amp; 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510.3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510.3</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35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Corporate notes and obligations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319.1</w:t>
            </w: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Asset backed securities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25"/>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U.S. agency obligations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1"/>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Foreign government obligations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Supranational securities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r>
      <w:tr>
        <w:trPr>
          <w:trHeight w:val="231"/>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1,264.3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1,227.5</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4"/>
          </w:tcPr>
          <w:p>
            <w:pPr>
              <w:jc w:val="right"/>
              <w:ind w:right="912"/>
              <w:spacing w:after="0"/>
              <w:rPr>
                <w:sz w:val="20"/>
                <w:szCs w:val="20"/>
                <w:color w:val="auto"/>
              </w:rPr>
            </w:pPr>
            <w:r>
              <w:rPr>
                <w:rFonts w:ascii="Arial" w:cs="Arial" w:eastAsia="Arial" w:hAnsi="Arial"/>
                <w:sz w:val="18"/>
                <w:szCs w:val="18"/>
                <w:b w:val="1"/>
                <w:bCs w:val="1"/>
                <w:color w:val="auto"/>
              </w:rPr>
              <w:t>As of December 31, 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6"/>
              </w:rPr>
              <w:t>Amortized Cost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6"/>
              </w:rPr>
              <w:t>Unrealized Gain</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2"/>
              </w:rPr>
              <w:t>Unrealized Loss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Estimated Fair Value</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4"/>
        </w:trPr>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&amp;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notes and obligations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backed securities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1"/>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 obligations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4"/>
        </w:trPr>
        <w:tc>
          <w:tcPr>
            <w:tcW w:w="3520" w:type="dxa"/>
            <w:vAlign w:val="bottom"/>
          </w:tcPr>
          <w:p>
            <w:pPr>
              <w:ind w:left="140"/>
              <w:spacing w:after="0"/>
              <w:rPr>
                <w:sz w:val="20"/>
                <w:szCs w:val="20"/>
                <w:color w:val="auto"/>
              </w:rPr>
            </w:pPr>
            <w:r>
              <w:rPr>
                <w:rFonts w:ascii="Arial" w:cs="Arial" w:eastAsia="Arial" w:hAnsi="Arial"/>
                <w:sz w:val="18"/>
                <w:szCs w:val="18"/>
                <w:color w:val="auto"/>
              </w:rPr>
              <w:t>Foreign government obligations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Supranational securities</w:t>
            </w:r>
          </w:p>
        </w:tc>
        <w:tc>
          <w:tcPr>
            <w:tcW w:w="2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$11.6 million and $12.4 million as of June 30, 2023 and December 31, 2022, respectively.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short-term investments were designated as available-for-sale securities as of June 30, 2023 and December 31, 2022.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June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4560" w:type="dxa"/>
            <w:vAlign w:val="bottom"/>
            <w:tcBorders>
              <w:bottom w:val="single" w:sz="8" w:color="auto"/>
            </w:tcBorders>
            <w:gridSpan w:val="5"/>
          </w:tcPr>
          <w:p>
            <w:pPr>
              <w:jc w:val="right"/>
              <w:ind w:right="1472"/>
              <w:spacing w:after="0"/>
              <w:rPr>
                <w:sz w:val="20"/>
                <w:szCs w:val="20"/>
                <w:color w:val="auto"/>
              </w:rPr>
            </w:pPr>
            <w:r>
              <w:rPr>
                <w:rFonts w:ascii="Arial" w:cs="Arial" w:eastAsia="Arial" w:hAnsi="Arial"/>
                <w:sz w:val="18"/>
                <w:szCs w:val="18"/>
                <w:b w:val="1"/>
                <w:bCs w:val="1"/>
                <w:color w:val="auto"/>
              </w:rPr>
              <w:t>As of June 30, 2023</w:t>
            </w:r>
          </w:p>
        </w:tc>
      </w:tr>
      <w:tr>
        <w:trPr>
          <w:trHeight w:val="227"/>
        </w:trPr>
        <w:tc>
          <w:tcPr>
            <w:tcW w:w="66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Amortized cost</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6"/>
              </w:rPr>
              <w:t>Estimated fair value</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720" w:type="dxa"/>
            <w:vAlign w:val="bottom"/>
            <w:shd w:val="clear" w:color="auto" w:fill="CCEEFF"/>
          </w:tcPr>
          <w:p>
            <w:pPr>
              <w:jc w:val="right"/>
              <w:ind w:right="15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24"/>
        </w:trPr>
        <w:tc>
          <w:tcPr>
            <w:tcW w:w="6680" w:type="dxa"/>
            <w:vAlign w:val="bottom"/>
          </w:tcPr>
          <w:p>
            <w:pPr>
              <w:ind w:left="20"/>
              <w:spacing w:after="0"/>
              <w:rPr>
                <w:sz w:val="20"/>
                <w:szCs w:val="20"/>
                <w:color w:val="auto"/>
              </w:rPr>
            </w:pPr>
            <w:r>
              <w:rPr>
                <w:rFonts w:ascii="Arial" w:cs="Arial" w:eastAsia="Arial" w:hAnsi="Arial"/>
                <w:sz w:val="18"/>
                <w:szCs w:val="18"/>
                <w:color w:val="auto"/>
              </w:rPr>
              <w:t>Due between one to three years</w:t>
            </w:r>
          </w:p>
        </w:tc>
        <w:tc>
          <w:tcPr>
            <w:tcW w:w="1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3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three years</w:t>
            </w:r>
          </w:p>
        </w:tc>
        <w:tc>
          <w:tcPr>
            <w:tcW w:w="17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18"/>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ind w:right="15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754.0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717.2</w:t>
            </w:r>
          </w:p>
        </w:tc>
      </w:tr>
      <w:tr>
        <w:trPr>
          <w:trHeight w:val="20"/>
        </w:trPr>
        <w:tc>
          <w:tcPr>
            <w:tcW w:w="66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20" w:firstLine="435"/>
        <w:spacing w:after="0" w:line="253" w:lineRule="auto"/>
        <w:rPr>
          <w:sz w:val="20"/>
          <w:szCs w:val="20"/>
          <w:color w:val="auto"/>
        </w:rPr>
      </w:pPr>
      <w:r>
        <w:rPr>
          <w:rFonts w:ascii="Arial" w:cs="Arial" w:eastAsia="Arial" w:hAnsi="Arial"/>
          <w:sz w:val="18"/>
          <w:szCs w:val="18"/>
          <w:color w:val="auto"/>
        </w:rPr>
        <w:t>The Company had 518 short-term investments in unrealized loss positions as of June 30, 2023. There were no material gains or losses from short-term investments that were reclassified out of accumulated other comprehensive loss for the three and six months ended June 30, 2023 or for the three and six months ended June 30, 2022.</w:t>
      </w:r>
    </w:p>
    <w:p>
      <w:pPr>
        <w:spacing w:after="0" w:line="216" w:lineRule="exact"/>
        <w:rPr>
          <w:sz w:val="20"/>
          <w:szCs w:val="20"/>
          <w:color w:val="auto"/>
        </w:rPr>
      </w:pPr>
    </w:p>
    <w:p>
      <w:pPr>
        <w:ind w:right="220" w:firstLine="435"/>
        <w:spacing w:after="0" w:line="250" w:lineRule="auto"/>
        <w:rPr>
          <w:sz w:val="20"/>
          <w:szCs w:val="20"/>
          <w:color w:val="auto"/>
        </w:rPr>
      </w:pPr>
      <w:r>
        <w:rPr>
          <w:rFonts w:ascii="Arial" w:cs="Arial" w:eastAsia="Arial" w:hAnsi="Arial"/>
          <w:sz w:val="18"/>
          <w:szCs w:val="18"/>
          <w:color w:val="auto"/>
        </w:rPr>
        <w:t>As of June 30, 2023, the Company’s short-term investments portfolio consisted of nine security types, seven of which were in an unrealized loss position. The Company’s short-term investments had unrealized losses of approximately $36.8 million as of June 30, 2023. The following tables present the breakdown of the short-term investments that have been in a continuous unrealized loss position aggregated by investment category,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As of June 30, 2023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More than 12 months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2"/>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2"/>
              <w:spacing w:after="0" w:line="169"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2"/>
              <w:spacing w:after="0" w:line="169" w:lineRule="exact"/>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12"/>
              <w:spacing w:after="0" w:line="17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2"/>
              <w:spacing w:after="0" w:line="17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2"/>
              <w:spacing w:after="0" w:line="171"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33"/>
        </w:trPr>
        <w:tc>
          <w:tcPr>
            <w:tcW w:w="2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 and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agency obligations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Foreign government obligations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1"/>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securities</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8"/>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w w:val="97"/>
              </w:rPr>
              <w:t>As of December 31, 2022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More than 12 months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2"/>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2"/>
              <w:spacing w:after="0" w:line="169"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2"/>
              <w:spacing w:after="0" w:line="169" w:lineRule="exact"/>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12"/>
              <w:spacing w:after="0" w:line="17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2"/>
              <w:spacing w:after="0" w:line="17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2"/>
              <w:spacing w:after="0" w:line="171"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33"/>
        </w:trPr>
        <w:tc>
          <w:tcPr>
            <w:tcW w:w="2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 and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agency obligations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Foreign government obligations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1"/>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securities</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8"/>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948.0</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20" w:firstLine="435"/>
        <w:spacing w:after="0" w:line="328" w:lineRule="auto"/>
        <w:rPr>
          <w:sz w:val="20"/>
          <w:szCs w:val="20"/>
          <w:color w:val="auto"/>
        </w:rPr>
      </w:pPr>
      <w:r>
        <w:rPr>
          <w:rFonts w:ascii="Arial" w:cs="Arial" w:eastAsia="Arial" w:hAnsi="Arial"/>
          <w:sz w:val="15"/>
          <w:szCs w:val="15"/>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63" w:lineRule="exact"/>
        <w:rPr>
          <w:sz w:val="20"/>
          <w:szCs w:val="20"/>
          <w:color w:val="auto"/>
        </w:rPr>
      </w:pPr>
    </w:p>
    <w:p>
      <w:pPr>
        <w:ind w:right="280" w:firstLine="435"/>
        <w:spacing w:after="0" w:line="325" w:lineRule="auto"/>
        <w:rPr>
          <w:sz w:val="20"/>
          <w:szCs w:val="20"/>
          <w:color w:val="auto"/>
        </w:rPr>
      </w:pPr>
      <w:r>
        <w:rPr>
          <w:rFonts w:ascii="Arial" w:cs="Arial" w:eastAsia="Arial" w:hAnsi="Arial"/>
          <w:sz w:val="16"/>
          <w:szCs w:val="16"/>
          <w:color w:val="auto"/>
        </w:rPr>
        <w:t>The Company recorded interest income from its cash, cash equivalents, and short-term investments of $7.4 million and $14.6 million during the three and six months ended June 30, 2023, respectively, and $2.6 million and $4.4 million during the three and six months ended June 30, 2022,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47"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discussed in Note 1:</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w w:val="84"/>
              </w:rPr>
              <w:t>As of June 30, 2023</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3</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401.4</w:t>
            </w:r>
          </w:p>
        </w:tc>
        <w:tc>
          <w:tcPr>
            <w:tcW w:w="134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31"/>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equivalents</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3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Short-term investments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notes and obligations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1"/>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backed securities</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 obligations</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government obligations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1"/>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Supranational securities</w:t>
            </w:r>
          </w:p>
        </w:tc>
        <w:tc>
          <w:tcPr>
            <w:tcW w:w="13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51"/>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34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520" w:type="dxa"/>
            <w:vAlign w:val="bottom"/>
            <w:gridSpan w:val="2"/>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As of December 31, 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18"/>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Total</w:t>
            </w:r>
          </w:p>
        </w:tc>
      </w:tr>
      <w:tr>
        <w:trPr>
          <w:trHeight w:val="21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139.5</w:t>
            </w:r>
          </w:p>
        </w:tc>
        <w:tc>
          <w:tcPr>
            <w:tcW w:w="13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7"/>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3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color w:val="auto"/>
              </w:rPr>
              <w:t>Total cash equivalents</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139.5</w:t>
            </w:r>
          </w:p>
        </w:tc>
        <w:tc>
          <w:tcPr>
            <w:tcW w:w="13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33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Short-term investments</w:t>
            </w:r>
          </w:p>
        </w:tc>
        <w:tc>
          <w:tcPr>
            <w:tcW w:w="1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Corporate notes and obligations</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489.5</w:t>
            </w:r>
          </w:p>
        </w:tc>
      </w:tr>
      <w:tr>
        <w:trPr>
          <w:trHeight w:val="231"/>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Asset backed securities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38"/>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5"/>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Foreign government obligations</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1"/>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 obligations</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4"/>
        </w:trPr>
        <w:tc>
          <w:tcPr>
            <w:tcW w:w="3380" w:type="dxa"/>
            <w:vAlign w:val="bottom"/>
          </w:tcPr>
          <w:p>
            <w:pPr>
              <w:ind w:left="140"/>
              <w:spacing w:after="0"/>
              <w:rPr>
                <w:sz w:val="20"/>
                <w:szCs w:val="20"/>
                <w:color w:val="auto"/>
              </w:rPr>
            </w:pPr>
            <w:r>
              <w:rPr>
                <w:rFonts w:ascii="Arial" w:cs="Arial" w:eastAsia="Arial" w:hAnsi="Arial"/>
                <w:sz w:val="18"/>
                <w:szCs w:val="18"/>
                <w:color w:val="auto"/>
              </w:rPr>
              <w:t>Supranational securities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3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1,110.6</w:t>
            </w:r>
          </w:p>
        </w:tc>
        <w:tc>
          <w:tcPr>
            <w:tcW w:w="12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139.5</w:t>
            </w:r>
          </w:p>
        </w:tc>
        <w:tc>
          <w:tcPr>
            <w:tcW w:w="13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1,113.8</w:t>
            </w:r>
          </w:p>
        </w:tc>
        <w:tc>
          <w:tcPr>
            <w:tcW w:w="1520" w:type="dxa"/>
            <w:vAlign w:val="bottom"/>
            <w:gridSpan w:val="2"/>
          </w:tcPr>
          <w:p>
            <w:pPr>
              <w:jc w:val="right"/>
              <w:ind w:right="1212"/>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1,253.3</w:t>
            </w:r>
          </w:p>
        </w:tc>
      </w:tr>
      <w:tr>
        <w:trPr>
          <w:trHeight w:val="20"/>
        </w:trPr>
        <w:tc>
          <w:tcPr>
            <w:tcW w:w="3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41" w:lineRule="exact"/>
        <w:rPr>
          <w:sz w:val="20"/>
          <w:szCs w:val="20"/>
          <w:color w:val="auto"/>
        </w:rPr>
      </w:pPr>
    </w:p>
    <w:p>
      <w:pPr>
        <w:ind w:right="260" w:firstLine="435"/>
        <w:spacing w:after="0" w:line="262"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208" w:lineRule="exact"/>
        <w:rPr>
          <w:sz w:val="20"/>
          <w:szCs w:val="20"/>
          <w:color w:val="auto"/>
        </w:rPr>
      </w:pPr>
    </w:p>
    <w:p>
      <w:pPr>
        <w:jc w:val="both"/>
        <w:ind w:right="220" w:firstLine="435"/>
        <w:spacing w:after="0" w:line="253" w:lineRule="auto"/>
        <w:rPr>
          <w:sz w:val="20"/>
          <w:szCs w:val="20"/>
          <w:color w:val="auto"/>
        </w:rPr>
      </w:pPr>
      <w:r>
        <w:rPr>
          <w:rFonts w:ascii="Arial" w:cs="Arial" w:eastAsia="Arial" w:hAnsi="Arial"/>
          <w:sz w:val="18"/>
          <w:szCs w:val="18"/>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June 30, 2023. Refer to Note 8 "Debt" for further details on the 2026 Notes and 2028 Notes.</w:t>
      </w:r>
    </w:p>
    <w:p>
      <w:pPr>
        <w:spacing w:after="0" w:line="216" w:lineRule="exact"/>
        <w:rPr>
          <w:sz w:val="20"/>
          <w:szCs w:val="20"/>
          <w:color w:val="auto"/>
        </w:rPr>
      </w:pPr>
    </w:p>
    <w:p>
      <w:pPr>
        <w:jc w:val="both"/>
        <w:ind w:right="160" w:firstLine="435"/>
        <w:spacing w:after="0" w:line="300" w:lineRule="auto"/>
        <w:rPr>
          <w:sz w:val="20"/>
          <w:szCs w:val="20"/>
          <w:color w:val="auto"/>
        </w:rPr>
      </w:pPr>
      <w:r>
        <w:rPr>
          <w:rFonts w:ascii="Arial" w:cs="Arial" w:eastAsia="Arial" w:hAnsi="Arial"/>
          <w:sz w:val="16"/>
          <w:szCs w:val="16"/>
          <w:color w:val="auto"/>
        </w:rPr>
        <w:t>The estimated fair value of the 2026 Notes and the 2028 Notes, based on a market approach as of June 30, 2023 was approximately $654.9 million and $666.5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8"/>
        </w:trPr>
        <w:tc>
          <w:tcPr>
            <w:tcW w:w="20" w:type="dxa"/>
            <w:vAlign w:val="bottom"/>
          </w:tcPr>
          <w:p>
            <w:pPr>
              <w:spacing w:after="0"/>
              <w:rPr>
                <w:sz w:val="24"/>
                <w:szCs w:val="24"/>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8"/>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3"/>
              </w:rPr>
              <w:t>December 31, 2022</w:t>
            </w:r>
          </w:p>
        </w:tc>
      </w:tr>
      <w:tr>
        <w:trPr>
          <w:trHeight w:val="222"/>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and other computer equipment</w:t>
            </w:r>
          </w:p>
        </w:tc>
        <w:tc>
          <w:tcPr>
            <w:tcW w:w="1600" w:type="dxa"/>
            <w:vAlign w:val="bottom"/>
            <w:shd w:val="clear" w:color="auto" w:fill="CCEEFF"/>
          </w:tcPr>
          <w:p>
            <w:pPr>
              <w:jc w:val="right"/>
              <w:ind w:right="14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r>
      <w:tr>
        <w:trPr>
          <w:trHeight w:val="224"/>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8"/>
        </w:trPr>
        <w:tc>
          <w:tcPr>
            <w:tcW w:w="20" w:type="dxa"/>
            <w:vAlign w:val="bottom"/>
          </w:tcPr>
          <w:p>
            <w:pPr>
              <w:spacing w:after="0"/>
              <w:rPr>
                <w:sz w:val="20"/>
                <w:szCs w:val="20"/>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24"/>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ind w:left="220"/>
              <w:spacing w:after="0" w:line="204" w:lineRule="exact"/>
              <w:rPr>
                <w:sz w:val="20"/>
                <w:szCs w:val="20"/>
                <w:color w:val="auto"/>
              </w:rPr>
            </w:pPr>
            <w:r>
              <w:rPr>
                <w:rFonts w:ascii="Arial" w:cs="Arial" w:eastAsia="Arial" w:hAnsi="Arial"/>
                <w:sz w:val="18"/>
                <w:szCs w:val="18"/>
                <w:color w:val="auto"/>
              </w:rPr>
              <w:t>Total property and equipment</w:t>
            </w:r>
          </w:p>
        </w:tc>
        <w:tc>
          <w:tcPr>
            <w:tcW w:w="1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r>
      <w:tr>
        <w:trPr>
          <w:trHeight w:val="231"/>
        </w:trPr>
        <w:tc>
          <w:tcPr>
            <w:tcW w:w="20" w:type="dxa"/>
            <w:vAlign w:val="bottom"/>
          </w:tcPr>
          <w:p>
            <w:pPr>
              <w:spacing w:after="0"/>
              <w:rPr>
                <w:sz w:val="20"/>
                <w:szCs w:val="20"/>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(537.9)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r>
      <w:tr>
        <w:trPr>
          <w:trHeight w:val="244"/>
        </w:trPr>
        <w:tc>
          <w:tcPr>
            <w:tcW w:w="20" w:type="dxa"/>
            <w:vAlign w:val="bottom"/>
          </w:tcPr>
          <w:p>
            <w:pPr>
              <w:spacing w:after="0"/>
              <w:rPr>
                <w:sz w:val="21"/>
                <w:szCs w:val="21"/>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0" w:type="dxa"/>
            <w:vAlign w:val="bottom"/>
            <w:shd w:val="clear" w:color="auto" w:fill="CCEEFF"/>
          </w:tcPr>
          <w:p>
            <w:pPr>
              <w:jc w:val="right"/>
              <w:ind w:right="14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435"/>
        <w:spacing w:after="0" w:line="249" w:lineRule="auto"/>
        <w:rPr>
          <w:sz w:val="20"/>
          <w:szCs w:val="20"/>
          <w:color w:val="auto"/>
        </w:rPr>
      </w:pPr>
      <w:r>
        <w:rPr>
          <w:rFonts w:ascii="Arial" w:cs="Arial" w:eastAsia="Arial" w:hAnsi="Arial"/>
          <w:sz w:val="18"/>
          <w:szCs w:val="18"/>
          <w:color w:val="auto"/>
        </w:rPr>
        <w:t>The Company leases certain infrastructure, computer equipment, and furniture from various third parties, through equipment finance leases. Infrastructure assets as of June 30, 2023 and December 31, 2022 included a total of $459.4 million and $456.4 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$241.8 million and $240.9 million as of June 30, 2023 and December 31, 2022, respectively.</w:t>
      </w:r>
    </w:p>
    <w:p>
      <w:pPr>
        <w:spacing w:after="0" w:line="219" w:lineRule="exact"/>
        <w:rPr>
          <w:sz w:val="20"/>
          <w:szCs w:val="20"/>
          <w:color w:val="auto"/>
        </w:rPr>
      </w:pPr>
    </w:p>
    <w:p>
      <w:pPr>
        <w:ind w:right="700" w:firstLine="435"/>
        <w:spacing w:after="0" w:line="325" w:lineRule="auto"/>
        <w:rPr>
          <w:sz w:val="20"/>
          <w:szCs w:val="20"/>
          <w:color w:val="auto"/>
        </w:rPr>
      </w:pPr>
      <w:r>
        <w:rPr>
          <w:rFonts w:ascii="Arial" w:cs="Arial" w:eastAsia="Arial" w:hAnsi="Arial"/>
          <w:sz w:val="16"/>
          <w:szCs w:val="16"/>
          <w:color w:val="auto"/>
        </w:rPr>
        <w:t>Depreciation expense related to property and equipment was $35.2 million and $70.1 million for the three and six months ended June 30, 2023, respectively, and $35.4 million and $70.8 million for the three and six months ended June 30, 2022,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Business Combination</w:t>
      </w:r>
    </w:p>
    <w:p>
      <w:pPr>
        <w:spacing w:after="0" w:line="221" w:lineRule="exact"/>
        <w:rPr>
          <w:sz w:val="20"/>
          <w:szCs w:val="20"/>
          <w:color w:val="auto"/>
        </w:rPr>
      </w:pPr>
    </w:p>
    <w:p>
      <w:pPr>
        <w:ind w:right="360" w:firstLine="435"/>
        <w:spacing w:after="0" w:line="249" w:lineRule="auto"/>
        <w:rPr>
          <w:sz w:val="20"/>
          <w:szCs w:val="20"/>
          <w:color w:val="auto"/>
        </w:rPr>
      </w:pPr>
      <w:r>
        <w:rPr>
          <w:rFonts w:ascii="Arial" w:cs="Arial" w:eastAsia="Arial" w:hAnsi="Arial"/>
          <w:sz w:val="18"/>
          <w:szCs w:val="18"/>
          <w:color w:val="auto"/>
        </w:rPr>
        <w:t>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e-signature—giving them more control over their most important agreements. The results of FormSwift's operations have been included in the Company’s consolidated results of operations since the date of acquisition.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ind w:left="440"/>
              <w:spacing w:after="0"/>
              <w:rPr>
                <w:sz w:val="20"/>
                <w:szCs w:val="20"/>
                <w:color w:val="auto"/>
              </w:rPr>
            </w:pPr>
            <w:r>
              <w:rPr>
                <w:rFonts w:ascii="Arial" w:cs="Arial" w:eastAsia="Arial" w:hAnsi="Arial"/>
                <w:sz w:val="18"/>
                <w:szCs w:val="18"/>
                <w:color w:val="auto"/>
              </w:rPr>
              <w:t>The purchase consideration transferred consisted of the following:</w:t>
            </w:r>
          </w:p>
        </w:tc>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51"/>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80" w:type="dxa"/>
            <w:vAlign w:val="bottom"/>
          </w:tcPr>
          <w:p>
            <w:pPr>
              <w:jc w:val="right"/>
              <w:ind w:right="572"/>
              <w:spacing w:after="0"/>
              <w:rPr>
                <w:sz w:val="20"/>
                <w:szCs w:val="20"/>
                <w:color w:val="auto"/>
              </w:rPr>
            </w:pPr>
            <w:r>
              <w:rPr>
                <w:rFonts w:ascii="Arial" w:cs="Arial" w:eastAsia="Arial" w:hAnsi="Arial"/>
                <w:sz w:val="18"/>
                <w:szCs w:val="18"/>
                <w:b w:val="1"/>
                <w:bCs w:val="1"/>
                <w:color w:val="auto"/>
                <w:w w:val="97"/>
              </w:rPr>
              <w:t>Purchase consideration</w:t>
            </w:r>
          </w:p>
        </w:tc>
      </w:tr>
      <w:tr>
        <w:trPr>
          <w:trHeight w:val="22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to stockholders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Cash paid for extinguishing shadow stock units</w:t>
            </w:r>
          </w:p>
        </w:tc>
        <w:tc>
          <w:tcPr>
            <w:tcW w:w="38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1"/>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 paid by Dropbox on behalf of FormSwift</w:t>
            </w:r>
          </w:p>
        </w:tc>
        <w:tc>
          <w:tcPr>
            <w:tcW w:w="380" w:type="dxa"/>
            <w:vAlign w:val="bottom"/>
            <w:tcBorders>
              <w:bottom w:val="single" w:sz="8" w:color="auto"/>
            </w:tcBorders>
            <w:shd w:val="clear" w:color="auto" w:fill="CCEEFF"/>
          </w:tcPr>
          <w:p>
            <w:pPr>
              <w:spacing w:after="0"/>
              <w:rPr>
                <w:sz w:val="20"/>
                <w:szCs w:val="20"/>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8120" w:type="dxa"/>
            <w:vAlign w:val="bottom"/>
          </w:tcPr>
          <w:p>
            <w:pPr>
              <w:ind w:left="20"/>
              <w:spacing w:after="0"/>
              <w:rPr>
                <w:sz w:val="20"/>
                <w:szCs w:val="20"/>
                <w:color w:val="auto"/>
              </w:rPr>
            </w:pPr>
            <w:r>
              <w:rPr>
                <w:rFonts w:ascii="Arial" w:cs="Arial" w:eastAsia="Arial" w:hAnsi="Arial"/>
                <w:sz w:val="18"/>
                <w:szCs w:val="18"/>
                <w:color w:val="auto"/>
              </w:rPr>
              <w:t>Cash purchase consideration</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38"/>
        </w:trPr>
        <w:tc>
          <w:tcPr>
            <w:tcW w:w="8120" w:type="dxa"/>
            <w:vAlign w:val="bottom"/>
            <w:shd w:val="clear" w:color="auto" w:fill="CCEEFF"/>
          </w:tcPr>
          <w:p>
            <w:pPr>
              <w:ind w:left="20"/>
              <w:spacing w:after="0" w:line="238" w:lineRule="exact"/>
              <w:rPr>
                <w:sz w:val="20"/>
                <w:szCs w:val="20"/>
                <w:color w:val="auto"/>
              </w:rPr>
            </w:pPr>
            <w:r>
              <w:rPr>
                <w:rFonts w:ascii="Arial" w:cs="Arial" w:eastAsia="Arial" w:hAnsi="Arial"/>
                <w:sz w:val="18"/>
                <w:szCs w:val="18"/>
                <w:color w:val="auto"/>
              </w:rPr>
              <w:t xml:space="preserve">Indemnification holdback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20"/>
                <w:szCs w:val="20"/>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4"/>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bl>
    <w:p>
      <w:pPr>
        <w:spacing w:after="0" w:line="285" w:lineRule="exact"/>
        <w:rPr>
          <w:sz w:val="20"/>
          <w:szCs w:val="20"/>
          <w:color w:val="auto"/>
        </w:rPr>
      </w:pPr>
    </w:p>
    <w:p>
      <w:pPr>
        <w:ind w:right="380" w:firstLine="6"/>
        <w:spacing w:after="0" w:line="310" w:lineRule="auto"/>
        <w:tabs>
          <w:tab w:leader="none" w:pos="134"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98" w:lineRule="exact"/>
        <w:rPr>
          <w:sz w:val="20"/>
          <w:szCs w:val="20"/>
          <w:color w:val="auto"/>
        </w:rPr>
      </w:pPr>
    </w:p>
    <w:p>
      <w:pPr>
        <w:ind w:right="260" w:firstLine="435"/>
        <w:spacing w:after="0" w:line="236" w:lineRule="auto"/>
        <w:rPr>
          <w:sz w:val="20"/>
          <w:szCs w:val="20"/>
          <w:color w:val="auto"/>
        </w:rPr>
      </w:pPr>
      <w:r>
        <w:rPr>
          <w:rFonts w:ascii="Arial" w:cs="Arial" w:eastAsia="Arial" w:hAnsi="Arial"/>
          <w:sz w:val="18"/>
          <w:szCs w:val="18"/>
          <w:color w:val="auto"/>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spacing w:after="0" w:line="228" w:lineRule="exact"/>
        <w:rPr>
          <w:sz w:val="20"/>
          <w:szCs w:val="20"/>
          <w:color w:val="auto"/>
        </w:rPr>
      </w:pPr>
    </w:p>
    <w:p>
      <w:pPr>
        <w:jc w:val="both"/>
        <w:ind w:right="60" w:firstLine="435"/>
        <w:spacing w:after="0" w:line="253" w:lineRule="auto"/>
        <w:rPr>
          <w:sz w:val="20"/>
          <w:szCs w:val="20"/>
          <w:color w:val="auto"/>
        </w:rPr>
      </w:pPr>
      <w:r>
        <w:rPr>
          <w:rFonts w:ascii="Arial" w:cs="Arial" w:eastAsia="Arial" w:hAnsi="Arial"/>
          <w:sz w:val="18"/>
          <w:szCs w:val="18"/>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4"/>
        </w:trPr>
        <w:tc>
          <w:tcPr>
            <w:tcW w:w="8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8"/>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intangible assets</w:t>
            </w:r>
          </w:p>
        </w:tc>
        <w:tc>
          <w:tcPr>
            <w:tcW w:w="13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4"/>
        </w:trPr>
        <w:tc>
          <w:tcPr>
            <w:tcW w:w="8280" w:type="dxa"/>
            <w:vAlign w:val="bottom"/>
          </w:tcPr>
          <w:p>
            <w:pPr>
              <w:ind w:left="140"/>
              <w:spacing w:after="0"/>
              <w:rPr>
                <w:sz w:val="20"/>
                <w:szCs w:val="20"/>
                <w:color w:val="auto"/>
              </w:rPr>
            </w:pPr>
            <w:r>
              <w:rPr>
                <w:rFonts w:ascii="Arial" w:cs="Arial" w:eastAsia="Arial" w:hAnsi="Arial"/>
                <w:sz w:val="18"/>
                <w:szCs w:val="18"/>
                <w:color w:val="auto"/>
              </w:rPr>
              <w:t>Accounts receivable, prepaid and other assets</w:t>
            </w:r>
          </w:p>
        </w:tc>
        <w:tc>
          <w:tcPr>
            <w:tcW w:w="1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13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13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4"/>
        </w:trPr>
        <w:tc>
          <w:tcPr>
            <w:tcW w:w="8280" w:type="dxa"/>
            <w:vAlign w:val="bottom"/>
          </w:tcPr>
          <w:p>
            <w:pPr>
              <w:ind w:left="120"/>
              <w:spacing w:after="0"/>
              <w:rPr>
                <w:sz w:val="20"/>
                <w:szCs w:val="20"/>
                <w:color w:val="auto"/>
              </w:rPr>
            </w:pPr>
            <w:r>
              <w:rPr>
                <w:rFonts w:ascii="Arial" w:cs="Arial" w:eastAsia="Arial" w:hAnsi="Arial"/>
                <w:sz w:val="18"/>
                <w:szCs w:val="18"/>
                <w:color w:val="auto"/>
              </w:rPr>
              <w:t>Accounts payable, accrued and other liabilities</w:t>
            </w: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1"/>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assumed</w:t>
            </w:r>
          </w:p>
        </w:tc>
        <w:tc>
          <w:tcPr>
            <w:tcW w:w="1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 excluding goodwill</w:t>
            </w:r>
          </w:p>
        </w:tc>
        <w:tc>
          <w:tcPr>
            <w:tcW w:w="13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7"/>
        </w:trPr>
        <w:tc>
          <w:tcPr>
            <w:tcW w:w="82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56"/>
        </w:trPr>
        <w:tc>
          <w:tcPr>
            <w:tcW w:w="8280" w:type="dxa"/>
            <w:vAlign w:val="bottom"/>
            <w:tcBorders>
              <w:bottom w:val="single" w:sz="8" w:color="CCEEFF"/>
            </w:tcBorders>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2"/>
                <w:szCs w:val="22"/>
                <w:color w:val="auto"/>
                <w:vertAlign w:val="superscript"/>
              </w:rPr>
              <w:t>(2)</w:t>
            </w:r>
          </w:p>
        </w:tc>
        <w:tc>
          <w:tcPr>
            <w:tcW w:w="136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460" w:firstLine="6"/>
        <w:spacing w:after="0" w:line="282" w:lineRule="auto"/>
        <w:tabs>
          <w:tab w:leader="none" w:pos="139"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goodwill recognized was primarily attributable to the opportunity to expand the user base of the Company's platform. A portion of the goodwill is deductible for U.S. federal income tax purposes.</w:t>
      </w:r>
    </w:p>
    <w:p>
      <w:pPr>
        <w:spacing w:after="0" w:line="208"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The fair value of the separately identifiable finite-lived intangible assets acquired and estimated weighted average useful lives as of the acquisition date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60" w:type="dxa"/>
            <w:vAlign w:val="bottom"/>
          </w:tcPr>
          <w:p>
            <w:pPr>
              <w:jc w:val="center"/>
              <w:ind w:left="72"/>
              <w:spacing w:after="0"/>
              <w:rPr>
                <w:sz w:val="20"/>
                <w:szCs w:val="20"/>
                <w:color w:val="auto"/>
              </w:rPr>
            </w:pPr>
            <w:r>
              <w:rPr>
                <w:rFonts w:ascii="Arial" w:cs="Arial" w:eastAsia="Arial" w:hAnsi="Arial"/>
                <w:sz w:val="18"/>
                <w:szCs w:val="18"/>
                <w:color w:val="auto"/>
                <w:w w:val="87"/>
              </w:rPr>
              <w:t>Estimated weighted average</w:t>
            </w:r>
          </w:p>
        </w:tc>
      </w:tr>
      <w:tr>
        <w:trPr>
          <w:trHeight w:val="185"/>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60" w:type="dxa"/>
            <w:vAlign w:val="bottom"/>
          </w:tcPr>
          <w:p>
            <w:pPr>
              <w:jc w:val="center"/>
              <w:ind w:left="72"/>
              <w:spacing w:after="0" w:line="185" w:lineRule="exact"/>
              <w:rPr>
                <w:sz w:val="20"/>
                <w:szCs w:val="20"/>
                <w:color w:val="auto"/>
              </w:rPr>
            </w:pPr>
            <w:r>
              <w:rPr>
                <w:rFonts w:ascii="Arial" w:cs="Arial" w:eastAsia="Arial" w:hAnsi="Arial"/>
                <w:sz w:val="18"/>
                <w:szCs w:val="18"/>
                <w:color w:val="auto"/>
                <w:w w:val="92"/>
              </w:rPr>
              <w:t>useful lives</w:t>
            </w: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ind w:right="212"/>
              <w:spacing w:after="0"/>
              <w:rPr>
                <w:sz w:val="20"/>
                <w:szCs w:val="20"/>
                <w:color w:val="auto"/>
              </w:rPr>
            </w:pPr>
            <w:r>
              <w:rPr>
                <w:rFonts w:ascii="Arial" w:cs="Arial" w:eastAsia="Arial" w:hAnsi="Arial"/>
                <w:sz w:val="18"/>
                <w:szCs w:val="18"/>
                <w:color w:val="auto"/>
                <w:w w:val="93"/>
              </w:rPr>
              <w:t>Estimated fair values</w:t>
            </w:r>
          </w:p>
        </w:tc>
        <w:tc>
          <w:tcPr>
            <w:tcW w:w="2260" w:type="dxa"/>
            <w:vAlign w:val="bottom"/>
          </w:tcPr>
          <w:p>
            <w:pPr>
              <w:ind w:left="900"/>
              <w:spacing w:after="0"/>
              <w:rPr>
                <w:sz w:val="20"/>
                <w:szCs w:val="20"/>
                <w:color w:val="auto"/>
              </w:rPr>
            </w:pPr>
            <w:r>
              <w:rPr>
                <w:rFonts w:ascii="Arial" w:cs="Arial" w:eastAsia="Arial" w:hAnsi="Arial"/>
                <w:sz w:val="18"/>
                <w:szCs w:val="18"/>
                <w:color w:val="auto"/>
              </w:rPr>
              <w:t>(In years)</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5.0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16.4</w:t>
            </w:r>
          </w:p>
        </w:tc>
        <w:tc>
          <w:tcPr>
            <w:tcW w:w="2260" w:type="dxa"/>
            <w:vAlign w:val="bottom"/>
          </w:tcPr>
          <w:p>
            <w:pPr>
              <w:jc w:val="center"/>
              <w:ind w:left="72"/>
              <w:spacing w:after="0"/>
              <w:rPr>
                <w:sz w:val="20"/>
                <w:szCs w:val="20"/>
                <w:color w:val="auto"/>
              </w:rPr>
            </w:pPr>
            <w:r>
              <w:rPr>
                <w:rFonts w:ascii="Arial" w:cs="Arial" w:eastAsia="Arial" w:hAnsi="Arial"/>
                <w:sz w:val="18"/>
                <w:szCs w:val="18"/>
                <w:color w:val="auto"/>
                <w:w w:val="87"/>
              </w:rPr>
              <w:t>2.0</w:t>
            </w:r>
          </w:p>
        </w:tc>
      </w:tr>
      <w:tr>
        <w:trPr>
          <w:trHeight w:val="23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1.0</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317" w:lineRule="exact"/>
        <w:rPr>
          <w:sz w:val="20"/>
          <w:szCs w:val="20"/>
          <w:color w:val="auto"/>
        </w:rPr>
      </w:pPr>
    </w:p>
    <w:p>
      <w:pPr>
        <w:ind w:right="80" w:firstLine="435"/>
        <w:spacing w:after="0" w:line="250" w:lineRule="auto"/>
        <w:rPr>
          <w:sz w:val="20"/>
          <w:szCs w:val="20"/>
          <w:color w:val="auto"/>
        </w:rPr>
      </w:pPr>
      <w:r>
        <w:rPr>
          <w:rFonts w:ascii="Arial" w:cs="Arial" w:eastAsia="Arial" w:hAnsi="Arial"/>
          <w:sz w:val="18"/>
          <w:szCs w:val="18"/>
          <w:color w:val="auto"/>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had a total weighted average amortization period of 3.7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Note 6. Intangible Assets</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7"/>
        </w:trPr>
        <w:tc>
          <w:tcPr>
            <w:tcW w:w="5080" w:type="dxa"/>
            <w:vAlign w:val="bottom"/>
          </w:tcPr>
          <w:p>
            <w:pPr>
              <w:ind w:left="440"/>
              <w:spacing w:after="0"/>
              <w:rPr>
                <w:sz w:val="20"/>
                <w:szCs w:val="20"/>
                <w:color w:val="auto"/>
              </w:rPr>
            </w:pPr>
            <w:r>
              <w:rPr>
                <w:rFonts w:ascii="Arial" w:cs="Arial" w:eastAsia="Arial" w:hAnsi="Arial"/>
                <w:sz w:val="18"/>
                <w:szCs w:val="18"/>
                <w:color w:val="auto"/>
              </w:rPr>
              <w:t>Intangible assets consisted of the following:</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4"/>
        </w:trPr>
        <w:tc>
          <w:tcPr>
            <w:tcW w:w="5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w:t>
            </w:r>
          </w:p>
        </w:tc>
      </w:tr>
      <w:tr>
        <w:trPr>
          <w:trHeight w:val="179"/>
        </w:trPr>
        <w:tc>
          <w:tcPr>
            <w:tcW w:w="5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5"/>
              </w:rPr>
              <w:t>average</w:t>
            </w:r>
          </w:p>
        </w:tc>
      </w:tr>
      <w:tr>
        <w:trPr>
          <w:trHeight w:val="177"/>
        </w:trPr>
        <w:tc>
          <w:tcPr>
            <w:tcW w:w="5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remaining</w:t>
            </w:r>
          </w:p>
        </w:tc>
      </w:tr>
      <w:tr>
        <w:trPr>
          <w:trHeight w:val="171"/>
        </w:trPr>
        <w:tc>
          <w:tcPr>
            <w:tcW w:w="5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71" w:lineRule="exact"/>
              <w:rPr>
                <w:sz w:val="20"/>
                <w:szCs w:val="20"/>
                <w:color w:val="auto"/>
              </w:rPr>
            </w:pPr>
            <w:r>
              <w:rPr>
                <w:rFonts w:ascii="Arial" w:cs="Arial" w:eastAsia="Arial" w:hAnsi="Arial"/>
                <w:sz w:val="18"/>
                <w:szCs w:val="18"/>
                <w:b w:val="1"/>
                <w:bCs w:val="1"/>
                <w:color w:val="auto"/>
                <w:w w:val="85"/>
              </w:rPr>
              <w:t>useful life</w:t>
            </w:r>
          </w:p>
        </w:tc>
      </w:tr>
      <w:tr>
        <w:trPr>
          <w:trHeight w:val="179"/>
        </w:trPr>
        <w:tc>
          <w:tcPr>
            <w:tcW w:w="5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9"/>
              </w:rPr>
              <w:t>(In years)</w:t>
            </w:r>
          </w:p>
        </w:tc>
      </w:tr>
      <w:tr>
        <w:trPr>
          <w:trHeight w:val="229"/>
        </w:trPr>
        <w:tc>
          <w:tcPr>
            <w:tcW w:w="50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of 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As of June 30,</w:t>
            </w:r>
          </w:p>
        </w:tc>
      </w:tr>
      <w:tr>
        <w:trPr>
          <w:trHeight w:val="218"/>
        </w:trPr>
        <w:tc>
          <w:tcPr>
            <w:tcW w:w="5080" w:type="dxa"/>
            <w:vAlign w:val="bottom"/>
          </w:tcPr>
          <w:p>
            <w:pPr>
              <w:spacing w:after="0"/>
              <w:rPr>
                <w:sz w:val="18"/>
                <w:szCs w:val="18"/>
                <w:color w:val="auto"/>
              </w:rPr>
            </w:pPr>
          </w:p>
        </w:tc>
        <w:tc>
          <w:tcPr>
            <w:tcW w:w="1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2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3.9</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20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1.8</w:t>
            </w: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3.9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Software</w:t>
            </w:r>
          </w:p>
        </w:tc>
        <w:tc>
          <w:tcPr>
            <w:tcW w:w="15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20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0.2</w:t>
            </w: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1.4</w:t>
            </w:r>
          </w:p>
        </w:tc>
      </w:tr>
      <w:tr>
        <w:trPr>
          <w:trHeight w:val="224"/>
        </w:trPr>
        <w:tc>
          <w:tcPr>
            <w:tcW w:w="5080" w:type="dxa"/>
            <w:vAlign w:val="bottom"/>
          </w:tcPr>
          <w:p>
            <w:pPr>
              <w:ind w:left="20"/>
              <w:spacing w:after="0"/>
              <w:rPr>
                <w:sz w:val="20"/>
                <w:szCs w:val="20"/>
                <w:color w:val="auto"/>
              </w:rPr>
            </w:pPr>
            <w:r>
              <w:rPr>
                <w:rFonts w:ascii="Arial" w:cs="Arial" w:eastAsia="Arial" w:hAnsi="Arial"/>
                <w:sz w:val="18"/>
                <w:szCs w:val="18"/>
                <w:color w:val="auto"/>
              </w:rPr>
              <w:t>Licenses</w:t>
            </w: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0.0</w:t>
            </w:r>
          </w:p>
        </w:tc>
      </w:tr>
      <w:tr>
        <w:trPr>
          <w:trHeight w:val="23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 in asset acquisitions</w:t>
            </w:r>
          </w:p>
        </w:tc>
        <w:tc>
          <w:tcPr>
            <w:tcW w:w="15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2.8</w:t>
            </w:r>
          </w:p>
        </w:tc>
      </w:tr>
      <w:tr>
        <w:trPr>
          <w:trHeight w:val="22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8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87"/>
              </w:rPr>
              <w:t>2.3</w:t>
            </w:r>
          </w:p>
        </w:tc>
      </w:tr>
      <w:tr>
        <w:trPr>
          <w:trHeight w:val="218"/>
        </w:trPr>
        <w:tc>
          <w:tcPr>
            <w:tcW w:w="508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intangibles</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1"/>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(87.5)</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52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right="500" w:firstLine="435"/>
        <w:spacing w:after="0" w:line="262" w:lineRule="auto"/>
        <w:rPr>
          <w:sz w:val="20"/>
          <w:szCs w:val="20"/>
          <w:color w:val="auto"/>
        </w:rPr>
      </w:pPr>
      <w:r>
        <w:rPr>
          <w:rFonts w:ascii="Arial" w:cs="Arial" w:eastAsia="Arial" w:hAnsi="Arial"/>
          <w:sz w:val="18"/>
          <w:szCs w:val="18"/>
          <w:color w:val="auto"/>
        </w:rPr>
        <w:t>Amortization expense was $7.6 million and $15.1million for the three and six months ended June 30, 2023, respectively and $3.8 million and $7.8 million for the three and six months ended June 30, 2022, respectively.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000" w:type="dxa"/>
            <w:vAlign w:val="bottom"/>
          </w:tcPr>
          <w:p>
            <w:pPr>
              <w:ind w:left="420"/>
              <w:spacing w:after="0"/>
              <w:rPr>
                <w:sz w:val="20"/>
                <w:szCs w:val="20"/>
                <w:color w:val="auto"/>
              </w:rPr>
            </w:pPr>
            <w:r>
              <w:rPr>
                <w:rFonts w:ascii="Arial" w:cs="Arial" w:eastAsia="Arial" w:hAnsi="Arial"/>
                <w:sz w:val="18"/>
                <w:szCs w:val="18"/>
                <w:color w:val="auto"/>
              </w:rPr>
              <w:t>Expected future amortization expense for intangible assets as of June 30, 2023 is as follows: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88"/>
        </w:trPr>
        <w:tc>
          <w:tcPr>
            <w:tcW w:w="9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jc w:val="right"/>
              <w:ind w:right="392"/>
              <w:spacing w:after="0"/>
              <w:rPr>
                <w:sz w:val="20"/>
                <w:szCs w:val="20"/>
                <w:color w:val="auto"/>
              </w:rPr>
            </w:pPr>
            <w:r>
              <w:rPr>
                <w:rFonts w:ascii="Arial" w:cs="Arial" w:eastAsia="Arial" w:hAnsi="Arial"/>
                <w:sz w:val="18"/>
                <w:szCs w:val="18"/>
                <w:b w:val="1"/>
                <w:bCs w:val="1"/>
                <w:color w:val="auto"/>
                <w:w w:val="95"/>
              </w:rPr>
              <w:t>Intangible assets</w:t>
            </w:r>
          </w:p>
        </w:tc>
      </w:tr>
      <w:tr>
        <w:trPr>
          <w:trHeight w:val="23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4"/>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5"/>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1"/>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4"/>
        </w:trPr>
        <w:tc>
          <w:tcPr>
            <w:tcW w:w="9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9"/>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47" w:lineRule="exact"/>
        <w:rPr>
          <w:sz w:val="20"/>
          <w:szCs w:val="20"/>
          <w:color w:val="auto"/>
        </w:rPr>
      </w:pPr>
    </w:p>
    <w:p>
      <w:pPr>
        <w:ind w:right="340" w:firstLine="435"/>
        <w:spacing w:after="0" w:line="262"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The changes in the carrying amounts of goodwill were as follows: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6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24"/>
        </w:trPr>
        <w:tc>
          <w:tcPr>
            <w:tcW w:w="7920" w:type="dxa"/>
            <w:vAlign w:val="bottom"/>
          </w:tcPr>
          <w:p>
            <w:pPr>
              <w:ind w:left="200"/>
              <w:spacing w:after="0"/>
              <w:rPr>
                <w:sz w:val="20"/>
                <w:szCs w:val="20"/>
                <w:color w:val="auto"/>
              </w:rPr>
            </w:pPr>
            <w:r>
              <w:rPr>
                <w:rFonts w:ascii="Arial" w:cs="Arial" w:eastAsia="Arial" w:hAnsi="Arial"/>
                <w:sz w:val="18"/>
                <w:szCs w:val="18"/>
                <w:color w:val="auto"/>
              </w:rPr>
              <w:t>FormSwift acquisition purchase price adjustments</w:t>
            </w:r>
          </w:p>
        </w:tc>
        <w:tc>
          <w:tcPr>
            <w:tcW w:w="14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4"/>
        </w:trPr>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foreign currency translation</w:t>
            </w:r>
          </w:p>
        </w:tc>
        <w:tc>
          <w:tcPr>
            <w:tcW w:w="14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792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460" w:type="dxa"/>
            <w:vAlign w:val="bottom"/>
            <w:tcBorders>
              <w:bottom w:val="single" w:sz="8" w:color="auto"/>
            </w:tcBorders>
          </w:tcPr>
          <w:p>
            <w:pPr>
              <w:jc w:val="right"/>
              <w:ind w:right="127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r>
      <w:tr>
        <w:trPr>
          <w:trHeight w:val="20"/>
        </w:trPr>
        <w:tc>
          <w:tcPr>
            <w:tcW w:w="7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540" w:firstLine="435"/>
        <w:spacing w:after="0" w:line="262" w:lineRule="auto"/>
        <w:rPr>
          <w:sz w:val="20"/>
          <w:szCs w:val="20"/>
          <w:color w:val="auto"/>
        </w:rPr>
      </w:pPr>
      <w:r>
        <w:rPr>
          <w:rFonts w:ascii="Arial" w:cs="Arial" w:eastAsia="Arial" w:hAnsi="Arial"/>
          <w:sz w:val="18"/>
          <w:szCs w:val="18"/>
          <w:color w:val="auto"/>
        </w:rPr>
        <w:t>Goodwill amounts are not amortized, but tested for impairment on an annual basis. There was no impairment of goodwill as of June 30, 2023 and December 31, 2022.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41" w:lineRule="exact"/>
        <w:rPr>
          <w:sz w:val="20"/>
          <w:szCs w:val="20"/>
          <w:color w:val="auto"/>
        </w:rPr>
      </w:pPr>
    </w:p>
    <w:p>
      <w:pPr>
        <w:ind w:right="40" w:firstLine="435"/>
        <w:spacing w:after="0" w:line="278" w:lineRule="auto"/>
        <w:rPr>
          <w:sz w:val="20"/>
          <w:szCs w:val="20"/>
          <w:color w:val="auto"/>
        </w:rPr>
      </w:pPr>
      <w:r>
        <w:rPr>
          <w:rFonts w:ascii="Arial" w:cs="Arial" w:eastAsia="Arial" w:hAnsi="Arial"/>
          <w:sz w:val="16"/>
          <w:szCs w:val="16"/>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 through February 2026. The Company may from time-to-time request increases in its borrowing capacity under the revolving credit facility of up to</w:t>
      </w:r>
    </w:p>
    <w:p>
      <w:pPr>
        <w:spacing w:after="0" w:line="1"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spacing w:after="0" w:line="192"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spacing w:after="0" w:line="196" w:lineRule="exact"/>
        <w:rPr>
          <w:sz w:val="20"/>
          <w:szCs w:val="20"/>
          <w:color w:val="auto"/>
        </w:rPr>
      </w:pPr>
    </w:p>
    <w:p>
      <w:pPr>
        <w:ind w:right="200" w:firstLine="435"/>
        <w:spacing w:after="0" w:line="287"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June 30, 2023 and December 31, 2022, respectively.</w:t>
      </w:r>
    </w:p>
    <w:p>
      <w:pPr>
        <w:spacing w:after="0" w:line="192" w:lineRule="exact"/>
        <w:rPr>
          <w:sz w:val="20"/>
          <w:szCs w:val="20"/>
          <w:color w:val="auto"/>
        </w:rPr>
      </w:pPr>
    </w:p>
    <w:p>
      <w:pPr>
        <w:ind w:right="80" w:firstLine="435"/>
        <w:spacing w:after="0" w:line="253" w:lineRule="auto"/>
        <w:rPr>
          <w:sz w:val="20"/>
          <w:szCs w:val="20"/>
          <w:color w:val="auto"/>
        </w:rPr>
      </w:pPr>
      <w:r>
        <w:rPr>
          <w:rFonts w:ascii="Arial" w:cs="Arial" w:eastAsia="Arial" w:hAnsi="Arial"/>
          <w:sz w:val="18"/>
          <w:szCs w:val="18"/>
          <w:color w:val="auto"/>
        </w:rPr>
        <w:t>The Company had an aggregate of $38.8 million of letters of credit outstanding under the revolving credit facility as of June 30, 2023, and the Company’s total available borrowing capacity under the revolving credit facility was $461.2 million as of June 30, 2023. The Company’s letters of credit have final expiration dates through 2036.</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1" w:lineRule="exact"/>
        <w:rPr>
          <w:sz w:val="20"/>
          <w:szCs w:val="20"/>
          <w:color w:val="auto"/>
        </w:rPr>
      </w:pPr>
    </w:p>
    <w:p>
      <w:pPr>
        <w:ind w:right="80" w:firstLine="435"/>
        <w:spacing w:after="0" w:line="250" w:lineRule="auto"/>
        <w:rPr>
          <w:sz w:val="20"/>
          <w:szCs w:val="20"/>
          <w:color w:val="auto"/>
        </w:rPr>
      </w:pPr>
      <w:r>
        <w:rPr>
          <w:rFonts w:ascii="Arial" w:cs="Arial" w:eastAsia="Arial" w:hAnsi="Arial"/>
          <w:sz w:val="18"/>
          <w:szCs w:val="18"/>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19" w:lineRule="exact"/>
        <w:rPr>
          <w:sz w:val="20"/>
          <w:szCs w:val="20"/>
          <w:color w:val="auto"/>
        </w:rPr>
      </w:pPr>
    </w:p>
    <w:p>
      <w:pPr>
        <w:ind w:right="100" w:firstLine="435"/>
        <w:spacing w:after="0" w:line="250" w:lineRule="auto"/>
        <w:rPr>
          <w:sz w:val="20"/>
          <w:szCs w:val="20"/>
          <w:color w:val="auto"/>
        </w:rPr>
      </w:pPr>
      <w:r>
        <w:rPr>
          <w:rFonts w:ascii="Arial" w:cs="Arial" w:eastAsia="Arial" w:hAnsi="Arial"/>
          <w:sz w:val="18"/>
          <w:szCs w:val="18"/>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June 30, 2023. The 2026 Notes will mature on March 1, 2026, and the 2028 Notes will mature on March 1, 2028, in each case, unless earlier converted, redeemed or repurchased.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20" w:firstLine="435"/>
        <w:spacing w:after="0" w:line="280" w:lineRule="auto"/>
        <w:rPr>
          <w:sz w:val="20"/>
          <w:szCs w:val="20"/>
          <w:color w:val="auto"/>
        </w:rPr>
      </w:pPr>
      <w:r>
        <w:rPr>
          <w:rFonts w:ascii="Arial" w:cs="Arial" w:eastAsia="Arial" w:hAnsi="Arial"/>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June 30, 2023.</w:t>
      </w:r>
    </w:p>
    <w:p>
      <w:pPr>
        <w:spacing w:after="0" w:line="201" w:lineRule="exact"/>
        <w:rPr>
          <w:sz w:val="20"/>
          <w:szCs w:val="20"/>
          <w:color w:val="auto"/>
        </w:rPr>
      </w:pPr>
    </w:p>
    <w:p>
      <w:pPr>
        <w:ind w:right="60" w:firstLine="435"/>
        <w:spacing w:after="0" w:line="292" w:lineRule="auto"/>
        <w:rPr>
          <w:sz w:val="20"/>
          <w:szCs w:val="20"/>
          <w:color w:val="auto"/>
        </w:rPr>
      </w:pPr>
      <w:r>
        <w:rPr>
          <w:rFonts w:ascii="Arial" w:cs="Arial" w:eastAsia="Arial" w:hAnsi="Arial"/>
          <w:sz w:val="16"/>
          <w:szCs w:val="16"/>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June 30, 2023. In addition, during the three and six months ended June 30, 2023 the conditions allowing holders of the Notes to convert during the following fiscal quarter were not met.</w:t>
      </w:r>
    </w:p>
    <w:p>
      <w:pPr>
        <w:spacing w:after="0" w:line="186" w:lineRule="exact"/>
        <w:rPr>
          <w:sz w:val="20"/>
          <w:szCs w:val="20"/>
          <w:color w:val="auto"/>
        </w:rPr>
      </w:pPr>
    </w:p>
    <w:p>
      <w:pPr>
        <w:ind w:firstLine="435"/>
        <w:spacing w:after="0" w:line="280"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201" w:lineRule="exact"/>
        <w:rPr>
          <w:sz w:val="20"/>
          <w:szCs w:val="20"/>
          <w:color w:val="auto"/>
        </w:rPr>
      </w:pPr>
    </w:p>
    <w:p>
      <w:pPr>
        <w:ind w:right="80" w:firstLine="435"/>
        <w:spacing w:after="0" w:line="253" w:lineRule="auto"/>
        <w:rPr>
          <w:sz w:val="20"/>
          <w:szCs w:val="20"/>
          <w:color w:val="auto"/>
        </w:rPr>
      </w:pPr>
      <w:r>
        <w:rPr>
          <w:rFonts w:ascii="Arial" w:cs="Arial" w:eastAsia="Arial" w:hAnsi="Arial"/>
          <w:sz w:val="18"/>
          <w:szCs w:val="18"/>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216" w:lineRule="exact"/>
        <w:rPr>
          <w:sz w:val="20"/>
          <w:szCs w:val="20"/>
          <w:color w:val="auto"/>
        </w:rPr>
      </w:pPr>
    </w:p>
    <w:p>
      <w:pPr>
        <w:ind w:right="20" w:firstLine="435"/>
        <w:spacing w:after="0" w:line="285" w:lineRule="auto"/>
        <w:rPr>
          <w:sz w:val="20"/>
          <w:szCs w:val="20"/>
          <w:color w:val="auto"/>
        </w:rPr>
      </w:pPr>
      <w:r>
        <w:rPr>
          <w:rFonts w:ascii="Arial" w:cs="Arial" w:eastAsia="Arial" w:hAnsi="Arial"/>
          <w:sz w:val="16"/>
          <w:szCs w:val="16"/>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193"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6" w:lineRule="exact"/>
        <w:rPr>
          <w:sz w:val="20"/>
          <w:szCs w:val="20"/>
          <w:color w:val="auto"/>
        </w:rPr>
      </w:pPr>
    </w:p>
    <w:p>
      <w:pPr>
        <w:ind w:right="300" w:firstLine="435"/>
        <w:spacing w:after="0" w:line="253" w:lineRule="auto"/>
        <w:rPr>
          <w:sz w:val="20"/>
          <w:szCs w:val="20"/>
          <w:color w:val="auto"/>
        </w:rPr>
      </w:pPr>
      <w:r>
        <w:rPr>
          <w:rFonts w:ascii="Arial" w:cs="Arial" w:eastAsia="Arial" w:hAnsi="Arial"/>
          <w:sz w:val="18"/>
          <w:szCs w:val="18"/>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208" w:lineRule="exact"/>
        <w:rPr>
          <w:sz w:val="20"/>
          <w:szCs w:val="20"/>
          <w:color w:val="auto"/>
        </w:rPr>
      </w:pPr>
    </w:p>
    <w:p>
      <w:pPr>
        <w:jc w:val="both"/>
        <w:ind w:right="160" w:firstLine="435"/>
        <w:spacing w:after="0" w:line="253" w:lineRule="auto"/>
        <w:rPr>
          <w:sz w:val="20"/>
          <w:szCs w:val="20"/>
          <w:color w:val="auto"/>
        </w:rPr>
      </w:pPr>
      <w:r>
        <w:rPr>
          <w:rFonts w:ascii="Arial" w:cs="Arial" w:eastAsia="Arial" w:hAnsi="Arial"/>
          <w:sz w:val="18"/>
          <w:szCs w:val="18"/>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Notes as of June 30, 2023 and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 Notes</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Total</w:t>
            </w: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Principal balance</w:t>
            </w:r>
          </w:p>
        </w:tc>
        <w:tc>
          <w:tcPr>
            <w:tcW w:w="1500" w:type="dxa"/>
            <w:vAlign w:val="bottom"/>
          </w:tcPr>
          <w:p>
            <w:pPr>
              <w:jc w:val="right"/>
              <w:ind w:right="13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695.8</w:t>
            </w:r>
          </w:p>
        </w:tc>
        <w:tc>
          <w:tcPr>
            <w:tcW w:w="1620" w:type="dxa"/>
            <w:vAlign w:val="bottom"/>
            <w:gridSpan w:val="2"/>
          </w:tcPr>
          <w:p>
            <w:pPr>
              <w:jc w:val="right"/>
              <w:ind w:right="1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693.3</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1,389.1</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issuance costs</w:t>
            </w:r>
          </w:p>
        </w:tc>
        <w:tc>
          <w:tcPr>
            <w:tcW w:w="15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8"/>
        </w:trPr>
        <w:tc>
          <w:tcPr>
            <w:tcW w:w="4940" w:type="dxa"/>
            <w:vAlign w:val="bottom"/>
          </w:tcPr>
          <w:p>
            <w:pPr>
              <w:ind w:left="20"/>
              <w:spacing w:after="0"/>
              <w:rPr>
                <w:sz w:val="20"/>
                <w:szCs w:val="20"/>
                <w:color w:val="auto"/>
              </w:rPr>
            </w:pPr>
            <w:r>
              <w:rPr>
                <w:rFonts w:ascii="Arial" w:cs="Arial" w:eastAsia="Arial" w:hAnsi="Arial"/>
                <w:sz w:val="18"/>
                <w:szCs w:val="18"/>
                <w:color w:val="auto"/>
              </w:rPr>
              <w:t>Carrying value, net</w:t>
            </w:r>
          </w:p>
        </w:tc>
        <w:tc>
          <w:tcPr>
            <w:tcW w:w="1500" w:type="dxa"/>
            <w:vAlign w:val="bottom"/>
          </w:tcPr>
          <w:p>
            <w:pPr>
              <w:jc w:val="right"/>
              <w:ind w:right="13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689.9</w:t>
            </w:r>
          </w:p>
        </w:tc>
        <w:tc>
          <w:tcPr>
            <w:tcW w:w="1620" w:type="dxa"/>
            <w:vAlign w:val="bottom"/>
            <w:gridSpan w:val="2"/>
          </w:tcPr>
          <w:p>
            <w:pPr>
              <w:jc w:val="right"/>
              <w:ind w:right="1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686.0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1,375.9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500" w:type="dxa"/>
            <w:vAlign w:val="bottom"/>
            <w:shd w:val="clear" w:color="auto" w:fill="CCEEFF"/>
          </w:tcPr>
          <w:p>
            <w:pPr>
              <w:jc w:val="right"/>
              <w:ind w:right="13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695.8</w:t>
            </w:r>
          </w:p>
        </w:tc>
        <w:tc>
          <w:tcPr>
            <w:tcW w:w="1620" w:type="dxa"/>
            <w:vAlign w:val="bottom"/>
            <w:gridSpan w:val="2"/>
            <w:shd w:val="clear" w:color="auto" w:fill="CCEEFF"/>
          </w:tcPr>
          <w:p>
            <w:pPr>
              <w:jc w:val="right"/>
              <w:ind w:right="1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693.3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3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net</w:t>
            </w:r>
          </w:p>
        </w:tc>
        <w:tc>
          <w:tcPr>
            <w:tcW w:w="1500" w:type="dxa"/>
            <w:vAlign w:val="bottom"/>
            <w:shd w:val="clear" w:color="auto" w:fill="CCEEFF"/>
          </w:tcPr>
          <w:p>
            <w:pPr>
              <w:jc w:val="right"/>
              <w:ind w:right="13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688.8</w:t>
            </w:r>
          </w:p>
        </w:tc>
        <w:tc>
          <w:tcPr>
            <w:tcW w:w="1620" w:type="dxa"/>
            <w:vAlign w:val="bottom"/>
            <w:gridSpan w:val="2"/>
            <w:shd w:val="clear" w:color="auto" w:fill="CCEEFF"/>
          </w:tcPr>
          <w:p>
            <w:pPr>
              <w:jc w:val="right"/>
              <w:ind w:right="1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685.2</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right="40" w:firstLine="633"/>
        <w:spacing w:after="0" w:line="287" w:lineRule="auto"/>
        <w:rPr>
          <w:sz w:val="20"/>
          <w:szCs w:val="20"/>
          <w:color w:val="auto"/>
        </w:rPr>
      </w:pPr>
      <w:r>
        <w:rPr>
          <w:rFonts w:ascii="Arial" w:cs="Arial" w:eastAsia="Arial" w:hAnsi="Arial"/>
          <w:sz w:val="16"/>
          <w:szCs w:val="16"/>
          <w:color w:val="auto"/>
        </w:rPr>
        <w:t>During the three months ended June 30, 2023 and 2022, the Company recognized $0.5 million and $0.5 million in interest expense for the 2026 Notes and $0.4 million and $0.5 million in interest expense for the 2028 Notes, respectively, with such interest expense solely consisting of amortization of issuance costs. During the six months ended June 30, 2023 and 2022, the Company recognized $1.1 million and $1.0 million in interest expense for the 2026 Notes and $0.8 million and $0.9 million in interest expense for the 2028 Notes, respectively, with such interest expense consisting of amortization of issuance costs. The effective interest rate for the 2026 Notes and the 2028 Notes was 0.32% and 0.22%, respectively, as of June 30,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Pr>
          <w:p>
            <w:pPr>
              <w:ind w:left="440"/>
              <w:spacing w:after="0"/>
              <w:rPr>
                <w:sz w:val="20"/>
                <w:szCs w:val="20"/>
                <w:color w:val="auto"/>
              </w:rPr>
            </w:pPr>
            <w:r>
              <w:rPr>
                <w:rFonts w:ascii="Arial" w:cs="Arial" w:eastAsia="Arial" w:hAnsi="Arial"/>
                <w:sz w:val="18"/>
                <w:szCs w:val="18"/>
                <w:color w:val="auto"/>
              </w:rPr>
              <w:t>Maturities on the Company's long-term convertible debt are as follows: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88"/>
        </w:trPr>
        <w:tc>
          <w:tcPr>
            <w:tcW w:w="9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7"/>
              </w:rPr>
              <w:t>Convertible Debt</w:t>
            </w:r>
          </w:p>
        </w:tc>
      </w:tr>
      <w:tr>
        <w:trPr>
          <w:trHeight w:val="231"/>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695.8</w:t>
            </w:r>
          </w:p>
        </w:tc>
      </w:tr>
      <w:tr>
        <w:trPr>
          <w:trHeight w:val="231"/>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180" w:type="dxa"/>
            <w:vAlign w:val="bottom"/>
          </w:tcPr>
          <w:p>
            <w:pPr>
              <w:ind w:left="20"/>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91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1,389.1</w:t>
            </w:r>
          </w:p>
        </w:tc>
      </w:tr>
    </w:tbl>
    <w:p>
      <w:pPr>
        <w:spacing w:after="0" w:line="3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Note Hedges and Warrants</w:t>
      </w:r>
    </w:p>
    <w:p>
      <w:pPr>
        <w:spacing w:after="0" w:line="241" w:lineRule="exact"/>
        <w:rPr>
          <w:sz w:val="20"/>
          <w:szCs w:val="20"/>
          <w:color w:val="auto"/>
        </w:rPr>
      </w:pPr>
    </w:p>
    <w:p>
      <w:pPr>
        <w:ind w:right="520" w:firstLine="435"/>
        <w:spacing w:after="0" w:line="282" w:lineRule="auto"/>
        <w:rPr>
          <w:sz w:val="20"/>
          <w:szCs w:val="20"/>
          <w:color w:val="auto"/>
        </w:rPr>
      </w:pPr>
      <w:r>
        <w:rPr>
          <w:rFonts w:ascii="Arial" w:cs="Arial" w:eastAsia="Arial" w:hAnsi="Arial"/>
          <w:sz w:val="16"/>
          <w:szCs w:val="16"/>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w:t>
      </w:r>
    </w:p>
    <w:p>
      <w:pPr>
        <w:spacing w:after="0" w:line="1"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color w:val="auto"/>
        </w:rPr>
        <w:t>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220" w:lineRule="exact"/>
        <w:rPr>
          <w:sz w:val="20"/>
          <w:szCs w:val="20"/>
          <w:color w:val="auto"/>
        </w:rPr>
      </w:pPr>
    </w:p>
    <w:p>
      <w:pPr>
        <w:ind w:right="520" w:firstLine="435"/>
        <w:spacing w:after="0" w:line="262" w:lineRule="auto"/>
        <w:rPr>
          <w:sz w:val="20"/>
          <w:szCs w:val="20"/>
          <w:color w:val="auto"/>
        </w:rPr>
      </w:pPr>
      <w:r>
        <w:rPr>
          <w:rFonts w:ascii="Arial" w:cs="Arial" w:eastAsia="Arial" w:hAnsi="Arial"/>
          <w:sz w:val="18"/>
          <w:szCs w:val="18"/>
          <w:color w:val="auto"/>
        </w:rPr>
        <w:t>The Note Hedges, or a portion thereof, are exercisable upon conversion of the Notes and the satisfaction of certain conditions set forth in the Note Hedges. Additionally, the Note Hedges may be terminated and early settled upon the occurrence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16" w:lineRule="exact"/>
        <w:rPr>
          <w:sz w:val="20"/>
          <w:szCs w:val="20"/>
          <w:color w:val="auto"/>
        </w:rPr>
      </w:pPr>
    </w:p>
    <w:p>
      <w:pPr>
        <w:ind w:right="60" w:firstLine="435"/>
        <w:spacing w:after="0" w:line="249" w:lineRule="auto"/>
        <w:rPr>
          <w:sz w:val="20"/>
          <w:szCs w:val="20"/>
          <w:color w:val="auto"/>
        </w:rPr>
      </w:pPr>
      <w:r>
        <w:rPr>
          <w:rFonts w:ascii="Arial" w:cs="Arial" w:eastAsia="Arial" w:hAnsi="Arial"/>
          <w:sz w:val="18"/>
          <w:szCs w:val="18"/>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June 30, 2023, the Company’s stock price was below the exercise price of the respective Note Hedges.</w:t>
      </w:r>
    </w:p>
    <w:p>
      <w:pPr>
        <w:spacing w:after="0" w:line="219" w:lineRule="exact"/>
        <w:rPr>
          <w:sz w:val="20"/>
          <w:szCs w:val="20"/>
          <w:color w:val="auto"/>
        </w:rPr>
      </w:pPr>
    </w:p>
    <w:p>
      <w:pPr>
        <w:ind w:right="60" w:firstLine="435"/>
        <w:spacing w:after="0" w:line="292"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right="40" w:firstLine="435"/>
        <w:spacing w:after="0" w:line="285" w:lineRule="auto"/>
        <w:rPr>
          <w:sz w:val="20"/>
          <w:szCs w:val="20"/>
          <w:color w:val="auto"/>
        </w:rPr>
      </w:pPr>
      <w:r>
        <w:rPr>
          <w:rFonts w:ascii="Arial" w:cs="Arial" w:eastAsia="Arial" w:hAnsi="Arial"/>
          <w:sz w:val="16"/>
          <w:szCs w:val="16"/>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June 30, 2023, the Company’s Class A common stock price was below the exercise price of the Warrants.</w:t>
      </w:r>
    </w:p>
    <w:p>
      <w:pPr>
        <w:spacing w:after="0" w:line="193" w:lineRule="exact"/>
        <w:rPr>
          <w:sz w:val="20"/>
          <w:szCs w:val="20"/>
          <w:color w:val="auto"/>
        </w:rPr>
      </w:pPr>
    </w:p>
    <w:p>
      <w:pPr>
        <w:ind w:right="220" w:firstLine="435"/>
        <w:spacing w:after="0" w:line="253" w:lineRule="auto"/>
        <w:rPr>
          <w:sz w:val="20"/>
          <w:szCs w:val="20"/>
          <w:color w:val="auto"/>
        </w:rPr>
      </w:pPr>
      <w:r>
        <w:rPr>
          <w:rFonts w:ascii="Arial" w:cs="Arial" w:eastAsia="Arial" w:hAnsi="Arial"/>
          <w:sz w:val="18"/>
          <w:szCs w:val="18"/>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216" w:lineRule="exact"/>
        <w:rPr>
          <w:sz w:val="20"/>
          <w:szCs w:val="20"/>
          <w:color w:val="auto"/>
        </w:rPr>
      </w:pPr>
    </w:p>
    <w:p>
      <w:pPr>
        <w:ind w:right="180" w:firstLine="435"/>
        <w:spacing w:after="0" w:line="292"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47" w:lineRule="exact"/>
        <w:rPr>
          <w:sz w:val="20"/>
          <w:szCs w:val="20"/>
          <w:color w:val="auto"/>
        </w:rPr>
      </w:pPr>
    </w:p>
    <w:p>
      <w:pPr>
        <w:ind w:right="420" w:firstLine="396"/>
        <w:spacing w:after="0" w:line="325" w:lineRule="auto"/>
        <w:rPr>
          <w:sz w:val="20"/>
          <w:szCs w:val="20"/>
          <w:color w:val="auto"/>
        </w:rPr>
      </w:pPr>
      <w:r>
        <w:rPr>
          <w:rFonts w:ascii="Arial" w:cs="Arial" w:eastAsia="Arial" w:hAnsi="Arial"/>
          <w:sz w:val="16"/>
          <w:szCs w:val="16"/>
          <w:color w:val="auto"/>
        </w:rPr>
        <w:t>The Company has operating leases for corporate offices and datacenters, and finance leases for infrastructure and office equipment. The Company’s leases have remaining lease terms of under 1 year to 13 years, some of which include options to extend the leases for up to 5 years.</w:t>
      </w:r>
    </w:p>
    <w:p>
      <w:pPr>
        <w:spacing w:after="0" w:line="148" w:lineRule="exact"/>
        <w:rPr>
          <w:sz w:val="20"/>
          <w:szCs w:val="20"/>
          <w:color w:val="auto"/>
        </w:rPr>
      </w:pPr>
    </w:p>
    <w:p>
      <w:pPr>
        <w:ind w:firstLine="396"/>
        <w:spacing w:after="0" w:line="274" w:lineRule="auto"/>
        <w:rPr>
          <w:sz w:val="20"/>
          <w:szCs w:val="20"/>
          <w:color w:val="auto"/>
        </w:rPr>
      </w:pPr>
      <w:r>
        <w:rPr>
          <w:rFonts w:ascii="Arial" w:cs="Arial" w:eastAsia="Arial" w:hAnsi="Arial"/>
          <w:sz w:val="16"/>
          <w:szCs w:val="16"/>
          <w:color w:val="auto"/>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$3.8 million and $8.2 million during the three and six months ended June 30, 2023, respectively, and $4.9 million and $9.4 million during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minimum lease payments under non-cancellable leases as of June 30, 2023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0"/>
              </w:rPr>
              <w:t>Operating leases</w:t>
            </w:r>
            <w:r>
              <w:rPr>
                <w:rFonts w:ascii="Arial" w:cs="Arial" w:eastAsia="Arial" w:hAnsi="Arial"/>
                <w:sz w:val="22"/>
                <w:szCs w:val="22"/>
                <w:b w:val="1"/>
                <w:bCs w:val="1"/>
                <w:color w:val="auto"/>
                <w:w w:val="90"/>
                <w:vertAlign w:val="superscript"/>
              </w:rPr>
              <w:t>(1)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96"/>
              </w:rPr>
              <w:t>Finance leases</w:t>
            </w:r>
          </w:p>
        </w:tc>
      </w:tr>
      <w:tr>
        <w:trPr>
          <w:trHeight w:val="23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4"/>
        </w:trPr>
        <w:tc>
          <w:tcPr>
            <w:tcW w:w="70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25"/>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4"/>
        </w:trPr>
        <w:tc>
          <w:tcPr>
            <w:tcW w:w="7040" w:type="dxa"/>
            <w:vAlign w:val="bottom"/>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4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765.7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287.8</w:t>
            </w:r>
          </w:p>
        </w:tc>
      </w:tr>
      <w:tr>
        <w:trPr>
          <w:trHeight w:val="225"/>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tenant improvement receivables</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right="140" w:firstLine="6"/>
        <w:spacing w:after="0" w:line="283" w:lineRule="auto"/>
        <w:tabs>
          <w:tab w:leader="none" w:pos="146"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Pr>
          <w:p>
            <w:pPr>
              <w:ind w:left="400"/>
              <w:spacing w:after="0"/>
              <w:rPr>
                <w:sz w:val="20"/>
                <w:szCs w:val="20"/>
                <w:color w:val="auto"/>
              </w:rPr>
            </w:pPr>
            <w:r>
              <w:rPr>
                <w:rFonts w:ascii="Arial" w:cs="Arial" w:eastAsia="Arial" w:hAnsi="Arial"/>
                <w:sz w:val="18"/>
                <w:szCs w:val="18"/>
                <w:color w:val="auto"/>
              </w:rPr>
              <w:t>Future non-cancelable rent payments from the Company's subtenants as of June 30, 2023 were as follows: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95"/>
        </w:trPr>
        <w:tc>
          <w:tcPr>
            <w:tcW w:w="9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5"/>
              </w:rPr>
              <w:t>Operating leases</w:t>
            </w:r>
          </w:p>
        </w:tc>
      </w:tr>
      <w:tr>
        <w:trPr>
          <w:trHeight w:val="224"/>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4"/>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4"/>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5"/>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1"/>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7"/>
        </w:trPr>
        <w:tc>
          <w:tcPr>
            <w:tcW w:w="9180" w:type="dxa"/>
            <w:vAlign w:val="bottom"/>
          </w:tcPr>
          <w:p>
            <w:pPr>
              <w:ind w:left="20"/>
              <w:spacing w:after="0"/>
              <w:rPr>
                <w:sz w:val="20"/>
                <w:szCs w:val="20"/>
                <w:color w:val="auto"/>
              </w:rPr>
            </w:pPr>
            <w:r>
              <w:rPr>
                <w:rFonts w:ascii="Arial" w:cs="Arial" w:eastAsia="Arial" w:hAnsi="Arial"/>
                <w:sz w:val="18"/>
                <w:szCs w:val="18"/>
                <w:color w:val="auto"/>
              </w:rPr>
              <w:t>Total future sublease rent payments</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7"/>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sub-tenant incentive</w:t>
            </w:r>
          </w:p>
        </w:tc>
        <w:tc>
          <w:tcPr>
            <w:tcW w:w="2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8"/>
        </w:trPr>
        <w:tc>
          <w:tcPr>
            <w:tcW w:w="9180" w:type="dxa"/>
            <w:vAlign w:val="bottom"/>
          </w:tcPr>
          <w:p>
            <w:pPr>
              <w:ind w:left="20"/>
              <w:spacing w:after="0"/>
              <w:rPr>
                <w:sz w:val="20"/>
                <w:szCs w:val="20"/>
                <w:color w:val="auto"/>
              </w:rPr>
            </w:pPr>
            <w:r>
              <w:rPr>
                <w:rFonts w:ascii="Arial" w:cs="Arial" w:eastAsia="Arial" w:hAnsi="Arial"/>
                <w:sz w:val="18"/>
                <w:szCs w:val="18"/>
                <w:color w:val="auto"/>
              </w:rPr>
              <w:t>Total future sublease rent payments, net</w:t>
            </w: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9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00" w:firstLine="396"/>
        <w:spacing w:after="0" w:line="300" w:lineRule="auto"/>
        <w:rPr>
          <w:sz w:val="20"/>
          <w:szCs w:val="20"/>
          <w:color w:val="auto"/>
        </w:rPr>
      </w:pPr>
      <w:r>
        <w:rPr>
          <w:rFonts w:ascii="Arial" w:cs="Arial" w:eastAsia="Arial" w:hAnsi="Arial"/>
          <w:sz w:val="16"/>
          <w:szCs w:val="16"/>
          <w:color w:val="auto"/>
        </w:rPr>
        <w:t>In 2017, the Company signed a 15 year lease agreement for office space in San Francisco, California, to serve as its corporate headquarters which commenced in 2018. The Company's obligations under the lease are supported by a $26.1 million letter of credit, which reduced the borrowing capacity under the revolving credit facility. As of June 30, 2023, the Company's remaining minimum obligation for its headquarters was $531.3 million.</w:t>
      </w:r>
    </w:p>
    <w:p>
      <w:pPr>
        <w:spacing w:after="0" w:line="181" w:lineRule="exact"/>
        <w:rPr>
          <w:sz w:val="20"/>
          <w:szCs w:val="20"/>
          <w:color w:val="auto"/>
        </w:rPr>
      </w:pPr>
    </w:p>
    <w:p>
      <w:pPr>
        <w:ind w:right="20" w:firstLine="396"/>
        <w:spacing w:after="0" w:line="292" w:lineRule="auto"/>
        <w:rPr>
          <w:sz w:val="20"/>
          <w:szCs w:val="20"/>
          <w:color w:val="auto"/>
        </w:rPr>
      </w:pPr>
      <w:r>
        <w:rPr>
          <w:rFonts w:ascii="Arial" w:cs="Arial" w:eastAsia="Arial" w:hAnsi="Arial"/>
          <w:sz w:val="16"/>
          <w:szCs w:val="16"/>
          <w:color w:val="auto"/>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186" w:lineRule="exact"/>
        <w:rPr>
          <w:sz w:val="20"/>
          <w:szCs w:val="20"/>
          <w:color w:val="auto"/>
        </w:rPr>
      </w:pPr>
    </w:p>
    <w:p>
      <w:pPr>
        <w:jc w:val="both"/>
        <w:ind w:right="240" w:firstLine="633"/>
        <w:spacing w:after="0" w:line="253" w:lineRule="auto"/>
        <w:rPr>
          <w:sz w:val="20"/>
          <w:szCs w:val="20"/>
          <w:color w:val="auto"/>
        </w:rPr>
      </w:pPr>
      <w:r>
        <w:rPr>
          <w:rFonts w:ascii="Arial" w:cs="Arial" w:eastAsia="Arial" w:hAnsi="Arial"/>
          <w:sz w:val="18"/>
          <w:szCs w:val="18"/>
          <w:color w:val="auto"/>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216" w:lineRule="exact"/>
        <w:rPr>
          <w:sz w:val="20"/>
          <w:szCs w:val="20"/>
          <w:color w:val="auto"/>
        </w:rPr>
      </w:pPr>
    </w:p>
    <w:p>
      <w:pPr>
        <w:ind w:right="140" w:firstLine="396"/>
        <w:spacing w:after="0" w:line="262" w:lineRule="auto"/>
        <w:rPr>
          <w:sz w:val="20"/>
          <w:szCs w:val="20"/>
          <w:color w:val="auto"/>
        </w:rPr>
      </w:pPr>
      <w:r>
        <w:rPr>
          <w:rFonts w:ascii="Arial" w:cs="Arial" w:eastAsia="Arial" w:hAnsi="Arial"/>
          <w:sz w:val="18"/>
          <w:szCs w:val="18"/>
          <w:color w:val="auto"/>
        </w:rPr>
        <w:t>The Company recorded total impairment charges of $2.2 million during the three and six months ended June 30, 2023, and $8.7 million during the three and six months ended June 30, 2022, for right-of-use and other lease related assets.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0" w:lineRule="exact"/>
        <w:rPr>
          <w:sz w:val="20"/>
          <w:szCs w:val="20"/>
          <w:color w:val="auto"/>
        </w:rPr>
      </w:pPr>
    </w:p>
    <w:p>
      <w:pPr>
        <w:ind w:right="20" w:firstLine="396"/>
        <w:spacing w:after="0" w:line="285" w:lineRule="auto"/>
        <w:rPr>
          <w:sz w:val="20"/>
          <w:szCs w:val="20"/>
          <w:color w:val="auto"/>
        </w:rPr>
      </w:pPr>
      <w:r>
        <w:rPr>
          <w:rFonts w:ascii="Arial" w:cs="Arial" w:eastAsia="Arial" w:hAnsi="Arial"/>
          <w:sz w:val="16"/>
          <w:szCs w:val="16"/>
          <w:color w:val="auto"/>
        </w:rPr>
        <w:t>From time-to-time, the Company is a party to a variety of claims, lawsuits, investigations, inquires,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0" w:lineRule="exact"/>
        <w:rPr>
          <w:sz w:val="20"/>
          <w:szCs w:val="20"/>
          <w:color w:val="auto"/>
        </w:rPr>
      </w:pPr>
    </w:p>
    <w:p>
      <w:pPr>
        <w:ind w:right="20" w:firstLine="396"/>
        <w:spacing w:after="0" w:line="253"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0" w:lineRule="exact"/>
        <w:rPr>
          <w:sz w:val="20"/>
          <w:szCs w:val="20"/>
          <w:color w:val="auto"/>
        </w:rPr>
      </w:pPr>
    </w:p>
    <w:p>
      <w:pPr>
        <w:ind w:right="200" w:firstLine="396"/>
        <w:spacing w:after="0" w:line="253"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11. Accrued and Other Current Liabilities</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2"/>
        </w:trPr>
        <w:tc>
          <w:tcPr>
            <w:tcW w:w="6780" w:type="dxa"/>
            <w:vAlign w:val="bottom"/>
          </w:tcPr>
          <w:p>
            <w:pPr>
              <w:ind w:left="40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54"/>
        </w:trPr>
        <w:tc>
          <w:tcPr>
            <w:tcW w:w="67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8"/>
        </w:trPr>
        <w:tc>
          <w:tcPr>
            <w:tcW w:w="67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3"/>
              </w:rPr>
              <w:t>December 31, 2022</w:t>
            </w:r>
          </w:p>
        </w:tc>
      </w:tr>
      <w:tr>
        <w:trPr>
          <w:trHeight w:val="231"/>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Non-income taxes payable</w:t>
            </w:r>
          </w:p>
        </w:tc>
        <w:tc>
          <w:tcPr>
            <w:tcW w:w="166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4"/>
        </w:trPr>
        <w:tc>
          <w:tcPr>
            <w:tcW w:w="6780" w:type="dxa"/>
            <w:vAlign w:val="bottom"/>
          </w:tcPr>
          <w:p>
            <w:pPr>
              <w:ind w:left="20"/>
              <w:spacing w:after="0"/>
              <w:rPr>
                <w:sz w:val="20"/>
                <w:szCs w:val="20"/>
                <w:color w:val="auto"/>
              </w:rPr>
            </w:pPr>
            <w:r>
              <w:rPr>
                <w:rFonts w:ascii="Arial" w:cs="Arial" w:eastAsia="Arial" w:hAnsi="Arial"/>
                <w:sz w:val="18"/>
                <w:szCs w:val="18"/>
                <w:color w:val="auto"/>
              </w:rPr>
              <w:t>Accrued legal and other external fees</w:t>
            </w:r>
          </w:p>
        </w:tc>
        <w:tc>
          <w:tcPr>
            <w:tcW w:w="1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5"/>
        </w:trPr>
        <w:tc>
          <w:tcPr>
            <w:tcW w:w="67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Acquisition indemnification holdbacks</w:t>
            </w:r>
            <w:r>
              <w:rPr>
                <w:rFonts w:ascii="Arial" w:cs="Arial" w:eastAsia="Arial" w:hAnsi="Arial"/>
                <w:sz w:val="22"/>
                <w:szCs w:val="22"/>
                <w:color w:val="auto"/>
                <w:vertAlign w:val="superscript"/>
              </w:rPr>
              <w:t>(1)</w:t>
            </w:r>
          </w:p>
        </w:tc>
        <w:tc>
          <w:tcPr>
            <w:tcW w:w="1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and current liabilities</w:t>
            </w:r>
          </w:p>
        </w:tc>
        <w:tc>
          <w:tcPr>
            <w:tcW w:w="1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4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166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40" w:firstLine="6"/>
        <w:spacing w:after="0" w:line="289" w:lineRule="auto"/>
        <w:tabs>
          <w:tab w:leader="none" w:pos="164"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Acquisition indemnification holdbacks were reclassified from other non-current liabilities as of December 31, 2022 to accrued and other current liabilities as of June 30, 2023 on the condensed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12.Stockholders’ Deficit</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Common stock</w:t>
      </w:r>
    </w:p>
    <w:p>
      <w:pPr>
        <w:spacing w:after="0" w:line="110" w:lineRule="exact"/>
        <w:rPr>
          <w:sz w:val="20"/>
          <w:szCs w:val="20"/>
          <w:color w:val="auto"/>
        </w:rPr>
      </w:pPr>
    </w:p>
    <w:p>
      <w:pPr>
        <w:ind w:right="40" w:firstLine="396"/>
        <w:spacing w:after="0" w:line="249" w:lineRule="auto"/>
        <w:rPr>
          <w:sz w:val="20"/>
          <w:szCs w:val="20"/>
          <w:color w:val="auto"/>
        </w:rPr>
      </w:pPr>
      <w:r>
        <w:rPr>
          <w:rFonts w:ascii="Arial" w:cs="Arial" w:eastAsia="Arial" w:hAnsi="Arial"/>
          <w:sz w:val="18"/>
          <w:szCs w:val="18"/>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19" w:lineRule="exact"/>
        <w:rPr>
          <w:sz w:val="20"/>
          <w:szCs w:val="20"/>
          <w:color w:val="auto"/>
        </w:rPr>
      </w:pPr>
    </w:p>
    <w:p>
      <w:pPr>
        <w:ind w:right="140" w:firstLine="396"/>
        <w:spacing w:after="0" w:line="253" w:lineRule="auto"/>
        <w:rPr>
          <w:sz w:val="20"/>
          <w:szCs w:val="20"/>
          <w:color w:val="auto"/>
        </w:rPr>
      </w:pPr>
      <w:r>
        <w:rPr>
          <w:rFonts w:ascii="Arial" w:cs="Arial" w:eastAsia="Arial" w:hAnsi="Arial"/>
          <w:sz w:val="18"/>
          <w:szCs w:val="18"/>
          <w:color w:val="auto"/>
        </w:rPr>
        <w:t>As of June 30, 2023, the Company had authorized 2,400.0 million shares of Class A common stock, 475.0 million shares of Class B common stock, and 800.0 million shares of Class C common stock, each at par value of $0.00001. Holders of Class B common stock voluntarily converted 1.0 million and 0.2 million shares into an equivalent number of shares of Class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common stock during the six months ended June 30, 2023 and 2022, respectively. As of June 30, 2023, 258.5 million shares of Class A common stock, 81.1 million shares of Class B common stock, and no shares of Class C common stock were issued and outstanding. As of December 31, 2022, 267.2 million shares of Class A common stock, 82.2 million shares of Class B common stock, and no shares of Class C common stock were issued and outstanding. Class A shares issued and outstanding as of June 30, 2023 and December 31, 2022 exclude unvested restricted stock awards granted to certain executives. Class A shares issued and outstanding also excludes 8.3 million unvested restricted stock awards granted to one of the Company's co-founders as of June 30, 2023 and December 31, 2022, respectively. See "Co-Founder Grant" section below for further details.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1" w:lineRule="exact"/>
        <w:rPr>
          <w:sz w:val="20"/>
          <w:szCs w:val="20"/>
          <w:color w:val="auto"/>
        </w:rPr>
      </w:pPr>
    </w:p>
    <w:p>
      <w:pPr>
        <w:ind w:right="220" w:firstLine="396"/>
        <w:spacing w:after="0" w:line="325"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41" w:lineRule="exact"/>
        <w:rPr>
          <w:sz w:val="20"/>
          <w:szCs w:val="20"/>
          <w:color w:val="auto"/>
        </w:rPr>
      </w:pPr>
    </w:p>
    <w:p>
      <w:pPr>
        <w:ind w:firstLine="396"/>
        <w:spacing w:after="0" w:line="301" w:lineRule="auto"/>
        <w:rPr>
          <w:sz w:val="20"/>
          <w:szCs w:val="20"/>
          <w:color w:val="auto"/>
        </w:rPr>
      </w:pPr>
      <w:r>
        <w:rPr>
          <w:rFonts w:ascii="Arial" w:cs="Arial" w:eastAsia="Arial" w:hAnsi="Arial"/>
          <w:sz w:val="16"/>
          <w:szCs w:val="16"/>
          <w:color w:val="auto"/>
        </w:rPr>
        <w:t>In February 2022, the Board of Directors authorized the Company to repurchase up to $1.2 billion of the Company's outstanding shares of Class A common stock. In July 2023 the Board of Directors further authorized the repurchase of up to an additional $1.2 billion of the outstanding shares of our Class A</w:t>
      </w:r>
    </w:p>
    <w:p>
      <w:pPr>
        <w:ind w:right="80"/>
        <w:spacing w:after="0" w:line="300" w:lineRule="auto"/>
        <w:rPr>
          <w:sz w:val="20"/>
          <w:szCs w:val="20"/>
          <w:color w:val="auto"/>
        </w:rPr>
      </w:pPr>
      <w:r>
        <w:rPr>
          <w:rFonts w:ascii="Arial" w:cs="Arial" w:eastAsia="Arial" w:hAnsi="Arial"/>
          <w:sz w:val="16"/>
          <w:szCs w:val="16"/>
          <w:color w:val="auto"/>
        </w:rPr>
        <w:t>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1" w:lineRule="exact"/>
        <w:rPr>
          <w:sz w:val="20"/>
          <w:szCs w:val="20"/>
          <w:color w:val="auto"/>
        </w:rPr>
      </w:pPr>
    </w:p>
    <w:p>
      <w:pPr>
        <w:ind w:right="80" w:firstLine="396"/>
        <w:spacing w:after="0" w:line="249" w:lineRule="auto"/>
        <w:rPr>
          <w:sz w:val="20"/>
          <w:szCs w:val="20"/>
          <w:color w:val="auto"/>
        </w:rPr>
      </w:pPr>
      <w:r>
        <w:rPr>
          <w:rFonts w:ascii="Arial" w:cs="Arial" w:eastAsia="Arial" w:hAnsi="Arial"/>
          <w:sz w:val="18"/>
          <w:szCs w:val="18"/>
          <w:color w:val="auto"/>
        </w:rPr>
        <w:t>During the three and six months ended June 30, 2023, the Company repurchased and subsequently retired 6.9 million and 15.0 million shares of its Class A common stock, respectively, for an aggregate amount of $155.2 million and $331.7 million, respectively. Included in the cost of treasury stock acquired pursuant to common share repurchases is the 1% excise tax imposed as part of the Inflation Reduction Act. During the three and six months ended June 30, 2022, the Company repurchased and subsequently retired 8.9 million and 19.9 million shares of its Class A common stock, respectively, for an aggregate amount of $189.8 million and $449.7 million, respectively.</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41" w:lineRule="exact"/>
        <w:rPr>
          <w:sz w:val="20"/>
          <w:szCs w:val="20"/>
          <w:color w:val="auto"/>
        </w:rPr>
      </w:pPr>
    </w:p>
    <w:p>
      <w:pPr>
        <w:ind w:right="60" w:firstLine="396"/>
        <w:spacing w:after="0" w:line="287"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61" w:lineRule="exact"/>
        <w:rPr>
          <w:sz w:val="20"/>
          <w:szCs w:val="20"/>
          <w:color w:val="auto"/>
        </w:rPr>
      </w:pPr>
    </w:p>
    <w:p>
      <w:pPr>
        <w:ind w:right="60" w:firstLine="396"/>
        <w:spacing w:after="0" w:line="262" w:lineRule="auto"/>
        <w:rPr>
          <w:sz w:val="20"/>
          <w:szCs w:val="20"/>
          <w:color w:val="auto"/>
        </w:rPr>
      </w:pPr>
      <w:r>
        <w:rPr>
          <w:rFonts w:ascii="Arial" w:cs="Arial" w:eastAsia="Arial" w:hAnsi="Arial"/>
          <w:sz w:val="18"/>
          <w:szCs w:val="18"/>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208" w:lineRule="exact"/>
        <w:rPr>
          <w:sz w:val="20"/>
          <w:szCs w:val="20"/>
          <w:color w:val="auto"/>
        </w:rPr>
      </w:pPr>
    </w:p>
    <w:p>
      <w:pPr>
        <w:ind w:right="260" w:firstLine="435"/>
        <w:spacing w:after="0" w:line="253" w:lineRule="auto"/>
        <w:rPr>
          <w:sz w:val="20"/>
          <w:szCs w:val="20"/>
          <w:color w:val="auto"/>
        </w:rPr>
      </w:pPr>
      <w:r>
        <w:rPr>
          <w:rFonts w:ascii="Arial" w:cs="Arial" w:eastAsia="Arial" w:hAnsi="Arial"/>
          <w:sz w:val="18"/>
          <w:szCs w:val="18"/>
          <w:color w:val="auto"/>
        </w:rPr>
        <w:t>As of June 30, 2023, there were 36.7 million stock-based awards issued and outstanding and 108.6 million shares available for issuance under the Dropbox Equity Incentive Plans, Dropbox 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1"/>
        </w:trPr>
        <w:tc>
          <w:tcPr>
            <w:tcW w:w="2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360" w:type="dxa"/>
            <w:vAlign w:val="bottom"/>
            <w:gridSpan w:val="2"/>
          </w:tcPr>
          <w:p>
            <w:pPr>
              <w:jc w:val="center"/>
              <w:ind w:right="100"/>
              <w:spacing w:after="0" w:line="171" w:lineRule="exact"/>
              <w:rPr>
                <w:sz w:val="20"/>
                <w:szCs w:val="20"/>
                <w:color w:val="auto"/>
              </w:rPr>
            </w:pPr>
            <w:r>
              <w:rPr>
                <w:rFonts w:ascii="Arial" w:cs="Arial" w:eastAsia="Arial" w:hAnsi="Arial"/>
                <w:sz w:val="18"/>
                <w:szCs w:val="18"/>
                <w:color w:val="auto"/>
                <w:w w:val="92"/>
              </w:rPr>
              <w:t>Number of</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0"/>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72"/>
              <w:spacing w:after="0"/>
              <w:rPr>
                <w:sz w:val="20"/>
                <w:szCs w:val="20"/>
                <w:color w:val="auto"/>
              </w:rPr>
            </w:pPr>
            <w:r>
              <w:rPr>
                <w:rFonts w:ascii="Arial" w:cs="Arial" w:eastAsia="Arial" w:hAnsi="Arial"/>
                <w:sz w:val="18"/>
                <w:szCs w:val="18"/>
                <w:color w:val="auto"/>
                <w:w w:val="90"/>
              </w:rPr>
              <w:t>Weighted-</w:t>
            </w:r>
          </w:p>
        </w:tc>
        <w:tc>
          <w:tcPr>
            <w:tcW w:w="1280" w:type="dxa"/>
            <w:vAlign w:val="bottom"/>
          </w:tcPr>
          <w:p>
            <w:pPr>
              <w:jc w:val="center"/>
              <w:spacing w:after="0" w:line="171" w:lineRule="exact"/>
              <w:rPr>
                <w:sz w:val="20"/>
                <w:szCs w:val="20"/>
                <w:color w:val="auto"/>
              </w:rPr>
            </w:pPr>
            <w:r>
              <w:rPr>
                <w:rFonts w:ascii="Arial" w:cs="Arial" w:eastAsia="Arial" w:hAnsi="Arial"/>
                <w:sz w:val="18"/>
                <w:szCs w:val="18"/>
                <w:color w:val="auto"/>
                <w:w w:val="87"/>
              </w:rPr>
              <w:t>Weighted-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0"/>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2"/>
              <w:spacing w:after="0"/>
              <w:rPr>
                <w:sz w:val="20"/>
                <w:szCs w:val="20"/>
                <w:color w:val="auto"/>
              </w:rPr>
            </w:pPr>
            <w:r>
              <w:rPr>
                <w:rFonts w:ascii="Arial" w:cs="Arial" w:eastAsia="Arial" w:hAnsi="Arial"/>
                <w:sz w:val="18"/>
                <w:szCs w:val="18"/>
                <w:color w:val="auto"/>
                <w:w w:val="87"/>
              </w:rPr>
              <w:t>Weighted-</w:t>
            </w: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1360" w:type="dxa"/>
            <w:vAlign w:val="bottom"/>
            <w:gridSpan w:val="2"/>
          </w:tcPr>
          <w:p>
            <w:pPr>
              <w:jc w:val="center"/>
              <w:ind w:right="120"/>
              <w:spacing w:after="0" w:line="172" w:lineRule="exact"/>
              <w:rPr>
                <w:sz w:val="20"/>
                <w:szCs w:val="20"/>
                <w:color w:val="auto"/>
              </w:rPr>
            </w:pPr>
            <w:r>
              <w:rPr>
                <w:rFonts w:ascii="Arial" w:cs="Arial" w:eastAsia="Arial" w:hAnsi="Arial"/>
                <w:sz w:val="18"/>
                <w:szCs w:val="18"/>
                <w:color w:val="auto"/>
                <w:w w:val="81"/>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tcPr>
          <w:p>
            <w:pPr>
              <w:jc w:val="center"/>
              <w:spacing w:after="0" w:line="172" w:lineRule="exact"/>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360" w:type="dxa"/>
            <w:vAlign w:val="bottom"/>
            <w:gridSpan w:val="2"/>
          </w:tcPr>
          <w:p>
            <w:pPr>
              <w:jc w:val="center"/>
              <w:ind w:right="100"/>
              <w:spacing w:after="0" w:line="171" w:lineRule="exact"/>
              <w:rPr>
                <w:sz w:val="20"/>
                <w:szCs w:val="20"/>
                <w:color w:val="auto"/>
              </w:rPr>
            </w:pPr>
            <w:r>
              <w:rPr>
                <w:rFonts w:ascii="Arial" w:cs="Arial" w:eastAsia="Arial" w:hAnsi="Arial"/>
                <w:sz w:val="18"/>
                <w:szCs w:val="18"/>
                <w:color w:val="auto"/>
                <w:w w:val="92"/>
              </w:rPr>
              <w:t>available for</w:t>
            </w:r>
          </w:p>
        </w:tc>
        <w:tc>
          <w:tcPr>
            <w:tcW w:w="1160" w:type="dxa"/>
            <w:vAlign w:val="bottom"/>
          </w:tcPr>
          <w:p>
            <w:pPr>
              <w:jc w:val="center"/>
              <w:spacing w:after="0" w:line="171" w:lineRule="exact"/>
              <w:rPr>
                <w:sz w:val="20"/>
                <w:szCs w:val="20"/>
                <w:color w:val="auto"/>
              </w:rPr>
            </w:pPr>
            <w:r>
              <w:rPr>
                <w:rFonts w:ascii="Arial" w:cs="Arial" w:eastAsia="Arial" w:hAnsi="Arial"/>
                <w:sz w:val="18"/>
                <w:szCs w:val="18"/>
                <w:color w:val="auto"/>
                <w:w w:val="81"/>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2"/>
              <w:spacing w:after="0" w:line="171" w:lineRule="exact"/>
              <w:rPr>
                <w:sz w:val="20"/>
                <w:szCs w:val="20"/>
                <w:color w:val="auto"/>
              </w:rPr>
            </w:pPr>
            <w:r>
              <w:rPr>
                <w:rFonts w:ascii="Arial" w:cs="Arial" w:eastAsia="Arial" w:hAnsi="Arial"/>
                <w:sz w:val="18"/>
                <w:szCs w:val="18"/>
                <w:color w:val="auto"/>
                <w:w w:val="82"/>
              </w:rPr>
              <w:t>average</w:t>
            </w:r>
          </w:p>
        </w:tc>
        <w:tc>
          <w:tcPr>
            <w:tcW w:w="1280" w:type="dxa"/>
            <w:vAlign w:val="bottom"/>
          </w:tcPr>
          <w:p>
            <w:pPr>
              <w:jc w:val="center"/>
              <w:spacing w:after="0" w:line="171" w:lineRule="exact"/>
              <w:rPr>
                <w:sz w:val="20"/>
                <w:szCs w:val="20"/>
                <w:color w:val="auto"/>
              </w:rPr>
            </w:pPr>
            <w:r>
              <w:rPr>
                <w:rFonts w:ascii="Arial" w:cs="Arial" w:eastAsia="Arial" w:hAnsi="Arial"/>
                <w:sz w:val="18"/>
                <w:szCs w:val="18"/>
                <w:color w:val="auto"/>
                <w:w w:val="91"/>
              </w:rPr>
              <w:t>remaining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71" w:lineRule="exact"/>
              <w:rPr>
                <w:sz w:val="20"/>
                <w:szCs w:val="20"/>
                <w:color w:val="auto"/>
              </w:rPr>
            </w:pPr>
            <w:r>
              <w:rPr>
                <w:rFonts w:ascii="Arial" w:cs="Arial" w:eastAsia="Arial" w:hAnsi="Arial"/>
                <w:sz w:val="18"/>
                <w:szCs w:val="18"/>
                <w:color w:val="auto"/>
                <w:w w:val="81"/>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2"/>
              <w:spacing w:after="0" w:line="171"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360" w:type="dxa"/>
            <w:vAlign w:val="bottom"/>
            <w:gridSpan w:val="2"/>
          </w:tcPr>
          <w:p>
            <w:pPr>
              <w:jc w:val="center"/>
              <w:ind w:right="100"/>
              <w:spacing w:after="0" w:line="184" w:lineRule="exact"/>
              <w:rPr>
                <w:sz w:val="20"/>
                <w:szCs w:val="20"/>
                <w:color w:val="auto"/>
              </w:rPr>
            </w:pPr>
            <w:r>
              <w:rPr>
                <w:rFonts w:ascii="Arial" w:cs="Arial" w:eastAsia="Arial" w:hAnsi="Arial"/>
                <w:sz w:val="18"/>
                <w:szCs w:val="18"/>
                <w:color w:val="auto"/>
                <w:w w:val="81"/>
              </w:rPr>
              <w:t>issuance</w:t>
            </w:r>
          </w:p>
        </w:tc>
        <w:tc>
          <w:tcPr>
            <w:tcW w:w="1160" w:type="dxa"/>
            <w:vAlign w:val="bottom"/>
          </w:tcPr>
          <w:p>
            <w:pPr>
              <w:jc w:val="center"/>
              <w:spacing w:after="0" w:line="184" w:lineRule="exact"/>
              <w:rPr>
                <w:sz w:val="20"/>
                <w:szCs w:val="20"/>
                <w:color w:val="auto"/>
              </w:rPr>
            </w:pPr>
            <w:r>
              <w:rPr>
                <w:rFonts w:ascii="Arial" w:cs="Arial" w:eastAsia="Arial" w:hAnsi="Arial"/>
                <w:sz w:val="18"/>
                <w:szCs w:val="18"/>
                <w:color w:val="auto"/>
                <w:w w:val="88"/>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2"/>
              <w:spacing w:after="0" w:line="184" w:lineRule="exact"/>
              <w:rPr>
                <w:sz w:val="20"/>
                <w:szCs w:val="20"/>
                <w:color w:val="auto"/>
              </w:rPr>
            </w:pPr>
            <w:r>
              <w:rPr>
                <w:rFonts w:ascii="Arial" w:cs="Arial" w:eastAsia="Arial" w:hAnsi="Arial"/>
                <w:sz w:val="18"/>
                <w:szCs w:val="18"/>
                <w:color w:val="auto"/>
                <w:w w:val="86"/>
              </w:rPr>
              <w:t>exercise</w:t>
            </w:r>
          </w:p>
        </w:tc>
        <w:tc>
          <w:tcPr>
            <w:tcW w:w="1280" w:type="dxa"/>
            <w:vAlign w:val="bottom"/>
          </w:tcPr>
          <w:p>
            <w:pPr>
              <w:jc w:val="center"/>
              <w:spacing w:after="0" w:line="184" w:lineRule="exact"/>
              <w:rPr>
                <w:sz w:val="20"/>
                <w:szCs w:val="20"/>
                <w:color w:val="auto"/>
              </w:rPr>
            </w:pPr>
            <w:r>
              <w:rPr>
                <w:rFonts w:ascii="Arial" w:cs="Arial" w:eastAsia="Arial" w:hAnsi="Arial"/>
                <w:sz w:val="18"/>
                <w:szCs w:val="18"/>
                <w:color w:val="auto"/>
                <w:w w:val="88"/>
              </w:rPr>
              <w:t>contractual</w:t>
            </w:r>
          </w:p>
        </w:tc>
        <w:tc>
          <w:tcPr>
            <w:tcW w:w="22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5"/>
                <w:szCs w:val="15"/>
                <w:color w:val="auto"/>
              </w:rPr>
            </w:pPr>
          </w:p>
        </w:tc>
        <w:tc>
          <w:tcPr>
            <w:tcW w:w="1160" w:type="dxa"/>
            <w:vAlign w:val="bottom"/>
          </w:tcPr>
          <w:p>
            <w:pPr>
              <w:jc w:val="center"/>
              <w:spacing w:after="0" w:line="184" w:lineRule="exact"/>
              <w:rPr>
                <w:sz w:val="20"/>
                <w:szCs w:val="20"/>
                <w:color w:val="auto"/>
              </w:rPr>
            </w:pPr>
            <w:r>
              <w:rPr>
                <w:rFonts w:ascii="Arial" w:cs="Arial" w:eastAsia="Arial" w:hAnsi="Arial"/>
                <w:sz w:val="18"/>
                <w:szCs w:val="18"/>
                <w:color w:val="auto"/>
                <w:w w:val="88"/>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2"/>
              <w:spacing w:after="0" w:line="184" w:lineRule="exact"/>
              <w:rPr>
                <w:sz w:val="20"/>
                <w:szCs w:val="20"/>
                <w:color w:val="auto"/>
              </w:rPr>
            </w:pPr>
            <w:r>
              <w:rPr>
                <w:rFonts w:ascii="Arial" w:cs="Arial" w:eastAsia="Arial" w:hAnsi="Arial"/>
                <w:sz w:val="18"/>
                <w:szCs w:val="18"/>
                <w:color w:val="auto"/>
                <w:w w:val="86"/>
              </w:rPr>
              <w:t>grant date</w:t>
            </w: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1360" w:type="dxa"/>
            <w:vAlign w:val="bottom"/>
            <w:gridSpan w:val="2"/>
          </w:tcPr>
          <w:p>
            <w:pPr>
              <w:jc w:val="center"/>
              <w:ind w:right="100"/>
              <w:spacing w:after="0" w:line="172" w:lineRule="exact"/>
              <w:rPr>
                <w:sz w:val="20"/>
                <w:szCs w:val="20"/>
                <w:color w:val="auto"/>
              </w:rPr>
            </w:pPr>
            <w:r>
              <w:rPr>
                <w:rFonts w:ascii="Arial" w:cs="Arial" w:eastAsia="Arial" w:hAnsi="Arial"/>
                <w:sz w:val="18"/>
                <w:szCs w:val="18"/>
                <w:color w:val="auto"/>
                <w:w w:val="86"/>
              </w:rPr>
              <w:t>under the</w:t>
            </w:r>
          </w:p>
        </w:tc>
        <w:tc>
          <w:tcPr>
            <w:tcW w:w="1160" w:type="dxa"/>
            <w:vAlign w:val="bottom"/>
          </w:tcPr>
          <w:p>
            <w:pPr>
              <w:jc w:val="center"/>
              <w:spacing w:after="0" w:line="172" w:lineRule="exact"/>
              <w:rPr>
                <w:sz w:val="20"/>
                <w:szCs w:val="20"/>
                <w:color w:val="auto"/>
              </w:rPr>
            </w:pPr>
            <w:r>
              <w:rPr>
                <w:rFonts w:ascii="Arial" w:cs="Arial" w:eastAsia="Arial" w:hAnsi="Arial"/>
                <w:sz w:val="18"/>
                <w:szCs w:val="18"/>
                <w:color w:val="auto"/>
                <w:w w:val="86"/>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2"/>
              <w:spacing w:after="0" w:line="172" w:lineRule="exact"/>
              <w:rPr>
                <w:sz w:val="20"/>
                <w:szCs w:val="20"/>
                <w:color w:val="auto"/>
              </w:rPr>
            </w:pPr>
            <w:r>
              <w:rPr>
                <w:rFonts w:ascii="Arial" w:cs="Arial" w:eastAsia="Arial" w:hAnsi="Arial"/>
                <w:sz w:val="18"/>
                <w:szCs w:val="18"/>
                <w:color w:val="auto"/>
                <w:w w:val="87"/>
              </w:rPr>
              <w:t>price</w:t>
            </w:r>
          </w:p>
        </w:tc>
        <w:tc>
          <w:tcPr>
            <w:tcW w:w="1280" w:type="dxa"/>
            <w:vAlign w:val="bottom"/>
          </w:tcPr>
          <w:p>
            <w:pPr>
              <w:jc w:val="center"/>
              <w:spacing w:after="0" w:line="172" w:lineRule="exact"/>
              <w:rPr>
                <w:sz w:val="20"/>
                <w:szCs w:val="20"/>
                <w:color w:val="auto"/>
              </w:rPr>
            </w:pPr>
            <w:r>
              <w:rPr>
                <w:rFonts w:ascii="Arial" w:cs="Arial" w:eastAsia="Arial" w:hAnsi="Arial"/>
                <w:sz w:val="18"/>
                <w:szCs w:val="18"/>
                <w:color w:val="auto"/>
                <w:w w:val="88"/>
              </w:rPr>
              <w:t>term</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72" w:lineRule="exact"/>
              <w:rPr>
                <w:sz w:val="20"/>
                <w:szCs w:val="20"/>
                <w:color w:val="auto"/>
              </w:rPr>
            </w:pPr>
            <w:r>
              <w:rPr>
                <w:rFonts w:ascii="Arial" w:cs="Arial" w:eastAsia="Arial" w:hAnsi="Arial"/>
                <w:sz w:val="18"/>
                <w:szCs w:val="18"/>
                <w:color w:val="auto"/>
                <w:w w:val="86"/>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2"/>
              <w:spacing w:after="0" w:line="172" w:lineRule="exact"/>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Plans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Plans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4"/>
              </w:rPr>
              <w:t>per share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(In years)</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color w:val="auto"/>
              </w:rPr>
              <w:t>intrinsic value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Plans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4"/>
              </w:rPr>
              <w:t>per share</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Balance at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Additional shares authorized</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17.5</w:t>
            </w:r>
          </w:p>
        </w:tc>
        <w:tc>
          <w:tcPr>
            <w:tcW w:w="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2"/>
              </w:rPr>
              <w:t>Options exercised and restricted</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8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stock units and awards released</w:t>
            </w:r>
          </w:p>
        </w:tc>
        <w:tc>
          <w:tcPr>
            <w:tcW w:w="13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440" w:type="dxa"/>
            <w:vAlign w:val="bottom"/>
          </w:tcPr>
          <w:p>
            <w:pPr>
              <w:ind w:left="20"/>
              <w:spacing w:after="0" w:line="186" w:lineRule="exact"/>
              <w:rPr>
                <w:sz w:val="20"/>
                <w:szCs w:val="20"/>
                <w:color w:val="auto"/>
              </w:rPr>
            </w:pPr>
            <w:r>
              <w:rPr>
                <w:rFonts w:ascii="Arial" w:cs="Arial" w:eastAsia="Arial" w:hAnsi="Arial"/>
                <w:sz w:val="18"/>
                <w:szCs w:val="18"/>
                <w:color w:val="auto"/>
                <w:w w:val="90"/>
              </w:rPr>
              <w:t>Options and restricted stock units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and awards canceled</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173"/>
        </w:trPr>
        <w:tc>
          <w:tcPr>
            <w:tcW w:w="24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Shares withheld related to net</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share settlement of restricted</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 and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440" w:type="dxa"/>
            <w:vAlign w:val="bottom"/>
          </w:tcPr>
          <w:p>
            <w:pPr>
              <w:ind w:left="20"/>
              <w:spacing w:after="0" w:line="172" w:lineRule="exact"/>
              <w:rPr>
                <w:sz w:val="20"/>
                <w:szCs w:val="20"/>
                <w:color w:val="auto"/>
              </w:rPr>
            </w:pPr>
            <w:r>
              <w:rPr>
                <w:rFonts w:ascii="Arial" w:cs="Arial" w:eastAsia="Arial" w:hAnsi="Arial"/>
                <w:sz w:val="18"/>
                <w:szCs w:val="18"/>
                <w:color w:val="auto"/>
                <w:w w:val="90"/>
              </w:rPr>
              <w:t>Options and restricted stock units</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8"/>
        </w:trPr>
        <w:tc>
          <w:tcPr>
            <w:tcW w:w="2440" w:type="dxa"/>
            <w:vAlign w:val="bottom"/>
          </w:tcPr>
          <w:p>
            <w:pPr>
              <w:ind w:left="20"/>
              <w:spacing w:after="0"/>
              <w:rPr>
                <w:sz w:val="20"/>
                <w:szCs w:val="20"/>
                <w:color w:val="auto"/>
              </w:rPr>
            </w:pPr>
            <w:r>
              <w:rPr>
                <w:rFonts w:ascii="Arial" w:cs="Arial" w:eastAsia="Arial" w:hAnsi="Arial"/>
                <w:sz w:val="18"/>
                <w:szCs w:val="18"/>
                <w:color w:val="auto"/>
              </w:rPr>
              <w:t>and awards granted</w:t>
            </w: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at June 30, 2023</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0.3</w:t>
            </w:r>
          </w:p>
        </w:tc>
        <w:tc>
          <w:tcPr>
            <w:tcW w:w="26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7" w:lineRule="exact"/>
              <w:rPr>
                <w:sz w:val="20"/>
                <w:szCs w:val="20"/>
                <w:color w:val="auto"/>
              </w:rPr>
            </w:pPr>
            <w:r>
              <w:rPr>
                <w:rFonts w:ascii="Arial" w:cs="Arial" w:eastAsia="Arial" w:hAnsi="Arial"/>
                <w:sz w:val="18"/>
                <w:szCs w:val="18"/>
                <w:color w:val="auto"/>
              </w:rPr>
              <w:t>14.06</w:t>
            </w:r>
          </w:p>
        </w:tc>
        <w:tc>
          <w:tcPr>
            <w:tcW w:w="1280" w:type="dxa"/>
            <w:vAlign w:val="bottom"/>
          </w:tcPr>
          <w:p>
            <w:pPr>
              <w:ind w:left="980"/>
              <w:spacing w:after="0" w:line="197" w:lineRule="exact"/>
              <w:rPr>
                <w:sz w:val="20"/>
                <w:szCs w:val="20"/>
                <w:color w:val="auto"/>
              </w:rPr>
            </w:pPr>
            <w:r>
              <w:rPr>
                <w:rFonts w:ascii="Arial" w:cs="Arial" w:eastAsia="Arial" w:hAnsi="Arial"/>
                <w:sz w:val="18"/>
                <w:szCs w:val="18"/>
                <w:color w:val="auto"/>
              </w:rPr>
              <w:t>4.7</w:t>
            </w:r>
          </w:p>
        </w:tc>
        <w:tc>
          <w:tcPr>
            <w:tcW w:w="22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Unvested at June 30, 2023</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three and six months ended June 30, 2023 and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3120" w:type="dxa"/>
            <w:vAlign w:val="bottom"/>
            <w:gridSpan w:val="4"/>
          </w:tcPr>
          <w:p>
            <w:pPr>
              <w:jc w:val="center"/>
              <w:ind w:left="432"/>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1080" w:type="dxa"/>
            <w:vAlign w:val="bottom"/>
          </w:tcPr>
          <w:p>
            <w:pPr>
              <w:spacing w:after="0"/>
              <w:rPr>
                <w:sz w:val="18"/>
                <w:szCs w:val="18"/>
                <w:color w:val="auto"/>
              </w:rPr>
            </w:pPr>
          </w:p>
        </w:tc>
      </w:tr>
      <w:tr>
        <w:trPr>
          <w:trHeight w:val="233"/>
        </w:trPr>
        <w:tc>
          <w:tcPr>
            <w:tcW w:w="39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672"/>
              <w:spacing w:after="0"/>
              <w:rPr>
                <w:sz w:val="20"/>
                <w:szCs w:val="20"/>
                <w:color w:val="auto"/>
              </w:rPr>
            </w:pPr>
            <w:r>
              <w:rPr>
                <w:rFonts w:ascii="Arial" w:cs="Arial" w:eastAsia="Arial" w:hAnsi="Arial"/>
                <w:sz w:val="18"/>
                <w:szCs w:val="18"/>
                <w:b w:val="1"/>
                <w:bCs w:val="1"/>
                <w:color w:val="auto"/>
                <w:w w:val="85"/>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080" w:type="dxa"/>
            <w:vAlign w:val="bottom"/>
            <w:tcBorders>
              <w:bottom w:val="single" w:sz="8" w:color="auto"/>
            </w:tcBorders>
          </w:tcPr>
          <w:p>
            <w:pPr>
              <w:spacing w:after="0"/>
              <w:rPr>
                <w:sz w:val="20"/>
                <w:szCs w:val="20"/>
                <w:color w:val="auto"/>
              </w:rPr>
            </w:pPr>
          </w:p>
        </w:tc>
      </w:tr>
      <w:tr>
        <w:trPr>
          <w:trHeight w:val="222"/>
        </w:trPr>
        <w:tc>
          <w:tcPr>
            <w:tcW w:w="39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9"/>
              </w:rPr>
              <w:t>2022</w:t>
            </w: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Intrinsic value of options exercised</w:t>
            </w:r>
          </w:p>
        </w:tc>
        <w:tc>
          <w:tcPr>
            <w:tcW w:w="126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317" w:lineRule="exact"/>
        <w:rPr>
          <w:sz w:val="20"/>
          <w:szCs w:val="20"/>
          <w:color w:val="auto"/>
        </w:rPr>
      </w:pPr>
    </w:p>
    <w:p>
      <w:pPr>
        <w:jc w:val="both"/>
        <w:ind w:right="500" w:firstLine="435"/>
        <w:spacing w:after="0" w:line="253" w:lineRule="auto"/>
        <w:rPr>
          <w:sz w:val="20"/>
          <w:szCs w:val="20"/>
          <w:color w:val="auto"/>
        </w:rPr>
      </w:pPr>
      <w:r>
        <w:rPr>
          <w:rFonts w:ascii="Arial" w:cs="Arial" w:eastAsia="Arial" w:hAnsi="Arial"/>
          <w:sz w:val="18"/>
          <w:szCs w:val="18"/>
          <w:color w:val="auto"/>
        </w:rPr>
        <w:t>As of June 30, 2023, unamortized stock-based compensation related to unvested stock options, restricted stock awards (excluding the Co-Founder Grant), and RSUs was $808.1 million. The weighted-average period over which such compensation expense will be recognized if the requisite service is provided is approximately 2.9 years as of June 30, 2023.</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Co-Founder Grant</w:t>
      </w:r>
    </w:p>
    <w:p>
      <w:pPr>
        <w:spacing w:after="0" w:line="110" w:lineRule="exact"/>
        <w:rPr>
          <w:sz w:val="20"/>
          <w:szCs w:val="20"/>
          <w:color w:val="auto"/>
        </w:rPr>
      </w:pPr>
    </w:p>
    <w:p>
      <w:pPr>
        <w:ind w:right="40" w:firstLine="435"/>
        <w:spacing w:after="0" w:line="287" w:lineRule="auto"/>
        <w:rPr>
          <w:sz w:val="20"/>
          <w:szCs w:val="20"/>
          <w:color w:val="auto"/>
        </w:rPr>
      </w:pPr>
      <w:r>
        <w:rPr>
          <w:rFonts w:ascii="Arial" w:cs="Arial" w:eastAsia="Arial" w:hAnsi="Arial"/>
          <w:sz w:val="16"/>
          <w:szCs w:val="16"/>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192" w:lineRule="exact"/>
        <w:rPr>
          <w:sz w:val="20"/>
          <w:szCs w:val="20"/>
          <w:color w:val="auto"/>
        </w:rPr>
      </w:pPr>
    </w:p>
    <w:p>
      <w:pPr>
        <w:ind w:right="40" w:firstLine="435"/>
        <w:spacing w:after="0" w:line="262" w:lineRule="auto"/>
        <w:rPr>
          <w:sz w:val="20"/>
          <w:szCs w:val="20"/>
          <w:color w:val="auto"/>
        </w:rPr>
      </w:pPr>
      <w:r>
        <w:rPr>
          <w:rFonts w:ascii="Arial" w:cs="Arial" w:eastAsia="Arial" w:hAnsi="Arial"/>
          <w:sz w:val="18"/>
          <w:szCs w:val="18"/>
          <w:color w:val="auto"/>
        </w:rPr>
        <w:t>The Co-Founder Grant is eligible to vest over the ten-year period following the date the Company’s shares of Class A common stock commenced trading on the Nasdaq Global Select Market in connection with the Company’s IPO. The Co-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300"/>
        <w:spacing w:after="0" w:line="363" w:lineRule="auto"/>
        <w:rPr>
          <w:sz w:val="20"/>
          <w:szCs w:val="20"/>
          <w:color w:val="auto"/>
        </w:rPr>
      </w:pPr>
      <w:r>
        <w:rPr>
          <w:rFonts w:ascii="Arial" w:cs="Arial" w:eastAsia="Arial" w:hAnsi="Arial"/>
          <w:sz w:val="15"/>
          <w:szCs w:val="15"/>
          <w:color w:val="auto"/>
        </w:rPr>
        <w:t>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38" w:lineRule="exact"/>
        <w:rPr>
          <w:sz w:val="20"/>
          <w:szCs w:val="20"/>
          <w:color w:val="auto"/>
        </w:rPr>
      </w:pPr>
    </w:p>
    <w:p>
      <w:pPr>
        <w:ind w:right="160" w:firstLine="435"/>
        <w:spacing w:after="0" w:line="325" w:lineRule="auto"/>
        <w:rPr>
          <w:sz w:val="20"/>
          <w:szCs w:val="20"/>
          <w:color w:val="auto"/>
        </w:rPr>
      </w:pPr>
      <w:r>
        <w:rPr>
          <w:rFonts w:ascii="Arial" w:cs="Arial" w:eastAsia="Arial" w:hAnsi="Arial"/>
          <w:sz w:val="16"/>
          <w:szCs w:val="16"/>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61" w:lineRule="exact"/>
        <w:rPr>
          <w:sz w:val="20"/>
          <w:szCs w:val="20"/>
          <w:color w:val="auto"/>
        </w:rPr>
      </w:pPr>
    </w:p>
    <w:p>
      <w:pPr>
        <w:ind w:right="440" w:firstLine="435"/>
        <w:spacing w:after="0" w:line="292" w:lineRule="auto"/>
        <w:rPr>
          <w:sz w:val="20"/>
          <w:szCs w:val="20"/>
          <w:color w:val="auto"/>
        </w:rPr>
      </w:pPr>
      <w:r>
        <w:rPr>
          <w:rFonts w:ascii="Arial" w:cs="Arial" w:eastAsia="Arial" w:hAnsi="Arial"/>
          <w:sz w:val="16"/>
          <w:szCs w:val="16"/>
          <w:color w:val="auto"/>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186" w:lineRule="exact"/>
        <w:rPr>
          <w:sz w:val="20"/>
          <w:szCs w:val="20"/>
          <w:color w:val="auto"/>
        </w:rPr>
      </w:pPr>
    </w:p>
    <w:p>
      <w:pPr>
        <w:ind w:right="60" w:firstLine="435"/>
        <w:spacing w:after="0" w:line="300" w:lineRule="auto"/>
        <w:rPr>
          <w:sz w:val="20"/>
          <w:szCs w:val="20"/>
          <w:color w:val="auto"/>
        </w:rPr>
      </w:pPr>
      <w:r>
        <w:rPr>
          <w:rFonts w:ascii="Arial" w:cs="Arial" w:eastAsia="Arial" w:hAnsi="Arial"/>
          <w:sz w:val="16"/>
          <w:szCs w:val="16"/>
          <w:color w:val="auto"/>
        </w:rPr>
        <w:t>The Company recognized stock-based compensation expense related to the Co-Founder Grant of $2.0 million and $4.2 million during the three and six months ended June 30, 2023, respectively, and $3.3 million and $6.9 million during the three and six months ended June 30, 2022, respectively. As of June 30, 2023, unamortized stock-based compensation expense related to the Co-Founder Grant was $5.2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47" w:lineRule="exact"/>
        <w:rPr>
          <w:sz w:val="20"/>
          <w:szCs w:val="20"/>
          <w:color w:val="auto"/>
        </w:rPr>
      </w:pPr>
    </w:p>
    <w:p>
      <w:pPr>
        <w:ind w:firstLine="435"/>
        <w:spacing w:after="0" w:line="300"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1" w:lineRule="exact"/>
        <w:rPr>
          <w:sz w:val="20"/>
          <w:szCs w:val="20"/>
          <w:color w:val="auto"/>
        </w:rPr>
      </w:pPr>
    </w:p>
    <w:p>
      <w:pPr>
        <w:ind w:right="220" w:firstLine="435"/>
        <w:spacing w:after="0" w:line="262" w:lineRule="auto"/>
        <w:rPr>
          <w:sz w:val="20"/>
          <w:szCs w:val="20"/>
          <w:color w:val="auto"/>
        </w:rPr>
      </w:pPr>
      <w:r>
        <w:rPr>
          <w:rFonts w:ascii="Arial" w:cs="Arial" w:eastAsia="Arial" w:hAnsi="Arial"/>
          <w:sz w:val="18"/>
          <w:szCs w:val="18"/>
          <w:color w:val="auto"/>
        </w:rPr>
        <w:t>Basic net income per share is computed by dividing net income attributable to common stockholders by the weighted-average number of shares of the Class A and Class B common stock outstanding.</w:t>
      </w:r>
    </w:p>
    <w:p>
      <w:pPr>
        <w:spacing w:after="0" w:line="208" w:lineRule="exact"/>
        <w:rPr>
          <w:sz w:val="20"/>
          <w:szCs w:val="20"/>
          <w:color w:val="auto"/>
        </w:rPr>
      </w:pPr>
    </w:p>
    <w:p>
      <w:pPr>
        <w:ind w:right="60" w:firstLine="396"/>
        <w:spacing w:after="0" w:line="287"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320" w:firstLine="396"/>
        <w:spacing w:after="0" w:line="262" w:lineRule="auto"/>
        <w:rPr>
          <w:sz w:val="20"/>
          <w:szCs w:val="20"/>
          <w:color w:val="auto"/>
        </w:rPr>
      </w:pPr>
      <w:r>
        <w:rPr>
          <w:rFonts w:ascii="Arial" w:cs="Arial" w:eastAsia="Arial" w:hAnsi="Arial"/>
          <w:sz w:val="18"/>
          <w:szCs w:val="18"/>
          <w:color w:val="auto"/>
        </w:rPr>
        <w:t>The numerators and denominators of the basic and diluted EPS computations for the Company's common stock are calculated as follows (in millions, except for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3"/>
        </w:trPr>
        <w:tc>
          <w:tcPr>
            <w:tcW w:w="5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Class A</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3"/>
              </w:rPr>
              <w:t>Class B</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Class A</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6"/>
              </w:rPr>
              <w:t>Class B</w:t>
            </w:r>
          </w:p>
        </w:tc>
        <w:tc>
          <w:tcPr>
            <w:tcW w:w="0" w:type="dxa"/>
            <w:vAlign w:val="bottom"/>
          </w:tcPr>
          <w:p>
            <w:pPr>
              <w:spacing w:after="0"/>
              <w:rPr>
                <w:sz w:val="1"/>
                <w:szCs w:val="1"/>
                <w:color w:val="auto"/>
              </w:rPr>
            </w:pPr>
          </w:p>
        </w:tc>
      </w:tr>
      <w:tr>
        <w:trPr>
          <w:trHeight w:val="21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8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8"/>
              </w:rPr>
              <w:t>Weighted-average number of common shares outstanding used in</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computing basic net income per share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72"/>
        </w:trPr>
        <w:tc>
          <w:tcPr>
            <w:tcW w:w="5380" w:type="dxa"/>
            <w:vAlign w:val="bottom"/>
          </w:tcPr>
          <w:p>
            <w:pPr>
              <w:ind w:left="140"/>
              <w:spacing w:after="0" w:line="172" w:lineRule="exact"/>
              <w:rPr>
                <w:sz w:val="20"/>
                <w:szCs w:val="20"/>
                <w:color w:val="auto"/>
              </w:rPr>
            </w:pPr>
            <w:r>
              <w:rPr>
                <w:rFonts w:ascii="Arial" w:cs="Arial" w:eastAsia="Arial" w:hAnsi="Arial"/>
                <w:sz w:val="18"/>
                <w:szCs w:val="18"/>
                <w:color w:val="auto"/>
                <w:w w:val="89"/>
              </w:rPr>
              <w:t>Reallocation of net income as a result of conversion of Class B to Class A</w:t>
            </w: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Reallocation of net income to Class B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 attributable to common stockholders for diluted EPS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20" w:type="dxa"/>
            <w:vAlign w:val="bottom"/>
          </w:tcPr>
          <w:p>
            <w:pPr>
              <w:jc w:val="right"/>
              <w:spacing w:after="0" w:line="197"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7" w:lineRule="exact"/>
              <w:rPr>
                <w:sz w:val="20"/>
                <w:szCs w:val="20"/>
                <w:color w:val="auto"/>
              </w:rPr>
            </w:pPr>
            <w:r>
              <w:rPr>
                <w:rFonts w:ascii="Arial" w:cs="Arial" w:eastAsia="Arial" w:hAnsi="Arial"/>
                <w:sz w:val="18"/>
                <w:szCs w:val="18"/>
                <w:color w:val="auto"/>
              </w:rPr>
              <w:t>43.2</w:t>
            </w:r>
          </w:p>
        </w:tc>
        <w:tc>
          <w:tcPr>
            <w:tcW w:w="460" w:type="dxa"/>
            <w:vAlign w:val="bottom"/>
            <w:gridSpan w:val="2"/>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10.2</w:t>
            </w:r>
          </w:p>
        </w:tc>
        <w:tc>
          <w:tcPr>
            <w:tcW w:w="380" w:type="dxa"/>
            <w:vAlign w:val="bottom"/>
            <w:gridSpan w:val="2"/>
          </w:tcPr>
          <w:p>
            <w:pPr>
              <w:jc w:val="right"/>
              <w:ind w:right="160"/>
              <w:spacing w:after="0" w:line="197"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7" w:lineRule="exact"/>
              <w:rPr>
                <w:sz w:val="20"/>
                <w:szCs w:val="20"/>
                <w:color w:val="auto"/>
              </w:rPr>
            </w:pPr>
            <w:r>
              <w:rPr>
                <w:rFonts w:ascii="Arial" w:cs="Arial" w:eastAsia="Arial" w:hAnsi="Arial"/>
                <w:sz w:val="18"/>
                <w:szCs w:val="18"/>
                <w:color w:val="auto"/>
              </w:rPr>
              <w:t>62.0</w:t>
            </w:r>
          </w:p>
        </w:tc>
        <w:tc>
          <w:tcPr>
            <w:tcW w:w="440" w:type="dxa"/>
            <w:vAlign w:val="bottom"/>
            <w:gridSpan w:val="2"/>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380" w:type="dxa"/>
            <w:vAlign w:val="bottom"/>
          </w:tcPr>
          <w:p>
            <w:pPr>
              <w:ind w:left="140"/>
              <w:spacing w:after="0" w:line="172" w:lineRule="exact"/>
              <w:rPr>
                <w:sz w:val="20"/>
                <w:szCs w:val="20"/>
                <w:color w:val="auto"/>
              </w:rPr>
            </w:pPr>
            <w:r>
              <w:rPr>
                <w:rFonts w:ascii="Arial" w:cs="Arial" w:eastAsia="Arial" w:hAnsi="Arial"/>
                <w:sz w:val="18"/>
                <w:szCs w:val="18"/>
                <w:color w:val="auto"/>
                <w:w w:val="98"/>
              </w:rPr>
              <w:t>Weighted-average number of common shares outstanding used in</w:t>
            </w: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computing basic net income per share</w:t>
            </w: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380" w:type="dxa"/>
            <w:vAlign w:val="bottom"/>
            <w:shd w:val="clear" w:color="auto" w:fill="CCEEFF"/>
          </w:tcPr>
          <w:p>
            <w:pPr>
              <w:ind w:left="140"/>
              <w:spacing w:after="0" w:line="186" w:lineRule="exact"/>
              <w:rPr>
                <w:sz w:val="20"/>
                <w:szCs w:val="20"/>
                <w:color w:val="auto"/>
              </w:rPr>
            </w:pPr>
            <w:r>
              <w:rPr>
                <w:rFonts w:ascii="Arial" w:cs="Arial" w:eastAsia="Arial" w:hAnsi="Arial"/>
                <w:sz w:val="18"/>
                <w:szCs w:val="18"/>
                <w:color w:val="auto"/>
                <w:w w:val="90"/>
              </w:rPr>
              <w:t>Weighted-average effect of dilutive restricted stock units and awards and</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options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140"/>
              <w:spacing w:after="0"/>
              <w:rPr>
                <w:sz w:val="20"/>
                <w:szCs w:val="20"/>
                <w:color w:val="auto"/>
              </w:rPr>
            </w:pPr>
            <w:r>
              <w:rPr>
                <w:rFonts w:ascii="Arial" w:cs="Arial" w:eastAsia="Arial" w:hAnsi="Arial"/>
                <w:sz w:val="18"/>
                <w:szCs w:val="18"/>
                <w:color w:val="auto"/>
              </w:rPr>
              <w:t>Conversion of Class B to Class A common stock</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80" w:type="dxa"/>
            <w:vAlign w:val="bottom"/>
            <w:shd w:val="clear" w:color="auto" w:fill="CCEEFF"/>
          </w:tcPr>
          <w:p>
            <w:pPr>
              <w:ind w:left="140"/>
              <w:spacing w:after="0" w:line="152" w:lineRule="exact"/>
              <w:rPr>
                <w:sz w:val="20"/>
                <w:szCs w:val="20"/>
                <w:color w:val="auto"/>
              </w:rPr>
            </w:pPr>
            <w:r>
              <w:rPr>
                <w:rFonts w:ascii="Arial" w:cs="Arial" w:eastAsia="Arial" w:hAnsi="Arial"/>
                <w:sz w:val="16"/>
                <w:szCs w:val="16"/>
                <w:color w:val="auto"/>
              </w:rPr>
              <w:t>Weighted-average number of common shares outstanding used in</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shd w:val="clear" w:color="auto" w:fill="CCEEFF"/>
          </w:tcPr>
          <w:p>
            <w:pPr>
              <w:ind w:left="140"/>
              <w:spacing w:after="0" w:line="197" w:lineRule="exact"/>
              <w:rPr>
                <w:sz w:val="20"/>
                <w:szCs w:val="20"/>
                <w:color w:val="auto"/>
              </w:rPr>
            </w:pPr>
            <w:r>
              <w:rPr>
                <w:rFonts w:ascii="Arial" w:cs="Arial" w:eastAsia="Arial" w:hAnsi="Arial"/>
                <w:sz w:val="18"/>
                <w:szCs w:val="18"/>
                <w:color w:val="auto"/>
              </w:rPr>
              <w:t>computing diluted net income per share</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 per common share,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65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5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Class A</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3"/>
              </w:rPr>
              <w:t>Class B</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Class A</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6"/>
              </w:rPr>
              <w:t>Class B</w:t>
            </w:r>
          </w:p>
        </w:tc>
        <w:tc>
          <w:tcPr>
            <w:tcW w:w="0" w:type="dxa"/>
            <w:vAlign w:val="bottom"/>
          </w:tcPr>
          <w:p>
            <w:pPr>
              <w:spacing w:after="0"/>
              <w:rPr>
                <w:sz w:val="1"/>
                <w:szCs w:val="1"/>
                <w:color w:val="auto"/>
              </w:rPr>
            </w:pPr>
          </w:p>
        </w:tc>
      </w:tr>
      <w:tr>
        <w:trPr>
          <w:trHeight w:val="21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38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8"/>
              </w:rPr>
              <w:t>Weighted-average number of common shares outstanding used in</w:t>
            </w: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computing basic net income per share</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0.39</w:t>
            </w: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72"/>
        </w:trPr>
        <w:tc>
          <w:tcPr>
            <w:tcW w:w="5380" w:type="dxa"/>
            <w:vAlign w:val="bottom"/>
          </w:tcPr>
          <w:p>
            <w:pPr>
              <w:ind w:left="140"/>
              <w:spacing w:after="0" w:line="172" w:lineRule="exact"/>
              <w:rPr>
                <w:sz w:val="20"/>
                <w:szCs w:val="20"/>
                <w:color w:val="auto"/>
              </w:rPr>
            </w:pPr>
            <w:r>
              <w:rPr>
                <w:rFonts w:ascii="Arial" w:cs="Arial" w:eastAsia="Arial" w:hAnsi="Arial"/>
                <w:sz w:val="18"/>
                <w:szCs w:val="18"/>
                <w:color w:val="auto"/>
                <w:w w:val="89"/>
              </w:rPr>
              <w:t>Reallocation of net income as a result of conversion of Class B to Class A</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Reallocation of net income to Class B common stock</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 attributable to common stockholders for diluted EPS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60" w:type="dxa"/>
            <w:vAlign w:val="bottom"/>
          </w:tcPr>
          <w:p>
            <w:pPr>
              <w:jc w:val="right"/>
              <w:ind w:right="72"/>
              <w:spacing w:after="0" w:line="197"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112.2</w:t>
            </w:r>
          </w:p>
        </w:tc>
        <w:tc>
          <w:tcPr>
            <w:tcW w:w="460" w:type="dxa"/>
            <w:vAlign w:val="bottom"/>
            <w:gridSpan w:val="2"/>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26.4</w:t>
            </w:r>
          </w:p>
        </w:tc>
        <w:tc>
          <w:tcPr>
            <w:tcW w:w="380" w:type="dxa"/>
            <w:vAlign w:val="bottom"/>
            <w:gridSpan w:val="2"/>
          </w:tcPr>
          <w:p>
            <w:pPr>
              <w:jc w:val="right"/>
              <w:ind w:right="160"/>
              <w:spacing w:after="0" w:line="197"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7" w:lineRule="exact"/>
              <w:rPr>
                <w:sz w:val="20"/>
                <w:szCs w:val="20"/>
                <w:color w:val="auto"/>
              </w:rPr>
            </w:pPr>
            <w:r>
              <w:rPr>
                <w:rFonts w:ascii="Arial" w:cs="Arial" w:eastAsia="Arial" w:hAnsi="Arial"/>
                <w:sz w:val="18"/>
                <w:szCs w:val="18"/>
                <w:color w:val="auto"/>
              </w:rPr>
              <w:t>141.7</w:t>
            </w:r>
          </w:p>
        </w:tc>
        <w:tc>
          <w:tcPr>
            <w:tcW w:w="440" w:type="dxa"/>
            <w:vAlign w:val="bottom"/>
            <w:gridSpan w:val="2"/>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380" w:type="dxa"/>
            <w:vAlign w:val="bottom"/>
          </w:tcPr>
          <w:p>
            <w:pPr>
              <w:ind w:left="140"/>
              <w:spacing w:after="0" w:line="172" w:lineRule="exact"/>
              <w:rPr>
                <w:sz w:val="20"/>
                <w:szCs w:val="20"/>
                <w:color w:val="auto"/>
              </w:rPr>
            </w:pPr>
            <w:r>
              <w:rPr>
                <w:rFonts w:ascii="Arial" w:cs="Arial" w:eastAsia="Arial" w:hAnsi="Arial"/>
                <w:sz w:val="18"/>
                <w:szCs w:val="18"/>
                <w:color w:val="auto"/>
                <w:w w:val="98"/>
              </w:rPr>
              <w:t>Weighted-average number of common shares outstanding used in</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computing basic net income per share</w:t>
            </w: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380" w:type="dxa"/>
            <w:vAlign w:val="bottom"/>
            <w:shd w:val="clear" w:color="auto" w:fill="CCEEFF"/>
          </w:tcPr>
          <w:p>
            <w:pPr>
              <w:ind w:left="140"/>
              <w:spacing w:after="0" w:line="186" w:lineRule="exact"/>
              <w:rPr>
                <w:sz w:val="20"/>
                <w:szCs w:val="20"/>
                <w:color w:val="auto"/>
              </w:rPr>
            </w:pPr>
            <w:r>
              <w:rPr>
                <w:rFonts w:ascii="Arial" w:cs="Arial" w:eastAsia="Arial" w:hAnsi="Arial"/>
                <w:sz w:val="18"/>
                <w:szCs w:val="18"/>
                <w:color w:val="auto"/>
                <w:w w:val="90"/>
              </w:rPr>
              <w:t>Weighted-average effect of dilutive restricted stock units and awards and</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options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140"/>
              <w:spacing w:after="0"/>
              <w:rPr>
                <w:sz w:val="20"/>
                <w:szCs w:val="20"/>
                <w:color w:val="auto"/>
              </w:rPr>
            </w:pPr>
            <w:r>
              <w:rPr>
                <w:rFonts w:ascii="Arial" w:cs="Arial" w:eastAsia="Arial" w:hAnsi="Arial"/>
                <w:sz w:val="18"/>
                <w:szCs w:val="18"/>
                <w:color w:val="auto"/>
              </w:rPr>
              <w:t>Conversion of Class B to Class A common stock</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80" w:type="dxa"/>
            <w:vAlign w:val="bottom"/>
            <w:shd w:val="clear" w:color="auto" w:fill="CCEEFF"/>
          </w:tcPr>
          <w:p>
            <w:pPr>
              <w:ind w:left="140"/>
              <w:spacing w:after="0" w:line="152" w:lineRule="exact"/>
              <w:rPr>
                <w:sz w:val="20"/>
                <w:szCs w:val="20"/>
                <w:color w:val="auto"/>
              </w:rPr>
            </w:pPr>
            <w:r>
              <w:rPr>
                <w:rFonts w:ascii="Arial" w:cs="Arial" w:eastAsia="Arial" w:hAnsi="Arial"/>
                <w:sz w:val="16"/>
                <w:szCs w:val="16"/>
                <w:color w:val="auto"/>
              </w:rPr>
              <w:t>Weighted-average number of common shares outstanding used in</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shd w:val="clear" w:color="auto" w:fill="CCEEFF"/>
          </w:tcPr>
          <w:p>
            <w:pPr>
              <w:ind w:left="140"/>
              <w:spacing w:after="0" w:line="197" w:lineRule="exact"/>
              <w:rPr>
                <w:sz w:val="20"/>
                <w:szCs w:val="20"/>
                <w:color w:val="auto"/>
              </w:rPr>
            </w:pPr>
            <w:r>
              <w:rPr>
                <w:rFonts w:ascii="Arial" w:cs="Arial" w:eastAsia="Arial" w:hAnsi="Arial"/>
                <w:sz w:val="18"/>
                <w:szCs w:val="18"/>
                <w:color w:val="auto"/>
              </w:rPr>
              <w:t>computing diluted net income per share</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0.38</w:t>
            </w: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The weighted-average impact of potentially dilutive securities that were not included in the diluted per share calculations because they would be anti-dilutive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3000" w:type="dxa"/>
            <w:vAlign w:val="bottom"/>
            <w:gridSpan w:val="4"/>
          </w:tcPr>
          <w:p>
            <w:pPr>
              <w:jc w:val="center"/>
              <w:ind w:left="512"/>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Six Months Ended</w:t>
            </w:r>
          </w:p>
        </w:tc>
        <w:tc>
          <w:tcPr>
            <w:tcW w:w="1060" w:type="dxa"/>
            <w:vAlign w:val="bottom"/>
          </w:tcPr>
          <w:p>
            <w:pPr>
              <w:spacing w:after="0"/>
              <w:rPr>
                <w:sz w:val="18"/>
                <w:szCs w:val="18"/>
                <w:color w:val="auto"/>
              </w:rPr>
            </w:pPr>
          </w:p>
        </w:tc>
      </w:tr>
      <w:tr>
        <w:trPr>
          <w:trHeight w:val="233"/>
        </w:trPr>
        <w:tc>
          <w:tcPr>
            <w:tcW w:w="4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0" w:type="dxa"/>
            <w:vAlign w:val="bottom"/>
            <w:gridSpan w:val="3"/>
          </w:tcPr>
          <w:p>
            <w:pPr>
              <w:jc w:val="center"/>
              <w:ind w:right="532"/>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Pr>
          <w:p>
            <w:pPr>
              <w:spacing w:after="0"/>
              <w:rPr>
                <w:sz w:val="20"/>
                <w:szCs w:val="20"/>
                <w:color w:val="auto"/>
              </w:rPr>
            </w:pPr>
          </w:p>
        </w:tc>
      </w:tr>
      <w:tr>
        <w:trPr>
          <w:trHeight w:val="222"/>
        </w:trPr>
        <w:tc>
          <w:tcPr>
            <w:tcW w:w="40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4"/>
              </w:rPr>
              <w:t>2022</w:t>
            </w:r>
          </w:p>
        </w:tc>
      </w:tr>
      <w:tr>
        <w:trPr>
          <w:trHeight w:val="21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 and awards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Options to purchase shares of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Co-Founder Grant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4"/>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w:t>
            </w: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17"/>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r>
      <w:tr>
        <w:trPr>
          <w:trHeight w:val="20"/>
        </w:trPr>
        <w:tc>
          <w:tcPr>
            <w:tcW w:w="4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jc w:val="both"/>
        <w:ind w:right="20" w:firstLine="435"/>
        <w:spacing w:after="0" w:line="300" w:lineRule="auto"/>
        <w:rPr>
          <w:sz w:val="20"/>
          <w:szCs w:val="20"/>
          <w:color w:val="auto"/>
        </w:rPr>
      </w:pPr>
      <w:r>
        <w:rPr>
          <w:rFonts w:ascii="Arial" w:cs="Arial" w:eastAsia="Arial" w:hAnsi="Arial"/>
          <w:sz w:val="16"/>
          <w:szCs w:val="16"/>
          <w:color w:val="auto"/>
        </w:rPr>
        <w:t>The Company computed the year-to-date income tax provision by applying the estimated annual effective tax rate to the year-to-date pre-tax income and adjusted for discrete tax items in the period. The Company's provision for income taxes was $15.8 million and $34.4 million for the three and six months ended June 30, 2023, respectively, and $17.1 million and $31.2 million for the three and six months ended June 30,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400"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For the three and six months ended June 30, 2023, the difference between the U.S. statutory rate and the Company's effective tax rate was primarily due to jurisdictional mix of earnings, tax credits, and state income taxes.</w:t>
      </w:r>
    </w:p>
    <w:p>
      <w:pPr>
        <w:spacing w:after="0" w:line="208"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For the three and six months ended June 30, 2022, the difference between the U.S. statutory rate and the Company's effective tax rate was primarily due to the requirement to capitalize research expenditures in accordance with the TCJA, which was partially offset by the utilization of U.S. deferred tax assets which had a full valuation allowance.</w:t>
      </w:r>
    </w:p>
    <w:p>
      <w:pPr>
        <w:spacing w:after="0" w:line="216"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2023, the Company continues to maintain valuation allowances against its deferred tax assets in California and one foreign jurisdiction.</w:t>
      </w:r>
    </w:p>
    <w:p>
      <w:pPr>
        <w:spacing w:after="0" w:line="219"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208" w:lineRule="exact"/>
        <w:rPr>
          <w:sz w:val="20"/>
          <w:szCs w:val="20"/>
          <w:color w:val="auto"/>
        </w:rPr>
      </w:pPr>
    </w:p>
    <w:p>
      <w:pPr>
        <w:ind w:right="40" w:firstLine="435"/>
        <w:spacing w:after="0" w:line="249" w:lineRule="auto"/>
        <w:rPr>
          <w:sz w:val="20"/>
          <w:szCs w:val="20"/>
          <w:color w:val="auto"/>
        </w:rPr>
      </w:pPr>
      <w:r>
        <w:rPr>
          <w:rFonts w:ascii="Arial" w:cs="Arial" w:eastAsia="Arial" w:hAnsi="Arial"/>
          <w:sz w:val="18"/>
          <w:szCs w:val="18"/>
          <w:color w:val="auto"/>
        </w:rPr>
        <w:t>Unrecognized tax benefits increased by $5.8 million during the six months ended June 30, 2023. The increase was driven by a gross increase in unrecognized tax benefits related to tax positions taken in the period of approximately $7.0 million, of which $5.0 million, if recognized, would affect the Company's effective tax rate and $2.0 million would result in adjustment to deferred tax assets with corresponding adjustments to the valuation allowance. The gross increase was partially offset by a decrease in unrecognized tax benefits of approximately $1.2 million due to a statute of limitations lapse related to prior period tax positions.</w:t>
      </w:r>
    </w:p>
    <w:p>
      <w:pPr>
        <w:spacing w:after="0" w:line="219" w:lineRule="exact"/>
        <w:rPr>
          <w:sz w:val="20"/>
          <w:szCs w:val="20"/>
          <w:color w:val="auto"/>
        </w:rPr>
      </w:pPr>
    </w:p>
    <w:p>
      <w:pPr>
        <w:jc w:val="both"/>
        <w:ind w:right="40" w:firstLine="435"/>
        <w:spacing w:after="0" w:line="253" w:lineRule="auto"/>
        <w:rPr>
          <w:sz w:val="20"/>
          <w:szCs w:val="20"/>
          <w:color w:val="auto"/>
        </w:rPr>
      </w:pPr>
      <w:r>
        <w:rPr>
          <w:rFonts w:ascii="Arial" w:cs="Arial" w:eastAsia="Arial" w:hAnsi="Arial"/>
          <w:sz w:val="18"/>
          <w:szCs w:val="18"/>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20"/>
                <w:szCs w:val="20"/>
                <w:color w:val="auto"/>
              </w:rPr>
            </w:pPr>
            <w:r>
              <w:rPr>
                <w:rFonts w:ascii="Arial" w:cs="Arial" w:eastAsia="Arial" w:hAnsi="Arial"/>
                <w:sz w:val="18"/>
                <w:szCs w:val="18"/>
                <w:b w:val="1"/>
                <w:bCs w:val="1"/>
                <w:color w:val="auto"/>
              </w:rPr>
              <w:t>Note 15. Geographic Areas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8"/>
        </w:trPr>
        <w:tc>
          <w:tcPr>
            <w:tcW w:w="71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7"/>
        </w:trPr>
        <w:tc>
          <w:tcPr>
            <w:tcW w:w="7140" w:type="dxa"/>
            <w:vAlign w:val="bottom"/>
          </w:tcPr>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8"/>
        </w:trPr>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80" w:type="dxa"/>
            <w:vAlign w:val="bottom"/>
          </w:tcPr>
          <w:p>
            <w:pPr>
              <w:spacing w:after="0"/>
              <w:rPr>
                <w:sz w:val="24"/>
                <w:szCs w:val="24"/>
                <w:color w:val="auto"/>
              </w:rPr>
            </w:pPr>
          </w:p>
        </w:tc>
      </w:tr>
      <w:tr>
        <w:trPr>
          <w:trHeight w:val="227"/>
        </w:trPr>
        <w:tc>
          <w:tcPr>
            <w:tcW w:w="7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December 31, 2022</w:t>
            </w:r>
          </w:p>
        </w:tc>
      </w:tr>
      <w:tr>
        <w:trPr>
          <w:trHeight w:val="22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24"/>
        </w:trPr>
        <w:tc>
          <w:tcPr>
            <w:tcW w:w="71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2"/>
                <w:szCs w:val="22"/>
                <w:color w:val="auto"/>
                <w:vertAlign w:val="superscript"/>
              </w:rPr>
              <w:t>(1)</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680" w:firstLine="6"/>
        <w:spacing w:after="0" w:line="289" w:lineRule="auto"/>
        <w:tabs>
          <w:tab w:leader="none" w:pos="162"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No single country other than the United States had a property and equipment balance greater than 10% of total property and equipment, net, as of June 30, 2023 and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0" w:lineRule="exact"/>
        <w:rPr>
          <w:sz w:val="20"/>
          <w:szCs w:val="20"/>
          <w:color w:val="auto"/>
        </w:rPr>
      </w:pPr>
    </w:p>
    <w:p>
      <w:pPr>
        <w:ind w:right="140" w:firstLine="435"/>
        <w:spacing w:after="0" w:line="262"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three and six months ended June 30, 2023 and 2022.</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300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Six Months Ended</w:t>
            </w:r>
          </w:p>
        </w:tc>
        <w:tc>
          <w:tcPr>
            <w:tcW w:w="1080" w:type="dxa"/>
            <w:vAlign w:val="bottom"/>
          </w:tcPr>
          <w:p>
            <w:pPr>
              <w:spacing w:after="0"/>
              <w:rPr>
                <w:sz w:val="17"/>
                <w:szCs w:val="17"/>
                <w:color w:val="auto"/>
              </w:rPr>
            </w:pPr>
          </w:p>
        </w:tc>
      </w:tr>
      <w:tr>
        <w:trPr>
          <w:trHeight w:val="233"/>
        </w:trPr>
        <w:tc>
          <w:tcPr>
            <w:tcW w:w="36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2"/>
        </w:trPr>
        <w:tc>
          <w:tcPr>
            <w:tcW w:w="36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9"/>
              </w:rPr>
              <w:t>2022</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r>
      <w:tr>
        <w:trPr>
          <w:trHeight w:val="237"/>
        </w:trPr>
        <w:tc>
          <w:tcPr>
            <w:tcW w:w="3640" w:type="dxa"/>
            <w:vAlign w:val="bottom"/>
            <w:tcBorders>
              <w:bottom w:val="single" w:sz="8" w:color="CCEEFF"/>
            </w:tcBorders>
          </w:tcPr>
          <w:p>
            <w:pPr>
              <w:ind w:left="20"/>
              <w:spacing w:after="0" w:line="238"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w:t>
            </w: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12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1,233.6</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160" w:hanging="154"/>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No single country outside of the United States accounted for more than 10% of total revenue during the three and six months ended June 30, 2023 and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68" w:lineRule="exact"/>
        <w:rPr>
          <w:sz w:val="20"/>
          <w:szCs w:val="20"/>
          <w:color w:val="auto"/>
        </w:rPr>
      </w:pPr>
    </w:p>
    <w:p>
      <w:pPr>
        <w:ind w:firstLine="435"/>
        <w:spacing w:after="0" w:line="249" w:lineRule="auto"/>
        <w:rPr>
          <w:sz w:val="20"/>
          <w:szCs w:val="20"/>
          <w:color w:val="auto"/>
        </w:rPr>
      </w:pPr>
      <w:r>
        <w:rPr>
          <w:rFonts w:ascii="Arial" w:cs="Arial" w:eastAsia="Arial" w:hAnsi="Arial"/>
          <w:sz w:val="18"/>
          <w:szCs w:val="18"/>
          <w:color w:val="auto"/>
        </w:rPr>
        <w:t>On July 26, 2023 the Board of Directors authorized the Company to repurchase up to an additional $1.2 billion of the Company’s outstanding shares of Class A common stock under the Company's previously announced stock repurchase program. The Company is authorized to repurchase, from time-to-time, shares of its outstanding common stock through open market purchases or in privately negotiated transactions, in accordance with applicable rules and regulations, at such time and such prices as management may decide. The program does not obligate the Company to repurchase any specific number of shares and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ind w:right="80" w:firstLine="435"/>
        <w:spacing w:after="0" w:line="28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jc w:val="center"/>
        <w:ind w:right="880"/>
        <w:spacing w:after="0" w:line="3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38" w:lineRule="exact"/>
        <w:rPr>
          <w:sz w:val="20"/>
          <w:szCs w:val="20"/>
          <w:color w:val="auto"/>
        </w:rPr>
      </w:pPr>
    </w:p>
    <w:p>
      <w:pPr>
        <w:ind w:right="20" w:firstLine="435"/>
        <w:spacing w:after="0" w:line="262" w:lineRule="auto"/>
        <w:rPr>
          <w:sz w:val="20"/>
          <w:szCs w:val="20"/>
          <w:color w:val="auto"/>
        </w:rPr>
      </w:pPr>
      <w:r>
        <w:rPr>
          <w:rFonts w:ascii="Arial" w:cs="Arial" w:eastAsia="Arial" w:hAnsi="Arial"/>
          <w:sz w:val="18"/>
          <w:szCs w:val="18"/>
          <w:color w:val="auto"/>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spacing w:after="0" w:line="208"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allows us to scale efficiently. We’ve built a thriving global business with 18.04 million paying users.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16"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196" w:lineRule="exact"/>
        <w:rPr>
          <w:sz w:val="20"/>
          <w:szCs w:val="20"/>
          <w:color w:val="auto"/>
        </w:rPr>
      </w:pPr>
    </w:p>
    <w:p>
      <w:pPr>
        <w:jc w:val="both"/>
        <w:ind w:right="120" w:firstLine="435"/>
        <w:spacing w:after="0" w:line="250"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19" w:lineRule="exact"/>
        <w:rPr>
          <w:sz w:val="20"/>
          <w:szCs w:val="20"/>
          <w:color w:val="auto"/>
        </w:rPr>
      </w:pPr>
    </w:p>
    <w:p>
      <w:pPr>
        <w:ind w:right="160" w:firstLine="435"/>
        <w:spacing w:after="0" w:line="250" w:lineRule="auto"/>
        <w:rPr>
          <w:sz w:val="20"/>
          <w:szCs w:val="20"/>
          <w:color w:val="auto"/>
        </w:rPr>
      </w:pPr>
      <w:r>
        <w:rPr>
          <w:rFonts w:ascii="Arial" w:cs="Arial" w:eastAsia="Arial" w:hAnsi="Arial"/>
          <w:sz w:val="18"/>
          <w:szCs w:val="18"/>
          <w:color w:val="auto"/>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spacing w:after="0" w:line="219" w:lineRule="exact"/>
        <w:rPr>
          <w:sz w:val="20"/>
          <w:szCs w:val="20"/>
          <w:color w:val="auto"/>
        </w:rPr>
      </w:pPr>
    </w:p>
    <w:p>
      <w:pPr>
        <w:ind w:right="100" w:firstLine="475"/>
        <w:spacing w:after="0" w:line="287" w:lineRule="auto"/>
        <w:rPr>
          <w:sz w:val="20"/>
          <w:szCs w:val="20"/>
          <w:color w:val="auto"/>
        </w:rPr>
      </w:pPr>
      <w:r>
        <w:rPr>
          <w:rFonts w:ascii="Arial" w:cs="Arial" w:eastAsia="Arial" w:hAnsi="Arial"/>
          <w:sz w:val="16"/>
          <w:szCs w:val="16"/>
          <w:color w:val="auto"/>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192" w:lineRule="exact"/>
        <w:rPr>
          <w:sz w:val="20"/>
          <w:szCs w:val="20"/>
          <w:color w:val="auto"/>
        </w:rPr>
      </w:pPr>
    </w:p>
    <w:p>
      <w:pPr>
        <w:ind w:right="220" w:firstLine="475"/>
        <w:spacing w:after="0" w:line="253" w:lineRule="auto"/>
        <w:rPr>
          <w:sz w:val="20"/>
          <w:szCs w:val="20"/>
          <w:color w:val="auto"/>
        </w:rPr>
      </w:pPr>
      <w:r>
        <w:rPr>
          <w:rFonts w:ascii="Arial" w:cs="Arial" w:eastAsia="Arial" w:hAnsi="Arial"/>
          <w:sz w:val="18"/>
          <w:szCs w:val="18"/>
          <w:color w:val="auto"/>
        </w:rPr>
        <w:t>We also offer Dropbox Sign, as our e-signature solution. Dropbox 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16" w:lineRule="exact"/>
        <w:rPr>
          <w:sz w:val="20"/>
          <w:szCs w:val="20"/>
          <w:color w:val="auto"/>
        </w:rPr>
      </w:pPr>
    </w:p>
    <w:p>
      <w:pPr>
        <w:ind w:right="60" w:firstLine="475"/>
        <w:spacing w:after="0" w:line="29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41"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41"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41" w:lineRule="exact"/>
        <w:rPr>
          <w:sz w:val="20"/>
          <w:szCs w:val="20"/>
          <w:color w:val="auto"/>
        </w:rPr>
      </w:pPr>
    </w:p>
    <w:p>
      <w:pPr>
        <w:ind w:right="300" w:firstLine="435"/>
        <w:spacing w:after="0" w:line="287"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Impact of Macroeconomic Factors on our Business</w:t>
      </w:r>
    </w:p>
    <w:p>
      <w:pPr>
        <w:spacing w:after="0" w:line="241"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Our overall performance depends in part on worldwide economic and geopolitical conditions and their impact on customer behavior. Worsening economic conditions, including the U.S. Federal Reserve raising interest rates, volatility and uncertainty in the banking and financial services sector, tightening of credit markets, changes in the corporate real estate market, supply chain disruptions, and fluctuations in currency exchange rates have impacted our results of operations during the three and six months ended June 30, 2023.</w:t>
      </w:r>
    </w:p>
    <w:p>
      <w:pPr>
        <w:spacing w:after="0" w:line="219" w:lineRule="exact"/>
        <w:rPr>
          <w:sz w:val="20"/>
          <w:szCs w:val="20"/>
          <w:color w:val="auto"/>
        </w:rPr>
      </w:pPr>
    </w:p>
    <w:p>
      <w:pPr>
        <w:ind w:right="60" w:firstLine="316"/>
        <w:spacing w:after="0" w:line="292" w:lineRule="auto"/>
        <w:rPr>
          <w:sz w:val="20"/>
          <w:szCs w:val="20"/>
          <w:color w:val="auto"/>
        </w:rPr>
      </w:pPr>
      <w:r>
        <w:rPr>
          <w:rFonts w:ascii="Arial" w:cs="Arial" w:eastAsia="Arial" w:hAnsi="Arial"/>
          <w:sz w:val="16"/>
          <w:szCs w:val="16"/>
          <w:color w:val="auto"/>
        </w:rPr>
        <w:t>During the three and six months ended June 30, 2023, FormSwift exceeded our expectations and we saw improved trends across our Individuals plans, although macro headwinds continued to weigh on our Teams plans as well as on both DocSend and Dropbox Sign, as our customers face pressure in their own businesses due to ongoing softness in their respective markets. While we are not immune to macroeconomic conditions, we remain optimistic about our strategy as we improve our execution while continuing to invest towards our future in this new artificial intelligence (“AI”) era.</w:t>
      </w:r>
    </w:p>
    <w:p>
      <w:pPr>
        <w:spacing w:after="0" w:line="186" w:lineRule="exact"/>
        <w:rPr>
          <w:sz w:val="20"/>
          <w:szCs w:val="20"/>
          <w:color w:val="auto"/>
        </w:rPr>
      </w:pPr>
    </w:p>
    <w:p>
      <w:pPr>
        <w:ind w:firstLine="396"/>
        <w:spacing w:after="0" w:line="292" w:lineRule="auto"/>
        <w:rPr>
          <w:sz w:val="20"/>
          <w:szCs w:val="20"/>
          <w:color w:val="auto"/>
        </w:rPr>
      </w:pPr>
      <w:r>
        <w:rPr>
          <w:rFonts w:ascii="Arial" w:cs="Arial" w:eastAsia="Arial" w:hAnsi="Arial"/>
          <w:sz w:val="16"/>
          <w:szCs w:val="16"/>
          <w:color w:val="auto"/>
        </w:rPr>
        <w:t>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Reduction in Workforce</w:t>
      </w:r>
    </w:p>
    <w:p>
      <w:pPr>
        <w:spacing w:after="0" w:line="241" w:lineRule="exact"/>
        <w:rPr>
          <w:sz w:val="20"/>
          <w:szCs w:val="20"/>
          <w:color w:val="auto"/>
        </w:rPr>
      </w:pPr>
    </w:p>
    <w:p>
      <w:pPr>
        <w:ind w:right="20" w:firstLine="396"/>
        <w:spacing w:after="0" w:line="285" w:lineRule="auto"/>
        <w:rPr>
          <w:sz w:val="20"/>
          <w:szCs w:val="20"/>
          <w:color w:val="auto"/>
        </w:rPr>
      </w:pPr>
      <w:r>
        <w:rPr>
          <w:rFonts w:ascii="Arial" w:cs="Arial" w:eastAsia="Arial" w:hAnsi="Arial"/>
          <w:sz w:val="16"/>
          <w:szCs w:val="16"/>
          <w:color w:val="auto"/>
        </w:rPr>
        <w:t>On April 27, 2023, we announced a reduction of our global workforce by approximately 16% to streamline our team structure in support of our long-term growth and profitability objectives. We estimate that we will incur charges of approximately $40 million in connection with the reduction in workforce, primarily consisting of cash expenditures for severance payments, employee benefits and related costs. We expect to incur substantially all of these charges by the end of 2023. During the three and six months ended June 30, 2023, we incurred $37.5 million of expenses related to severance, benefits, and other related items, of which $34.0 million were cash expenditures. See Note 1 "Description of the Business and Summary of Significant Accounting Policies - Reduction in Workforce" in our condensed consolidated financial statements included elsewhere in this Quarterly Report on Form 10-Q for additional information.</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Virtual First</w:t>
      </w:r>
    </w:p>
    <w:p>
      <w:pPr>
        <w:spacing w:after="0" w:line="241" w:lineRule="exact"/>
        <w:rPr>
          <w:sz w:val="20"/>
          <w:szCs w:val="20"/>
          <w:color w:val="auto"/>
        </w:rPr>
      </w:pPr>
    </w:p>
    <w:p>
      <w:pPr>
        <w:ind w:right="40" w:firstLine="396"/>
        <w:spacing w:after="0" w:line="280" w:lineRule="auto"/>
        <w:rPr>
          <w:sz w:val="20"/>
          <w:szCs w:val="20"/>
          <w:color w:val="auto"/>
        </w:rPr>
      </w:pPr>
      <w:r>
        <w:rPr>
          <w:rFonts w:ascii="Arial" w:cs="Arial" w:eastAsia="Arial" w:hAnsi="Arial"/>
          <w:sz w:val="16"/>
          <w:szCs w:val="16"/>
          <w:color w:val="auto"/>
        </w:rPr>
        <w:t>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is being or will be subleased. We recorded impairment charges of $2.2 million during the three and six months ended June 30, 2023, and $8.7 million during the three and six months ended June 30, 2022, for right-of-use and other lease related assets, in conjunction with our Virtual First model. See Note 9, "Leases" for additional information. We may incur additional charges depending on the state of the corporate real estate market or shifts in our Virtual First strategy. In addition to generating sublease income, we expect that as a result of our shift to Virtual First, we will continue to see savings in certain areas, including reductions in facilities related costs and depreciation expense due to these impairment charges.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47" w:lineRule="exact"/>
        <w:rPr>
          <w:sz w:val="20"/>
          <w:szCs w:val="20"/>
          <w:color w:val="auto"/>
        </w:rPr>
      </w:pPr>
    </w:p>
    <w:p>
      <w:pPr>
        <w:ind w:right="80" w:firstLine="435"/>
        <w:spacing w:after="0" w:line="262"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Total annual recurring revenue</w:t>
      </w:r>
    </w:p>
    <w:p>
      <w:pPr>
        <w:spacing w:after="0" w:line="110"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2"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first include ARR related to acquired companies in our total ARR in the period of the acquisition. We adjust the exchange rates used to calculate Total ARR on an annual basis at the beginning of each fiscal year.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firstLine="435"/>
        <w:spacing w:after="0" w:line="282" w:lineRule="auto"/>
        <w:rPr>
          <w:sz w:val="20"/>
          <w:szCs w:val="20"/>
          <w:color w:val="auto"/>
        </w:rPr>
      </w:pPr>
      <w:r>
        <w:rPr>
          <w:rFonts w:ascii="Arial" w:cs="Arial" w:eastAsia="Arial" w:hAnsi="Arial"/>
          <w:sz w:val="16"/>
          <w:szCs w:val="16"/>
          <w:color w:val="auto"/>
        </w:rPr>
        <w:t>In the second quarter of 2022, we repackaged our existing Dropbox Standard and Dropbox Advanced plans to include additional features. As a result, we increased the price for new and existing users on these plans, with new users starting in the second quarter of 2022 and existing users as their billing cycles occur. For a majority of existing users, the increase in price is effective on their next renewal date. As a result of the price increase, combined with an increase in paying users across our product portfolio and an increased mix of sales from our higher-priced subscription plans, we experienced an increase in Total ARR for the period ended June 30, 2023, compared to the period ended June 30, 2022. We also acquired FormSwift in the fourth quarter of 2022, resulting in a benefit to Total ARR beginning in the period of the acquisition. In 2023, ARR was negatively impacted by the foreign currency exchange rates used to calculate ARR compared to 2022, as we update exchange rates annually at the beginning of the year. On a constant currency basis, Total ARR increased for the periods presented.</w:t>
      </w:r>
    </w:p>
    <w:p>
      <w:pPr>
        <w:spacing w:after="0" w:line="19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below tables set forth our Total ARR using the exchange rates set at the beginning of each year, as well as on a constant currency basis relative to the exchange rates used in 2023.</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4"/>
              </w:rPr>
              <w:t>As of</w:t>
            </w:r>
          </w:p>
        </w:tc>
        <w:tc>
          <w:tcPr>
            <w:tcW w:w="1800" w:type="dxa"/>
            <w:vAlign w:val="bottom"/>
            <w:tcBorders>
              <w:bottom w:val="single" w:sz="8" w:color="auto"/>
            </w:tcBorders>
          </w:tcPr>
          <w:p>
            <w:pPr>
              <w:spacing w:after="0"/>
              <w:rPr>
                <w:sz w:val="19"/>
                <w:szCs w:val="19"/>
                <w:color w:val="auto"/>
              </w:rPr>
            </w:pPr>
          </w:p>
        </w:tc>
      </w:tr>
      <w:tr>
        <w:trPr>
          <w:trHeight w:val="227"/>
        </w:trPr>
        <w:tc>
          <w:tcPr>
            <w:tcW w:w="5060" w:type="dxa"/>
            <w:vAlign w:val="bottom"/>
          </w:tcPr>
          <w:p>
            <w:pPr>
              <w:spacing w:after="0"/>
              <w:rPr>
                <w:sz w:val="19"/>
                <w:szCs w:val="19"/>
                <w:color w:val="auto"/>
              </w:rPr>
            </w:pPr>
          </w:p>
        </w:tc>
        <w:tc>
          <w:tcPr>
            <w:tcW w:w="21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June 30, 2023</w:t>
            </w:r>
          </w:p>
        </w:tc>
        <w:tc>
          <w:tcPr>
            <w:tcW w:w="21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7"/>
              </w:rPr>
              <w:t>December 31, 2022</w:t>
            </w:r>
          </w:p>
        </w:tc>
        <w:tc>
          <w:tcPr>
            <w:tcW w:w="18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June 30, 2022</w:t>
            </w:r>
          </w:p>
        </w:tc>
      </w:tr>
      <w:tr>
        <w:trPr>
          <w:trHeight w:val="221"/>
        </w:trPr>
        <w:tc>
          <w:tcPr>
            <w:tcW w:w="50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80" w:type="dxa"/>
            <w:vAlign w:val="bottom"/>
          </w:tcPr>
          <w:p>
            <w:pPr>
              <w:jc w:val="center"/>
              <w:ind w:right="272"/>
              <w:spacing w:after="0"/>
              <w:rPr>
                <w:sz w:val="20"/>
                <w:szCs w:val="20"/>
                <w:color w:val="auto"/>
              </w:rPr>
            </w:pPr>
            <w:r>
              <w:rPr>
                <w:rFonts w:ascii="Arial" w:cs="Arial" w:eastAsia="Arial" w:hAnsi="Arial"/>
                <w:sz w:val="18"/>
                <w:szCs w:val="18"/>
                <w:i w:val="1"/>
                <w:iCs w:val="1"/>
                <w:color w:val="auto"/>
                <w:w w:val="93"/>
              </w:rPr>
              <w:t>(In millions)</w:t>
            </w:r>
          </w:p>
        </w:tc>
        <w:tc>
          <w:tcPr>
            <w:tcW w:w="1800" w:type="dxa"/>
            <w:vAlign w:val="bottom"/>
          </w:tcPr>
          <w:p>
            <w:pPr>
              <w:spacing w:after="0"/>
              <w:rPr>
                <w:sz w:val="19"/>
                <w:szCs w:val="19"/>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ARR</w:t>
            </w:r>
          </w:p>
        </w:tc>
        <w:tc>
          <w:tcPr>
            <w:tcW w:w="2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$2,500</w:t>
            </w:r>
          </w:p>
        </w:tc>
        <w:tc>
          <w:tcPr>
            <w:tcW w:w="2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$2,514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580"/>
        </w:trPr>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4"/>
              </w:rPr>
              <w:t>As of</w:t>
            </w:r>
          </w:p>
        </w:tc>
        <w:tc>
          <w:tcPr>
            <w:tcW w:w="1800" w:type="dxa"/>
            <w:vAlign w:val="bottom"/>
            <w:tcBorders>
              <w:bottom w:val="single" w:sz="8" w:color="auto"/>
            </w:tcBorders>
          </w:tcPr>
          <w:p>
            <w:pPr>
              <w:spacing w:after="0"/>
              <w:rPr>
                <w:sz w:val="24"/>
                <w:szCs w:val="24"/>
                <w:color w:val="auto"/>
              </w:rPr>
            </w:pPr>
          </w:p>
        </w:tc>
      </w:tr>
      <w:tr>
        <w:trPr>
          <w:trHeight w:val="231"/>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Constant Currency</w:t>
            </w:r>
          </w:p>
        </w:tc>
        <w:tc>
          <w:tcPr>
            <w:tcW w:w="21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June 30, 2023</w:t>
            </w:r>
          </w:p>
        </w:tc>
        <w:tc>
          <w:tcPr>
            <w:tcW w:w="21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7"/>
              </w:rPr>
              <w:t>December 31, 2022</w:t>
            </w:r>
          </w:p>
        </w:tc>
        <w:tc>
          <w:tcPr>
            <w:tcW w:w="18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June 30, 2022</w:t>
            </w:r>
          </w:p>
        </w:tc>
      </w:tr>
      <w:tr>
        <w:trPr>
          <w:trHeight w:val="217"/>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jc w:val="center"/>
              <w:ind w:right="272"/>
              <w:spacing w:after="0"/>
              <w:rPr>
                <w:sz w:val="20"/>
                <w:szCs w:val="20"/>
                <w:color w:val="auto"/>
              </w:rPr>
            </w:pPr>
            <w:r>
              <w:rPr>
                <w:rFonts w:ascii="Arial" w:cs="Arial" w:eastAsia="Arial" w:hAnsi="Arial"/>
                <w:sz w:val="18"/>
                <w:szCs w:val="18"/>
                <w:i w:val="1"/>
                <w:iCs w:val="1"/>
                <w:color w:val="auto"/>
                <w:w w:val="93"/>
              </w:rPr>
              <w:t>(In millions)</w:t>
            </w:r>
          </w:p>
        </w:tc>
        <w:tc>
          <w:tcPr>
            <w:tcW w:w="1800" w:type="dxa"/>
            <w:vAlign w:val="bottom"/>
          </w:tcPr>
          <w:p>
            <w:pPr>
              <w:spacing w:after="0"/>
              <w:rPr>
                <w:sz w:val="18"/>
                <w:szCs w:val="18"/>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ARR</w:t>
            </w:r>
          </w:p>
        </w:tc>
        <w:tc>
          <w:tcPr>
            <w:tcW w:w="2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$2,500</w:t>
            </w:r>
          </w:p>
        </w:tc>
        <w:tc>
          <w:tcPr>
            <w:tcW w:w="21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$2,430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r>
    </w:tbl>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96" w:lineRule="exact"/>
        <w:rPr>
          <w:sz w:val="20"/>
          <w:szCs w:val="20"/>
          <w:color w:val="auto"/>
        </w:rPr>
      </w:pPr>
    </w:p>
    <w:p>
      <w:pPr>
        <w:ind w:right="100" w:firstLine="435"/>
        <w:spacing w:after="0" w:line="235"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 We first include paying users related to acquired companies among our paying users in the period of the acquisition.</w:t>
      </w:r>
    </w:p>
    <w:p>
      <w:pPr>
        <w:spacing w:after="0" w:line="226" w:lineRule="exact"/>
        <w:rPr>
          <w:sz w:val="20"/>
          <w:szCs w:val="20"/>
          <w:color w:val="auto"/>
        </w:rPr>
      </w:pPr>
    </w:p>
    <w:p>
      <w:pPr>
        <w:jc w:val="both"/>
        <w:ind w:right="40" w:firstLine="435"/>
        <w:spacing w:after="0" w:line="253" w:lineRule="auto"/>
        <w:rPr>
          <w:sz w:val="20"/>
          <w:szCs w:val="20"/>
          <w:color w:val="auto"/>
        </w:rPr>
      </w:pPr>
      <w:r>
        <w:rPr>
          <w:rFonts w:ascii="Arial" w:cs="Arial" w:eastAsia="Arial" w:hAnsi="Arial"/>
          <w:sz w:val="18"/>
          <w:szCs w:val="18"/>
          <w:color w:val="auto"/>
        </w:rPr>
        <w:t>For FormSwift and DocSend, we define paying users as the number of users who have active paid licenses for access to our platform as of the end of the period. FormSwift and DocSend users have been included as paying users since our acquisition of FormSwift in the fourth quarter of 2022 and our acquisition of DocSend in the first quarter of 2021, respectively.</w:t>
      </w:r>
    </w:p>
    <w:p>
      <w:pPr>
        <w:spacing w:after="0" w:line="216"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2" w:lineRule="exact"/>
        <w:rPr>
          <w:sz w:val="20"/>
          <w:szCs w:val="20"/>
          <w:color w:val="auto"/>
        </w:rPr>
      </w:pPr>
    </w:p>
    <w:p>
      <w:pPr>
        <w:ind w:right="40" w:firstLine="435"/>
        <w:spacing w:after="0" w:line="253" w:lineRule="auto"/>
        <w:rPr>
          <w:sz w:val="20"/>
          <w:szCs w:val="20"/>
          <w:color w:val="auto"/>
        </w:rPr>
      </w:pPr>
      <w:r>
        <w:rPr>
          <w:rFonts w:ascii="Arial" w:cs="Arial" w:eastAsia="Arial" w:hAnsi="Arial"/>
          <w:sz w:val="18"/>
          <w:szCs w:val="18"/>
          <w:color w:val="auto"/>
        </w:rPr>
        <w:t>We experienced growth in the number of paying users for the periods presented largely from our self-serve channels as well as our acquisition of FormSwift in the fourth quarter of 2022. However, our overall paying user growth rate has declined and may decline in the future. We expect growth in paying users to fluctuate from period to period in the future.</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June 30, 2023, December 31, 2022, and June 30, 2022.</w:t>
      </w: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As of</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5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85"/>
              </w:rPr>
              <w:t>June 30, 2023</w:t>
            </w:r>
          </w:p>
        </w:tc>
        <w:tc>
          <w:tcPr>
            <w:tcW w:w="62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7"/>
              </w:rPr>
              <w:t>December 31, 2022</w:t>
            </w:r>
          </w:p>
        </w:tc>
        <w:tc>
          <w:tcPr>
            <w:tcW w:w="18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June 30, 2022</w:t>
            </w:r>
          </w:p>
        </w:tc>
      </w:tr>
      <w:tr>
        <w:trPr>
          <w:trHeight w:val="218"/>
        </w:trPr>
        <w:tc>
          <w:tcPr>
            <w:tcW w:w="5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tcPr>
          <w:p>
            <w:pPr>
              <w:jc w:val="center"/>
              <w:ind w:right="212"/>
              <w:spacing w:after="0"/>
              <w:rPr>
                <w:sz w:val="20"/>
                <w:szCs w:val="20"/>
                <w:color w:val="auto"/>
              </w:rPr>
            </w:pPr>
            <w:r>
              <w:rPr>
                <w:rFonts w:ascii="Arial" w:cs="Arial" w:eastAsia="Arial" w:hAnsi="Arial"/>
                <w:sz w:val="18"/>
                <w:szCs w:val="18"/>
                <w:i w:val="1"/>
                <w:iCs w:val="1"/>
                <w:color w:val="auto"/>
                <w:w w:val="95"/>
              </w:rPr>
              <w:t>(In millions)</w:t>
            </w:r>
          </w:p>
        </w:tc>
        <w:tc>
          <w:tcPr>
            <w:tcW w:w="1840" w:type="dxa"/>
            <w:vAlign w:val="bottom"/>
          </w:tcPr>
          <w:p>
            <w:pPr>
              <w:spacing w:after="0"/>
              <w:rPr>
                <w:sz w:val="18"/>
                <w:szCs w:val="18"/>
                <w:color w:val="auto"/>
              </w:rPr>
            </w:pPr>
          </w:p>
        </w:tc>
      </w:tr>
      <w:tr>
        <w:trPr>
          <w:trHeight w:val="225"/>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Paying users</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18.04</w:t>
            </w:r>
          </w:p>
        </w:tc>
        <w:tc>
          <w:tcPr>
            <w:tcW w:w="2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17.77</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0" w:lineRule="exact"/>
        <w:rPr>
          <w:sz w:val="20"/>
          <w:szCs w:val="20"/>
          <w:color w:val="auto"/>
        </w:rPr>
      </w:pPr>
    </w:p>
    <w:p>
      <w:pPr>
        <w:jc w:val="both"/>
        <w:ind w:right="400" w:firstLine="435"/>
        <w:spacing w:after="0" w:line="292" w:lineRule="auto"/>
        <w:rPr>
          <w:sz w:val="20"/>
          <w:szCs w:val="20"/>
          <w:color w:val="auto"/>
        </w:rPr>
      </w:pPr>
      <w:r>
        <w:rPr>
          <w:rFonts w:ascii="Arial" w:cs="Arial" w:eastAsia="Arial" w:hAnsi="Arial"/>
          <w:sz w:val="16"/>
          <w:szCs w:val="16"/>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86" w:lineRule="exact"/>
        <w:rPr>
          <w:sz w:val="20"/>
          <w:szCs w:val="20"/>
          <w:color w:val="auto"/>
        </w:rPr>
      </w:pPr>
    </w:p>
    <w:p>
      <w:pPr>
        <w:ind w:right="140" w:firstLine="435"/>
        <w:spacing w:after="0" w:line="250" w:lineRule="auto"/>
        <w:rPr>
          <w:sz w:val="20"/>
          <w:szCs w:val="20"/>
          <w:color w:val="auto"/>
        </w:rPr>
      </w:pPr>
      <w:r>
        <w:rPr>
          <w:rFonts w:ascii="Arial" w:cs="Arial" w:eastAsia="Arial" w:hAnsi="Arial"/>
          <w:sz w:val="18"/>
          <w:szCs w:val="18"/>
          <w:color w:val="auto"/>
        </w:rPr>
        <w:t>As a result of the repackaging and repricing of our existing Dropbox Standard and Dropbox Advanced plans, an increased mix of sales towards our higher-priced subscription plans, and our acquisition of FormSwift in the fourth quarter of 2022, offset by the impact of unfavorable foreign exchange rates across multiple currencies, we experienced an increase in our average revenue per paying user for the three and six months ended June 30, 2023, compared to the three and six months ended June 30, 2022, respectively.</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our ARPU for the three and six months ended June 30, 2023 and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0" w:type="dxa"/>
            <w:vAlign w:val="bottom"/>
            <w:gridSpan w:val="4"/>
          </w:tcPr>
          <w:p>
            <w:pPr>
              <w:jc w:val="center"/>
              <w:ind w:right="312"/>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3"/>
          </w:tcPr>
          <w:p>
            <w:pPr>
              <w:jc w:val="center"/>
              <w:ind w:left="612"/>
              <w:spacing w:after="0"/>
              <w:rPr>
                <w:sz w:val="20"/>
                <w:szCs w:val="20"/>
                <w:color w:val="auto"/>
              </w:rPr>
            </w:pPr>
            <w:r>
              <w:rPr>
                <w:rFonts w:ascii="Arial" w:cs="Arial" w:eastAsia="Arial" w:hAnsi="Arial"/>
                <w:sz w:val="18"/>
                <w:szCs w:val="18"/>
                <w:b w:val="1"/>
                <w:bCs w:val="1"/>
                <w:color w:val="auto"/>
                <w:w w:val="88"/>
              </w:rPr>
              <w:t>Six Months Ended</w:t>
            </w:r>
          </w:p>
        </w:tc>
        <w:tc>
          <w:tcPr>
            <w:tcW w:w="1080" w:type="dxa"/>
            <w:vAlign w:val="bottom"/>
          </w:tcPr>
          <w:p>
            <w:pPr>
              <w:spacing w:after="0"/>
              <w:rPr>
                <w:sz w:val="17"/>
                <w:szCs w:val="17"/>
                <w:color w:val="auto"/>
              </w:rPr>
            </w:pPr>
          </w:p>
        </w:tc>
      </w:tr>
      <w:tr>
        <w:trPr>
          <w:trHeight w:val="233"/>
        </w:trPr>
        <w:tc>
          <w:tcPr>
            <w:tcW w:w="3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8"/>
                <w:szCs w:val="18"/>
                <w:b w:val="1"/>
                <w:bCs w:val="1"/>
                <w:color w:val="auto"/>
                <w:w w:val="85"/>
              </w:rPr>
              <w:t>June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8"/>
                <w:szCs w:val="18"/>
                <w:b w:val="1"/>
                <w:bCs w:val="1"/>
                <w:color w:val="auto"/>
                <w:w w:val="85"/>
              </w:rPr>
              <w:t>June 30,</w:t>
            </w:r>
          </w:p>
        </w:tc>
        <w:tc>
          <w:tcPr>
            <w:tcW w:w="1080" w:type="dxa"/>
            <w:vAlign w:val="bottom"/>
            <w:tcBorders>
              <w:bottom w:val="single" w:sz="8" w:color="auto"/>
            </w:tcBorders>
          </w:tcPr>
          <w:p>
            <w:pPr>
              <w:spacing w:after="0"/>
              <w:rPr>
                <w:sz w:val="20"/>
                <w:szCs w:val="20"/>
                <w:color w:val="auto"/>
              </w:rPr>
            </w:pPr>
          </w:p>
        </w:tc>
      </w:tr>
      <w:tr>
        <w:trPr>
          <w:trHeight w:val="222"/>
        </w:trPr>
        <w:tc>
          <w:tcPr>
            <w:tcW w:w="39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9"/>
              </w:rPr>
              <w:t>2022</w:t>
            </w: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ARPU</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r>
      <w:tr>
        <w:trPr>
          <w:trHeight w:val="843"/>
        </w:trPr>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3"/>
        </w:trPr>
        <w:tc>
          <w:tcPr>
            <w:tcW w:w="3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47"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0" w:lineRule="exact"/>
        <w:rPr>
          <w:sz w:val="20"/>
          <w:szCs w:val="20"/>
          <w:color w:val="auto"/>
        </w:rPr>
      </w:pPr>
    </w:p>
    <w:p>
      <w:pPr>
        <w:ind w:right="100" w:firstLine="435"/>
        <w:spacing w:after="0" w:line="283" w:lineRule="auto"/>
        <w:rPr>
          <w:sz w:val="20"/>
          <w:szCs w:val="20"/>
          <w:color w:val="auto"/>
        </w:rPr>
      </w:pPr>
      <w:r>
        <w:rPr>
          <w:rFonts w:ascii="Arial" w:cs="Arial" w:eastAsia="Arial" w:hAnsi="Arial"/>
          <w:sz w:val="16"/>
          <w:szCs w:val="16"/>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3" w:lineRule="exact"/>
        <w:rPr>
          <w:sz w:val="20"/>
          <w:szCs w:val="20"/>
          <w:color w:val="auto"/>
        </w:rPr>
      </w:pPr>
    </w:p>
    <w:p>
      <w:pPr>
        <w:ind w:right="180" w:firstLine="435"/>
        <w:spacing w:after="0" w:line="247" w:lineRule="auto"/>
        <w:rPr>
          <w:sz w:val="20"/>
          <w:szCs w:val="20"/>
          <w:color w:val="auto"/>
        </w:rPr>
      </w:pPr>
      <w:r>
        <w:rPr>
          <w:rFonts w:ascii="Arial" w:cs="Arial" w:eastAsia="Arial" w:hAnsi="Arial"/>
          <w:sz w:val="18"/>
          <w:szCs w:val="18"/>
          <w:color w:val="auto"/>
        </w:rPr>
        <w:t>Our FCF decreased for the six months ended June 30, 2023, compared to the six months ended June 30, 2022, primarily due to payments related to our reduction in workforce during the three months ended June 30, 2023.</w:t>
      </w:r>
    </w:p>
    <w:p>
      <w:pPr>
        <w:spacing w:after="0" w:line="207" w:lineRule="exact"/>
        <w:rPr>
          <w:sz w:val="20"/>
          <w:szCs w:val="20"/>
          <w:color w:val="auto"/>
        </w:rPr>
      </w:pPr>
    </w:p>
    <w:p>
      <w:pPr>
        <w:ind w:right="180" w:firstLine="435"/>
        <w:spacing w:after="0" w:line="236" w:lineRule="auto"/>
        <w:rPr>
          <w:sz w:val="20"/>
          <w:szCs w:val="20"/>
          <w:color w:val="auto"/>
        </w:rPr>
      </w:pPr>
      <w:r>
        <w:rPr>
          <w:rFonts w:ascii="Arial" w:cs="Arial" w:eastAsia="Arial" w:hAnsi="Arial"/>
          <w:sz w:val="18"/>
          <w:szCs w:val="18"/>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continue to invest in our internal infrastructure, network and security. The timing of our operating expenses as described below, may result in FCF to vary from period to period as a percentage of revenue.</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352"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Six Months Ended</w:t>
      </w:r>
    </w:p>
    <w:p>
      <w:pPr>
        <w:jc w:val="center"/>
        <w:ind w:left="7380"/>
        <w:spacing w:after="0"/>
        <w:rPr>
          <w:sz w:val="20"/>
          <w:szCs w:val="20"/>
          <w:color w:val="auto"/>
        </w:rPr>
      </w:pPr>
      <w:r>
        <w:rPr>
          <w:rFonts w:ascii="Arial" w:cs="Arial" w:eastAsia="Arial" w:hAnsi="Arial"/>
          <w:sz w:val="18"/>
          <w:szCs w:val="18"/>
          <w:b w:val="1"/>
          <w:bCs w:val="1"/>
          <w:color w:val="auto"/>
        </w:rPr>
        <w:t>June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4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712"/>
              <w:spacing w:after="0"/>
              <w:rPr>
                <w:sz w:val="20"/>
                <w:szCs w:val="20"/>
                <w:color w:val="auto"/>
              </w:rPr>
            </w:pPr>
            <w:r>
              <w:rPr>
                <w:rFonts w:ascii="Arial" w:cs="Arial" w:eastAsia="Arial" w:hAnsi="Arial"/>
                <w:sz w:val="18"/>
                <w:szCs w:val="18"/>
                <w:color w:val="auto"/>
              </w:rPr>
              <w:t>44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4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2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41" w:lineRule="exact"/>
        <w:rPr>
          <w:sz w:val="20"/>
          <w:szCs w:val="20"/>
          <w:color w:val="auto"/>
        </w:rPr>
      </w:pPr>
    </w:p>
    <w:p>
      <w:pPr>
        <w:jc w:val="both"/>
        <w:ind w:right="240" w:firstLine="435"/>
        <w:spacing w:after="0" w:line="292" w:lineRule="auto"/>
        <w:rPr>
          <w:sz w:val="20"/>
          <w:szCs w:val="20"/>
          <w:color w:val="auto"/>
        </w:rPr>
      </w:pPr>
      <w:r>
        <w:rPr>
          <w:rFonts w:ascii="Arial" w:cs="Arial" w:eastAsia="Arial" w:hAnsi="Arial"/>
          <w:sz w:val="16"/>
          <w:szCs w:val="16"/>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86" w:lineRule="exact"/>
        <w:rPr>
          <w:sz w:val="20"/>
          <w:szCs w:val="20"/>
          <w:color w:val="auto"/>
        </w:rPr>
      </w:pPr>
    </w:p>
    <w:p>
      <w:pPr>
        <w:jc w:val="both"/>
        <w:ind w:right="160" w:firstLine="435"/>
        <w:spacing w:after="0" w:line="253" w:lineRule="auto"/>
        <w:rPr>
          <w:sz w:val="20"/>
          <w:szCs w:val="20"/>
          <w:color w:val="auto"/>
        </w:rPr>
      </w:pPr>
      <w:r>
        <w:rPr>
          <w:rFonts w:ascii="Arial" w:cs="Arial" w:eastAsia="Arial" w:hAnsi="Arial"/>
          <w:sz w:val="18"/>
          <w:szCs w:val="18"/>
          <w:color w:val="auto"/>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spacing w:after="0" w:line="216" w:lineRule="exact"/>
        <w:rPr>
          <w:sz w:val="20"/>
          <w:szCs w:val="20"/>
          <w:color w:val="auto"/>
        </w:rPr>
      </w:pPr>
    </w:p>
    <w:p>
      <w:pPr>
        <w:ind w:firstLine="435"/>
        <w:spacing w:after="0" w:line="292" w:lineRule="auto"/>
        <w:rPr>
          <w:sz w:val="20"/>
          <w:szCs w:val="20"/>
          <w:color w:val="auto"/>
        </w:rPr>
      </w:pPr>
      <w:r>
        <w:rPr>
          <w:rFonts w:ascii="Arial" w:cs="Arial" w:eastAsia="Arial" w:hAnsi="Arial"/>
          <w:sz w:val="16"/>
          <w:szCs w:val="16"/>
          <w:color w:val="auto"/>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0" w:lineRule="exact"/>
        <w:rPr>
          <w:sz w:val="20"/>
          <w:szCs w:val="20"/>
          <w:color w:val="auto"/>
        </w:rPr>
      </w:pPr>
    </w:p>
    <w:p>
      <w:pPr>
        <w:ind w:right="20" w:firstLine="435"/>
        <w:spacing w:after="0" w:line="28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expenses related to our reduction in workforce such as severance, benefits and other related items,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1" w:lineRule="exact"/>
        <w:rPr>
          <w:sz w:val="20"/>
          <w:szCs w:val="20"/>
          <w:color w:val="auto"/>
        </w:rPr>
      </w:pPr>
    </w:p>
    <w:p>
      <w:pPr>
        <w:ind w:right="80" w:firstLine="435"/>
        <w:spacing w:after="0" w:line="262"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08" w:lineRule="exact"/>
        <w:rPr>
          <w:sz w:val="20"/>
          <w:szCs w:val="20"/>
          <w:color w:val="auto"/>
        </w:rPr>
      </w:pPr>
    </w:p>
    <w:p>
      <w:pPr>
        <w:ind w:right="40" w:firstLine="435"/>
        <w:spacing w:after="0" w:line="30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is gross profit expressed as a percentage of revenue. Our gross margin may fluctuate from period to period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0" w:lineRule="exact"/>
        <w:rPr>
          <w:sz w:val="20"/>
          <w:szCs w:val="20"/>
          <w:color w:val="auto"/>
        </w:rPr>
      </w:pPr>
    </w:p>
    <w:p>
      <w:pPr>
        <w:ind w:right="20" w:firstLine="435"/>
        <w:spacing w:after="0" w:line="285"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93" w:lineRule="exact"/>
        <w:rPr>
          <w:sz w:val="20"/>
          <w:szCs w:val="20"/>
          <w:color w:val="auto"/>
        </w:rPr>
      </w:pPr>
    </w:p>
    <w:p>
      <w:pPr>
        <w:jc w:val="both"/>
        <w:ind w:right="20" w:firstLine="435"/>
        <w:spacing w:after="0" w:line="300" w:lineRule="auto"/>
        <w:rPr>
          <w:sz w:val="20"/>
          <w:szCs w:val="20"/>
          <w:color w:val="auto"/>
        </w:rPr>
      </w:pPr>
      <w:r>
        <w:rPr>
          <w:rFonts w:ascii="Arial" w:cs="Arial" w:eastAsia="Arial" w:hAnsi="Arial"/>
          <w:sz w:val="16"/>
          <w:szCs w:val="16"/>
          <w:color w:val="auto"/>
        </w:rPr>
        <w:t>We expect that research and development costs will decrease in absolute dollars and as a percentage of revenue in the near term and increase in absolute dollars and fluctuate as a percentage of revenue in the long term as we reinvest some savings from our reduction in workforce into future growth initiatives. We plan to continue to hire employees for our engineering, product, and design teams in roles critical to those initiatives.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firstLine="435"/>
        <w:spacing w:after="0" w:line="285"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relate to both self-serve and outbound sales activities, and consist primarily of employee-related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93"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We expect that sales and marketing expenses will fluctuate in absolute dollars and as a percentage of revenue in the both the near term and long term. We plan to continue to invest in sales and marketing, long term, to grow our user base and increase our brand awareness. The trend and timing of sales and marketing expenses will depend in part on the timing of marketing campaigns.</w:t>
      </w:r>
    </w:p>
    <w:p>
      <w:pPr>
        <w:spacing w:after="0" w:line="216" w:lineRule="exact"/>
        <w:rPr>
          <w:sz w:val="20"/>
          <w:szCs w:val="20"/>
          <w:color w:val="auto"/>
        </w:rPr>
      </w:pPr>
    </w:p>
    <w:p>
      <w:pPr>
        <w:ind w:right="180" w:firstLine="435"/>
        <w:spacing w:after="0" w:line="250"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spacing w:after="0" w:line="219" w:lineRule="exact"/>
        <w:rPr>
          <w:sz w:val="20"/>
          <w:szCs w:val="20"/>
          <w:color w:val="auto"/>
        </w:rPr>
      </w:pPr>
    </w:p>
    <w:p>
      <w:pPr>
        <w:ind w:right="60" w:firstLine="435"/>
        <w:spacing w:after="0" w:line="328"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96" w:lineRule="exact"/>
        <w:rPr>
          <w:sz w:val="20"/>
          <w:szCs w:val="20"/>
          <w:color w:val="auto"/>
        </w:rPr>
      </w:pPr>
    </w:p>
    <w:p>
      <w:pPr>
        <w:ind w:right="40" w:firstLine="435"/>
        <w:spacing w:after="0" w:line="308"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(loss) income, net</w:t>
      </w:r>
    </w:p>
    <w:p>
      <w:pPr>
        <w:spacing w:after="0" w:line="110" w:lineRule="exact"/>
        <w:rPr>
          <w:sz w:val="20"/>
          <w:szCs w:val="20"/>
          <w:color w:val="auto"/>
        </w:rPr>
      </w:pPr>
    </w:p>
    <w:p>
      <w:pPr>
        <w:ind w:right="420" w:firstLine="435"/>
        <w:spacing w:after="0" w:line="363" w:lineRule="auto"/>
        <w:rPr>
          <w:sz w:val="20"/>
          <w:szCs w:val="20"/>
          <w:color w:val="auto"/>
        </w:rPr>
      </w:pPr>
      <w:r>
        <w:rPr>
          <w:rFonts w:ascii="Arial" w:cs="Arial" w:eastAsia="Arial" w:hAnsi="Arial"/>
          <w:sz w:val="15"/>
          <w:szCs w:val="15"/>
          <w:color w:val="auto"/>
        </w:rPr>
        <w:t>Other (loss)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0"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Provision for income taxes consists primarily of U.S. federal, state and foreign jurisdiction income taxes. For 2023, the difference between the U.S. statutory rate and our effective tax rate is primarily due to jurisdictional mix of earnings, tax credits and state income taxes. For 2022, the difference between the U.S. statutory rate and our effective tax rate is primarily due to changes to the valuation allowance on deferred tax assets, research credits and the impact of capitalization of research and experimental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0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7"/>
                <w:szCs w:val="17"/>
                <w:color w:val="auto"/>
              </w:rPr>
            </w:pPr>
          </w:p>
        </w:tc>
      </w:tr>
      <w:tr>
        <w:trPr>
          <w:trHeight w:val="224"/>
        </w:trPr>
        <w:tc>
          <w:tcPr>
            <w:tcW w:w="39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26"/>
        </w:trPr>
        <w:tc>
          <w:tcPr>
            <w:tcW w:w="3940" w:type="dxa"/>
            <w:vAlign w:val="bottom"/>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9"/>
              </w:rPr>
              <w:t>2022</w:t>
            </w:r>
          </w:p>
        </w:tc>
      </w:tr>
      <w:tr>
        <w:trPr>
          <w:trHeight w:val="221"/>
        </w:trPr>
        <w:tc>
          <w:tcPr>
            <w:tcW w:w="3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(In millions)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12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r>
      <w:tr>
        <w:trPr>
          <w:trHeight w:val="237"/>
        </w:trPr>
        <w:tc>
          <w:tcPr>
            <w:tcW w:w="3940" w:type="dxa"/>
            <w:vAlign w:val="bottom"/>
            <w:tcBorders>
              <w:bottom w:val="single" w:sz="8" w:color="CCEEFF"/>
            </w:tcBorders>
          </w:tcPr>
          <w:p>
            <w:pPr>
              <w:ind w:left="380"/>
              <w:spacing w:after="0" w:line="238"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r>
      <w:tr>
        <w:trPr>
          <w:trHeight w:val="224"/>
        </w:trPr>
        <w:tc>
          <w:tcPr>
            <w:tcW w:w="3940" w:type="dxa"/>
            <w:vAlign w:val="bottom"/>
          </w:tcPr>
          <w:p>
            <w:pPr>
              <w:ind w:left="20"/>
              <w:spacing w:after="0" w:line="224"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7"/>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r>
      <w:tr>
        <w:trPr>
          <w:trHeight w:val="224"/>
        </w:trPr>
        <w:tc>
          <w:tcPr>
            <w:tcW w:w="39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25"/>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7"/>
        </w:trPr>
        <w:tc>
          <w:tcPr>
            <w:tcW w:w="3940" w:type="dxa"/>
            <w:vAlign w:val="bottom"/>
            <w:tcBorders>
              <w:bottom w:val="single" w:sz="8" w:color="CCEEFF"/>
            </w:tcBorders>
          </w:tcPr>
          <w:p>
            <w:pPr>
              <w:ind w:left="340"/>
              <w:spacing w:after="0" w:line="238"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(3)</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7"/>
        </w:trPr>
        <w:tc>
          <w:tcPr>
            <w:tcW w:w="3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38"/>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4"/>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8"/>
        </w:trPr>
        <w:tc>
          <w:tcPr>
            <w:tcW w:w="39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31"/>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4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Includes stock-based compensation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30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Six Months Ended</w:t>
            </w:r>
          </w:p>
        </w:tc>
        <w:tc>
          <w:tcPr>
            <w:tcW w:w="1060" w:type="dxa"/>
            <w:vAlign w:val="bottom"/>
          </w:tcPr>
          <w:p>
            <w:pPr>
              <w:spacing w:after="0"/>
              <w:rPr>
                <w:sz w:val="18"/>
                <w:szCs w:val="18"/>
                <w:color w:val="auto"/>
              </w:rPr>
            </w:pPr>
          </w:p>
        </w:tc>
      </w:tr>
      <w:tr>
        <w:trPr>
          <w:trHeight w:val="233"/>
        </w:trPr>
        <w:tc>
          <w:tcPr>
            <w:tcW w:w="40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2"/>
        </w:trPr>
        <w:tc>
          <w:tcPr>
            <w:tcW w:w="4000" w:type="dxa"/>
            <w:vAlign w:val="bottom"/>
          </w:tcPr>
          <w:p>
            <w:pPr>
              <w:spacing w:after="0"/>
              <w:rPr>
                <w:sz w:val="19"/>
                <w:szCs w:val="19"/>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4"/>
              </w:rPr>
              <w:t>2022</w:t>
            </w:r>
          </w:p>
        </w:tc>
      </w:tr>
      <w:tr>
        <w:trPr>
          <w:trHeight w:val="217"/>
        </w:trPr>
        <w:tc>
          <w:tcPr>
            <w:tcW w:w="4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gridSpan w:val="3"/>
          </w:tcPr>
          <w:p>
            <w:pPr>
              <w:jc w:val="right"/>
              <w:ind w:right="572"/>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2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4"/>
        </w:trPr>
        <w:tc>
          <w:tcPr>
            <w:tcW w:w="4000" w:type="dxa"/>
            <w:vAlign w:val="bottom"/>
          </w:tcPr>
          <w:p>
            <w:pPr>
              <w:ind w:left="340"/>
              <w:spacing w:after="0" w:line="224"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(4)</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24"/>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1"/>
        </w:trPr>
        <w:tc>
          <w:tcPr>
            <w:tcW w:w="4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4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2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3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expenses related to our reduction in workforce such as severance, benefits and other related items during the three and six months ended June 30, 2023.</w:t>
      </w:r>
    </w:p>
    <w:p>
      <w:pPr>
        <w:spacing w:after="0" w:line="226" w:lineRule="exact"/>
        <w:rPr>
          <w:rFonts w:ascii="Arial" w:cs="Arial" w:eastAsia="Arial" w:hAnsi="Arial"/>
          <w:sz w:val="17"/>
          <w:szCs w:val="17"/>
          <w:color w:val="auto"/>
          <w:vertAlign w:val="superscript"/>
        </w:rPr>
      </w:pPr>
    </w:p>
    <w:p>
      <w:pPr>
        <w:ind w:left="160" w:hanging="154"/>
        <w:spacing w:after="0"/>
        <w:tabs>
          <w:tab w:leader="none" w:pos="160"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impairment charges related to real estate assets as a result of our Virtual First work model.</w:t>
      </w:r>
    </w:p>
    <w:p>
      <w:pPr>
        <w:spacing w:after="0" w:line="213" w:lineRule="exact"/>
        <w:rPr>
          <w:rFonts w:ascii="Arial" w:cs="Arial" w:eastAsia="Arial" w:hAnsi="Arial"/>
          <w:sz w:val="17"/>
          <w:szCs w:val="17"/>
          <w:color w:val="auto"/>
          <w:vertAlign w:val="superscript"/>
        </w:rPr>
      </w:pPr>
    </w:p>
    <w:p>
      <w:pPr>
        <w:ind w:firstLine="6"/>
        <w:spacing w:after="0" w:line="283" w:lineRule="auto"/>
        <w:tabs>
          <w:tab w:leader="none" w:pos="146"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On March 15, 2023, our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000" w:type="dxa"/>
            <w:vAlign w:val="bottom"/>
            <w:gridSpan w:val="4"/>
          </w:tcPr>
          <w:p>
            <w:pPr>
              <w:spacing w:after="0"/>
              <w:rPr>
                <w:sz w:val="20"/>
                <w:szCs w:val="20"/>
                <w:color w:val="auto"/>
              </w:rPr>
            </w:pPr>
            <w:r>
              <w:rPr>
                <w:rFonts w:ascii="Arial" w:cs="Arial" w:eastAsia="Arial" w:hAnsi="Arial"/>
                <w:sz w:val="18"/>
                <w:szCs w:val="18"/>
                <w:b w:val="1"/>
                <w:bCs w:val="1"/>
                <w:color w:val="0000FF"/>
              </w:rPr>
              <w:t>Table of Contents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71"/>
        </w:trPr>
        <w:tc>
          <w:tcPr>
            <w:tcW w:w="8680" w:type="dxa"/>
            <w:vAlign w:val="bottom"/>
            <w:gridSpan w:val="12"/>
          </w:tcPr>
          <w:p>
            <w:pPr>
              <w:ind w:left="400"/>
              <w:spacing w:after="0"/>
              <w:rPr>
                <w:sz w:val="20"/>
                <w:szCs w:val="20"/>
                <w:color w:val="auto"/>
              </w:rPr>
            </w:pPr>
            <w:r>
              <w:rPr>
                <w:rFonts w:ascii="Arial" w:cs="Arial" w:eastAsia="Arial" w:hAnsi="Arial"/>
                <w:sz w:val="18"/>
                <w:szCs w:val="18"/>
                <w:color w:val="auto"/>
                <w:w w:val="89"/>
              </w:rPr>
              <w:t>The following table sets forth our results of operations for each of the periods presented as a percentage of revenue: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4"/>
        </w:trPr>
        <w:tc>
          <w:tcPr>
            <w:tcW w:w="1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5"/>
          </w:tcPr>
          <w:p>
            <w:pPr>
              <w:jc w:val="center"/>
              <w:ind w:left="612"/>
              <w:spacing w:after="0"/>
              <w:rPr>
                <w:sz w:val="20"/>
                <w:szCs w:val="20"/>
                <w:color w:val="auto"/>
              </w:rPr>
            </w:pPr>
            <w:r>
              <w:rPr>
                <w:rFonts w:ascii="Arial" w:cs="Arial" w:eastAsia="Arial" w:hAnsi="Arial"/>
                <w:sz w:val="18"/>
                <w:szCs w:val="18"/>
                <w:b w:val="1"/>
                <w:bCs w:val="1"/>
                <w:color w:val="auto"/>
                <w:w w:val="89"/>
              </w:rPr>
              <w:t>Three Months Ended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110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85"/>
              </w:rPr>
              <w:t>June 30,</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100" w:type="dxa"/>
            <w:vAlign w:val="bottom"/>
            <w:tcBorders>
              <w:bottom w:val="single" w:sz="8" w:color="auto"/>
            </w:tcBorders>
          </w:tcPr>
          <w:p>
            <w:pPr>
              <w:spacing w:after="0"/>
              <w:rPr>
                <w:sz w:val="19"/>
                <w:szCs w:val="19"/>
                <w:color w:val="auto"/>
              </w:rPr>
            </w:pPr>
          </w:p>
        </w:tc>
      </w:tr>
      <w:tr>
        <w:trPr>
          <w:trHeight w:val="226"/>
        </w:trPr>
        <w:tc>
          <w:tcPr>
            <w:tcW w:w="3800" w:type="dxa"/>
            <w:vAlign w:val="bottom"/>
            <w:gridSpan w:val="2"/>
          </w:tcPr>
          <w:p>
            <w:pPr>
              <w:spacing w:after="0"/>
              <w:rPr>
                <w:sz w:val="19"/>
                <w:szCs w:val="19"/>
                <w:color w:val="auto"/>
              </w:rPr>
            </w:pP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2023</w:t>
            </w: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89"/>
              </w:rPr>
              <w:t>2022</w:t>
            </w:r>
          </w:p>
        </w:tc>
      </w:tr>
      <w:tr>
        <w:trPr>
          <w:trHeight w:val="221"/>
        </w:trPr>
        <w:tc>
          <w:tcPr>
            <w:tcW w:w="1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20" w:type="dxa"/>
            <w:vAlign w:val="bottom"/>
            <w:gridSpan w:val="4"/>
          </w:tcPr>
          <w:p>
            <w:pPr>
              <w:jc w:val="right"/>
              <w:ind w:right="332"/>
              <w:spacing w:after="0"/>
              <w:rPr>
                <w:sz w:val="20"/>
                <w:szCs w:val="20"/>
                <w:color w:val="auto"/>
              </w:rPr>
            </w:pPr>
            <w:r>
              <w:rPr>
                <w:rFonts w:ascii="Arial" w:cs="Arial" w:eastAsia="Arial" w:hAnsi="Arial"/>
                <w:sz w:val="18"/>
                <w:szCs w:val="18"/>
                <w:i w:val="1"/>
                <w:iCs w:val="1"/>
                <w:color w:val="auto"/>
                <w:w w:val="89"/>
              </w:rPr>
              <w:t>(As a % of revenue)*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000" w:type="dxa"/>
            <w:vAlign w:val="bottom"/>
            <w:gridSpan w:val="4"/>
          </w:tcPr>
          <w:p>
            <w:pPr>
              <w:ind w:left="380"/>
              <w:spacing w:after="0" w:line="238"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(1)(2)</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19</w:t>
            </w:r>
          </w:p>
        </w:tc>
      </w:tr>
      <w:tr>
        <w:trPr>
          <w:trHeight w:val="217"/>
        </w:trPr>
        <w:tc>
          <w:tcPr>
            <w:tcW w:w="380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r>
      <w:tr>
        <w:trPr>
          <w:trHeight w:val="224"/>
        </w:trPr>
        <w:tc>
          <w:tcPr>
            <w:tcW w:w="5000" w:type="dxa"/>
            <w:vAlign w:val="bottom"/>
            <w:gridSpan w:val="4"/>
          </w:tcPr>
          <w:p>
            <w:pPr>
              <w:ind w:left="20"/>
              <w:spacing w:after="0" w:line="224"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(1)(2)</w:t>
            </w: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r>
      <w:tr>
        <w:trPr>
          <w:trHeight w:val="224"/>
        </w:trPr>
        <w:tc>
          <w:tcPr>
            <w:tcW w:w="5000" w:type="dxa"/>
            <w:vAlign w:val="bottom"/>
            <w:gridSpan w:val="4"/>
          </w:tcPr>
          <w:p>
            <w:pPr>
              <w:ind w:left="3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18</w:t>
            </w:r>
          </w:p>
        </w:tc>
      </w:tr>
      <w:tr>
        <w:trPr>
          <w:trHeight w:val="225"/>
        </w:trPr>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r>
      <w:tr>
        <w:trPr>
          <w:trHeight w:val="237"/>
        </w:trPr>
        <w:tc>
          <w:tcPr>
            <w:tcW w:w="5000" w:type="dxa"/>
            <w:vAlign w:val="bottom"/>
            <w:gridSpan w:val="4"/>
          </w:tcPr>
          <w:p>
            <w:pPr>
              <w:ind w:left="340"/>
              <w:spacing w:after="0" w:line="238"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(3)</w:t>
            </w:r>
          </w:p>
        </w:tc>
        <w:tc>
          <w:tcPr>
            <w:tcW w:w="1760" w:type="dxa"/>
            <w:vAlign w:val="bottom"/>
            <w:gridSpan w:val="4"/>
          </w:tcPr>
          <w:p>
            <w:pPr>
              <w:jc w:val="right"/>
              <w:ind w:right="1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gridSpan w:val="5"/>
          </w:tcPr>
          <w:p>
            <w:pPr>
              <w:jc w:val="right"/>
              <w:ind w:right="10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w:t>
            </w:r>
          </w:p>
        </w:tc>
      </w:tr>
      <w:tr>
        <w:trPr>
          <w:trHeight w:val="217"/>
        </w:trPr>
        <w:tc>
          <w:tcPr>
            <w:tcW w:w="380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66</w:t>
            </w:r>
          </w:p>
        </w:tc>
      </w:tr>
      <w:tr>
        <w:trPr>
          <w:trHeight w:val="224"/>
        </w:trPr>
        <w:tc>
          <w:tcPr>
            <w:tcW w:w="5000" w:type="dxa"/>
            <w:vAlign w:val="bottom"/>
            <w:gridSpan w:val="4"/>
          </w:tcPr>
          <w:p>
            <w:pPr>
              <w:ind w:left="20"/>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238"/>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920" w:type="dxa"/>
            <w:vAlign w:val="bottom"/>
            <w:gridSpan w:val="4"/>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24"/>
        </w:trPr>
        <w:tc>
          <w:tcPr>
            <w:tcW w:w="5000" w:type="dxa"/>
            <w:vAlign w:val="bottom"/>
            <w:gridSpan w:val="4"/>
          </w:tcPr>
          <w:p>
            <w:pPr>
              <w:ind w:left="20"/>
              <w:spacing w:after="0"/>
              <w:rPr>
                <w:sz w:val="20"/>
                <w:szCs w:val="20"/>
                <w:color w:val="auto"/>
              </w:rPr>
            </w:pPr>
            <w:r>
              <w:rPr>
                <w:rFonts w:ascii="Arial" w:cs="Arial" w:eastAsia="Arial" w:hAnsi="Arial"/>
                <w:sz w:val="18"/>
                <w:szCs w:val="18"/>
                <w:color w:val="auto"/>
              </w:rPr>
              <w:t>Other (loss) income, net</w:t>
            </w:r>
          </w:p>
        </w:tc>
        <w:tc>
          <w:tcPr>
            <w:tcW w:w="1760" w:type="dxa"/>
            <w:vAlign w:val="bottom"/>
            <w:gridSpan w:val="4"/>
          </w:tcPr>
          <w:p>
            <w:pPr>
              <w:jc w:val="right"/>
              <w:ind w:right="1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gridSpan w:val="5"/>
          </w:tcPr>
          <w:p>
            <w:pPr>
              <w:jc w:val="right"/>
              <w:ind w:right="10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8"/>
        </w:trPr>
        <w:tc>
          <w:tcPr>
            <w:tcW w:w="380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r>
      <w:tr>
        <w:trPr>
          <w:trHeight w:val="231"/>
        </w:trPr>
        <w:tc>
          <w:tcPr>
            <w:tcW w:w="5000" w:type="dxa"/>
            <w:vAlign w:val="bottom"/>
            <w:gridSpan w:val="4"/>
          </w:tcPr>
          <w:p>
            <w:pPr>
              <w:ind w:left="20"/>
              <w:spacing w:after="0"/>
              <w:rPr>
                <w:sz w:val="20"/>
                <w:szCs w:val="20"/>
                <w:color w:val="auto"/>
              </w:rPr>
            </w:pPr>
            <w:r>
              <w:rPr>
                <w:rFonts w:ascii="Arial" w:cs="Arial" w:eastAsia="Arial" w:hAnsi="Arial"/>
                <w:sz w:val="18"/>
                <w:szCs w:val="18"/>
                <w:color w:val="auto"/>
              </w:rPr>
              <w:t>Provision for from income taxes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49"/>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5000" w:type="dxa"/>
            <w:vAlign w:val="bottom"/>
            <w:gridSpan w:val="4"/>
          </w:tcPr>
          <w:p>
            <w:pPr>
              <w:spacing w:after="0"/>
              <w:rPr>
                <w:sz w:val="20"/>
                <w:szCs w:val="20"/>
                <w:color w:val="auto"/>
              </w:rPr>
            </w:pPr>
            <w:r>
              <w:rPr>
                <w:rFonts w:ascii="Arial" w:cs="Arial" w:eastAsia="Arial" w:hAnsi="Arial"/>
                <w:sz w:val="20"/>
                <w:szCs w:val="20"/>
                <w:color w:val="auto"/>
                <w:w w:val="89"/>
                <w:vertAlign w:val="superscript"/>
              </w:rPr>
              <w:t>(1)</w:t>
            </w:r>
            <w:r>
              <w:rPr>
                <w:rFonts w:ascii="Arial" w:cs="Arial" w:eastAsia="Arial" w:hAnsi="Arial"/>
                <w:sz w:val="16"/>
                <w:szCs w:val="16"/>
                <w:color w:val="auto"/>
                <w:w w:val="89"/>
              </w:rPr>
              <w:t xml:space="preserve"> Includes stock-based compensation as a percentage of revenue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3"/>
        </w:trPr>
        <w:tc>
          <w:tcPr>
            <w:tcW w:w="1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5"/>
          </w:tcPr>
          <w:p>
            <w:pPr>
              <w:jc w:val="center"/>
              <w:ind w:left="612"/>
              <w:spacing w:after="0"/>
              <w:rPr>
                <w:sz w:val="20"/>
                <w:szCs w:val="20"/>
                <w:color w:val="auto"/>
              </w:rPr>
            </w:pPr>
            <w:r>
              <w:rPr>
                <w:rFonts w:ascii="Arial" w:cs="Arial" w:eastAsia="Arial" w:hAnsi="Arial"/>
                <w:sz w:val="18"/>
                <w:szCs w:val="18"/>
                <w:b w:val="1"/>
                <w:bCs w:val="1"/>
                <w:color w:val="auto"/>
                <w:w w:val="89"/>
              </w:rPr>
              <w:t>Three Months Ended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Six Months Ended</w:t>
            </w:r>
          </w:p>
        </w:tc>
        <w:tc>
          <w:tcPr>
            <w:tcW w:w="1100" w:type="dxa"/>
            <w:vAlign w:val="bottom"/>
          </w:tcPr>
          <w:p>
            <w:pPr>
              <w:spacing w:after="0"/>
              <w:rPr>
                <w:sz w:val="24"/>
                <w:szCs w:val="24"/>
                <w:color w:val="auto"/>
              </w:rPr>
            </w:pPr>
          </w:p>
        </w:tc>
      </w:tr>
      <w:tr>
        <w:trPr>
          <w:trHeight w:val="233"/>
        </w:trPr>
        <w:tc>
          <w:tcPr>
            <w:tcW w:w="1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100" w:type="dxa"/>
            <w:vAlign w:val="bottom"/>
            <w:tcBorders>
              <w:bottom w:val="single" w:sz="8" w:color="auto"/>
            </w:tcBorders>
          </w:tcPr>
          <w:p>
            <w:pPr>
              <w:spacing w:after="0"/>
              <w:rPr>
                <w:sz w:val="20"/>
                <w:szCs w:val="20"/>
                <w:color w:val="auto"/>
              </w:rPr>
            </w:pPr>
          </w:p>
        </w:tc>
      </w:tr>
      <w:tr>
        <w:trPr>
          <w:trHeight w:val="222"/>
        </w:trPr>
        <w:tc>
          <w:tcPr>
            <w:tcW w:w="3820" w:type="dxa"/>
            <w:vAlign w:val="bottom"/>
            <w:gridSpan w:val="3"/>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89"/>
              </w:rPr>
              <w:t>2022</w:t>
            </w:r>
          </w:p>
        </w:tc>
      </w:tr>
      <w:tr>
        <w:trPr>
          <w:trHeight w:val="217"/>
        </w:trPr>
        <w:tc>
          <w:tcPr>
            <w:tcW w:w="1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4"/>
          </w:tcPr>
          <w:p>
            <w:pPr>
              <w:jc w:val="right"/>
              <w:ind w:right="332"/>
              <w:spacing w:after="0"/>
              <w:rPr>
                <w:sz w:val="20"/>
                <w:szCs w:val="20"/>
                <w:color w:val="auto"/>
              </w:rPr>
            </w:pPr>
            <w:r>
              <w:rPr>
                <w:rFonts w:ascii="Arial" w:cs="Arial" w:eastAsia="Arial" w:hAnsi="Arial"/>
                <w:sz w:val="18"/>
                <w:szCs w:val="18"/>
                <w:i w:val="1"/>
                <w:iCs w:val="1"/>
                <w:color w:val="auto"/>
                <w:w w:val="89"/>
              </w:rPr>
              <w:t>(As a % of revenue)*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4"/>
        </w:trPr>
        <w:tc>
          <w:tcPr>
            <w:tcW w:w="5000" w:type="dxa"/>
            <w:vAlign w:val="bottom"/>
            <w:gridSpan w:val="4"/>
          </w:tcPr>
          <w:p>
            <w:pPr>
              <w:ind w:left="340"/>
              <w:spacing w:after="0" w:line="224"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(4)</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w:t>
            </w:r>
          </w:p>
        </w:tc>
      </w:tr>
      <w:tr>
        <w:trPr>
          <w:trHeight w:val="224"/>
        </w:trPr>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r>
      <w:tr>
        <w:trPr>
          <w:trHeight w:val="231"/>
        </w:trPr>
        <w:tc>
          <w:tcPr>
            <w:tcW w:w="5000" w:type="dxa"/>
            <w:vAlign w:val="bottom"/>
            <w:gridSpan w:val="4"/>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w:t>
            </w:r>
          </w:p>
        </w:tc>
      </w:tr>
      <w:tr>
        <w:trPr>
          <w:trHeight w:val="249"/>
        </w:trPr>
        <w:tc>
          <w:tcPr>
            <w:tcW w:w="3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expenses related to our reduction in workforce such as severance, benefits and other related items during the three and six months ended June 30, 2023.</w:t>
      </w:r>
    </w:p>
    <w:p>
      <w:pPr>
        <w:spacing w:after="0" w:line="226" w:lineRule="exact"/>
        <w:rPr>
          <w:rFonts w:ascii="Arial" w:cs="Arial" w:eastAsia="Arial" w:hAnsi="Arial"/>
          <w:sz w:val="17"/>
          <w:szCs w:val="17"/>
          <w:color w:val="auto"/>
          <w:vertAlign w:val="superscript"/>
        </w:rPr>
      </w:pPr>
    </w:p>
    <w:p>
      <w:pPr>
        <w:ind w:left="160" w:hanging="154"/>
        <w:spacing w:after="0"/>
        <w:tabs>
          <w:tab w:leader="none" w:pos="160"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impairment charges related to real estate assets as a result of our Virtual First work model.</w:t>
      </w:r>
    </w:p>
    <w:p>
      <w:pPr>
        <w:spacing w:after="0" w:line="226" w:lineRule="exact"/>
        <w:rPr>
          <w:rFonts w:ascii="Arial" w:cs="Arial" w:eastAsia="Arial" w:hAnsi="Arial"/>
          <w:sz w:val="17"/>
          <w:szCs w:val="17"/>
          <w:color w:val="auto"/>
          <w:vertAlign w:val="superscript"/>
        </w:rPr>
      </w:pPr>
    </w:p>
    <w:p>
      <w:pPr>
        <w:ind w:firstLine="6"/>
        <w:spacing w:after="0" w:line="303" w:lineRule="auto"/>
        <w:tabs>
          <w:tab w:leader="none" w:pos="146"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On March 15, 2023, our President resigned, resulting in the reversal of $6.7 million in stock-based compensation expense. Of the total amount reversed, $4.4 million related to expense recognized prior to January 1, 2023.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Percentages may not foot due to rounding.</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71"/>
        </w:trPr>
        <w:tc>
          <w:tcPr>
            <w:tcW w:w="510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w w:val="86"/>
              </w:rPr>
              <w:t>Comparison of the three months ended June 30, 2023 and 2022</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8"/>
        </w:trPr>
        <w:tc>
          <w:tcPr>
            <w:tcW w:w="5100" w:type="dxa"/>
            <w:vAlign w:val="bottom"/>
            <w:gridSpan w:val="2"/>
          </w:tcPr>
          <w:p>
            <w:pPr>
              <w:ind w:left="400"/>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4"/>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center"/>
              <w:ind w:right="212"/>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57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622.5</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317" w:lineRule="exact"/>
        <w:rPr>
          <w:sz w:val="20"/>
          <w:szCs w:val="20"/>
          <w:color w:val="auto"/>
        </w:rPr>
      </w:pPr>
    </w:p>
    <w:p>
      <w:pPr>
        <w:jc w:val="both"/>
        <w:ind w:right="100" w:firstLine="396"/>
        <w:spacing w:after="0" w:line="250" w:lineRule="auto"/>
        <w:rPr>
          <w:sz w:val="20"/>
          <w:szCs w:val="20"/>
          <w:color w:val="auto"/>
        </w:rPr>
      </w:pPr>
      <w:r>
        <w:rPr>
          <w:rFonts w:ascii="Arial" w:cs="Arial" w:eastAsia="Arial" w:hAnsi="Arial"/>
          <w:sz w:val="18"/>
          <w:szCs w:val="18"/>
          <w:color w:val="auto"/>
        </w:rPr>
        <w:t>Revenue increased $49.8 million or 8.7% during the three months ended June 30, 2023, as compared to the three months ended June 30, 2022 primarily due to an increase of $65.2 million from additional paying users, the acquisition of FormSwift in the fourth quarter of 2022 and the repricing and repackaging of the Dropbox Standard and Dropbox Advanced plans in the second quarter of 2022. These increases were offset by a $16.5 million unfavorable impact from changes in foreign exchange rates across multiple currencies.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ind w:left="40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91"/>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center"/>
              <w:ind w:right="272"/>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4"/>
        </w:trPr>
        <w:tc>
          <w:tcPr>
            <w:tcW w:w="4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592"/>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4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2"/>
          </w:tcPr>
          <w:p>
            <w:pPr>
              <w:jc w:val="center"/>
              <w:ind w:left="592"/>
              <w:spacing w:after="0"/>
              <w:rPr>
                <w:sz w:val="20"/>
                <w:szCs w:val="20"/>
                <w:color w:val="auto"/>
              </w:rPr>
            </w:pPr>
            <w:r>
              <w:rPr>
                <w:rFonts w:ascii="Arial" w:cs="Arial" w:eastAsia="Arial" w:hAnsi="Arial"/>
                <w:sz w:val="18"/>
                <w:szCs w:val="18"/>
                <w:i w:val="1"/>
                <w:iCs w:val="1"/>
                <w:color w:val="auto"/>
                <w:w w:val="95"/>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120.1</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502.4</w:t>
            </w:r>
          </w:p>
        </w:tc>
        <w:tc>
          <w:tcPr>
            <w:tcW w:w="54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31"/>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bl>
    <w:p>
      <w:pPr>
        <w:spacing w:after="0" w:line="317" w:lineRule="exact"/>
        <w:rPr>
          <w:sz w:val="20"/>
          <w:szCs w:val="20"/>
          <w:color w:val="auto"/>
        </w:rPr>
      </w:pPr>
    </w:p>
    <w:p>
      <w:pPr>
        <w:jc w:val="both"/>
        <w:ind w:right="160" w:firstLine="396"/>
        <w:spacing w:after="0" w:line="300" w:lineRule="auto"/>
        <w:rPr>
          <w:sz w:val="20"/>
          <w:szCs w:val="20"/>
          <w:color w:val="auto"/>
        </w:rPr>
      </w:pPr>
      <w:r>
        <w:rPr>
          <w:rFonts w:ascii="Arial" w:cs="Arial" w:eastAsia="Arial" w:hAnsi="Arial"/>
          <w:sz w:val="16"/>
          <w:szCs w:val="16"/>
          <w:color w:val="auto"/>
        </w:rPr>
        <w:t>Cost of revenue increased $14.3 million or 13.5% during the three months ended June 30, 2023, as compared to the three months ended June 30, 2022, primarily due to increases of $4.8 million in infrastructure costs, $3.2 million in employee-related costs driven by costs related to our reduction in workforce, $2.7 million in amortization of intangible assets, $2.0 million in outside services and $1.9 million in credit card fees.</w:t>
      </w:r>
    </w:p>
    <w:p>
      <w:pPr>
        <w:spacing w:after="0" w:line="181" w:lineRule="exact"/>
        <w:rPr>
          <w:sz w:val="20"/>
          <w:szCs w:val="20"/>
          <w:color w:val="auto"/>
        </w:rPr>
      </w:pPr>
    </w:p>
    <w:p>
      <w:pPr>
        <w:ind w:right="180" w:firstLine="396"/>
        <w:spacing w:after="0" w:line="325" w:lineRule="auto"/>
        <w:rPr>
          <w:sz w:val="20"/>
          <w:szCs w:val="20"/>
          <w:color w:val="auto"/>
        </w:rPr>
      </w:pPr>
      <w:r>
        <w:rPr>
          <w:rFonts w:ascii="Arial" w:cs="Arial" w:eastAsia="Arial" w:hAnsi="Arial"/>
          <w:sz w:val="16"/>
          <w:szCs w:val="16"/>
          <w:color w:val="auto"/>
        </w:rPr>
        <w:t>Our gross margin decreased during the three months ended June 30, 2023 compared to the three months ended June 30, 2022, primarily due to an 8.7% increase in revenue during the period, which was more than offset by an increase in our cost of revenue described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ind w:left="400"/>
              <w:spacing w:after="0"/>
              <w:rPr>
                <w:sz w:val="20"/>
                <w:szCs w:val="20"/>
                <w:color w:val="auto"/>
              </w:rPr>
            </w:pPr>
            <w:r>
              <w:rPr>
                <w:rFonts w:ascii="Arial" w:cs="Arial" w:eastAsia="Arial" w:hAnsi="Arial"/>
                <w:sz w:val="18"/>
                <w:szCs w:val="18"/>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6"/>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4"/>
        </w:trPr>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left="55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262.8</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r>
    </w:tbl>
    <w:p>
      <w:pPr>
        <w:spacing w:after="0" w:line="317" w:lineRule="exact"/>
        <w:rPr>
          <w:sz w:val="20"/>
          <w:szCs w:val="20"/>
          <w:color w:val="auto"/>
        </w:rPr>
      </w:pPr>
    </w:p>
    <w:p>
      <w:pPr>
        <w:ind w:right="280" w:firstLine="396"/>
        <w:spacing w:after="0" w:line="300" w:lineRule="auto"/>
        <w:rPr>
          <w:sz w:val="20"/>
          <w:szCs w:val="20"/>
          <w:color w:val="auto"/>
        </w:rPr>
      </w:pPr>
      <w:r>
        <w:rPr>
          <w:rFonts w:ascii="Arial" w:cs="Arial" w:eastAsia="Arial" w:hAnsi="Arial"/>
          <w:sz w:val="16"/>
          <w:szCs w:val="16"/>
          <w:color w:val="auto"/>
        </w:rPr>
        <w:t>Research and development expenses increased $47.8 million or 22.2% during the three months ended June 30, 2023, as compared to the three months ended June 30, 2022, primarily due to increases of $43.2 million in employee-related costs driven by $27.0 million in costs related to our reduction in workforce and $16.2 million in stock-based compensation, in addition to $4.8 million in software subscription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71"/>
        </w:trPr>
        <w:tc>
          <w:tcPr>
            <w:tcW w:w="5100" w:type="dxa"/>
            <w:vAlign w:val="bottom"/>
            <w:gridSpan w:val="2"/>
          </w:tcPr>
          <w:p>
            <w:pPr>
              <w:ind w:left="400"/>
              <w:spacing w:after="0"/>
              <w:rPr>
                <w:sz w:val="20"/>
                <w:szCs w:val="20"/>
                <w:color w:val="auto"/>
              </w:rPr>
            </w:pPr>
            <w:r>
              <w:rPr>
                <w:rFonts w:ascii="Arial" w:cs="Arial" w:eastAsia="Arial" w:hAnsi="Arial"/>
                <w:sz w:val="18"/>
                <w:szCs w:val="18"/>
                <w:i w:val="1"/>
                <w:iCs w:val="1"/>
                <w:color w:val="auto"/>
              </w:rPr>
              <w:t>Sales and marketing</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1"/>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center"/>
              <w:ind w:right="212"/>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57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120.9</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317" w:lineRule="exact"/>
        <w:rPr>
          <w:sz w:val="20"/>
          <w:szCs w:val="20"/>
          <w:color w:val="auto"/>
        </w:rPr>
      </w:pPr>
    </w:p>
    <w:p>
      <w:pPr>
        <w:ind w:right="300" w:firstLine="396"/>
        <w:spacing w:after="0" w:line="253" w:lineRule="auto"/>
        <w:rPr>
          <w:sz w:val="20"/>
          <w:szCs w:val="20"/>
          <w:color w:val="auto"/>
        </w:rPr>
      </w:pPr>
      <w:r>
        <w:rPr>
          <w:rFonts w:ascii="Arial" w:cs="Arial" w:eastAsia="Arial" w:hAnsi="Arial"/>
          <w:sz w:val="18"/>
          <w:szCs w:val="18"/>
          <w:color w:val="auto"/>
        </w:rPr>
        <w:t>Sales and marketing expenses increased $15.9 million or 15.1% during the three months ended June 30, 2023, as compared to the three months ended June 30, 2022, primarily due to increases of $13.6 million in employee-related costs driven by costs related to our reduction in workforce, $1.6 million in amortization of intangible assets and $1.5 million in app store fees due to increased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ind w:left="400"/>
              <w:spacing w:after="0"/>
              <w:rPr>
                <w:sz w:val="20"/>
                <w:szCs w:val="20"/>
                <w:color w:val="auto"/>
              </w:rPr>
            </w:pPr>
            <w:r>
              <w:rPr>
                <w:rFonts w:ascii="Arial" w:cs="Arial" w:eastAsia="Arial" w:hAnsi="Arial"/>
                <w:sz w:val="18"/>
                <w:szCs w:val="18"/>
                <w:i w:val="1"/>
                <w:iCs w:val="1"/>
                <w:color w:val="auto"/>
              </w:rPr>
              <w:t>General and administrative</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91"/>
        </w:trPr>
        <w:tc>
          <w:tcPr>
            <w:tcW w:w="5100" w:type="dxa"/>
            <w:vAlign w:val="bottom"/>
          </w:tcPr>
          <w:p>
            <w:pPr>
              <w:spacing w:after="0"/>
              <w:rPr>
                <w:sz w:val="24"/>
                <w:szCs w:val="24"/>
                <w:color w:val="auto"/>
              </w:rPr>
            </w:pPr>
          </w:p>
        </w:tc>
        <w:tc>
          <w:tcPr>
            <w:tcW w:w="246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5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412"/>
              <w:spacing w:after="0"/>
              <w:rPr>
                <w:sz w:val="20"/>
                <w:szCs w:val="20"/>
                <w:color w:val="auto"/>
              </w:rPr>
            </w:pPr>
            <w:r>
              <w:rPr>
                <w:rFonts w:ascii="Arial" w:cs="Arial" w:eastAsia="Arial" w:hAnsi="Arial"/>
                <w:sz w:val="18"/>
                <w:szCs w:val="18"/>
                <w:b w:val="1"/>
                <w:bCs w:val="1"/>
                <w:color w:val="auto"/>
                <w:w w:val="85"/>
              </w:rPr>
              <w:t>June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5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2"/>
          </w:tcPr>
          <w:p>
            <w:pPr>
              <w:jc w:val="center"/>
              <w:ind w:right="392"/>
              <w:spacing w:after="0"/>
              <w:rPr>
                <w:sz w:val="20"/>
                <w:szCs w:val="20"/>
                <w:color w:val="auto"/>
              </w:rPr>
            </w:pPr>
            <w:r>
              <w:rPr>
                <w:rFonts w:ascii="Arial" w:cs="Arial" w:eastAsia="Arial" w:hAnsi="Arial"/>
                <w:sz w:val="18"/>
                <w:szCs w:val="18"/>
                <w:i w:val="1"/>
                <w:iCs w:val="1"/>
                <w:color w:val="auto"/>
                <w:w w:val="95"/>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r>
    </w:tbl>
    <w:p>
      <w:pPr>
        <w:spacing w:after="0" w:line="200" w:lineRule="exact"/>
        <w:rPr>
          <w:sz w:val="20"/>
          <w:szCs w:val="20"/>
          <w:color w:val="auto"/>
        </w:rPr>
      </w:pPr>
    </w:p>
    <w:p>
      <w:pPr>
        <w:spacing w:after="0" w:line="262" w:lineRule="exact"/>
        <w:rPr>
          <w:sz w:val="20"/>
          <w:szCs w:val="20"/>
          <w:color w:val="auto"/>
        </w:rPr>
      </w:pPr>
    </w:p>
    <w:p>
      <w:pPr>
        <w:ind w:firstLine="396"/>
        <w:spacing w:after="0" w:line="300" w:lineRule="auto"/>
        <w:rPr>
          <w:sz w:val="20"/>
          <w:szCs w:val="20"/>
          <w:color w:val="auto"/>
        </w:rPr>
      </w:pPr>
      <w:r>
        <w:rPr>
          <w:rFonts w:ascii="Arial" w:cs="Arial" w:eastAsia="Arial" w:hAnsi="Arial"/>
          <w:sz w:val="16"/>
          <w:szCs w:val="16"/>
          <w:color w:val="auto"/>
        </w:rPr>
        <w:t>General and administrative expenses increased $4.7 million or 8.5% during the three months ended June 30, 2023, as compared to the three months ended June 30, 2022, primarily due to increases of $5.9 million in employee-related costs driven by costs related to our reduction in workforce, $2.3 million in outside services and $1.2 million in allocated overhead. These increases were offset by a decrease of $4.4 million in non-income based taxes.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ind w:left="440"/>
              <w:spacing w:after="0"/>
              <w:rPr>
                <w:sz w:val="20"/>
                <w:szCs w:val="20"/>
                <w:color w:val="auto"/>
              </w:rPr>
            </w:pPr>
            <w:r>
              <w:rPr>
                <w:rFonts w:ascii="Arial" w:cs="Arial" w:eastAsia="Arial" w:hAnsi="Arial"/>
                <w:sz w:val="18"/>
                <w:szCs w:val="18"/>
                <w:i w:val="1"/>
                <w:iCs w:val="1"/>
                <w:color w:val="auto"/>
              </w:rPr>
              <w:t>Impairment related to real estate assets</w:t>
            </w: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0"/>
        </w:trPr>
        <w:tc>
          <w:tcPr>
            <w:tcW w:w="4740" w:type="dxa"/>
            <w:vAlign w:val="bottom"/>
          </w:tcPr>
          <w:p>
            <w:pPr>
              <w:spacing w:after="0"/>
              <w:rPr>
                <w:sz w:val="24"/>
                <w:szCs w:val="24"/>
                <w:color w:val="auto"/>
              </w:rPr>
            </w:pPr>
          </w:p>
        </w:tc>
        <w:tc>
          <w:tcPr>
            <w:tcW w:w="2640" w:type="dxa"/>
            <w:vAlign w:val="bottom"/>
            <w:gridSpan w:val="4"/>
          </w:tcPr>
          <w:p>
            <w:pPr>
              <w:jc w:val="center"/>
              <w:ind w:left="352"/>
              <w:spacing w:after="0"/>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4"/>
        </w:trPr>
        <w:tc>
          <w:tcPr>
            <w:tcW w:w="4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32"/>
              <w:spacing w:after="0"/>
              <w:rPr>
                <w:sz w:val="20"/>
                <w:szCs w:val="20"/>
                <w:color w:val="auto"/>
              </w:rPr>
            </w:pPr>
            <w:r>
              <w:rPr>
                <w:rFonts w:ascii="Arial" w:cs="Arial" w:eastAsia="Arial" w:hAnsi="Arial"/>
                <w:sz w:val="18"/>
                <w:szCs w:val="18"/>
                <w:b w:val="1"/>
                <w:bCs w:val="1"/>
                <w:color w:val="auto"/>
                <w:w w:val="85"/>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6"/>
        </w:trPr>
        <w:tc>
          <w:tcPr>
            <w:tcW w:w="4740" w:type="dxa"/>
            <w:vAlign w:val="bottom"/>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 Change</w:t>
            </w:r>
          </w:p>
        </w:tc>
      </w:tr>
      <w:tr>
        <w:trPr>
          <w:trHeight w:val="211"/>
        </w:trPr>
        <w:tc>
          <w:tcPr>
            <w:tcW w:w="4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gridSpan w:val="3"/>
          </w:tcPr>
          <w:p>
            <w:pPr>
              <w:jc w:val="center"/>
              <w:ind w:right="532"/>
              <w:spacing w:after="0"/>
              <w:rPr>
                <w:sz w:val="20"/>
                <w:szCs w:val="20"/>
                <w:color w:val="auto"/>
              </w:rPr>
            </w:pPr>
            <w:r>
              <w:rPr>
                <w:rFonts w:ascii="Arial" w:cs="Arial" w:eastAsia="Arial" w:hAnsi="Arial"/>
                <w:sz w:val="14"/>
                <w:szCs w:val="14"/>
                <w:i w:val="1"/>
                <w:iCs w:val="1"/>
                <w:color w:val="auto"/>
                <w:w w:val="97"/>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54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304" w:lineRule="exact"/>
        <w:rPr>
          <w:sz w:val="20"/>
          <w:szCs w:val="20"/>
          <w:color w:val="auto"/>
        </w:rPr>
      </w:pPr>
    </w:p>
    <w:p>
      <w:pPr>
        <w:jc w:val="both"/>
        <w:ind w:right="80" w:firstLine="435"/>
        <w:spacing w:after="0" w:line="247" w:lineRule="auto"/>
        <w:rPr>
          <w:sz w:val="20"/>
          <w:szCs w:val="20"/>
          <w:color w:val="auto"/>
        </w:rPr>
      </w:pPr>
      <w:r>
        <w:rPr>
          <w:rFonts w:ascii="Arial" w:cs="Arial" w:eastAsia="Arial" w:hAnsi="Arial"/>
          <w:sz w:val="18"/>
          <w:szCs w:val="18"/>
          <w:color w:val="auto"/>
        </w:rPr>
        <w:t>Impairment related to real estate assets was $2.2 million and $8.7 million during the three months ended June 30, 2023 and 2022, respectively, related to right-of-use and other lease related assets, in conjunction with our Virtual First model.</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income (expense), net</w:t>
      </w:r>
    </w:p>
    <w:p>
      <w:pPr>
        <w:spacing w:after="0" w:line="241" w:lineRule="exact"/>
        <w:rPr>
          <w:sz w:val="20"/>
          <w:szCs w:val="20"/>
          <w:color w:val="auto"/>
        </w:rPr>
      </w:pPr>
    </w:p>
    <w:p>
      <w:pPr>
        <w:ind w:right="220" w:firstLine="396"/>
        <w:spacing w:after="0" w:line="262" w:lineRule="auto"/>
        <w:rPr>
          <w:sz w:val="20"/>
          <w:szCs w:val="20"/>
          <w:color w:val="auto"/>
        </w:rPr>
      </w:pPr>
      <w:r>
        <w:rPr>
          <w:rFonts w:ascii="Arial" w:cs="Arial" w:eastAsia="Arial" w:hAnsi="Arial"/>
          <w:sz w:val="18"/>
          <w:szCs w:val="18"/>
          <w:color w:val="auto"/>
        </w:rPr>
        <w:t>Interest income (expense), net increased by $4.2 million during the three months ended June 30, 2023, as compared to the three months ended June 30, 2022, primarily due to higher interest income as a result of interest rate increases.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(loss) income, net</w:t>
      </w:r>
    </w:p>
    <w:p>
      <w:pPr>
        <w:spacing w:after="0" w:line="241" w:lineRule="exact"/>
        <w:rPr>
          <w:sz w:val="20"/>
          <w:szCs w:val="20"/>
          <w:color w:val="auto"/>
        </w:rPr>
      </w:pPr>
    </w:p>
    <w:p>
      <w:pPr>
        <w:ind w:right="40" w:firstLine="396"/>
        <w:spacing w:after="0" w:line="253" w:lineRule="auto"/>
        <w:rPr>
          <w:sz w:val="20"/>
          <w:szCs w:val="20"/>
          <w:color w:val="auto"/>
        </w:rPr>
      </w:pPr>
      <w:r>
        <w:rPr>
          <w:rFonts w:ascii="Arial" w:cs="Arial" w:eastAsia="Arial" w:hAnsi="Arial"/>
          <w:sz w:val="18"/>
          <w:szCs w:val="18"/>
          <w:color w:val="auto"/>
        </w:rPr>
        <w:t>Other (loss) decreased by $2.1 million during the three months ended June 30, 2023, as compared to the three months ended June 30, 2022, primarily due to a $2.9 million reduction in foreign currency transaction losses and a net decrease in losses of $1.2 million related to nonrecurring transactions in 2022, partially offset by a $1.1 million reduction in other income from sales of retired infrastructure assets.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Provision for income taxes</w:t>
      </w:r>
    </w:p>
    <w:p>
      <w:pPr>
        <w:spacing w:after="0" w:line="241" w:lineRule="exact"/>
        <w:rPr>
          <w:sz w:val="20"/>
          <w:szCs w:val="20"/>
          <w:color w:val="auto"/>
        </w:rPr>
      </w:pPr>
    </w:p>
    <w:p>
      <w:pPr>
        <w:ind w:right="80" w:firstLine="396"/>
        <w:spacing w:after="0" w:line="253" w:lineRule="auto"/>
        <w:rPr>
          <w:sz w:val="20"/>
          <w:szCs w:val="20"/>
          <w:color w:val="auto"/>
        </w:rPr>
      </w:pPr>
      <w:r>
        <w:rPr>
          <w:rFonts w:ascii="Arial" w:cs="Arial" w:eastAsia="Arial" w:hAnsi="Arial"/>
          <w:sz w:val="18"/>
          <w:szCs w:val="18"/>
          <w:color w:val="auto"/>
        </w:rPr>
        <w:t>Provision for income taxes decreased $1.3 million during the three months ended June 30, 2023, as compared to the three months ended June 30, 2022, primarily due to the impact of our reduction in workforce on income before income taxes, partially offset by the impact of the full U.S. valuation allowance on the prior year provision for income taxes.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71"/>
        </w:trPr>
        <w:tc>
          <w:tcPr>
            <w:tcW w:w="508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w w:val="89"/>
              </w:rPr>
              <w:t>Comparison of the six months ended June 30, 2023 and 2022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8"/>
        </w:trPr>
        <w:tc>
          <w:tcPr>
            <w:tcW w:w="5080" w:type="dxa"/>
            <w:vAlign w:val="bottom"/>
            <w:gridSpan w:val="2"/>
          </w:tcPr>
          <w:p>
            <w:pPr>
              <w:ind w:left="400"/>
              <w:spacing w:after="0"/>
              <w:rPr>
                <w:sz w:val="20"/>
                <w:szCs w:val="20"/>
                <w:color w:val="auto"/>
              </w:rPr>
            </w:pPr>
            <w:r>
              <w:rPr>
                <w:rFonts w:ascii="Arial" w:cs="Arial" w:eastAsia="Arial" w:hAnsi="Arial"/>
                <w:sz w:val="18"/>
                <w:szCs w:val="18"/>
                <w:i w:val="1"/>
                <w:iCs w:val="1"/>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4"/>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8"/>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center"/>
              <w:ind w:left="552"/>
              <w:spacing w:after="0"/>
              <w:rPr>
                <w:sz w:val="20"/>
                <w:szCs w:val="20"/>
                <w:color w:val="auto"/>
              </w:rPr>
            </w:pPr>
            <w:r>
              <w:rPr>
                <w:rFonts w:ascii="Arial" w:cs="Arial" w:eastAsia="Arial" w:hAnsi="Arial"/>
                <w:sz w:val="18"/>
                <w:szCs w:val="18"/>
                <w:i w:val="1"/>
                <w:iCs w:val="1"/>
                <w:color w:val="auto"/>
                <w:w w:val="93"/>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1,233.6</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317"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auto"/>
        </w:rPr>
        <w:t>Revenue increased $98.5 million or 8.7% during the six months ended June 30, 2023, as compared to the six months ended June 30, 2022 primarily due to an increase of $129.1 million from additional paying users, the acquisition of FormSwift in the fourth quarter of 2022 and the repricing and repackaging of the Dropbox Standard and Dropbox Advanced plans in the second quarter of 2022. These increases were offset by a $30.7 million unfavorable impact from changes in foreign exchange rates across multiple currencies.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ind w:left="40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91"/>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3"/>
          </w:tcPr>
          <w:p>
            <w:pPr>
              <w:jc w:val="center"/>
              <w:ind w:right="252"/>
              <w:spacing w:after="0"/>
              <w:rPr>
                <w:sz w:val="20"/>
                <w:szCs w:val="20"/>
                <w:color w:val="auto"/>
              </w:rPr>
            </w:pPr>
            <w:r>
              <w:rPr>
                <w:rFonts w:ascii="Arial" w:cs="Arial" w:eastAsia="Arial" w:hAnsi="Arial"/>
                <w:sz w:val="18"/>
                <w:szCs w:val="18"/>
                <w:b w:val="1"/>
                <w:bCs w:val="1"/>
                <w:color w:val="auto"/>
                <w:w w:val="89"/>
              </w:rPr>
              <w:t>Six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4"/>
        </w:trPr>
        <w:tc>
          <w:tcPr>
            <w:tcW w:w="4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592"/>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4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4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2"/>
          </w:tcPr>
          <w:p>
            <w:pPr>
              <w:jc w:val="center"/>
              <w:ind w:left="592"/>
              <w:spacing w:after="0"/>
              <w:rPr>
                <w:sz w:val="20"/>
                <w:szCs w:val="20"/>
                <w:color w:val="auto"/>
              </w:rPr>
            </w:pPr>
            <w:r>
              <w:rPr>
                <w:rFonts w:ascii="Arial" w:cs="Arial" w:eastAsia="Arial" w:hAnsi="Arial"/>
                <w:sz w:val="18"/>
                <w:szCs w:val="18"/>
                <w:i w:val="1"/>
                <w:iCs w:val="1"/>
                <w:color w:val="auto"/>
                <w:w w:val="95"/>
              </w:rPr>
              <w:t>(In millions)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236.9</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218.7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996.7</w:t>
            </w:r>
          </w:p>
        </w:tc>
        <w:tc>
          <w:tcPr>
            <w:tcW w:w="54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31"/>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bl>
    <w:p>
      <w:pPr>
        <w:spacing w:after="0" w:line="317" w:lineRule="exact"/>
        <w:rPr>
          <w:sz w:val="20"/>
          <w:szCs w:val="20"/>
          <w:color w:val="auto"/>
        </w:rPr>
      </w:pPr>
    </w:p>
    <w:p>
      <w:pPr>
        <w:ind w:right="160" w:firstLine="396"/>
        <w:spacing w:after="0" w:line="300" w:lineRule="auto"/>
        <w:rPr>
          <w:sz w:val="20"/>
          <w:szCs w:val="20"/>
          <w:color w:val="auto"/>
        </w:rPr>
      </w:pPr>
      <w:r>
        <w:rPr>
          <w:rFonts w:ascii="Arial" w:cs="Arial" w:eastAsia="Arial" w:hAnsi="Arial"/>
          <w:sz w:val="16"/>
          <w:szCs w:val="16"/>
          <w:color w:val="auto"/>
        </w:rPr>
        <w:t>Cost of revenue increased $18.2 million or 8.3% during the six months ended June 30, 2023, as compared to the six months ended June 30, 2022, primarily due to increases of $4.7 million in employee-related costs driven by costs related to our reduction in workforce, $4.0 million in infrastructure costs, $3.7 million in credit card fees, $3.3 million in amortization of intangible assets and $2.4 million in outside services.</w:t>
      </w:r>
    </w:p>
    <w:p>
      <w:pPr>
        <w:spacing w:after="0" w:line="181" w:lineRule="exact"/>
        <w:rPr>
          <w:sz w:val="20"/>
          <w:szCs w:val="20"/>
          <w:color w:val="auto"/>
        </w:rPr>
      </w:pPr>
    </w:p>
    <w:p>
      <w:pPr>
        <w:ind w:right="440" w:firstLine="396"/>
        <w:spacing w:after="0" w:line="325" w:lineRule="auto"/>
        <w:rPr>
          <w:sz w:val="20"/>
          <w:szCs w:val="20"/>
          <w:color w:val="auto"/>
        </w:rPr>
      </w:pPr>
      <w:r>
        <w:rPr>
          <w:rFonts w:ascii="Arial" w:cs="Arial" w:eastAsia="Arial" w:hAnsi="Arial"/>
          <w:sz w:val="16"/>
          <w:szCs w:val="16"/>
          <w:color w:val="auto"/>
        </w:rPr>
        <w:t>Our gross margin stayed flat during the six months ended June 30, 2023 compared to the six months ended June 30, 2022, primarily due to an 8.7% increase in revenue during the period, which was offset by an increase in our cost of revenue described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ind w:left="400"/>
              <w:spacing w:after="0"/>
              <w:rPr>
                <w:sz w:val="20"/>
                <w:szCs w:val="20"/>
                <w:color w:val="auto"/>
              </w:rPr>
            </w:pPr>
            <w:r>
              <w:rPr>
                <w:rFonts w:ascii="Arial" w:cs="Arial" w:eastAsia="Arial" w:hAnsi="Arial"/>
                <w:sz w:val="18"/>
                <w:szCs w:val="18"/>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6"/>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4"/>
        </w:trPr>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left="55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498.0</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r>
    </w:tbl>
    <w:p>
      <w:pPr>
        <w:spacing w:after="0" w:line="317" w:lineRule="exact"/>
        <w:rPr>
          <w:sz w:val="20"/>
          <w:szCs w:val="20"/>
          <w:color w:val="auto"/>
        </w:rPr>
      </w:pPr>
    </w:p>
    <w:p>
      <w:pPr>
        <w:ind w:right="60" w:firstLine="396"/>
        <w:spacing w:after="0" w:line="249" w:lineRule="auto"/>
        <w:rPr>
          <w:sz w:val="20"/>
          <w:szCs w:val="20"/>
          <w:color w:val="auto"/>
        </w:rPr>
      </w:pPr>
      <w:r>
        <w:rPr>
          <w:rFonts w:ascii="Arial" w:cs="Arial" w:eastAsia="Arial" w:hAnsi="Arial"/>
          <w:sz w:val="18"/>
          <w:szCs w:val="18"/>
          <w:color w:val="auto"/>
        </w:rPr>
        <w:t>Research and development expenses increased $72.2 million or 17.0% during the six months ended June 30, 2023, as compared to the six months ended June 30, 2022, primarily due to increases of $59.2 million in employee-related costs driven by $32.2 million in stock-based compensation and $27.0 million in costs related to our reduction in workforce, offset by a $6.7 million reversal of previously recognized stock-based compensation expense from the resignation of our President and the resulting forfeiture of his unvested awards. Additionally there were increases of $10.2 million in software subscription licenses and $2.8 million in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71"/>
        </w:trPr>
        <w:tc>
          <w:tcPr>
            <w:tcW w:w="5100" w:type="dxa"/>
            <w:vAlign w:val="bottom"/>
            <w:gridSpan w:val="2"/>
          </w:tcPr>
          <w:p>
            <w:pPr>
              <w:ind w:left="400"/>
              <w:spacing w:after="0"/>
              <w:rPr>
                <w:sz w:val="20"/>
                <w:szCs w:val="20"/>
                <w:color w:val="auto"/>
              </w:rPr>
            </w:pPr>
            <w:r>
              <w:rPr>
                <w:rFonts w:ascii="Arial" w:cs="Arial" w:eastAsia="Arial" w:hAnsi="Arial"/>
                <w:sz w:val="18"/>
                <w:szCs w:val="18"/>
                <w:i w:val="1"/>
                <w:iCs w:val="1"/>
                <w:color w:val="auto"/>
              </w:rPr>
              <w:t>Sales and marketing</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1"/>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8"/>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57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r>
    </w:tbl>
    <w:p>
      <w:pPr>
        <w:spacing w:after="0" w:line="317" w:lineRule="exact"/>
        <w:rPr>
          <w:sz w:val="20"/>
          <w:szCs w:val="20"/>
          <w:color w:val="auto"/>
        </w:rPr>
      </w:pPr>
    </w:p>
    <w:p>
      <w:pPr>
        <w:jc w:val="both"/>
        <w:ind w:right="180" w:firstLine="396"/>
        <w:spacing w:after="0" w:line="328" w:lineRule="auto"/>
        <w:rPr>
          <w:sz w:val="20"/>
          <w:szCs w:val="20"/>
          <w:color w:val="auto"/>
        </w:rPr>
      </w:pPr>
      <w:r>
        <w:rPr>
          <w:rFonts w:ascii="Arial" w:cs="Arial" w:eastAsia="Arial" w:hAnsi="Arial"/>
          <w:sz w:val="15"/>
          <w:szCs w:val="15"/>
          <w:color w:val="auto"/>
        </w:rPr>
        <w:t>Sales and marketing expenses increased $39.4 million or 19.6% during the six months ended June 30, 2023, as compared to the six months ended June 30, 2022, primarily due to increases of $18.2 million in employee-related costs driven by costs related to our reduction in workforce, $14.6 million related to advertising and other marketing related expenses, $4.1 million in amortization of intangible assets and $2.6 million in app store fees due to increased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ind w:left="400"/>
              <w:spacing w:after="0"/>
              <w:rPr>
                <w:sz w:val="20"/>
                <w:szCs w:val="20"/>
                <w:color w:val="auto"/>
              </w:rPr>
            </w:pPr>
            <w:r>
              <w:rPr>
                <w:rFonts w:ascii="Arial" w:cs="Arial" w:eastAsia="Arial" w:hAnsi="Arial"/>
                <w:sz w:val="18"/>
                <w:szCs w:val="18"/>
                <w:i w:val="1"/>
                <w:iCs w:val="1"/>
                <w:color w:val="auto"/>
              </w:rPr>
              <w:t>General and administrative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91"/>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3"/>
          </w:tcPr>
          <w:p>
            <w:pPr>
              <w:jc w:val="center"/>
              <w:ind w:right="232"/>
              <w:spacing w:after="0"/>
              <w:rPr>
                <w:sz w:val="20"/>
                <w:szCs w:val="20"/>
                <w:color w:val="auto"/>
              </w:rPr>
            </w:pPr>
            <w:r>
              <w:rPr>
                <w:rFonts w:ascii="Arial" w:cs="Arial" w:eastAsia="Arial" w:hAnsi="Arial"/>
                <w:sz w:val="18"/>
                <w:szCs w:val="18"/>
                <w:b w:val="1"/>
                <w:bCs w:val="1"/>
                <w:color w:val="auto"/>
                <w:w w:val="88"/>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4"/>
        </w:trPr>
        <w:tc>
          <w:tcPr>
            <w:tcW w:w="5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5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 Change</w:t>
            </w:r>
          </w:p>
        </w:tc>
      </w:tr>
      <w:tr>
        <w:trPr>
          <w:trHeight w:val="221"/>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572"/>
              <w:spacing w:after="0"/>
              <w:rPr>
                <w:sz w:val="20"/>
                <w:szCs w:val="20"/>
                <w:color w:val="auto"/>
              </w:rPr>
            </w:pPr>
            <w:r>
              <w:rPr>
                <w:rFonts w:ascii="Arial" w:cs="Arial" w:eastAsia="Arial" w:hAnsi="Arial"/>
                <w:sz w:val="18"/>
                <w:szCs w:val="18"/>
                <w:i w:val="1"/>
                <w:iCs w:val="1"/>
                <w:color w:val="auto"/>
                <w:w w:val="95"/>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bl>
    <w:p>
      <w:pPr>
        <w:spacing w:after="0" w:line="200" w:lineRule="exact"/>
        <w:rPr>
          <w:sz w:val="20"/>
          <w:szCs w:val="20"/>
          <w:color w:val="auto"/>
        </w:rPr>
      </w:pPr>
    </w:p>
    <w:p>
      <w:pPr>
        <w:spacing w:after="0" w:line="262" w:lineRule="exact"/>
        <w:rPr>
          <w:sz w:val="20"/>
          <w:szCs w:val="20"/>
          <w:color w:val="auto"/>
        </w:rPr>
      </w:pPr>
    </w:p>
    <w:p>
      <w:pPr>
        <w:ind w:right="280" w:firstLine="396"/>
        <w:spacing w:after="0" w:line="300" w:lineRule="auto"/>
        <w:rPr>
          <w:sz w:val="20"/>
          <w:szCs w:val="20"/>
          <w:color w:val="auto"/>
        </w:rPr>
      </w:pPr>
      <w:r>
        <w:rPr>
          <w:rFonts w:ascii="Arial" w:cs="Arial" w:eastAsia="Arial" w:hAnsi="Arial"/>
          <w:sz w:val="16"/>
          <w:szCs w:val="16"/>
          <w:color w:val="auto"/>
        </w:rPr>
        <w:t>General and administrative expenses increased $7.0 million or 6.4% during the six months ended June 30, 2023, as compared to the six months ended June 30, 2022, primarily due to increases of $10.4 million in employee-related costs driven by costs related to our reduction in workforce, $3.1 million in outside services, and $1.6 million in allocated overhead. These increases were offset by a decrease of $8.3 million in non-income based taxes.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ind w:left="440"/>
              <w:spacing w:after="0"/>
              <w:rPr>
                <w:sz w:val="20"/>
                <w:szCs w:val="20"/>
                <w:color w:val="auto"/>
              </w:rPr>
            </w:pPr>
            <w:r>
              <w:rPr>
                <w:rFonts w:ascii="Arial" w:cs="Arial" w:eastAsia="Arial" w:hAnsi="Arial"/>
                <w:sz w:val="18"/>
                <w:szCs w:val="18"/>
                <w:i w:val="1"/>
                <w:iCs w:val="1"/>
                <w:color w:val="auto"/>
              </w:rPr>
              <w:t>Impairment related to real estate assets</w:t>
            </w: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0"/>
        </w:trPr>
        <w:tc>
          <w:tcPr>
            <w:tcW w:w="4740" w:type="dxa"/>
            <w:vAlign w:val="bottom"/>
          </w:tcPr>
          <w:p>
            <w:pPr>
              <w:spacing w:after="0"/>
              <w:rPr>
                <w:sz w:val="24"/>
                <w:szCs w:val="24"/>
                <w:color w:val="auto"/>
              </w:rPr>
            </w:pPr>
          </w:p>
        </w:tc>
        <w:tc>
          <w:tcPr>
            <w:tcW w:w="2640" w:type="dxa"/>
            <w:vAlign w:val="bottom"/>
            <w:gridSpan w:val="4"/>
          </w:tcPr>
          <w:p>
            <w:pPr>
              <w:jc w:val="center"/>
              <w:ind w:left="332"/>
              <w:spacing w:after="0"/>
              <w:rPr>
                <w:sz w:val="20"/>
                <w:szCs w:val="20"/>
                <w:color w:val="auto"/>
              </w:rPr>
            </w:pPr>
            <w:r>
              <w:rPr>
                <w:rFonts w:ascii="Arial" w:cs="Arial" w:eastAsia="Arial" w:hAnsi="Arial"/>
                <w:sz w:val="18"/>
                <w:szCs w:val="18"/>
                <w:b w:val="1"/>
                <w:bCs w:val="1"/>
                <w:color w:val="auto"/>
                <w:w w:val="88"/>
              </w:rPr>
              <w:t>Six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4"/>
        </w:trPr>
        <w:tc>
          <w:tcPr>
            <w:tcW w:w="4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32"/>
              <w:spacing w:after="0"/>
              <w:rPr>
                <w:sz w:val="20"/>
                <w:szCs w:val="20"/>
                <w:color w:val="auto"/>
              </w:rPr>
            </w:pPr>
            <w:r>
              <w:rPr>
                <w:rFonts w:ascii="Arial" w:cs="Arial" w:eastAsia="Arial" w:hAnsi="Arial"/>
                <w:sz w:val="18"/>
                <w:szCs w:val="18"/>
                <w:b w:val="1"/>
                <w:bCs w:val="1"/>
                <w:color w:val="auto"/>
                <w:w w:val="85"/>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6"/>
        </w:trPr>
        <w:tc>
          <w:tcPr>
            <w:tcW w:w="4740" w:type="dxa"/>
            <w:vAlign w:val="bottom"/>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 Change</w:t>
            </w:r>
          </w:p>
        </w:tc>
      </w:tr>
      <w:tr>
        <w:trPr>
          <w:trHeight w:val="211"/>
        </w:trPr>
        <w:tc>
          <w:tcPr>
            <w:tcW w:w="4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gridSpan w:val="3"/>
          </w:tcPr>
          <w:p>
            <w:pPr>
              <w:jc w:val="center"/>
              <w:ind w:right="532"/>
              <w:spacing w:after="0"/>
              <w:rPr>
                <w:sz w:val="20"/>
                <w:szCs w:val="20"/>
                <w:color w:val="auto"/>
              </w:rPr>
            </w:pPr>
            <w:r>
              <w:rPr>
                <w:rFonts w:ascii="Arial" w:cs="Arial" w:eastAsia="Arial" w:hAnsi="Arial"/>
                <w:sz w:val="14"/>
                <w:szCs w:val="14"/>
                <w:i w:val="1"/>
                <w:iCs w:val="1"/>
                <w:color w:val="auto"/>
                <w:w w:val="97"/>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
        </w:trPr>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54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304" w:lineRule="exact"/>
        <w:rPr>
          <w:sz w:val="20"/>
          <w:szCs w:val="20"/>
          <w:color w:val="auto"/>
        </w:rPr>
      </w:pPr>
    </w:p>
    <w:p>
      <w:pPr>
        <w:ind w:right="200" w:firstLine="435"/>
        <w:spacing w:after="0" w:line="247" w:lineRule="auto"/>
        <w:rPr>
          <w:sz w:val="20"/>
          <w:szCs w:val="20"/>
          <w:color w:val="auto"/>
        </w:rPr>
      </w:pPr>
      <w:r>
        <w:rPr>
          <w:rFonts w:ascii="Arial" w:cs="Arial" w:eastAsia="Arial" w:hAnsi="Arial"/>
          <w:sz w:val="18"/>
          <w:szCs w:val="18"/>
          <w:color w:val="auto"/>
        </w:rPr>
        <w:t>Impairment related to real estate assets was $2.2 million and $8.7 million during the six months ended June 30, 2023 and 2022, respectively, related to right-of-use and other lease related assets, in conjunction with our Virtual First model.</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income (expense), net</w:t>
      </w:r>
    </w:p>
    <w:p>
      <w:pPr>
        <w:spacing w:after="0" w:line="241" w:lineRule="exact"/>
        <w:rPr>
          <w:sz w:val="20"/>
          <w:szCs w:val="20"/>
          <w:color w:val="auto"/>
        </w:rPr>
      </w:pPr>
    </w:p>
    <w:p>
      <w:pPr>
        <w:ind w:right="60" w:firstLine="396"/>
        <w:spacing w:after="0" w:line="262" w:lineRule="auto"/>
        <w:rPr>
          <w:sz w:val="20"/>
          <w:szCs w:val="20"/>
          <w:color w:val="auto"/>
        </w:rPr>
      </w:pPr>
      <w:r>
        <w:rPr>
          <w:rFonts w:ascii="Arial" w:cs="Arial" w:eastAsia="Arial" w:hAnsi="Arial"/>
          <w:sz w:val="18"/>
          <w:szCs w:val="18"/>
          <w:color w:val="auto"/>
        </w:rPr>
        <w:t>Interest income (expense), net increased by $9.5 million during the six months ended June 30, 2023, as compared to the six months ended June 30, 2022, primarily due to higher interest income as a result of interest rate increases.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(loss) income, net</w:t>
      </w:r>
    </w:p>
    <w:p>
      <w:pPr>
        <w:spacing w:after="0" w:line="241" w:lineRule="exact"/>
        <w:rPr>
          <w:sz w:val="20"/>
          <w:szCs w:val="20"/>
          <w:color w:val="auto"/>
        </w:rPr>
      </w:pPr>
    </w:p>
    <w:p>
      <w:pPr>
        <w:ind w:right="440" w:firstLine="396"/>
        <w:spacing w:after="0" w:line="250" w:lineRule="auto"/>
        <w:rPr>
          <w:sz w:val="20"/>
          <w:szCs w:val="20"/>
          <w:color w:val="auto"/>
        </w:rPr>
      </w:pPr>
      <w:r>
        <w:rPr>
          <w:rFonts w:ascii="Arial" w:cs="Arial" w:eastAsia="Arial" w:hAnsi="Arial"/>
          <w:sz w:val="18"/>
          <w:szCs w:val="18"/>
          <w:color w:val="auto"/>
        </w:rPr>
        <w:t>Other (loss) income, net decreased by $4.0 million during the six months ended June 30, 2023, as compared to the six months ended June 30, 2022, primarily due to a $3.7 million reduction in other income from sales of retired infrastructure assets and a $1.6 million increase in losses on investments partially offset by net decrease in losses of $1.2 million related to nonrecurring transactions in 2022 and a $0.9 million reduction in foreign currency transaction losses.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Provision for income taxes</w:t>
      </w:r>
    </w:p>
    <w:p>
      <w:pPr>
        <w:spacing w:after="0" w:line="241" w:lineRule="exact"/>
        <w:rPr>
          <w:sz w:val="20"/>
          <w:szCs w:val="20"/>
          <w:color w:val="auto"/>
        </w:rPr>
      </w:pPr>
    </w:p>
    <w:p>
      <w:pPr>
        <w:ind w:right="240" w:firstLine="396"/>
        <w:spacing w:after="0" w:line="253" w:lineRule="auto"/>
        <w:rPr>
          <w:sz w:val="20"/>
          <w:szCs w:val="20"/>
          <w:color w:val="auto"/>
        </w:rPr>
      </w:pPr>
      <w:r>
        <w:rPr>
          <w:rFonts w:ascii="Arial" w:cs="Arial" w:eastAsia="Arial" w:hAnsi="Arial"/>
          <w:sz w:val="18"/>
          <w:szCs w:val="18"/>
          <w:color w:val="auto"/>
        </w:rPr>
        <w:t>Provision for income taxes increased $3.2 million during the six months ended June 30, 2023, as compared to the six months ended June 30, 2022, primarily due to the impact of the full U.S. valuation allowance on the prior year provision for income taxes. The net increase also reflects the impact of our reduction in workforce on our year-to-date income before income taxes.</w:t>
      </w:r>
    </w:p>
    <w:p>
      <w:pPr>
        <w:sectPr>
          <w:pgSz w:w="11900" w:h="16838" w:orient="portrait"/>
          <w:cols w:equalWidth="0" w:num="1">
            <w:col w:w="11220"/>
          </w:cols>
          <w:pgMar w:left="320" w:top="104" w:right="3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20" w:firstLine="396"/>
        <w:spacing w:after="0" w:line="282" w:lineRule="auto"/>
        <w:rPr>
          <w:sz w:val="20"/>
          <w:szCs w:val="20"/>
          <w:color w:val="auto"/>
        </w:rPr>
      </w:pPr>
      <w:r>
        <w:rPr>
          <w:rFonts w:ascii="Arial" w:cs="Arial" w:eastAsia="Arial" w:hAnsi="Arial"/>
          <w:sz w:val="16"/>
          <w:szCs w:val="16"/>
          <w:color w:val="auto"/>
        </w:rPr>
        <w:t>As of June 30, 2023, we had cash and cash equivalents of $510.3 million and short-term investments of $717.2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June 30, 2023, $369.9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times. We believe these policies mitigate our exposure to any risk concentrations.</w:t>
      </w:r>
    </w:p>
    <w:p>
      <w:pPr>
        <w:spacing w:after="0" w:line="104" w:lineRule="exact"/>
        <w:rPr>
          <w:sz w:val="20"/>
          <w:szCs w:val="20"/>
          <w:color w:val="auto"/>
        </w:rPr>
      </w:pPr>
    </w:p>
    <w:p>
      <w:pPr>
        <w:ind w:right="120" w:firstLine="396"/>
        <w:spacing w:after="0" w:line="287" w:lineRule="auto"/>
        <w:rPr>
          <w:sz w:val="20"/>
          <w:szCs w:val="20"/>
          <w:color w:val="auto"/>
        </w:rPr>
      </w:pPr>
      <w:r>
        <w:rPr>
          <w:rFonts w:ascii="Arial" w:cs="Arial" w:eastAsia="Arial" w:hAnsi="Arial"/>
          <w:sz w:val="16"/>
          <w:szCs w:val="16"/>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spacing w:after="0" w:line="192" w:lineRule="exact"/>
        <w:rPr>
          <w:sz w:val="20"/>
          <w:szCs w:val="20"/>
          <w:color w:val="auto"/>
        </w:rPr>
      </w:pPr>
    </w:p>
    <w:p>
      <w:pPr>
        <w:ind w:right="140" w:firstLine="396"/>
        <w:spacing w:after="0" w:line="285" w:lineRule="auto"/>
        <w:rPr>
          <w:sz w:val="20"/>
          <w:szCs w:val="20"/>
          <w:color w:val="auto"/>
        </w:rPr>
      </w:pPr>
      <w:r>
        <w:rPr>
          <w:rFonts w:ascii="Arial" w:cs="Arial" w:eastAsia="Arial" w:hAnsi="Arial"/>
          <w:sz w:val="16"/>
          <w:szCs w:val="16"/>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our failure to comply with certain of our reporting obligations. These Notes can be converted or repurchased prior to maturity if certain conditions are met.</w:t>
      </w:r>
    </w:p>
    <w:p>
      <w:pPr>
        <w:spacing w:after="0" w:line="87"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$1.2 billion of the outstanding shares of our Class A common stock. In July 2023, our Board of Directors authorized the repurchase of up to an additional $1.2 billion of the outstanding shares of our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2023, we repurchased and subsequently retired 6.9 million and 15.0 million shares, respectively, of our Class A common stock for an aggregate amount of $155.2 million and $331.7 million, respectively. Included in the cost of treasury stock acquired pursuant to common share repurchases is the 1% excise tax imposed as part of the Inflation Reduction Act. The pace of our share repurchases may fluctuate due to various circumstances, including market conditions and our stock price.</w:t>
      </w:r>
    </w:p>
    <w:p>
      <w:pPr>
        <w:spacing w:after="0" w:line="198" w:lineRule="exact"/>
        <w:rPr>
          <w:sz w:val="20"/>
          <w:szCs w:val="20"/>
          <w:color w:val="auto"/>
        </w:rPr>
      </w:pPr>
    </w:p>
    <w:p>
      <w:pPr>
        <w:ind w:right="120" w:firstLine="396"/>
        <w:spacing w:after="0" w:line="279"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w:t>
      </w:r>
    </w:p>
    <w:p>
      <w:pPr>
        <w:ind w:right="60"/>
        <w:spacing w:after="0" w:line="245" w:lineRule="auto"/>
        <w:rPr>
          <w:sz w:val="20"/>
          <w:szCs w:val="20"/>
          <w:color w:val="auto"/>
        </w:rPr>
      </w:pPr>
      <w:r>
        <w:rPr>
          <w:rFonts w:ascii="Arial" w:cs="Arial" w:eastAsia="Arial" w:hAnsi="Arial"/>
          <w:sz w:val="18"/>
          <w:szCs w:val="18"/>
          <w:color w:val="auto"/>
        </w:rPr>
        <w:t>$187.5 million. We also increased our borrowing capacity under the revolving credit facility from $600.0 million to $725.0 million. In February 2021, we amended our revolving credit facility to decrease our borrowing capacity from $725.0 million to $500.0 million. We may from time-to-time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w:t>
      </w:r>
    </w:p>
    <w:p>
      <w:pPr>
        <w:spacing w:after="0" w:line="132" w:lineRule="exact"/>
        <w:rPr>
          <w:sz w:val="20"/>
          <w:szCs w:val="20"/>
          <w:color w:val="auto"/>
        </w:rPr>
      </w:pPr>
    </w:p>
    <w:p>
      <w:pPr>
        <w:ind w:right="320" w:firstLine="396"/>
        <w:spacing w:after="0" w:line="292" w:lineRule="auto"/>
        <w:rPr>
          <w:sz w:val="20"/>
          <w:szCs w:val="20"/>
          <w:color w:val="auto"/>
        </w:rPr>
      </w:pPr>
      <w:r>
        <w:rPr>
          <w:rFonts w:ascii="Arial" w:cs="Arial" w:eastAsia="Arial" w:hAnsi="Arial"/>
          <w:sz w:val="16"/>
          <w:szCs w:val="16"/>
          <w:color w:val="auto"/>
        </w:rPr>
        <w:t>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outstanding. There is an additional fronting fee of 0.125% per annum multiplied by the average aggregate daily maximum amount available under all letters of credit.</w:t>
      </w:r>
    </w:p>
    <w:p>
      <w:pPr>
        <w:spacing w:after="0" w:line="115" w:lineRule="exact"/>
        <w:rPr>
          <w:sz w:val="20"/>
          <w:szCs w:val="20"/>
          <w:color w:val="auto"/>
        </w:rPr>
      </w:pPr>
    </w:p>
    <w:p>
      <w:pPr>
        <w:ind w:right="40" w:firstLine="396"/>
        <w:spacing w:after="0" w:line="292"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June 30, 2023.</w:t>
      </w:r>
    </w:p>
    <w:p>
      <w:pPr>
        <w:spacing w:after="0" w:line="81" w:lineRule="exact"/>
        <w:rPr>
          <w:sz w:val="20"/>
          <w:szCs w:val="20"/>
          <w:color w:val="auto"/>
        </w:rPr>
      </w:pPr>
    </w:p>
    <w:p>
      <w:pPr>
        <w:jc w:val="both"/>
        <w:ind w:right="40" w:firstLine="396"/>
        <w:spacing w:after="0" w:line="325" w:lineRule="auto"/>
        <w:rPr>
          <w:sz w:val="20"/>
          <w:szCs w:val="20"/>
          <w:color w:val="auto"/>
        </w:rPr>
      </w:pPr>
      <w:r>
        <w:rPr>
          <w:rFonts w:ascii="Arial" w:cs="Arial" w:eastAsia="Arial" w:hAnsi="Arial"/>
          <w:sz w:val="16"/>
          <w:szCs w:val="16"/>
          <w:color w:val="auto"/>
        </w:rPr>
        <w:t>As of June 30, 2023, we had no amounts outstanding under the revolving credit facility and an aggregate of $38.8 million in letters of credit issued under the revolving credit facility. Our total available borrowing capacity under the revolving credit facility was $461.2 million as of June 30, 2023.</w:t>
      </w:r>
    </w:p>
    <w:p>
      <w:pPr>
        <w:spacing w:after="0" w:line="69" w:lineRule="exact"/>
        <w:rPr>
          <w:sz w:val="20"/>
          <w:szCs w:val="20"/>
          <w:color w:val="auto"/>
        </w:rPr>
      </w:pPr>
    </w:p>
    <w:p>
      <w:pPr>
        <w:jc w:val="both"/>
        <w:ind w:right="40" w:firstLine="396"/>
        <w:spacing w:after="0" w:line="253" w:lineRule="auto"/>
        <w:rPr>
          <w:sz w:val="20"/>
          <w:szCs w:val="20"/>
          <w:color w:val="auto"/>
        </w:rPr>
      </w:pPr>
      <w:r>
        <w:rPr>
          <w:rFonts w:ascii="Arial" w:cs="Arial" w:eastAsia="Arial" w:hAnsi="Arial"/>
          <w:sz w:val="18"/>
          <w:szCs w:val="18"/>
          <w:color w:val="auto"/>
        </w:rPr>
        <w:t>As of June 30, 2023,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spacing w:after="0" w:line="216" w:lineRule="exact"/>
        <w:rPr>
          <w:sz w:val="20"/>
          <w:szCs w:val="20"/>
          <w:color w:val="auto"/>
        </w:rPr>
      </w:pPr>
    </w:p>
    <w:p>
      <w:pPr>
        <w:ind w:right="200" w:firstLine="396"/>
        <w:spacing w:after="0" w:line="253" w:lineRule="auto"/>
        <w:rPr>
          <w:sz w:val="20"/>
          <w:szCs w:val="20"/>
          <w:color w:val="auto"/>
        </w:rPr>
      </w:pPr>
      <w:r>
        <w:rPr>
          <w:rFonts w:ascii="Arial" w:cs="Arial" w:eastAsia="Arial" w:hAnsi="Arial"/>
          <w:sz w:val="18"/>
          <w:szCs w:val="18"/>
          <w:color w:val="auto"/>
        </w:rPr>
        <w:t>We believe our existing cash and cash equivalents, together with our short-term investments, cash provided by operations and amounts available under the revolving credit facility, will be sufficient to meet our needs for the foreseeable future. As of June 30, 2023, our principal commitments consist of obligations under the Notes, and cash commitments due to additional known contractual obligations.</w:t>
      </w:r>
    </w:p>
    <w:p>
      <w:pPr>
        <w:spacing w:after="0" w:line="216"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167"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Six Months Ended</w:t>
      </w:r>
    </w:p>
    <w:p>
      <w:pPr>
        <w:jc w:val="center"/>
        <w:ind w:left="7380"/>
        <w:spacing w:after="0"/>
        <w:rPr>
          <w:sz w:val="20"/>
          <w:szCs w:val="20"/>
          <w:color w:val="auto"/>
        </w:rPr>
      </w:pPr>
      <w:r>
        <w:rPr>
          <w:rFonts w:ascii="Arial" w:cs="Arial" w:eastAsia="Arial" w:hAnsi="Arial"/>
          <w:sz w:val="18"/>
          <w:szCs w:val="18"/>
          <w:b w:val="1"/>
          <w:bCs w:val="1"/>
          <w:color w:val="auto"/>
        </w:rPr>
        <w:t>June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r>
      <w:tr>
        <w:trPr>
          <w:trHeight w:val="218"/>
        </w:trPr>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Pr>
          <w:p>
            <w:pPr>
              <w:spacing w:after="0"/>
              <w:rPr>
                <w:sz w:val="18"/>
                <w:szCs w:val="18"/>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9"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impairment related to real estate assets, as well as the effect of changes in operating assets and liabilities.</w:t>
      </w:r>
    </w:p>
    <w:p>
      <w:pPr>
        <w:spacing w:after="0" w:line="94" w:lineRule="exact"/>
        <w:rPr>
          <w:sz w:val="20"/>
          <w:szCs w:val="20"/>
          <w:color w:val="auto"/>
        </w:rPr>
      </w:pPr>
    </w:p>
    <w:p>
      <w:pPr>
        <w:ind w:right="280" w:firstLine="396"/>
        <w:spacing w:after="0" w:line="250" w:lineRule="auto"/>
        <w:rPr>
          <w:sz w:val="20"/>
          <w:szCs w:val="20"/>
          <w:color w:val="auto"/>
        </w:rPr>
      </w:pPr>
      <w:r>
        <w:rPr>
          <w:rFonts w:ascii="Arial" w:cs="Arial" w:eastAsia="Arial" w:hAnsi="Arial"/>
          <w:sz w:val="18"/>
          <w:szCs w:val="18"/>
          <w:color w:val="auto"/>
        </w:rPr>
        <w:t>For the six months ended June 30, 2023, net cash provided by operating activities was $327.5 million, which primarily consisted of our net income of $112.2 million, adjusted for stock-based compensation expense of $171.3 million, depreciation and amortization expenses of $85.2 million, and net cash outflow of $97.8 million from operating assets and liabilities. The outflow from operating assets and liabilities was primarily due to the payment of our corporate bonus, payments for our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reduction in workforce, and key employee holdback payments related to acquisitions, offset by an increase in deferred revenue from increased subscription sales, as a majority of our paying users are invoiced in advance.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6" w:lineRule="exact"/>
        <w:rPr>
          <w:sz w:val="20"/>
          <w:szCs w:val="20"/>
          <w:color w:val="auto"/>
        </w:rPr>
      </w:pPr>
    </w:p>
    <w:p>
      <w:pPr>
        <w:ind w:right="180" w:firstLine="396"/>
        <w:spacing w:after="0" w:line="325" w:lineRule="auto"/>
        <w:rPr>
          <w:sz w:val="20"/>
          <w:szCs w:val="20"/>
          <w:color w:val="auto"/>
        </w:rPr>
      </w:pPr>
      <w:r>
        <w:rPr>
          <w:rFonts w:ascii="Arial" w:cs="Arial" w:eastAsia="Arial" w:hAnsi="Arial"/>
          <w:sz w:val="16"/>
          <w:szCs w:val="16"/>
          <w:color w:val="auto"/>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spacing w:after="0" w:line="69" w:lineRule="exact"/>
        <w:rPr>
          <w:sz w:val="20"/>
          <w:szCs w:val="20"/>
          <w:color w:val="auto"/>
        </w:rPr>
      </w:pPr>
    </w:p>
    <w:p>
      <w:pPr>
        <w:jc w:val="both"/>
        <w:ind w:right="240" w:firstLine="396"/>
        <w:spacing w:after="0" w:line="300" w:lineRule="auto"/>
        <w:rPr>
          <w:sz w:val="20"/>
          <w:szCs w:val="20"/>
          <w:color w:val="auto"/>
        </w:rPr>
      </w:pPr>
      <w:r>
        <w:rPr>
          <w:rFonts w:ascii="Arial" w:cs="Arial" w:eastAsia="Arial" w:hAnsi="Arial"/>
          <w:sz w:val="16"/>
          <w:szCs w:val="16"/>
          <w:color w:val="auto"/>
        </w:rPr>
        <w:t>For the six months ended June 30, 2023, net cash provided by investing activities was $406.9 million, which primarily related to $403.1 million in net investment activity inflows, driven by the sales and maturities of short-term investments, net of purchases. The increase was partially offset by cash paid for capital expenditures of $4.9 million related to purchases of infrastructure assets at our datacenters.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6" w:lineRule="exact"/>
        <w:rPr>
          <w:sz w:val="20"/>
          <w:szCs w:val="20"/>
          <w:color w:val="auto"/>
        </w:rPr>
      </w:pPr>
    </w:p>
    <w:p>
      <w:pPr>
        <w:ind w:right="140" w:firstLine="396"/>
        <w:spacing w:after="0" w:line="262" w:lineRule="auto"/>
        <w:rPr>
          <w:sz w:val="20"/>
          <w:szCs w:val="20"/>
          <w:color w:val="auto"/>
        </w:rPr>
      </w:pPr>
      <w:r>
        <w:rPr>
          <w:rFonts w:ascii="Arial" w:cs="Arial" w:eastAsia="Arial" w:hAnsi="Arial"/>
          <w:sz w:val="18"/>
          <w:szCs w:val="18"/>
          <w:color w:val="auto"/>
        </w:rPr>
        <w:t>Net cash used in financing activities is primarily impacted by cash used for repurchases of common stock, tax withholding obligations for the release of RSUs and RSAs, and principal payments on finance lease obligations for our infrastructure equipment.</w:t>
      </w:r>
    </w:p>
    <w:p>
      <w:pPr>
        <w:spacing w:after="0" w:line="115"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For the six months ended June 30, 2023, net cash used in financing activities was $458.6 million, which primarily consisted of $329.6 million for the repurchase of our common stock, $66.2 million for the satisfaction of tax withholding obligations for the release of restricted stock units and awards, and $63.9 million in principal payments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ind w:firstLine="316"/>
        <w:spacing w:after="0" w:line="325" w:lineRule="auto"/>
        <w:rPr>
          <w:sz w:val="20"/>
          <w:szCs w:val="20"/>
          <w:color w:val="auto"/>
        </w:rPr>
      </w:pPr>
      <w:r>
        <w:rPr>
          <w:rFonts w:ascii="Arial" w:cs="Arial" w:eastAsia="Arial" w:hAnsi="Arial"/>
          <w:sz w:val="16"/>
          <w:szCs w:val="16"/>
          <w:color w:val="auto"/>
        </w:rPr>
        <w:t>See Part II, Item 7, “Critical Accounting Estimates” in our Annual Report on Form 10-K for the year ended December 31, 2022. There have been no material changes to our critical accounting policies and estimates since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firstLine="396"/>
        <w:spacing w:after="0" w:line="325" w:lineRule="auto"/>
        <w:rPr>
          <w:sz w:val="20"/>
          <w:szCs w:val="20"/>
          <w:color w:val="auto"/>
        </w:rPr>
      </w:pPr>
      <w:r>
        <w:rPr>
          <w:rFonts w:ascii="Arial" w:cs="Arial" w:eastAsia="Arial" w:hAnsi="Arial"/>
          <w:sz w:val="16"/>
          <w:szCs w:val="16"/>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9"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We had cash and cash equivalents of $510.3 million and short-term investments of $717.2 million as of June 30, 2023.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0" w:lineRule="exact"/>
        <w:rPr>
          <w:sz w:val="20"/>
          <w:szCs w:val="20"/>
          <w:color w:val="auto"/>
        </w:rPr>
      </w:pPr>
    </w:p>
    <w:p>
      <w:pPr>
        <w:ind w:right="20" w:firstLine="396"/>
        <w:spacing w:after="0" w:line="253" w:lineRule="auto"/>
        <w:rPr>
          <w:sz w:val="20"/>
          <w:szCs w:val="20"/>
          <w:color w:val="auto"/>
        </w:rPr>
      </w:pPr>
      <w:r>
        <w:rPr>
          <w:rFonts w:ascii="Arial" w:cs="Arial" w:eastAsia="Arial" w:hAnsi="Arial"/>
          <w:sz w:val="18"/>
          <w:szCs w:val="18"/>
          <w:color w:val="auto"/>
        </w:rPr>
        <w:t>Any borrowings under the revolving credit facility bear interest at a variable rate tied to SOFR or an alternative base rate. As of June 30, 2023, we had no amounts outstanding under the revolving credit facility. We do not have any other long-term debt or financial liabilities with floating interest rates that would subject us to interest rate fluctuations.</w:t>
      </w:r>
    </w:p>
    <w:p>
      <w:pPr>
        <w:spacing w:after="0" w:line="110" w:lineRule="exact"/>
        <w:rPr>
          <w:sz w:val="20"/>
          <w:szCs w:val="20"/>
          <w:color w:val="auto"/>
        </w:rPr>
      </w:pPr>
    </w:p>
    <w:p>
      <w:pPr>
        <w:ind w:right="240" w:firstLine="396"/>
        <w:spacing w:after="0" w:line="325" w:lineRule="auto"/>
        <w:rPr>
          <w:sz w:val="20"/>
          <w:szCs w:val="20"/>
          <w:color w:val="auto"/>
        </w:rPr>
      </w:pPr>
      <w:r>
        <w:rPr>
          <w:rFonts w:ascii="Arial" w:cs="Arial" w:eastAsia="Arial" w:hAnsi="Arial"/>
          <w:sz w:val="16"/>
          <w:szCs w:val="16"/>
          <w:color w:val="auto"/>
        </w:rPr>
        <w:t>As of June 30, 2023, a hypothetical increase in interest rates by 100 basis points would have resulted in a $9.4 million reduction in the market value of our investment portfolio. This estimate is based on a sensitivity model that measures market value changes when changes in interest rates occur.</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6" w:lineRule="exact"/>
        <w:rPr>
          <w:sz w:val="20"/>
          <w:szCs w:val="20"/>
          <w:color w:val="auto"/>
        </w:rPr>
      </w:pPr>
    </w:p>
    <w:p>
      <w:pPr>
        <w:ind w:right="620" w:firstLine="396"/>
        <w:spacing w:after="0" w:line="262"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relative to U.S. dollars, our reporting currency.</w:t>
      </w:r>
    </w:p>
    <w:p>
      <w:pPr>
        <w:spacing w:after="0" w:line="115" w:lineRule="exact"/>
        <w:rPr>
          <w:sz w:val="20"/>
          <w:szCs w:val="20"/>
          <w:color w:val="auto"/>
        </w:rPr>
      </w:pPr>
    </w:p>
    <w:p>
      <w:pPr>
        <w:ind w:right="20" w:firstLine="396"/>
        <w:spacing w:after="0" w:line="262" w:lineRule="auto"/>
        <w:rPr>
          <w:sz w:val="20"/>
          <w:szCs w:val="20"/>
          <w:color w:val="auto"/>
        </w:rPr>
      </w:pPr>
      <w:r>
        <w:rPr>
          <w:rFonts w:ascii="Arial" w:cs="Arial" w:eastAsia="Arial" w:hAnsi="Arial"/>
          <w:sz w:val="18"/>
          <w:szCs w:val="18"/>
          <w:color w:val="auto"/>
        </w:rPr>
        <w:t>Most of our revenue is generated in U.S. dollars, with the remainder generated in Euros, British pounds sterling, Australian dollars, Canadian dollars, and Japanese yen.</w:t>
      </w:r>
    </w:p>
    <w:p>
      <w:pPr>
        <w:spacing w:after="0" w:line="115" w:lineRule="exact"/>
        <w:rPr>
          <w:sz w:val="20"/>
          <w:szCs w:val="20"/>
          <w:color w:val="auto"/>
        </w:rPr>
      </w:pPr>
    </w:p>
    <w:p>
      <w:pPr>
        <w:ind w:right="140" w:firstLine="396"/>
        <w:spacing w:after="0" w:line="250" w:lineRule="auto"/>
        <w:rPr>
          <w:sz w:val="20"/>
          <w:szCs w:val="20"/>
          <w:color w:val="auto"/>
        </w:rPr>
      </w:pPr>
      <w:r>
        <w:rPr>
          <w:rFonts w:ascii="Arial" w:cs="Arial" w:eastAsia="Arial" w:hAnsi="Arial"/>
          <w:sz w:val="18"/>
          <w:szCs w:val="18"/>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14"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2023,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201"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We recorded net foreign currency transaction losses of $0.1 million and $1.0 million during the six months ended June 30, 2023 and 2022, respectively. A hypothetical 10% change in foreign currency rates would not have resulted in material gains or losses for the six months ended June 30, 2023 and 2022, respectively.</w:t>
      </w:r>
    </w:p>
    <w:p>
      <w:pPr>
        <w:spacing w:after="0" w:line="124"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ind w:right="20" w:firstLine="396"/>
        <w:spacing w:after="0" w:line="29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80" w:firstLine="396"/>
        <w:spacing w:after="0" w:line="25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47"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6"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spacing w:after="0" w:line="216"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’158 and ’052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spacing w:after="0" w:line="198" w:lineRule="exact"/>
        <w:rPr>
          <w:sz w:val="20"/>
          <w:szCs w:val="20"/>
          <w:color w:val="auto"/>
        </w:rPr>
      </w:pPr>
    </w:p>
    <w:p>
      <w:pPr>
        <w:ind w:right="380" w:firstLine="396"/>
        <w:spacing w:after="0" w:line="325" w:lineRule="auto"/>
        <w:rPr>
          <w:sz w:val="20"/>
          <w:szCs w:val="20"/>
          <w:color w:val="auto"/>
        </w:rPr>
      </w:pPr>
      <w:r>
        <w:rPr>
          <w:rFonts w:ascii="Arial" w:cs="Arial" w:eastAsia="Arial" w:hAnsi="Arial"/>
          <w:sz w:val="16"/>
          <w:szCs w:val="16"/>
          <w:color w:val="auto"/>
        </w:rPr>
        <w:t>At the trial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w:t>
      </w:r>
    </w:p>
    <w:p>
      <w:pPr>
        <w:spacing w:after="0" w:line="161" w:lineRule="exact"/>
        <w:rPr>
          <w:sz w:val="20"/>
          <w:szCs w:val="20"/>
          <w:color w:val="auto"/>
        </w:rPr>
      </w:pPr>
    </w:p>
    <w:p>
      <w:pPr>
        <w:ind w:right="120" w:firstLine="396"/>
        <w:spacing w:after="0" w:line="325" w:lineRule="auto"/>
        <w:rPr>
          <w:sz w:val="20"/>
          <w:szCs w:val="20"/>
          <w:color w:val="auto"/>
        </w:rPr>
      </w:pPr>
      <w:r>
        <w:rPr>
          <w:rFonts w:ascii="Arial" w:cs="Arial" w:eastAsia="Arial" w:hAnsi="Arial"/>
          <w:sz w:val="16"/>
          <w:szCs w:val="16"/>
          <w:color w:val="auto"/>
        </w:rPr>
        <w:t>Before trial, Motion Offense filed a third patent infringement suit against Dropbox out of the same family of patents as the prior two suits. This suit was not consolidated into the trial. We believe Motion Offense’s allegations in that suit are similarly without merit and will vigorously defend against them.</w:t>
      </w:r>
    </w:p>
    <w:p>
      <w:pPr>
        <w:spacing w:after="0" w:line="161" w:lineRule="exact"/>
        <w:rPr>
          <w:sz w:val="20"/>
          <w:szCs w:val="20"/>
          <w:color w:val="auto"/>
        </w:rPr>
      </w:pPr>
    </w:p>
    <w:p>
      <w:pPr>
        <w:ind w:right="240" w:firstLine="396"/>
        <w:spacing w:after="0" w:line="262" w:lineRule="auto"/>
        <w:rPr>
          <w:sz w:val="20"/>
          <w:szCs w:val="20"/>
          <w:color w:val="auto"/>
        </w:rPr>
      </w:pPr>
      <w:r>
        <w:rPr>
          <w:rFonts w:ascii="Arial" w:cs="Arial" w:eastAsia="Arial" w:hAnsi="Arial"/>
          <w:sz w:val="18"/>
          <w:szCs w:val="18"/>
          <w:color w:val="auto"/>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spacing w:after="0" w:line="208" w:lineRule="exact"/>
        <w:rPr>
          <w:sz w:val="20"/>
          <w:szCs w:val="20"/>
          <w:color w:val="auto"/>
        </w:rPr>
      </w:pPr>
    </w:p>
    <w:p>
      <w:pPr>
        <w:ind w:right="60" w:firstLine="396"/>
        <w:spacing w:after="0" w:line="300"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8" w:lineRule="exact"/>
        <w:rPr>
          <w:sz w:val="20"/>
          <w:szCs w:val="20"/>
          <w:color w:val="auto"/>
        </w:rPr>
      </w:pPr>
    </w:p>
    <w:p>
      <w:pPr>
        <w:ind w:right="60" w:firstLine="396"/>
        <w:spacing w:after="0" w:line="281" w:lineRule="auto"/>
        <w:rPr>
          <w:sz w:val="20"/>
          <w:szCs w:val="20"/>
          <w:color w:val="auto"/>
        </w:rPr>
      </w:pPr>
      <w:r>
        <w:rPr>
          <w:rFonts w:ascii="Arial" w:cs="Arial" w:eastAsia="Arial" w:hAnsi="Arial"/>
          <w:sz w:val="16"/>
          <w:szCs w:val="16"/>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208" w:lineRule="exact"/>
        <w:rPr>
          <w:sz w:val="20"/>
          <w:szCs w:val="20"/>
          <w:color w:val="auto"/>
        </w:rPr>
      </w:pPr>
    </w:p>
    <w:p>
      <w:pPr>
        <w:ind w:right="40" w:firstLine="396"/>
        <w:spacing w:after="0" w:line="282"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and may decline in any period or over time, or paying users may downgrade or not renew their subscriptions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spacing w:after="0" w:line="196"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Accordingly, an enterprise decision not to renew its license may have a large impact on our number of paying users and therefore, our business, results of operations, and financial condition. Additionally, although we believe our multiple product strategy represents strong opportunities for future growth, at present, a significant majority of our paying customers purchase only one of our products. Furthermore, we have and may continue to see an increase in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spacing w:after="0" w:line="203" w:lineRule="exact"/>
        <w:rPr>
          <w:sz w:val="20"/>
          <w:szCs w:val="20"/>
          <w:color w:val="auto"/>
        </w:rPr>
      </w:pPr>
    </w:p>
    <w:p>
      <w:pPr>
        <w:ind w:right="540" w:firstLine="396"/>
        <w:spacing w:after="0" w:line="253" w:lineRule="auto"/>
        <w:rPr>
          <w:sz w:val="20"/>
          <w:szCs w:val="20"/>
          <w:color w:val="auto"/>
        </w:rPr>
      </w:pPr>
      <w:r>
        <w:rPr>
          <w:rFonts w:ascii="Arial" w:cs="Arial" w:eastAsia="Arial" w:hAnsi="Arial"/>
          <w:sz w:val="18"/>
          <w:szCs w:val="18"/>
          <w:color w:val="auto"/>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41" w:lineRule="exact"/>
        <w:rPr>
          <w:sz w:val="20"/>
          <w:szCs w:val="20"/>
          <w:color w:val="auto"/>
        </w:rPr>
      </w:pPr>
    </w:p>
    <w:p>
      <w:pPr>
        <w:ind w:right="260" w:firstLine="396"/>
        <w:spacing w:after="0" w:line="292" w:lineRule="auto"/>
        <w:rPr>
          <w:sz w:val="20"/>
          <w:szCs w:val="20"/>
          <w:color w:val="auto"/>
        </w:rPr>
      </w:pPr>
      <w:r>
        <w:rPr>
          <w:rFonts w:ascii="Arial" w:cs="Arial" w:eastAsia="Arial" w:hAnsi="Arial"/>
          <w:sz w:val="16"/>
          <w:szCs w:val="16"/>
          <w:color w:val="auto"/>
        </w:rPr>
        <w:t>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firstLine="396"/>
        <w:spacing w:after="0" w:line="248" w:lineRule="auto"/>
        <w:rPr>
          <w:sz w:val="20"/>
          <w:szCs w:val="20"/>
          <w:color w:val="auto"/>
        </w:rPr>
      </w:pPr>
      <w:r>
        <w:rPr>
          <w:rFonts w:ascii="Arial" w:cs="Arial" w:eastAsia="Arial" w:hAnsi="Arial"/>
          <w:sz w:val="18"/>
          <w:szCs w:val="18"/>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2023, we served over 700 million registered users but only 18.04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20" w:lineRule="exact"/>
        <w:rPr>
          <w:sz w:val="20"/>
          <w:szCs w:val="20"/>
          <w:color w:val="auto"/>
        </w:rPr>
      </w:pPr>
    </w:p>
    <w:p>
      <w:pPr>
        <w:ind w:right="80" w:firstLine="396"/>
        <w:spacing w:after="0" w:line="302" w:lineRule="auto"/>
        <w:rPr>
          <w:sz w:val="20"/>
          <w:szCs w:val="20"/>
          <w:color w:val="auto"/>
        </w:rPr>
      </w:pPr>
      <w:r>
        <w:rPr>
          <w:rFonts w:ascii="Arial" w:cs="Arial" w:eastAsia="Arial" w:hAnsi="Arial"/>
          <w:sz w:val="15"/>
          <w:szCs w:val="15"/>
          <w:color w:val="auto"/>
        </w:rPr>
        <w:t>Our paying and registered user growth rates have declined and may continue to decline in the future as our pricing strategy and features (including any data storage limits) change, our market penetration rates increase and we turn our focus to converting registered users to paying users rather than growing the total number of registered users. The availability of less expensive and bundled competitive products also has slowed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events that financially impact our registered users and other prospective paying users, such as macroeconomic factors, layoffs, inflation, increased interest rates, or catastrophic events, may cause these users to delay or reduce technology spending, which may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growth rate will decline and operating results will be adversely affected.</w:t>
      </w:r>
    </w:p>
    <w:p>
      <w:pPr>
        <w:spacing w:after="0" w:line="18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208" w:lineRule="exact"/>
        <w:rPr>
          <w:sz w:val="20"/>
          <w:szCs w:val="20"/>
          <w:color w:val="auto"/>
        </w:rPr>
      </w:pPr>
    </w:p>
    <w:p>
      <w:pPr>
        <w:ind w:firstLine="396"/>
        <w:spacing w:after="0" w:line="278" w:lineRule="auto"/>
        <w:rPr>
          <w:sz w:val="20"/>
          <w:szCs w:val="20"/>
          <w:color w:val="auto"/>
        </w:rPr>
      </w:pPr>
      <w:r>
        <w:rPr>
          <w:rFonts w:ascii="Arial" w:cs="Arial" w:eastAsia="Arial" w:hAnsi="Arial"/>
          <w:sz w:val="16"/>
          <w:szCs w:val="16"/>
          <w:color w:val="auto"/>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06" w:lineRule="exact"/>
        <w:rPr>
          <w:sz w:val="20"/>
          <w:szCs w:val="20"/>
          <w:color w:val="auto"/>
        </w:rPr>
      </w:pPr>
    </w:p>
    <w:p>
      <w:pPr>
        <w:jc w:val="both"/>
        <w:ind w:right="120" w:firstLine="396"/>
        <w:spacing w:after="0" w:line="283"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6"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auto"/>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4" w:lineRule="exact"/>
        <w:rPr>
          <w:sz w:val="20"/>
          <w:szCs w:val="20"/>
          <w:color w:val="auto"/>
        </w:rPr>
      </w:pPr>
    </w:p>
    <w:p>
      <w:pPr>
        <w:ind w:right="180" w:firstLine="396"/>
        <w:spacing w:after="0" w:line="300" w:lineRule="auto"/>
        <w:rPr>
          <w:sz w:val="20"/>
          <w:szCs w:val="20"/>
          <w:color w:val="auto"/>
        </w:rPr>
      </w:pPr>
      <w:r>
        <w:rPr>
          <w:rFonts w:ascii="Arial" w:cs="Arial" w:eastAsia="Arial" w:hAnsi="Arial"/>
          <w:sz w:val="16"/>
          <w:szCs w:val="16"/>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w:t>
      </w:r>
    </w:p>
    <w:p>
      <w:pPr>
        <w:spacing w:after="0" w:line="181" w:lineRule="exact"/>
        <w:rPr>
          <w:sz w:val="20"/>
          <w:szCs w:val="20"/>
          <w:color w:val="auto"/>
        </w:rPr>
      </w:pPr>
    </w:p>
    <w:p>
      <w:pPr>
        <w:ind w:right="60" w:firstLine="396"/>
        <w:spacing w:after="0" w:line="300" w:lineRule="auto"/>
        <w:rPr>
          <w:sz w:val="20"/>
          <w:szCs w:val="20"/>
          <w:color w:val="auto"/>
        </w:rPr>
      </w:pPr>
      <w:r>
        <w:rPr>
          <w:rFonts w:ascii="Arial" w:cs="Arial" w:eastAsia="Arial" w:hAnsi="Arial"/>
          <w:sz w:val="16"/>
          <w:szCs w:val="16"/>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spacing w:after="0" w:line="181" w:lineRule="exact"/>
        <w:rPr>
          <w:sz w:val="20"/>
          <w:szCs w:val="20"/>
          <w:color w:val="auto"/>
        </w:rPr>
      </w:pPr>
    </w:p>
    <w:p>
      <w:pPr>
        <w:ind w:right="40" w:firstLine="396"/>
        <w:spacing w:after="0" w:line="280" w:lineRule="auto"/>
        <w:rPr>
          <w:sz w:val="20"/>
          <w:szCs w:val="20"/>
          <w:color w:val="auto"/>
        </w:rPr>
      </w:pPr>
      <w:r>
        <w:rPr>
          <w:rFonts w:ascii="Arial" w:cs="Arial" w:eastAsia="Arial" w:hAnsi="Arial"/>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business may be significantly impacted by a change in general economic, political, and market conditions, including any resulting effect on consumer or business spending.</w:t>
      </w:r>
    </w:p>
    <w:p>
      <w:pPr>
        <w:spacing w:after="0" w:line="208"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Our business may be affected by general economic, political, and market conditions, including any resulting negative impact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unemployment trends, geopolitical issues, such as the conflict between Russia and Ukraine, lasting adverse effects of the COVID-19 pandemic,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ability to grow and invest in our business. As a result, our business, results of operations, and financial condition may be significantly affected by changes in the economy generally.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8"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We also compete with smaller private companies that offer point solutions in the cloud storage market or the content collaboration market. We believe the principal competitive factors in our markets include the following:</w:t>
      </w:r>
    </w:p>
    <w:p>
      <w:pPr>
        <w:spacing w:after="0" w:line="205"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innovation;</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trends.</w:t>
      </w:r>
    </w:p>
    <w:p>
      <w:pPr>
        <w:spacing w:after="0" w:line="24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make it increasingly difficult for us to compete effectively. We expect these trends to continue as competitors continue to strengthen or maintain their market positions.</w:t>
      </w:r>
    </w:p>
    <w:p>
      <w:pPr>
        <w:spacing w:after="0" w:line="193" w:lineRule="exact"/>
        <w:rPr>
          <w:sz w:val="20"/>
          <w:szCs w:val="20"/>
          <w:color w:val="auto"/>
        </w:rPr>
      </w:pPr>
    </w:p>
    <w:p>
      <w:pPr>
        <w:ind w:right="100" w:firstLine="396"/>
        <w:spacing w:after="0" w:line="300"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1" w:lineRule="exact"/>
        <w:rPr>
          <w:sz w:val="20"/>
          <w:szCs w:val="20"/>
          <w:color w:val="auto"/>
        </w:rPr>
      </w:pPr>
    </w:p>
    <w:p>
      <w:pPr>
        <w:jc w:val="both"/>
        <w:ind w:right="160" w:firstLine="396"/>
        <w:spacing w:after="0" w:line="300"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6" w:lineRule="exact"/>
        <w:rPr>
          <w:sz w:val="20"/>
          <w:szCs w:val="20"/>
          <w:color w:val="auto"/>
        </w:rPr>
      </w:pPr>
    </w:p>
    <w:p>
      <w:pPr>
        <w:ind w:right="80" w:firstLine="396"/>
        <w:spacing w:after="0" w:line="283"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to assure its compatibility with that of other third parties following development changes. If we are unable to ensure compatibility of our platform with desired third party services, our business may be adversely impacted.</w:t>
      </w:r>
    </w:p>
    <w:p>
      <w:pPr>
        <w:spacing w:after="0" w:line="196" w:lineRule="exact"/>
        <w:rPr>
          <w:sz w:val="20"/>
          <w:szCs w:val="20"/>
          <w:color w:val="auto"/>
        </w:rPr>
      </w:pPr>
    </w:p>
    <w:p>
      <w:pPr>
        <w:ind w:right="40" w:firstLine="396"/>
        <w:spacing w:after="0" w:line="292" w:lineRule="auto"/>
        <w:rPr>
          <w:sz w:val="20"/>
          <w:szCs w:val="20"/>
          <w:color w:val="auto"/>
        </w:rPr>
      </w:pPr>
      <w:r>
        <w:rPr>
          <w:rFonts w:ascii="Arial" w:cs="Arial" w:eastAsia="Arial" w:hAnsi="Arial"/>
          <w:sz w:val="16"/>
          <w:szCs w:val="16"/>
          <w:color w:val="auto"/>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spacing w:after="0" w:line="186"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41" w:lineRule="exact"/>
        <w:rPr>
          <w:sz w:val="20"/>
          <w:szCs w:val="20"/>
          <w:color w:val="auto"/>
        </w:rPr>
      </w:pPr>
    </w:p>
    <w:p>
      <w:pPr>
        <w:ind w:right="20" w:firstLine="396"/>
        <w:spacing w:after="0" w:line="248" w:lineRule="auto"/>
        <w:rPr>
          <w:sz w:val="20"/>
          <w:szCs w:val="20"/>
          <w:color w:val="auto"/>
        </w:rPr>
      </w:pPr>
      <w:r>
        <w:rPr>
          <w:rFonts w:ascii="Arial" w:cs="Arial" w:eastAsia="Arial" w:hAnsi="Arial"/>
          <w:sz w:val="18"/>
          <w:szCs w:val="18"/>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20" w:lineRule="exact"/>
        <w:rPr>
          <w:sz w:val="20"/>
          <w:szCs w:val="20"/>
          <w:color w:val="auto"/>
        </w:rPr>
      </w:pPr>
    </w:p>
    <w:p>
      <w:pPr>
        <w:ind w:right="280" w:firstLine="396"/>
        <w:spacing w:after="0" w:line="250"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19"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325" w:lineRule="auto"/>
        <w:rPr>
          <w:sz w:val="20"/>
          <w:szCs w:val="20"/>
          <w:color w:val="auto"/>
        </w:rPr>
      </w:pPr>
      <w:r>
        <w:rPr>
          <w:rFonts w:ascii="Arial" w:cs="Arial" w:eastAsia="Arial" w:hAnsi="Arial"/>
          <w:sz w:val="16"/>
          <w:szCs w:val="16"/>
          <w:color w:val="auto"/>
        </w:rPr>
        <w:t>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61" w:lineRule="exact"/>
        <w:rPr>
          <w:sz w:val="20"/>
          <w:szCs w:val="20"/>
          <w:color w:val="auto"/>
        </w:rPr>
      </w:pPr>
    </w:p>
    <w:p>
      <w:pPr>
        <w:ind w:right="20" w:firstLine="396"/>
        <w:spacing w:after="0" w:line="247" w:lineRule="auto"/>
        <w:rPr>
          <w:sz w:val="20"/>
          <w:szCs w:val="20"/>
          <w:color w:val="auto"/>
        </w:rPr>
      </w:pPr>
      <w:r>
        <w:rPr>
          <w:rFonts w:ascii="Arial" w:cs="Arial" w:eastAsia="Arial" w:hAnsi="Arial"/>
          <w:sz w:val="18"/>
          <w:szCs w:val="18"/>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2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208"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spacing w:after="0" w:line="219" w:lineRule="exact"/>
        <w:rPr>
          <w:sz w:val="20"/>
          <w:szCs w:val="20"/>
          <w:color w:val="auto"/>
        </w:rPr>
      </w:pPr>
    </w:p>
    <w:p>
      <w:pPr>
        <w:ind w:right="40" w:firstLine="396"/>
        <w:spacing w:after="0" w:line="253"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216" w:lineRule="exact"/>
        <w:rPr>
          <w:sz w:val="20"/>
          <w:szCs w:val="20"/>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scale, and duration, of trends towards or away from remote or distributed work;</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trends.</w:t>
      </w:r>
    </w:p>
    <w:p>
      <w:pPr>
        <w:spacing w:after="0" w:line="241"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1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208" w:lineRule="exact"/>
        <w:rPr>
          <w:sz w:val="20"/>
          <w:szCs w:val="20"/>
          <w:color w:val="auto"/>
        </w:rPr>
      </w:pPr>
    </w:p>
    <w:p>
      <w:pPr>
        <w:ind w:right="80" w:firstLine="396"/>
        <w:spacing w:after="0" w:line="250" w:lineRule="auto"/>
        <w:rPr>
          <w:sz w:val="20"/>
          <w:szCs w:val="20"/>
          <w:color w:val="auto"/>
        </w:rPr>
      </w:pPr>
      <w:r>
        <w:rPr>
          <w:rFonts w:ascii="Arial" w:cs="Arial" w:eastAsia="Arial" w:hAnsi="Arial"/>
          <w:sz w:val="18"/>
          <w:szCs w:val="18"/>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 drive future growth of our business, the development of such new features could incur significant costs, and there is no guarantee that such new product offerings will ultimately be successful. Additionally, unforeseen failures in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has proposed an Artificial Intelligence Act that, if finalized, would prohibit certain AI applications and systems and impose additional requirements on the use of certain applications or systems.</w:t>
      </w:r>
    </w:p>
    <w:p>
      <w:pPr>
        <w:spacing w:after="0" w:line="196" w:lineRule="exact"/>
        <w:rPr>
          <w:sz w:val="20"/>
          <w:szCs w:val="20"/>
          <w:color w:val="auto"/>
        </w:rPr>
      </w:pPr>
    </w:p>
    <w:p>
      <w:pPr>
        <w:ind w:right="60" w:firstLine="396"/>
        <w:spacing w:after="0" w:line="280" w:lineRule="auto"/>
        <w:rPr>
          <w:sz w:val="20"/>
          <w:szCs w:val="20"/>
          <w:color w:val="auto"/>
        </w:rPr>
      </w:pPr>
      <w:r>
        <w:rPr>
          <w:rFonts w:ascii="Arial" w:cs="Arial" w:eastAsia="Arial" w:hAnsi="Arial"/>
          <w:sz w:val="16"/>
          <w:szCs w:val="16"/>
          <w:color w:val="auto"/>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2022 we launched Dropbox Replay, which allows users to review, approve and collaborate on video workflows,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 effective manner, we may fail to retain our existing users or increase demand for our platform.</w:t>
      </w:r>
    </w:p>
    <w:p>
      <w:pPr>
        <w:spacing w:after="0" w:line="201"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successfully execute our plan for future growth.</w:t>
      </w:r>
    </w:p>
    <w:p>
      <w:pPr>
        <w:spacing w:after="0" w:line="241"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Virtual First work model and our need to align our resources in order to create a more nimble and streamlined organization. Managing our growth will also require significant expenditures and allocation of valuable management resources.</w:t>
      </w:r>
    </w:p>
    <w:p>
      <w:pPr>
        <w:spacing w:after="0" w:line="193" w:lineRule="exact"/>
        <w:rPr>
          <w:sz w:val="20"/>
          <w:szCs w:val="20"/>
          <w:color w:val="auto"/>
        </w:rPr>
      </w:pPr>
    </w:p>
    <w:p>
      <w:pPr>
        <w:ind w:right="20" w:firstLine="396"/>
        <w:spacing w:after="0" w:line="287" w:lineRule="auto"/>
        <w:rPr>
          <w:sz w:val="20"/>
          <w:szCs w:val="20"/>
          <w:color w:val="auto"/>
        </w:rPr>
      </w:pPr>
      <w:r>
        <w:rPr>
          <w:rFonts w:ascii="Arial" w:cs="Arial" w:eastAsia="Arial" w:hAnsi="Arial"/>
          <w:sz w:val="16"/>
          <w:szCs w:val="16"/>
          <w:color w:val="auto"/>
        </w:rPr>
        <w:t>Our ability to forecast our future results of operations is subject to a number of uncertainties, including our ability to effectively plan for and model future growth, and we may not receive our expected return on investments that we make in our business in the time we expect or at all.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or our investments do not result in the growth we expect, our business, results of operations, and financial condition could be harmed.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208" w:lineRule="exact"/>
        <w:rPr>
          <w:sz w:val="20"/>
          <w:szCs w:val="20"/>
          <w:color w:val="auto"/>
        </w:rPr>
      </w:pPr>
    </w:p>
    <w:p>
      <w:pPr>
        <w:ind w:firstLine="396"/>
        <w:spacing w:after="0" w:line="285"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For example, Timothy Young stepped down as our President in February 2023.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79" w:lineRule="exact"/>
        <w:rPr>
          <w:sz w:val="20"/>
          <w:szCs w:val="20"/>
          <w:color w:val="auto"/>
        </w:rPr>
      </w:pPr>
    </w:p>
    <w:p>
      <w:pPr>
        <w:ind w:right="120" w:firstLine="396"/>
        <w:spacing w:after="0" w:line="266"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spacing w:after="0" w:line="195"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April 2023 may result in increased attrition beyond our intended reduction-in-force, reduce employee morale, negatively impact employee recruiting and retention, and have an adverse effect on our operations, our ability to grow our business, and our financial results. If we fail to attract new personnel, or fail to retain and motivate our current personnel, our business, financial results, and growth prospects could be harmed.</w:t>
      </w:r>
    </w:p>
    <w:p>
      <w:pPr>
        <w:spacing w:after="0" w:line="198"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have a limited history of operating with a Virtual First workforce and the long-term impact on our financial results and business operations remains uncertain.</w:t>
      </w:r>
    </w:p>
    <w:p>
      <w:pPr>
        <w:spacing w:after="0" w:line="208" w:lineRule="exact"/>
        <w:rPr>
          <w:sz w:val="20"/>
          <w:szCs w:val="20"/>
          <w:color w:val="auto"/>
        </w:rPr>
      </w:pPr>
    </w:p>
    <w:p>
      <w:pPr>
        <w:ind w:right="80" w:firstLine="396"/>
        <w:spacing w:after="0" w:line="287" w:lineRule="auto"/>
        <w:rPr>
          <w:sz w:val="20"/>
          <w:szCs w:val="20"/>
          <w:color w:val="auto"/>
        </w:rPr>
      </w:pPr>
      <w:r>
        <w:rPr>
          <w:rFonts w:ascii="Arial" w:cs="Arial" w:eastAsia="Arial" w:hAnsi="Arial"/>
          <w:sz w:val="16"/>
          <w:szCs w:val="16"/>
          <w:color w:val="auto"/>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spacing w:after="0" w:line="192" w:lineRule="exact"/>
        <w:rPr>
          <w:sz w:val="20"/>
          <w:szCs w:val="20"/>
          <w:color w:val="auto"/>
        </w:rPr>
      </w:pPr>
    </w:p>
    <w:p>
      <w:pPr>
        <w:ind w:right="80" w:firstLine="396"/>
        <w:spacing w:after="0" w:line="316" w:lineRule="auto"/>
        <w:rPr>
          <w:sz w:val="20"/>
          <w:szCs w:val="20"/>
          <w:color w:val="auto"/>
        </w:rPr>
      </w:pPr>
      <w:r>
        <w:rPr>
          <w:rFonts w:ascii="Arial" w:cs="Arial" w:eastAsia="Arial" w:hAnsi="Arial"/>
          <w:sz w:val="15"/>
          <w:szCs w:val="15"/>
          <w:color w:val="auto"/>
        </w:rPr>
        <w:t>Our continuing shift to a Virtual First work model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firstLine="396"/>
        <w:spacing w:after="0" w:line="282" w:lineRule="auto"/>
        <w:rPr>
          <w:sz w:val="20"/>
          <w:szCs w:val="20"/>
          <w:color w:val="auto"/>
        </w:rPr>
      </w:pPr>
      <w:r>
        <w:rPr>
          <w:rFonts w:ascii="Arial" w:cs="Arial" w:eastAsia="Arial" w:hAnsi="Arial"/>
          <w:sz w:val="16"/>
          <w:szCs w:val="16"/>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41"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41"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41" w:lineRule="exact"/>
        <w:rPr>
          <w:sz w:val="20"/>
          <w:szCs w:val="20"/>
          <w:color w:val="auto"/>
        </w:rPr>
      </w:pPr>
    </w:p>
    <w:p>
      <w:pPr>
        <w:ind w:right="20" w:firstLine="396"/>
        <w:spacing w:after="0" w:line="281" w:lineRule="auto"/>
        <w:rPr>
          <w:sz w:val="20"/>
          <w:szCs w:val="20"/>
          <w:color w:val="auto"/>
        </w:rPr>
      </w:pPr>
      <w:r>
        <w:rPr>
          <w:rFonts w:ascii="Arial" w:cs="Arial" w:eastAsia="Arial" w:hAnsi="Arial"/>
          <w:sz w:val="16"/>
          <w:szCs w:val="16"/>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18.04 million as of June 30, 2023.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208" w:lineRule="exact"/>
        <w:rPr>
          <w:sz w:val="20"/>
          <w:szCs w:val="20"/>
          <w:color w:val="auto"/>
        </w:rPr>
      </w:pPr>
    </w:p>
    <w:p>
      <w:pPr>
        <w:ind w:right="220" w:firstLine="396"/>
        <w:spacing w:after="0" w:line="253"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208" w:lineRule="exact"/>
        <w:rPr>
          <w:sz w:val="20"/>
          <w:szCs w:val="20"/>
          <w:color w:val="auto"/>
        </w:rPr>
      </w:pPr>
    </w:p>
    <w:p>
      <w:pPr>
        <w:ind w:right="20" w:firstLine="396"/>
        <w:spacing w:after="0" w:line="281" w:lineRule="auto"/>
        <w:rPr>
          <w:sz w:val="20"/>
          <w:szCs w:val="20"/>
          <w:color w:val="auto"/>
        </w:rPr>
      </w:pPr>
      <w:r>
        <w:rPr>
          <w:rFonts w:ascii="Arial" w:cs="Arial" w:eastAsia="Arial" w:hAnsi="Arial"/>
          <w:sz w:val="16"/>
          <w:szCs w:val="16"/>
          <w:color w:val="auto"/>
        </w:rPr>
        <w:t>We have paying users across approximately 180 countries and approximately half of our revenue in the year ended December 31, 2022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spacing w:after="0" w:line="198" w:lineRule="exact"/>
        <w:rPr>
          <w:sz w:val="20"/>
          <w:szCs w:val="20"/>
          <w:color w:val="auto"/>
        </w:rPr>
      </w:pPr>
    </w:p>
    <w:p>
      <w:pPr>
        <w:ind w:left="640" w:right="180" w:hanging="318"/>
        <w:spacing w:after="0" w:line="300"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spacing w:after="0" w:line="180" w:lineRule="exact"/>
        <w:rPr>
          <w:rFonts w:ascii="Arial" w:cs="Arial" w:eastAsia="Arial" w:hAnsi="Arial"/>
          <w:sz w:val="16"/>
          <w:szCs w:val="16"/>
          <w:color w:val="auto"/>
        </w:rPr>
      </w:pPr>
    </w:p>
    <w:p>
      <w:pPr>
        <w:ind w:left="640" w:right="10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in locations outside the United States, and maintaining our company culture across all of our locations, including in light of our Virtual First work model and an increasingly distributed workforce;</w:t>
      </w:r>
    </w:p>
    <w:p>
      <w:pPr>
        <w:spacing w:after="0" w:line="207" w:lineRule="exact"/>
        <w:rPr>
          <w:rFonts w:ascii="Arial" w:cs="Arial" w:eastAsia="Arial" w:hAnsi="Arial"/>
          <w:sz w:val="18"/>
          <w:szCs w:val="18"/>
          <w:color w:val="auto"/>
        </w:rPr>
      </w:pPr>
    </w:p>
    <w:p>
      <w:pPr>
        <w:ind w:left="640" w:right="340" w:hanging="318"/>
        <w:spacing w:after="0" w:line="325"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61" w:lineRule="exact"/>
        <w:rPr>
          <w:rFonts w:ascii="Arial" w:cs="Arial" w:eastAsia="Arial" w:hAnsi="Arial"/>
          <w:sz w:val="16"/>
          <w:szCs w:val="16"/>
          <w:color w:val="auto"/>
        </w:rPr>
      </w:pPr>
    </w:p>
    <w:p>
      <w:pPr>
        <w:ind w:left="640" w:hanging="31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264" w:lineRule="exact"/>
        <w:rPr>
          <w:rFonts w:ascii="Arial" w:cs="Arial" w:eastAsia="Arial" w:hAnsi="Arial"/>
          <w:sz w:val="16"/>
          <w:szCs w:val="16"/>
          <w:color w:val="auto"/>
        </w:rPr>
      </w:pPr>
    </w:p>
    <w:p>
      <w:pPr>
        <w:ind w:left="640" w:hanging="31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in jurisdictions that do not protect intellectual property rights in the same manner or to the same extent as does the United States;</w:t>
      </w:r>
    </w:p>
    <w:p>
      <w:pPr>
        <w:spacing w:after="0" w:line="264" w:lineRule="exact"/>
        <w:rPr>
          <w:rFonts w:ascii="Arial" w:cs="Arial" w:eastAsia="Arial" w:hAnsi="Arial"/>
          <w:sz w:val="16"/>
          <w:szCs w:val="16"/>
          <w:color w:val="auto"/>
        </w:rPr>
      </w:pPr>
    </w:p>
    <w:p>
      <w:pPr>
        <w:ind w:left="640" w:right="12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207" w:lineRule="exact"/>
        <w:rPr>
          <w:rFonts w:ascii="Arial" w:cs="Arial" w:eastAsia="Arial" w:hAnsi="Arial"/>
          <w:sz w:val="18"/>
          <w:szCs w:val="18"/>
          <w:color w:val="auto"/>
        </w:rPr>
      </w:pPr>
    </w:p>
    <w:p>
      <w:pPr>
        <w:ind w:left="640" w:right="12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207" w:lineRule="exact"/>
        <w:rPr>
          <w:rFonts w:ascii="Arial" w:cs="Arial" w:eastAsia="Arial" w:hAnsi="Arial"/>
          <w:sz w:val="18"/>
          <w:szCs w:val="18"/>
          <w:color w:val="auto"/>
        </w:rPr>
      </w:pPr>
    </w:p>
    <w:p>
      <w:pPr>
        <w:ind w:left="640" w:right="90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social, and economic instability, conflicts, and wars, such as the conflict between Russia and Ukraine and its regional and global ramifications;</w:t>
      </w:r>
    </w:p>
    <w:p>
      <w:pPr>
        <w:spacing w:after="0" w:line="207" w:lineRule="exact"/>
        <w:rPr>
          <w:rFonts w:ascii="Arial" w:cs="Arial" w:eastAsia="Arial" w:hAnsi="Arial"/>
          <w:sz w:val="18"/>
          <w:szCs w:val="18"/>
          <w:color w:val="auto"/>
        </w:rPr>
      </w:pPr>
    </w:p>
    <w:p>
      <w:pPr>
        <w:ind w:left="640" w:right="72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207" w:lineRule="exact"/>
        <w:rPr>
          <w:rFonts w:ascii="Arial" w:cs="Arial" w:eastAsia="Arial" w:hAnsi="Arial"/>
          <w:sz w:val="18"/>
          <w:szCs w:val="18"/>
          <w:color w:val="auto"/>
        </w:rPr>
      </w:pPr>
    </w:p>
    <w:p>
      <w:pPr>
        <w:ind w:left="640" w:right="120" w:hanging="318"/>
        <w:spacing w:after="0" w:line="26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 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natural disasters and public health epidemics on employees, travel and the global economy.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firstLine="396"/>
        <w:spacing w:after="0" w:line="280" w:lineRule="auto"/>
        <w:rPr>
          <w:sz w:val="20"/>
          <w:szCs w:val="20"/>
          <w:color w:val="auto"/>
        </w:rPr>
      </w:pPr>
      <w:r>
        <w:rPr>
          <w:rFonts w:ascii="Arial" w:cs="Arial" w:eastAsia="Arial" w:hAnsi="Arial"/>
          <w:sz w:val="16"/>
          <w:szCs w:val="16"/>
          <w:color w:val="auto"/>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20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208" w:lineRule="exact"/>
        <w:rPr>
          <w:sz w:val="20"/>
          <w:szCs w:val="20"/>
          <w:color w:val="auto"/>
        </w:rPr>
      </w:pPr>
    </w:p>
    <w:p>
      <w:pPr>
        <w:ind w:right="20" w:firstLine="396"/>
        <w:spacing w:after="0" w:line="29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6" w:lineRule="exact"/>
        <w:rPr>
          <w:sz w:val="20"/>
          <w:szCs w:val="20"/>
          <w:color w:val="auto"/>
        </w:rPr>
      </w:pPr>
    </w:p>
    <w:p>
      <w:pPr>
        <w:ind w:right="120" w:firstLine="396"/>
        <w:spacing w:after="0" w:line="285"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208"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93"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2022,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60" w:firstLine="396"/>
        <w:spacing w:after="0" w:line="262" w:lineRule="auto"/>
        <w:rPr>
          <w:sz w:val="20"/>
          <w:szCs w:val="20"/>
          <w:color w:val="auto"/>
        </w:rPr>
      </w:pPr>
      <w:r>
        <w:rPr>
          <w:rFonts w:ascii="Arial" w:cs="Arial" w:eastAsia="Arial" w:hAnsi="Arial"/>
          <w:sz w:val="18"/>
          <w:szCs w:val="18"/>
          <w:color w:val="auto"/>
        </w:rPr>
        <w:t>We may not have the ability to control or prevent these risks. As a result, issues relating to these applications could adversely affect our business, brand, and reputation.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6"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41" w:lineRule="exact"/>
        <w:rPr>
          <w:sz w:val="20"/>
          <w:szCs w:val="20"/>
          <w:color w:val="auto"/>
        </w:rPr>
      </w:pPr>
    </w:p>
    <w:p>
      <w:pPr>
        <w:ind w:right="120" w:firstLine="396"/>
        <w:spacing w:after="0" w:line="283"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6" w:lineRule="exact"/>
        <w:rPr>
          <w:sz w:val="20"/>
          <w:szCs w:val="20"/>
          <w:color w:val="auto"/>
        </w:rPr>
      </w:pPr>
    </w:p>
    <w:p>
      <w:pPr>
        <w:jc w:val="both"/>
        <w:ind w:right="200" w:firstLine="396"/>
        <w:spacing w:after="0" w:line="25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216" w:lineRule="exact"/>
        <w:rPr>
          <w:sz w:val="20"/>
          <w:szCs w:val="20"/>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4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have acquired, and may in the future acquire, other businesses and technologies, which could require significant management attention, disrupt our business operations, cause us to incur debt or dilute stockholder value.</w:t>
      </w:r>
    </w:p>
    <w:p>
      <w:pPr>
        <w:spacing w:after="0" w:line="208" w:lineRule="exact"/>
        <w:rPr>
          <w:sz w:val="20"/>
          <w:szCs w:val="20"/>
          <w:color w:val="auto"/>
        </w:rPr>
      </w:pPr>
    </w:p>
    <w:p>
      <w:pPr>
        <w:ind w:right="40" w:firstLine="396"/>
        <w:spacing w:after="0" w:line="248" w:lineRule="auto"/>
        <w:rPr>
          <w:sz w:val="20"/>
          <w:szCs w:val="20"/>
          <w:color w:val="auto"/>
        </w:rPr>
      </w:pPr>
      <w:r>
        <w:rPr>
          <w:rFonts w:ascii="Arial" w:cs="Arial" w:eastAsia="Arial" w:hAnsi="Arial"/>
          <w:sz w:val="18"/>
          <w:szCs w:val="18"/>
          <w:color w:val="auto"/>
        </w:rPr>
        <w:t>As part of our business strategy, we have acquired or invested in, and may in the future acquire or invest in,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20" w:firstLine="396"/>
        <w:spacing w:after="0" w:line="262" w:lineRule="auto"/>
        <w:rPr>
          <w:sz w:val="20"/>
          <w:szCs w:val="20"/>
          <w:color w:val="auto"/>
        </w:rPr>
      </w:pPr>
      <w:r>
        <w:rPr>
          <w:rFonts w:ascii="Arial" w:cs="Arial" w:eastAsia="Arial" w:hAnsi="Arial"/>
          <w:sz w:val="18"/>
          <w:szCs w:val="18"/>
          <w:color w:val="auto"/>
        </w:rPr>
        <w:t>The pursuit of acquisitions or investments may divert the attention of management and cause us to incur various expenses in identifying, investigating, and pursuing suitable acquisitions, whether or not they are consummated.</w:t>
      </w:r>
    </w:p>
    <w:p>
      <w:pPr>
        <w:spacing w:after="0" w:line="208" w:lineRule="exact"/>
        <w:rPr>
          <w:sz w:val="20"/>
          <w:szCs w:val="20"/>
          <w:color w:val="auto"/>
        </w:rPr>
      </w:pPr>
    </w:p>
    <w:p>
      <w:pPr>
        <w:ind w:right="260" w:firstLine="396"/>
        <w:spacing w:after="0" w:line="300" w:lineRule="auto"/>
        <w:rPr>
          <w:sz w:val="20"/>
          <w:szCs w:val="20"/>
          <w:color w:val="auto"/>
        </w:rPr>
      </w:pPr>
      <w:r>
        <w:rPr>
          <w:rFonts w:ascii="Arial" w:cs="Arial" w:eastAsia="Arial" w:hAnsi="Arial"/>
          <w:sz w:val="16"/>
          <w:szCs w:val="16"/>
          <w:color w:val="auto"/>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spacing w:after="0" w:line="49" w:lineRule="exact"/>
        <w:rPr>
          <w:sz w:val="20"/>
          <w:szCs w:val="20"/>
          <w:color w:val="auto"/>
        </w:rPr>
      </w:pPr>
    </w:p>
    <w:p>
      <w:pPr>
        <w:ind w:right="40" w:firstLine="396"/>
        <w:spacing w:after="0" w:line="262" w:lineRule="auto"/>
        <w:rPr>
          <w:sz w:val="20"/>
          <w:szCs w:val="20"/>
          <w:color w:val="auto"/>
        </w:rPr>
      </w:pPr>
      <w:r>
        <w:rPr>
          <w:rFonts w:ascii="Arial" w:cs="Arial" w:eastAsia="Arial" w:hAnsi="Arial"/>
          <w:sz w:val="18"/>
          <w:szCs w:val="18"/>
          <w:color w:val="auto"/>
        </w:rPr>
        <w:t>If we do complete acquisitions, we may not ultimately strengthen our competitive position or achieve the anticipated benefits from such acquisitions, due to a number of factors, including:</w:t>
      </w:r>
    </w:p>
    <w:p>
      <w:pPr>
        <w:spacing w:after="0" w:line="208" w:lineRule="exact"/>
        <w:rPr>
          <w:sz w:val="20"/>
          <w:szCs w:val="20"/>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acquisition-related costs, liabilities, or tax impacts, some of which may be unanticipated;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utilizing or integrating the acquired intellectual property, technology infrastructure, and operations;</w:t>
      </w:r>
    </w:p>
    <w:p>
      <w:pPr>
        <w:spacing w:after="0" w:line="241" w:lineRule="exact"/>
        <w:rPr>
          <w:rFonts w:ascii="Arial" w:cs="Arial" w:eastAsia="Arial" w:hAnsi="Arial"/>
          <w:sz w:val="18"/>
          <w:szCs w:val="18"/>
          <w:color w:val="auto"/>
        </w:rPr>
      </w:pPr>
    </w:p>
    <w:p>
      <w:pPr>
        <w:ind w:left="640" w:right="320" w:hanging="318"/>
        <w:spacing w:after="0" w:line="26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and retaining key employees of acquired businesses and related challenges motivating and retaining our key employees after such acquisition;</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ineffective or inadequate, controls, procedures, or policies at an acquired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effectively offer, price, and support multiple product lines or services offerings of acquired businesses;</w:t>
      </w:r>
    </w:p>
    <w:p>
      <w:pPr>
        <w:spacing w:after="0" w:line="241" w:lineRule="exact"/>
        <w:rPr>
          <w:rFonts w:ascii="Arial" w:cs="Arial" w:eastAsia="Arial" w:hAnsi="Arial"/>
          <w:sz w:val="18"/>
          <w:szCs w:val="18"/>
          <w:color w:val="auto"/>
        </w:rPr>
      </w:pPr>
    </w:p>
    <w:p>
      <w:pPr>
        <w:ind w:left="640" w:right="420" w:hanging="318"/>
        <w:spacing w:after="0" w:line="26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unknown liabilities or risks associated with an acquired business, including those arising from existing contractual obligations, security vulnerabilities, cybersecurity incidents, or litigation matters;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maintain relationships with key customers, suppliers, and partners of an acquired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forecast the financial impact of an acquisition transaction, including accounting charges;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integrating accounting, finance and forecasting practices of acquired business within our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experience in new markets, products or technologies;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effectively integrate brand identity of acquired businesses within those of our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241"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19" w:lineRule="exact"/>
        <w:rPr>
          <w:sz w:val="20"/>
          <w:szCs w:val="20"/>
          <w:color w:val="auto"/>
        </w:rPr>
      </w:pPr>
    </w:p>
    <w:p>
      <w:pPr>
        <w:ind w:firstLine="396"/>
        <w:spacing w:after="0" w:line="249" w:lineRule="auto"/>
        <w:rPr>
          <w:sz w:val="20"/>
          <w:szCs w:val="20"/>
          <w:color w:val="auto"/>
        </w:rPr>
      </w:pPr>
      <w:r>
        <w:rPr>
          <w:rFonts w:ascii="Arial" w:cs="Arial" w:eastAsia="Arial" w:hAnsi="Arial"/>
          <w:sz w:val="18"/>
          <w:szCs w:val="18"/>
          <w:color w:val="auto"/>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219" w:lineRule="exact"/>
        <w:rPr>
          <w:sz w:val="20"/>
          <w:szCs w:val="20"/>
          <w:color w:val="auto"/>
        </w:rPr>
      </w:pPr>
    </w:p>
    <w:p>
      <w:pPr>
        <w:ind w:right="180" w:firstLine="396"/>
        <w:spacing w:after="0" w:line="253" w:lineRule="auto"/>
        <w:rPr>
          <w:sz w:val="20"/>
          <w:szCs w:val="20"/>
          <w:color w:val="auto"/>
        </w:rPr>
      </w:pPr>
      <w:r>
        <w:rPr>
          <w:rFonts w:ascii="Arial" w:cs="Arial" w:eastAsia="Arial" w:hAnsi="Arial"/>
          <w:sz w:val="18"/>
          <w:szCs w:val="18"/>
          <w:color w:val="auto"/>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spacing w:after="0" w:line="216" w:lineRule="exact"/>
        <w:rPr>
          <w:sz w:val="20"/>
          <w:szCs w:val="20"/>
          <w:color w:val="auto"/>
        </w:rPr>
      </w:pPr>
    </w:p>
    <w:p>
      <w:pPr>
        <w:ind w:right="400" w:firstLine="396"/>
        <w:spacing w:after="0" w:line="262" w:lineRule="auto"/>
        <w:rPr>
          <w:sz w:val="20"/>
          <w:szCs w:val="20"/>
          <w:color w:val="auto"/>
        </w:rPr>
      </w:pPr>
      <w:r>
        <w:rPr>
          <w:rFonts w:ascii="Arial" w:cs="Arial" w:eastAsia="Arial" w:hAnsi="Arial"/>
          <w:sz w:val="18"/>
          <w:szCs w:val="18"/>
          <w:color w:val="auto"/>
        </w:rPr>
        <w:t>Any acquisition we complete could be viewed negatively by users, developers, partners, or investors, and could have adverse effects on our existing business relationships, financial condition, or the value of our capital stock.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96"/>
        <w:spacing w:after="0" w:line="250" w:lineRule="auto"/>
        <w:rPr>
          <w:sz w:val="20"/>
          <w:szCs w:val="20"/>
          <w:color w:val="auto"/>
        </w:rPr>
      </w:pPr>
      <w:r>
        <w:rPr>
          <w:rFonts w:ascii="Arial" w:cs="Arial" w:eastAsia="Arial" w:hAnsi="Arial"/>
          <w:sz w:val="18"/>
          <w:szCs w:val="18"/>
          <w:color w:val="auto"/>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indebtedness may limit our operating flexibility or otherwise affect our business.</w:t>
      </w:r>
    </w:p>
    <w:p>
      <w:pPr>
        <w:spacing w:after="0" w:line="241" w:lineRule="exact"/>
        <w:rPr>
          <w:sz w:val="20"/>
          <w:szCs w:val="20"/>
          <w:color w:val="auto"/>
        </w:rPr>
      </w:pPr>
    </w:p>
    <w:p>
      <w:pPr>
        <w:ind w:right="40" w:firstLine="396"/>
        <w:spacing w:after="0" w:line="262" w:lineRule="auto"/>
        <w:rPr>
          <w:sz w:val="20"/>
          <w:szCs w:val="20"/>
          <w:color w:val="auto"/>
        </w:rPr>
      </w:pPr>
      <w:r>
        <w:rPr>
          <w:rFonts w:ascii="Arial" w:cs="Arial" w:eastAsia="Arial" w:hAnsi="Arial"/>
          <w:sz w:val="18"/>
          <w:szCs w:val="18"/>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208" w:lineRule="exact"/>
        <w:rPr>
          <w:sz w:val="20"/>
          <w:szCs w:val="20"/>
          <w:color w:val="auto"/>
        </w:rPr>
      </w:pPr>
    </w:p>
    <w:p>
      <w:pPr>
        <w:ind w:firstLine="396"/>
        <w:spacing w:after="0" w:line="292"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such current and future indebtedness could:</w:t>
      </w:r>
    </w:p>
    <w:p>
      <w:pPr>
        <w:spacing w:after="0" w:line="241" w:lineRule="exact"/>
        <w:rPr>
          <w:sz w:val="20"/>
          <w:szCs w:val="20"/>
          <w:color w:val="auto"/>
        </w:rPr>
      </w:pPr>
    </w:p>
    <w:p>
      <w:pPr>
        <w:ind w:left="640" w:hanging="31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 including the 2026 Notes and the 2028 Notes;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41" w:lineRule="exact"/>
        <w:rPr>
          <w:rFonts w:ascii="Arial" w:cs="Arial" w:eastAsia="Arial" w:hAnsi="Arial"/>
          <w:sz w:val="18"/>
          <w:szCs w:val="18"/>
          <w:color w:val="auto"/>
        </w:rPr>
      </w:pPr>
    </w:p>
    <w:p>
      <w:pPr>
        <w:ind w:left="640" w:right="20" w:hanging="318"/>
        <w:spacing w:after="0" w:line="26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241" w:lineRule="exact"/>
        <w:rPr>
          <w:rFonts w:ascii="Arial" w:cs="Arial" w:eastAsia="Arial" w:hAnsi="Arial"/>
          <w:sz w:val="18"/>
          <w:szCs w:val="18"/>
          <w:color w:val="auto"/>
        </w:rPr>
      </w:pPr>
    </w:p>
    <w:p>
      <w:pPr>
        <w:ind w:left="640" w:right="160" w:hanging="318"/>
        <w:spacing w:after="0" w:line="26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our current and future operations, make it more difficult to successfully execute our business strategy, or restrict us from exploiting business opportunities;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indebtedness or are not subject to restrictive covenants;</w:t>
      </w:r>
    </w:p>
    <w:p>
      <w:pPr>
        <w:spacing w:after="0" w:line="264" w:lineRule="exact"/>
        <w:rPr>
          <w:rFonts w:ascii="Arial" w:cs="Arial" w:eastAsia="Arial" w:hAnsi="Arial"/>
          <w:sz w:val="16"/>
          <w:szCs w:val="16"/>
          <w:color w:val="auto"/>
        </w:rPr>
      </w:pPr>
    </w:p>
    <w:p>
      <w:pPr>
        <w:ind w:left="640" w:hanging="31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or otherwise impact the pace and timing of repurchases under our stock repurchase program; and</w:t>
      </w:r>
    </w:p>
    <w:p>
      <w:pPr>
        <w:spacing w:after="0" w:line="241" w:lineRule="exact"/>
        <w:rPr>
          <w:rFonts w:ascii="Arial" w:cs="Arial" w:eastAsia="Arial" w:hAnsi="Arial"/>
          <w:sz w:val="18"/>
          <w:szCs w:val="18"/>
          <w:color w:val="auto"/>
        </w:rPr>
      </w:pPr>
    </w:p>
    <w:p>
      <w:pPr>
        <w:ind w:left="640" w:right="240" w:hanging="318"/>
        <w:spacing w:after="0" w:line="26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availability to borrow additional funds for working capital, capital expenditures, acquisitions, debt service requirements, execution of our business strategy, or other general purposes.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of the foregoing could have a material adverse effect on our business, cash flows, results of operations, and financial condition.</w:t>
      </w:r>
    </w:p>
    <w:p>
      <w:pPr>
        <w:spacing w:after="0" w:line="24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208"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2022, we had an aggregate of $1,157.6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41" w:lineRule="exact"/>
        <w:rPr>
          <w:sz w:val="20"/>
          <w:szCs w:val="20"/>
          <w:color w:val="auto"/>
        </w:rPr>
      </w:pPr>
    </w:p>
    <w:p>
      <w:pPr>
        <w:ind w:right="160" w:firstLine="396"/>
        <w:spacing w:after="0" w:line="287" w:lineRule="auto"/>
        <w:rPr>
          <w:sz w:val="20"/>
          <w:szCs w:val="20"/>
          <w:color w:val="auto"/>
        </w:rPr>
      </w:pPr>
      <w:r>
        <w:rPr>
          <w:rFonts w:ascii="Arial" w:cs="Arial" w:eastAsia="Arial" w:hAnsi="Arial"/>
          <w:sz w:val="16"/>
          <w:szCs w:val="16"/>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8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41" w:lineRule="exact"/>
        <w:rPr>
          <w:sz w:val="20"/>
          <w:szCs w:val="20"/>
          <w:color w:val="auto"/>
        </w:rPr>
      </w:pPr>
    </w:p>
    <w:p>
      <w:pPr>
        <w:ind w:right="80" w:firstLine="396"/>
        <w:spacing w:after="0" w:line="282" w:lineRule="auto"/>
        <w:rPr>
          <w:sz w:val="20"/>
          <w:szCs w:val="20"/>
          <w:color w:val="auto"/>
        </w:rPr>
      </w:pPr>
      <w:r>
        <w:rPr>
          <w:rFonts w:ascii="Arial" w:cs="Arial" w:eastAsia="Arial" w:hAnsi="Arial"/>
          <w:sz w:val="16"/>
          <w:szCs w:val="16"/>
          <w:color w:val="auto"/>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may increase expenses in the future, and we may not be able to achieve or maintain profitability.</w:t>
      </w:r>
    </w:p>
    <w:p>
      <w:pPr>
        <w:spacing w:after="0" w:line="264" w:lineRule="exact"/>
        <w:rPr>
          <w:sz w:val="20"/>
          <w:szCs w:val="20"/>
          <w:color w:val="auto"/>
        </w:rPr>
      </w:pPr>
    </w:p>
    <w:p>
      <w:pPr>
        <w:ind w:firstLine="396"/>
        <w:spacing w:after="0" w:line="277" w:lineRule="auto"/>
        <w:rPr>
          <w:sz w:val="20"/>
          <w:szCs w:val="20"/>
          <w:color w:val="auto"/>
        </w:rPr>
      </w:pPr>
      <w:r>
        <w:rPr>
          <w:rFonts w:ascii="Arial" w:cs="Arial" w:eastAsia="Arial" w:hAnsi="Arial"/>
          <w:sz w:val="16"/>
          <w:szCs w:val="16"/>
          <w:color w:val="auto"/>
        </w:rPr>
        <w:t>Although we had been profitable on a GAAP basis in prior fiscal quarters, 2021 was our first profitable full fiscal year. We may, however, not achieve or maintain profitability in future periods, or, if we are profitable, we may not fully achieve our profitability targets. We incurred net losses on an annual basis from our inception through 2020. As of December 31, 2022, we had accumulated deficit of $2,772.1 million. As we strive to grow our business, expenses may increase, particularly as we continue to make investments to scale our business, reposition our products or respond to new technologies.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208" w:lineRule="exact"/>
        <w:rPr>
          <w:sz w:val="20"/>
          <w:szCs w:val="20"/>
          <w:color w:val="auto"/>
        </w:rPr>
      </w:pPr>
    </w:p>
    <w:p>
      <w:pPr>
        <w:ind w:firstLine="396"/>
        <w:spacing w:after="0" w:line="28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41" w:lineRule="exact"/>
        <w:rPr>
          <w:sz w:val="20"/>
          <w:szCs w:val="20"/>
          <w:color w:val="auto"/>
        </w:rPr>
      </w:pPr>
    </w:p>
    <w:p>
      <w:pPr>
        <w:ind w:firstLine="396"/>
        <w:spacing w:after="0" w:line="285" w:lineRule="auto"/>
        <w:rPr>
          <w:sz w:val="20"/>
          <w:szCs w:val="20"/>
          <w:color w:val="auto"/>
        </w:rPr>
      </w:pPr>
      <w:r>
        <w:rPr>
          <w:rFonts w:ascii="Arial" w:cs="Arial" w:eastAsia="Arial" w:hAnsi="Arial"/>
          <w:sz w:val="16"/>
          <w:szCs w:val="16"/>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spacing w:after="0" w:line="193" w:lineRule="exact"/>
        <w:rPr>
          <w:sz w:val="20"/>
          <w:szCs w:val="20"/>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41" w:lineRule="exact"/>
        <w:rPr>
          <w:rFonts w:ascii="Arial" w:cs="Arial" w:eastAsia="Arial" w:hAnsi="Arial"/>
          <w:sz w:val="18"/>
          <w:szCs w:val="18"/>
          <w:color w:val="auto"/>
        </w:rPr>
      </w:pPr>
    </w:p>
    <w:p>
      <w:pPr>
        <w:ind w:left="640" w:right="20" w:hanging="318"/>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finance leases;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41" w:lineRule="exact"/>
        <w:rPr>
          <w:rFonts w:ascii="Arial" w:cs="Arial" w:eastAsia="Arial" w:hAnsi="Arial"/>
          <w:sz w:val="18"/>
          <w:szCs w:val="18"/>
          <w:color w:val="auto"/>
        </w:rPr>
      </w:pPr>
    </w:p>
    <w:p>
      <w:pPr>
        <w:ind w:left="640" w:right="400" w:hanging="318"/>
        <w:spacing w:after="0" w:line="26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catastrophic events, including earthquakes, fires, floods, tsunamis, or other weather events, power loss, telecommunications failures, software or hardware malfunctions, cyber-attack, war, or terrorist attacks, and pandemics;</w:t>
      </w:r>
    </w:p>
    <w:p>
      <w:pPr>
        <w:spacing w:after="0" w:line="207" w:lineRule="exact"/>
        <w:rPr>
          <w:rFonts w:ascii="Arial" w:cs="Arial" w:eastAsia="Arial" w:hAnsi="Arial"/>
          <w:sz w:val="18"/>
          <w:szCs w:val="18"/>
          <w:color w:val="auto"/>
        </w:rPr>
      </w:pPr>
    </w:p>
    <w:p>
      <w:pPr>
        <w:ind w:left="640" w:right="320" w:hanging="318"/>
        <w:spacing w:after="0" w:line="25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reserves or other non-cash credits or charges, such as the impairment charges as a result of adverse changes in the corporate real estate market which has impacted our subleasing strategy in conjunction with our shift to Virtual First, and releases of deferred tax asset valuation allowances; and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right="5120" w:hanging="78"/>
        <w:spacing w:after="0" w:line="584" w:lineRule="auto"/>
        <w:tabs>
          <w:tab w:leader="none" w:pos="6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impacts of shifting our operations to a Virtual First work model. Fluctuation in quarterly results may negatively impact the value of our securities.</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208" w:lineRule="exact"/>
        <w:rPr>
          <w:sz w:val="20"/>
          <w:szCs w:val="20"/>
          <w:color w:val="auto"/>
        </w:rPr>
      </w:pPr>
    </w:p>
    <w:p>
      <w:pPr>
        <w:ind w:right="60" w:firstLine="396"/>
        <w:spacing w:after="0" w:line="281"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6" w:lineRule="exact"/>
        <w:rPr>
          <w:sz w:val="20"/>
          <w:szCs w:val="20"/>
          <w:color w:val="auto"/>
        </w:rPr>
      </w:pPr>
    </w:p>
    <w:p>
      <w:pPr>
        <w:ind w:right="100" w:firstLine="396"/>
        <w:spacing w:after="0" w:line="303" w:lineRule="auto"/>
        <w:rPr>
          <w:sz w:val="20"/>
          <w:szCs w:val="20"/>
          <w:color w:val="auto"/>
        </w:rPr>
      </w:pPr>
      <w:r>
        <w:rPr>
          <w:rFonts w:ascii="Arial" w:cs="Arial" w:eastAsia="Arial" w:hAnsi="Arial"/>
          <w:sz w:val="15"/>
          <w:szCs w:val="15"/>
          <w:color w:val="auto"/>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2022,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241" w:lineRule="exact"/>
        <w:rPr>
          <w:sz w:val="20"/>
          <w:szCs w:val="20"/>
          <w:color w:val="auto"/>
        </w:rPr>
      </w:pPr>
    </w:p>
    <w:p>
      <w:pPr>
        <w:ind w:right="20" w:firstLine="396"/>
        <w:spacing w:after="0" w:line="282"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41"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As of December 31, 2022,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tax credits before their expiration. Under Sections 382 and 383 of the Internal Revenue Code of 1986, as amended, or the Code, if a corporation undergoes an “ownership change,” the corporation’s ability to use its pre-change net operating loss carryforwards and other pre 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208" w:lineRule="exact"/>
        <w:rPr>
          <w:sz w:val="20"/>
          <w:szCs w:val="20"/>
          <w:color w:val="auto"/>
        </w:rPr>
      </w:pPr>
    </w:p>
    <w:p>
      <w:pPr>
        <w:ind w:right="220" w:firstLine="396"/>
        <w:spacing w:after="0" w:line="287" w:lineRule="auto"/>
        <w:rPr>
          <w:sz w:val="20"/>
          <w:szCs w:val="20"/>
          <w:color w:val="auto"/>
        </w:rPr>
      </w:pPr>
      <w:r>
        <w:rPr>
          <w:rFonts w:ascii="Arial" w:cs="Arial" w:eastAsia="Arial" w:hAnsi="Arial"/>
          <w:sz w:val="16"/>
          <w:szCs w:val="16"/>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208" w:lineRule="exact"/>
        <w:rPr>
          <w:sz w:val="20"/>
          <w:szCs w:val="20"/>
          <w:color w:val="auto"/>
        </w:rPr>
      </w:pPr>
    </w:p>
    <w:p>
      <w:pPr>
        <w:ind w:firstLine="396"/>
        <w:spacing w:after="0" w:line="250" w:lineRule="auto"/>
        <w:rPr>
          <w:sz w:val="20"/>
          <w:szCs w:val="20"/>
          <w:color w:val="auto"/>
        </w:rPr>
      </w:pPr>
      <w:r>
        <w:rPr>
          <w:rFonts w:ascii="Arial" w:cs="Arial" w:eastAsia="Arial" w:hAnsi="Arial"/>
          <w:sz w:val="18"/>
          <w:szCs w:val="18"/>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spacing w:after="0" w:line="219"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by December 31, 2023. In addition, the United States recently enacted the Inflation Reduction Act of 2022 (“IRA”), which includes a 15% book-income alternative minimum tax for corporations with financial accounting profits over $1 billion and a 1% non-deductible excise tax on the value of certain stock repurchases by publicly traded corporations. The alternative minimum tax is not expected to have a material adverse impact on our business, results of operations, financial conditions, and cash flows; however, if we repurchase stock pursuant to our stock repurchase program or otherwise, the 1% excise tax on stock repurchases generally will increase the costs to us of such repurchases. Other changes to U.S. or non-U.S. tax laws could have an adverse impact on our business, results of operations, financial condition and cash flows.</w:t>
      </w:r>
    </w:p>
    <w:p>
      <w:pPr>
        <w:spacing w:after="0" w:line="201" w:lineRule="exact"/>
        <w:rPr>
          <w:sz w:val="20"/>
          <w:szCs w:val="20"/>
          <w:color w:val="auto"/>
        </w:rPr>
      </w:pPr>
    </w:p>
    <w:p>
      <w:pPr>
        <w:ind w:right="60"/>
        <w:spacing w:after="0" w:line="363"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8" w:lineRule="exact"/>
        <w:rPr>
          <w:sz w:val="20"/>
          <w:szCs w:val="20"/>
          <w:color w:val="auto"/>
        </w:rPr>
      </w:pPr>
    </w:p>
    <w:p>
      <w:pPr>
        <w:ind w:right="120" w:firstLine="396"/>
        <w:spacing w:after="0" w:line="282"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247" w:lineRule="exact"/>
        <w:rPr>
          <w:sz w:val="20"/>
          <w:szCs w:val="20"/>
          <w:color w:val="auto"/>
        </w:rPr>
      </w:pPr>
    </w:p>
    <w:p>
      <w:pPr>
        <w:ind w:right="220"/>
        <w:spacing w:after="0" w:line="363"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20" w:firstLine="396"/>
        <w:spacing w:after="0" w:line="283" w:lineRule="auto"/>
        <w:rPr>
          <w:sz w:val="20"/>
          <w:szCs w:val="20"/>
          <w:color w:val="auto"/>
        </w:rPr>
      </w:pPr>
      <w:r>
        <w:rPr>
          <w:rFonts w:ascii="Arial" w:cs="Arial" w:eastAsia="Arial" w:hAnsi="Arial"/>
          <w:sz w:val="16"/>
          <w:szCs w:val="16"/>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96" w:lineRule="exact"/>
        <w:rPr>
          <w:sz w:val="20"/>
          <w:szCs w:val="20"/>
          <w:color w:val="auto"/>
        </w:rPr>
      </w:pPr>
    </w:p>
    <w:p>
      <w:pPr>
        <w:ind w:firstLine="396"/>
        <w:spacing w:after="0" w:line="247"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23" w:lineRule="exact"/>
        <w:rPr>
          <w:sz w:val="20"/>
          <w:szCs w:val="20"/>
          <w:color w:val="auto"/>
        </w:rPr>
      </w:pPr>
    </w:p>
    <w:p>
      <w:pPr>
        <w:ind w:right="340" w:firstLine="396"/>
        <w:spacing w:after="0" w:line="300"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1" w:lineRule="exact"/>
        <w:rPr>
          <w:sz w:val="20"/>
          <w:szCs w:val="20"/>
          <w:color w:val="auto"/>
        </w:rPr>
      </w:pPr>
    </w:p>
    <w:p>
      <w:pPr>
        <w:ind w:right="40" w:firstLine="396"/>
        <w:spacing w:after="0" w:line="287"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208" w:lineRule="exact"/>
        <w:rPr>
          <w:sz w:val="20"/>
          <w:szCs w:val="20"/>
          <w:color w:val="auto"/>
        </w:rPr>
      </w:pPr>
    </w:p>
    <w:p>
      <w:pPr>
        <w:ind w:right="20" w:firstLine="396"/>
        <w:spacing w:after="0" w:line="281"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8" w:lineRule="exact"/>
        <w:rPr>
          <w:sz w:val="20"/>
          <w:szCs w:val="20"/>
          <w:color w:val="auto"/>
        </w:rPr>
      </w:pPr>
    </w:p>
    <w:p>
      <w:pPr>
        <w:ind w:right="180" w:firstLine="396"/>
        <w:spacing w:after="0" w:line="285"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80"/>
        <w:spacing w:after="0" w:line="325" w:lineRule="auto"/>
        <w:rPr>
          <w:sz w:val="20"/>
          <w:szCs w:val="20"/>
          <w:color w:val="auto"/>
        </w:rPr>
      </w:pPr>
      <w:r>
        <w:rPr>
          <w:rFonts w:ascii="Arial" w:cs="Arial" w:eastAsia="Arial" w:hAnsi="Arial"/>
          <w:sz w:val="16"/>
          <w:szCs w:val="16"/>
          <w:color w:val="auto"/>
        </w:rPr>
        <w:t>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6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208"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96" w:lineRule="exact"/>
        <w:rPr>
          <w:sz w:val="20"/>
          <w:szCs w:val="20"/>
          <w:color w:val="auto"/>
        </w:rPr>
      </w:pPr>
    </w:p>
    <w:p>
      <w:pPr>
        <w:jc w:val="both"/>
        <w:ind w:right="120" w:firstLine="396"/>
        <w:spacing w:after="0" w:line="300"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1" w:lineRule="exact"/>
        <w:rPr>
          <w:sz w:val="20"/>
          <w:szCs w:val="20"/>
          <w:color w:val="auto"/>
        </w:rPr>
      </w:pPr>
    </w:p>
    <w:p>
      <w:pPr>
        <w:ind w:firstLine="396"/>
        <w:spacing w:after="0" w:line="278" w:lineRule="auto"/>
        <w:rPr>
          <w:sz w:val="20"/>
          <w:szCs w:val="20"/>
          <w:color w:val="auto"/>
        </w:rPr>
      </w:pPr>
      <w:r>
        <w:rPr>
          <w:rFonts w:ascii="Arial" w:cs="Arial" w:eastAsia="Arial" w:hAnsi="Arial"/>
          <w:sz w:val="16"/>
          <w:szCs w:val="16"/>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A recent decision by the Irish Data Protection Commission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04"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such as Virginia, which in March 2021 enacted a Consumer Data Protection Act that went into effect January 1, 2023, Colorado, which in June 2021 enacted a Colorado Privacy Act that will go into effect July 1, 2023, Utah, which in March 2022 enacted a Utah Consumer Privacy Act that will go into effect July 1, 2023, Connecticut, which in May 2022 enacted a similar law, An Act Concerning Personal Data Privacy and Online Monitoring, which will go into effect July 1, 2023, and Iowa, which in March 2023 enacted an Act Relating to Consumer Data Protection, which will go into effect January 1, 2025.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w:t>
      </w:r>
    </w:p>
    <w:p>
      <w:pPr>
        <w:spacing w:after="0" w:line="219" w:lineRule="exact"/>
        <w:rPr>
          <w:sz w:val="20"/>
          <w:szCs w:val="20"/>
          <w:color w:val="auto"/>
        </w:rPr>
      </w:pPr>
    </w:p>
    <w:p>
      <w:pPr>
        <w:ind w:right="760" w:firstLine="396"/>
        <w:spacing w:after="0" w:line="262" w:lineRule="auto"/>
        <w:rPr>
          <w:sz w:val="20"/>
          <w:szCs w:val="20"/>
          <w:color w:val="auto"/>
        </w:rPr>
      </w:pPr>
      <w:r>
        <w:rPr>
          <w:rFonts w:ascii="Arial" w:cs="Arial" w:eastAsia="Arial" w:hAnsi="Arial"/>
          <w:sz w:val="18"/>
          <w:szCs w:val="18"/>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08"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196" w:lineRule="exact"/>
        <w:rPr>
          <w:sz w:val="20"/>
          <w:szCs w:val="20"/>
          <w:color w:val="auto"/>
        </w:rPr>
      </w:pPr>
    </w:p>
    <w:p>
      <w:pPr>
        <w:ind w:right="40" w:firstLine="396"/>
        <w:spacing w:after="0" w:line="282" w:lineRule="auto"/>
        <w:rPr>
          <w:sz w:val="20"/>
          <w:szCs w:val="20"/>
          <w:color w:val="auto"/>
        </w:rPr>
      </w:pPr>
      <w:r>
        <w:rPr>
          <w:rFonts w:ascii="Arial" w:cs="Arial" w:eastAsia="Arial" w:hAnsi="Arial"/>
          <w:sz w:val="16"/>
          <w:szCs w:val="16"/>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196" w:lineRule="exact"/>
        <w:rPr>
          <w:sz w:val="20"/>
          <w:szCs w:val="20"/>
          <w:color w:val="auto"/>
        </w:rPr>
      </w:pPr>
    </w:p>
    <w:p>
      <w:pPr>
        <w:ind w:right="80" w:firstLine="396"/>
        <w:spacing w:after="0" w:line="248"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41" w:lineRule="exact"/>
        <w:rPr>
          <w:sz w:val="20"/>
          <w:szCs w:val="20"/>
          <w:color w:val="auto"/>
        </w:rPr>
      </w:pPr>
    </w:p>
    <w:p>
      <w:pPr>
        <w:ind w:right="380" w:firstLine="396"/>
        <w:spacing w:after="0" w:line="250"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19" w:lineRule="exact"/>
        <w:rPr>
          <w:sz w:val="20"/>
          <w:szCs w:val="20"/>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396"/>
        <w:spacing w:after="0" w:line="282"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6" w:lineRule="exact"/>
        <w:rPr>
          <w:sz w:val="20"/>
          <w:szCs w:val="20"/>
          <w:color w:val="auto"/>
        </w:rPr>
      </w:pPr>
    </w:p>
    <w:p>
      <w:pPr>
        <w:ind w:right="120" w:firstLine="396"/>
        <w:spacing w:after="0" w:line="285"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208" w:lineRule="exact"/>
        <w:rPr>
          <w:sz w:val="20"/>
          <w:szCs w:val="20"/>
          <w:color w:val="auto"/>
        </w:rPr>
      </w:pPr>
    </w:p>
    <w:p>
      <w:pPr>
        <w:ind w:right="20" w:firstLine="396"/>
        <w:spacing w:after="0" w:line="278"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above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264" w:lineRule="exact"/>
        <w:rPr>
          <w:sz w:val="20"/>
          <w:szCs w:val="20"/>
          <w:color w:val="auto"/>
        </w:rPr>
      </w:pPr>
    </w:p>
    <w:p>
      <w:pPr>
        <w:ind w:right="40" w:firstLine="316"/>
        <w:spacing w:after="0" w:line="281" w:lineRule="auto"/>
        <w:rPr>
          <w:sz w:val="20"/>
          <w:szCs w:val="20"/>
          <w:color w:val="auto"/>
        </w:rPr>
      </w:pPr>
      <w:r>
        <w:rPr>
          <w:rFonts w:ascii="Arial" w:cs="Arial" w:eastAsia="Arial" w:hAnsi="Arial"/>
          <w:sz w:val="16"/>
          <w:szCs w:val="16"/>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1,550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41" w:lineRule="exact"/>
        <w:rPr>
          <w:sz w:val="20"/>
          <w:szCs w:val="20"/>
          <w:color w:val="auto"/>
        </w:rPr>
      </w:pPr>
    </w:p>
    <w:p>
      <w:pPr>
        <w:ind w:right="320" w:firstLine="396"/>
        <w:spacing w:after="0" w:line="325" w:lineRule="auto"/>
        <w:rPr>
          <w:sz w:val="20"/>
          <w:szCs w:val="20"/>
          <w:color w:val="auto"/>
        </w:rPr>
      </w:pPr>
      <w:r>
        <w:rPr>
          <w:rFonts w:ascii="Arial" w:cs="Arial" w:eastAsia="Arial" w:hAnsi="Arial"/>
          <w:sz w:val="16"/>
          <w:szCs w:val="16"/>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61" w:lineRule="exact"/>
        <w:rPr>
          <w:sz w:val="20"/>
          <w:szCs w:val="20"/>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time-to-time;</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64" w:lineRule="exact"/>
        <w:rPr>
          <w:rFonts w:ascii="Arial" w:cs="Arial" w:eastAsia="Arial" w:hAnsi="Arial"/>
          <w:sz w:val="16"/>
          <w:szCs w:val="16"/>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41" w:lineRule="exact"/>
        <w:rPr>
          <w:rFonts w:ascii="Arial" w:cs="Arial" w:eastAsia="Arial" w:hAnsi="Arial"/>
          <w:sz w:val="18"/>
          <w:szCs w:val="18"/>
          <w:color w:val="auto"/>
        </w:rPr>
      </w:pPr>
    </w:p>
    <w:p>
      <w:pPr>
        <w:ind w:left="640" w:right="140" w:hanging="318"/>
        <w:spacing w:after="0" w:line="262"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key metrics;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perceived breaches of, or failures related to, privacy, data protection or data security;</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41" w:lineRule="exact"/>
        <w:rPr>
          <w:rFonts w:ascii="Arial" w:cs="Arial" w:eastAsia="Arial" w:hAnsi="Arial"/>
          <w:sz w:val="18"/>
          <w:szCs w:val="18"/>
          <w:color w:val="auto"/>
        </w:rPr>
      </w:pPr>
    </w:p>
    <w:p>
      <w:pPr>
        <w:ind w:left="640" w:hanging="31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left="640" w:hanging="31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inclusion, exclusion, or deletion of our stock from any trading indices, including the S&amp;P 400 Index, to which we were recently added; and</w:t>
      </w:r>
    </w:p>
    <w:p>
      <w:pPr>
        <w:spacing w:after="0" w:line="251" w:lineRule="exact"/>
        <w:rPr>
          <w:rFonts w:ascii="Arial" w:cs="Arial" w:eastAsia="Arial" w:hAnsi="Arial"/>
          <w:sz w:val="16"/>
          <w:szCs w:val="16"/>
          <w:color w:val="auto"/>
        </w:rPr>
      </w:pPr>
    </w:p>
    <w:p>
      <w:pPr>
        <w:jc w:val="both"/>
        <w:ind w:left="640" w:right="280" w:hanging="318"/>
        <w:spacing w:after="0" w:line="253"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 catastrophic events, including earthquakes, fires, floods, tsunamis, or other weather events, power loss, telecommunications failures, software or hardware malfunctions, cyber-attack, war, such as the conflict between Russia and Ukraine, or terrorist attacks, and pandemics.</w:t>
      </w:r>
    </w:p>
    <w:p>
      <w:pPr>
        <w:spacing w:after="0" w:line="216" w:lineRule="exact"/>
        <w:rPr>
          <w:sz w:val="20"/>
          <w:szCs w:val="20"/>
          <w:color w:val="auto"/>
        </w:rPr>
      </w:pPr>
    </w:p>
    <w:p>
      <w:pPr>
        <w:ind w:right="400" w:firstLine="396"/>
        <w:spacing w:after="0" w:line="25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208" w:lineRule="exact"/>
        <w:rPr>
          <w:sz w:val="20"/>
          <w:szCs w:val="20"/>
          <w:color w:val="auto"/>
        </w:rPr>
      </w:pPr>
    </w:p>
    <w:p>
      <w:pPr>
        <w:ind w:right="120" w:firstLine="396"/>
        <w:spacing w:after="0" w:line="280" w:lineRule="auto"/>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 rights, except as otherwise required by law. As of June 30, 2023, our directors and executive officers, and their respective affiliates, held in the aggregate 75% of the voting power of our capital stock, with Mr. Houston holding approximately 74.9% of the voting power of our capital stock. We are including the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98" w:lineRule="exact"/>
        <w:rPr>
          <w:sz w:val="20"/>
          <w:szCs w:val="20"/>
          <w:color w:val="auto"/>
        </w:rPr>
      </w:pPr>
    </w:p>
    <w:p>
      <w:pPr>
        <w:ind w:right="40" w:firstLine="396"/>
        <w:spacing w:after="0" w:line="280"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spacing w:after="0" w:line="201" w:lineRule="exact"/>
        <w:rPr>
          <w:sz w:val="20"/>
          <w:szCs w:val="20"/>
          <w:color w:val="auto"/>
        </w:rPr>
      </w:pPr>
    </w:p>
    <w:p>
      <w:pPr>
        <w:jc w:val="both"/>
        <w:ind w:right="180" w:firstLine="396"/>
        <w:spacing w:after="0" w:line="328"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could depress the market price of our Class A common stock.</w:t>
      </w:r>
    </w:p>
    <w:p>
      <w:pPr>
        <w:spacing w:after="0" w:line="241" w:lineRule="exact"/>
        <w:rPr>
          <w:sz w:val="20"/>
          <w:szCs w:val="20"/>
          <w:color w:val="auto"/>
        </w:rPr>
      </w:pPr>
    </w:p>
    <w:p>
      <w:pPr>
        <w:ind w:right="180" w:firstLine="396"/>
        <w:spacing w:after="0" w:line="253" w:lineRule="auto"/>
        <w:rPr>
          <w:sz w:val="20"/>
          <w:szCs w:val="20"/>
          <w:color w:val="auto"/>
        </w:rPr>
      </w:pPr>
      <w:r>
        <w:rPr>
          <w:rFonts w:ascii="Arial" w:cs="Arial" w:eastAsia="Arial" w:hAnsi="Arial"/>
          <w:sz w:val="18"/>
          <w:szCs w:val="18"/>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216" w:lineRule="exact"/>
        <w:rPr>
          <w:sz w:val="20"/>
          <w:szCs w:val="20"/>
          <w:color w:val="auto"/>
        </w:rPr>
      </w:pPr>
    </w:p>
    <w:p>
      <w:pPr>
        <w:ind w:right="220" w:firstLine="396"/>
        <w:spacing w:after="0" w:line="325"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Transactions relating to our 2026 Notes and 2028 Notes may dilute the ownership interest of stockholders, or may otherwise depress the price of our common stock.</w:t>
      </w:r>
    </w:p>
    <w:p>
      <w:pPr>
        <w:spacing w:after="0" w:line="208" w:lineRule="exact"/>
        <w:rPr>
          <w:sz w:val="20"/>
          <w:szCs w:val="20"/>
          <w:color w:val="auto"/>
        </w:rPr>
      </w:pPr>
    </w:p>
    <w:p>
      <w:pPr>
        <w:ind w:right="60" w:firstLine="396"/>
        <w:spacing w:after="0" w:line="282" w:lineRule="auto"/>
        <w:rPr>
          <w:sz w:val="20"/>
          <w:szCs w:val="20"/>
          <w:color w:val="auto"/>
        </w:rPr>
      </w:pPr>
      <w:r>
        <w:rPr>
          <w:rFonts w:ascii="Arial" w:cs="Arial" w:eastAsia="Arial" w:hAnsi="Arial"/>
          <w:sz w:val="16"/>
          <w:szCs w:val="16"/>
          <w:color w:val="auto"/>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issuances of shares of our Class A common stock upon conversion of the 2026 Notes or 2028 Notes could depress the price of our Class A common stock.</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208" w:lineRule="exact"/>
        <w:rPr>
          <w:sz w:val="20"/>
          <w:szCs w:val="20"/>
          <w:color w:val="auto"/>
        </w:rPr>
      </w:pPr>
    </w:p>
    <w:p>
      <w:pPr>
        <w:ind w:firstLine="396"/>
        <w:spacing w:after="0" w:line="29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640" w:right="100" w:hanging="318"/>
        <w:spacing w:after="0" w:line="26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207" w:lineRule="exact"/>
        <w:rPr>
          <w:rFonts w:ascii="Arial" w:cs="Arial" w:eastAsia="Arial" w:hAnsi="Arial"/>
          <w:sz w:val="18"/>
          <w:szCs w:val="18"/>
          <w:color w:val="auto"/>
        </w:rPr>
      </w:pPr>
    </w:p>
    <w:p>
      <w:pPr>
        <w:jc w:val="both"/>
        <w:ind w:left="640" w:right="100" w:hanging="318"/>
        <w:spacing w:after="0" w:line="253"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215" w:lineRule="exact"/>
        <w:rPr>
          <w:rFonts w:ascii="Arial" w:cs="Arial" w:eastAsia="Arial" w:hAnsi="Arial"/>
          <w:sz w:val="18"/>
          <w:szCs w:val="18"/>
          <w:color w:val="auto"/>
        </w:rPr>
      </w:pPr>
    </w:p>
    <w:p>
      <w:pPr>
        <w:ind w:left="640" w:right="100" w:hanging="318"/>
        <w:spacing w:after="0" w:line="253"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215" w:lineRule="exact"/>
        <w:rPr>
          <w:rFonts w:ascii="Arial" w:cs="Arial" w:eastAsia="Arial" w:hAnsi="Arial"/>
          <w:sz w:val="18"/>
          <w:szCs w:val="18"/>
          <w:color w:val="auto"/>
        </w:rPr>
      </w:pPr>
    </w:p>
    <w:p>
      <w:pPr>
        <w:ind w:left="640" w:right="360" w:hanging="318"/>
        <w:spacing w:after="0" w:line="292"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640" w:right="320" w:hanging="318"/>
        <w:spacing w:after="0" w:line="26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207" w:lineRule="exact"/>
        <w:rPr>
          <w:rFonts w:ascii="Arial" w:cs="Arial" w:eastAsia="Arial" w:hAnsi="Arial"/>
          <w:sz w:val="18"/>
          <w:szCs w:val="18"/>
          <w:color w:val="auto"/>
        </w:rPr>
      </w:pPr>
    </w:p>
    <w:p>
      <w:pPr>
        <w:ind w:left="640" w:right="240" w:hanging="318"/>
        <w:spacing w:after="0" w:line="26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207" w:lineRule="exact"/>
        <w:rPr>
          <w:rFonts w:ascii="Arial" w:cs="Arial" w:eastAsia="Arial" w:hAnsi="Arial"/>
          <w:sz w:val="18"/>
          <w:szCs w:val="18"/>
          <w:color w:val="auto"/>
        </w:rPr>
      </w:pPr>
    </w:p>
    <w:p>
      <w:pPr>
        <w:ind w:left="640" w:right="340" w:hanging="318"/>
        <w:spacing w:after="0" w:line="262"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207" w:lineRule="exact"/>
        <w:rPr>
          <w:rFonts w:ascii="Arial" w:cs="Arial" w:eastAsia="Arial" w:hAnsi="Arial"/>
          <w:sz w:val="18"/>
          <w:szCs w:val="18"/>
          <w:color w:val="auto"/>
        </w:rPr>
      </w:pPr>
    </w:p>
    <w:p>
      <w:pPr>
        <w:ind w:left="640" w:hanging="31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41" w:lineRule="exact"/>
        <w:rPr>
          <w:rFonts w:ascii="Arial" w:cs="Arial" w:eastAsia="Arial" w:hAnsi="Arial"/>
          <w:sz w:val="18"/>
          <w:szCs w:val="18"/>
          <w:color w:val="auto"/>
        </w:rPr>
      </w:pPr>
    </w:p>
    <w:p>
      <w:pPr>
        <w:ind w:left="640" w:hanging="318"/>
        <w:spacing w:after="0" w:line="253"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litigation against us may be required to be brought in Delaware;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right="220" w:hanging="318"/>
        <w:spacing w:after="0" w:line="26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207" w:lineRule="exact"/>
        <w:rPr>
          <w:rFonts w:ascii="Arial" w:cs="Arial" w:eastAsia="Arial" w:hAnsi="Arial"/>
          <w:sz w:val="18"/>
          <w:szCs w:val="18"/>
          <w:color w:val="auto"/>
        </w:rPr>
      </w:pPr>
    </w:p>
    <w:p>
      <w:pPr>
        <w:ind w:left="640" w:right="400" w:hanging="318"/>
        <w:spacing w:after="0" w:line="26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208" w:lineRule="exact"/>
        <w:rPr>
          <w:sz w:val="20"/>
          <w:szCs w:val="20"/>
          <w:color w:val="auto"/>
        </w:rPr>
      </w:pPr>
    </w:p>
    <w:p>
      <w:pPr>
        <w:ind w:right="60" w:firstLine="396"/>
        <w:spacing w:after="0" w:line="292"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19" w:lineRule="exact"/>
        <w:rPr>
          <w:sz w:val="20"/>
          <w:szCs w:val="20"/>
          <w:color w:val="auto"/>
        </w:rPr>
      </w:pPr>
    </w:p>
    <w:p>
      <w:pPr>
        <w:ind w:right="40" w:firstLine="396"/>
        <w:spacing w:after="0" w:line="285"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3" w:lineRule="exact"/>
        <w:rPr>
          <w:sz w:val="20"/>
          <w:szCs w:val="20"/>
          <w:color w:val="auto"/>
        </w:rPr>
      </w:pPr>
    </w:p>
    <w:p>
      <w:pPr>
        <w:ind w:right="260" w:firstLine="396"/>
        <w:spacing w:after="0" w:line="262"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208" w:lineRule="exact"/>
        <w:rPr>
          <w:sz w:val="20"/>
          <w:szCs w:val="20"/>
          <w:color w:val="auto"/>
        </w:rPr>
      </w:pPr>
    </w:p>
    <w:p>
      <w:pPr>
        <w:ind w:right="300" w:firstLine="396"/>
        <w:spacing w:after="0" w:line="300"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1" w:lineRule="exact"/>
        <w:rPr>
          <w:sz w:val="20"/>
          <w:szCs w:val="20"/>
          <w:color w:val="auto"/>
        </w:rPr>
      </w:pPr>
    </w:p>
    <w:p>
      <w:pPr>
        <w:ind w:right="440" w:firstLine="396"/>
        <w:spacing w:after="0" w:line="262" w:lineRule="auto"/>
        <w:rPr>
          <w:sz w:val="20"/>
          <w:szCs w:val="20"/>
          <w:color w:val="auto"/>
        </w:rPr>
      </w:pPr>
      <w:r>
        <w:rPr>
          <w:rFonts w:ascii="Arial" w:cs="Arial" w:eastAsia="Arial" w:hAnsi="Arial"/>
          <w:sz w:val="18"/>
          <w:szCs w:val="18"/>
          <w:color w:val="auto"/>
        </w:rPr>
        <w:t>If we face relevant litigation and are unable to enforce these provisions, we may incur additional costs associated with resolving the dispute in other jurisdictions, which could harm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guarantee that our stock repurchase program will be fully implemented or that it will enhance long-term stockholder value.</w:t>
      </w:r>
    </w:p>
    <w:p>
      <w:pPr>
        <w:spacing w:after="0" w:line="264" w:lineRule="exact"/>
        <w:rPr>
          <w:sz w:val="20"/>
          <w:szCs w:val="20"/>
          <w:color w:val="auto"/>
        </w:rPr>
      </w:pPr>
    </w:p>
    <w:p>
      <w:pPr>
        <w:ind w:firstLine="396"/>
        <w:spacing w:after="0" w:line="279" w:lineRule="auto"/>
        <w:rPr>
          <w:sz w:val="20"/>
          <w:szCs w:val="20"/>
          <w:color w:val="auto"/>
        </w:rPr>
      </w:pPr>
      <w:r>
        <w:rPr>
          <w:rFonts w:ascii="Arial" w:cs="Arial" w:eastAsia="Arial" w:hAnsi="Arial"/>
          <w:sz w:val="16"/>
          <w:szCs w:val="16"/>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in February 2022 our Board of Directors further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41" w:lineRule="exact"/>
        <w:rPr>
          <w:sz w:val="20"/>
          <w:szCs w:val="20"/>
          <w:color w:val="auto"/>
        </w:rPr>
      </w:pPr>
    </w:p>
    <w:p>
      <w:pPr>
        <w:ind w:right="160" w:firstLine="396"/>
        <w:spacing w:after="0" w:line="250"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13"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General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8" w:lineRule="exact"/>
        <w:rPr>
          <w:sz w:val="20"/>
          <w:szCs w:val="20"/>
          <w:color w:val="auto"/>
        </w:rPr>
      </w:pPr>
    </w:p>
    <w:p>
      <w:pPr>
        <w:ind w:firstLine="396"/>
        <w:spacing w:after="0" w:line="268"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spacing w:after="0" w:line="205" w:lineRule="exact"/>
        <w:rPr>
          <w:sz w:val="20"/>
          <w:szCs w:val="20"/>
          <w:color w:val="auto"/>
        </w:rPr>
      </w:pPr>
    </w:p>
    <w:p>
      <w:pPr>
        <w:ind w:firstLine="396"/>
        <w:spacing w:after="0" w:line="283"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41" w:lineRule="exact"/>
        <w:rPr>
          <w:sz w:val="20"/>
          <w:szCs w:val="20"/>
          <w:color w:val="auto"/>
        </w:rPr>
      </w:pPr>
    </w:p>
    <w:p>
      <w:pPr>
        <w:ind w:right="40" w:firstLine="396"/>
        <w:spacing w:after="0" w:line="281" w:lineRule="auto"/>
        <w:rPr>
          <w:sz w:val="20"/>
          <w:szCs w:val="20"/>
          <w:color w:val="auto"/>
        </w:rPr>
      </w:pPr>
      <w:r>
        <w:rPr>
          <w:rFonts w:ascii="Arial" w:cs="Arial" w:eastAsia="Arial" w:hAnsi="Arial"/>
          <w:sz w:val="16"/>
          <w:szCs w:val="16"/>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In addition to introducing a new book income-minimum corporate income tax on certain large corporations, and a non-deductible excise tax of 1% on certain share repurchases by corporations, the recently enacted IRA increased funding for the Internal Revenue Service (“IRS”). Although we do not anticipate the new corporate minimum income tax will currently apply, changes in our business operations and pending regulations on the interpretation and application of the new corporate minimum tax may have adverse tax consequences for us. The 1% excise tax on share repurchases applies to any repurchase of stock (including transactions deemed to be repurchases for U.S. income tax purposes) we undertake, which will generally increase the costs to us of any share repurchases.</w:t>
      </w:r>
    </w:p>
    <w:p>
      <w:pPr>
        <w:spacing w:after="0" w:line="198" w:lineRule="exact"/>
        <w:rPr>
          <w:sz w:val="20"/>
          <w:szCs w:val="20"/>
          <w:color w:val="auto"/>
        </w:rPr>
      </w:pPr>
    </w:p>
    <w:p>
      <w:pPr>
        <w:ind w:right="60" w:firstLine="396"/>
        <w:spacing w:after="0" w:line="285" w:lineRule="auto"/>
        <w:rPr>
          <w:sz w:val="20"/>
          <w:szCs w:val="20"/>
          <w:color w:val="auto"/>
        </w:rPr>
      </w:pPr>
      <w:r>
        <w:rPr>
          <w:rFonts w:ascii="Arial" w:cs="Arial" w:eastAsia="Arial" w:hAnsi="Arial"/>
          <w:sz w:val="16"/>
          <w:szCs w:val="16"/>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19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208" w:lineRule="exact"/>
        <w:rPr>
          <w:sz w:val="20"/>
          <w:szCs w:val="20"/>
          <w:color w:val="auto"/>
        </w:rPr>
      </w:pPr>
    </w:p>
    <w:p>
      <w:pPr>
        <w:ind w:right="220" w:firstLine="396"/>
        <w:spacing w:after="0" w:line="253" w:lineRule="auto"/>
        <w:rPr>
          <w:sz w:val="20"/>
          <w:szCs w:val="20"/>
          <w:color w:val="auto"/>
        </w:rPr>
      </w:pPr>
      <w:r>
        <w:rPr>
          <w:rFonts w:ascii="Arial" w:cs="Arial" w:eastAsia="Arial" w:hAnsi="Arial"/>
          <w:sz w:val="18"/>
          <w:szCs w:val="18"/>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compliance costs, make some activities more difficult, time-consuming and costly, and place significant strain on our personnel, systems, and resources.</w:t>
      </w:r>
    </w:p>
    <w:p>
      <w:pPr>
        <w:spacing w:after="0" w:line="264" w:lineRule="exact"/>
        <w:rPr>
          <w:sz w:val="20"/>
          <w:szCs w:val="20"/>
          <w:color w:val="auto"/>
        </w:rPr>
      </w:pPr>
    </w:p>
    <w:p>
      <w:pPr>
        <w:ind w:right="20" w:firstLine="396"/>
        <w:spacing w:after="0" w:line="279"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0" w:lineRule="exact"/>
        <w:rPr>
          <w:sz w:val="20"/>
          <w:szCs w:val="20"/>
          <w:color w:val="auto"/>
        </w:rPr>
      </w:pPr>
    </w:p>
    <w:p>
      <w:pPr>
        <w:ind w:firstLine="396"/>
        <w:spacing w:after="0" w:line="28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264" w:lineRule="exact"/>
        <w:rPr>
          <w:sz w:val="20"/>
          <w:szCs w:val="20"/>
          <w:color w:val="auto"/>
        </w:rPr>
      </w:pPr>
    </w:p>
    <w:p>
      <w:pPr>
        <w:ind w:right="160" w:firstLine="396"/>
        <w:spacing w:after="0" w:line="24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41" w:lineRule="exact"/>
        <w:rPr>
          <w:sz w:val="20"/>
          <w:szCs w:val="20"/>
          <w:color w:val="auto"/>
        </w:rPr>
      </w:pPr>
    </w:p>
    <w:p>
      <w:pPr>
        <w:ind w:right="60" w:firstLine="396"/>
        <w:spacing w:after="0" w:line="282"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208"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ind w:right="2380" w:firstLine="633"/>
        <w:spacing w:after="0" w:line="262" w:lineRule="auto"/>
        <w:rPr>
          <w:sz w:val="20"/>
          <w:szCs w:val="20"/>
          <w:color w:val="auto"/>
        </w:rPr>
      </w:pPr>
      <w:r>
        <w:rPr>
          <w:rFonts w:ascii="Arial" w:cs="Arial" w:eastAsia="Arial" w:hAnsi="Arial"/>
          <w:sz w:val="18"/>
          <w:szCs w:val="18"/>
          <w:color w:val="auto"/>
        </w:rPr>
        <w:t>The following table presents information with respect to Dropbox's repurchases of Class A common stock during the quarter ended June 30, 2023.</w:t>
      </w:r>
    </w:p>
    <w:tbl>
      <w:tblPr>
        <w:tblLayout w:type="fixed"/>
        <w:tblInd w:w="4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89"/>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jc w:val="center"/>
              <w:ind w:right="58"/>
              <w:spacing w:after="0" w:line="171" w:lineRule="exact"/>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58"/>
              <w:spacing w:after="0" w:line="158"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right"/>
              <w:ind w:right="238"/>
              <w:spacing w:after="0"/>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90"/>
              </w:rPr>
              <w:t>Purchased Under Publicly</w:t>
            </w:r>
          </w:p>
        </w:tc>
        <w:tc>
          <w:tcPr>
            <w:tcW w:w="0" w:type="dxa"/>
            <w:vAlign w:val="bottom"/>
          </w:tcPr>
          <w:p>
            <w:pPr>
              <w:spacing w:after="0"/>
              <w:rPr>
                <w:sz w:val="1"/>
                <w:szCs w:val="1"/>
                <w:color w:val="auto"/>
              </w:rPr>
            </w:pPr>
          </w:p>
        </w:tc>
      </w:tr>
      <w:tr>
        <w:trPr>
          <w:trHeight w:val="158"/>
        </w:trPr>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Period</w:t>
            </w:r>
          </w:p>
        </w:tc>
        <w:tc>
          <w:tcPr>
            <w:tcW w:w="12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2"/>
            <w:vMerge w:val="restart"/>
          </w:tcPr>
          <w:p>
            <w:pPr>
              <w:jc w:val="right"/>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jc w:val="center"/>
              <w:ind w:right="38"/>
              <w:spacing w:after="0" w:line="158" w:lineRule="exact"/>
              <w:rPr>
                <w:sz w:val="20"/>
                <w:szCs w:val="20"/>
                <w:color w:val="auto"/>
              </w:rPr>
            </w:pPr>
            <w:r>
              <w:rPr>
                <w:rFonts w:ascii="Arial" w:cs="Arial" w:eastAsia="Arial" w:hAnsi="Arial"/>
                <w:sz w:val="16"/>
                <w:szCs w:val="16"/>
                <w:color w:val="auto"/>
                <w:w w:val="89"/>
              </w:rPr>
              <w:t>Announced Programs</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right"/>
              <w:ind w:right="198"/>
              <w:spacing w:after="0" w:line="207"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2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color w:val="auto"/>
                <w:w w:val="94"/>
              </w:rPr>
              <w:t>(in millions)</w:t>
            </w:r>
            <w:r>
              <w:rPr>
                <w:rFonts w:ascii="Arial" w:cs="Arial" w:eastAsia="Arial" w:hAnsi="Arial"/>
                <w:sz w:val="20"/>
                <w:szCs w:val="20"/>
                <w:color w:val="auto"/>
                <w:w w:val="94"/>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8"/>
              <w:spacing w:after="0" w:line="207"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31"/>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0" w:type="dxa"/>
            <w:vAlign w:val="bottom"/>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24"/>
        </w:trPr>
        <w:tc>
          <w:tcPr>
            <w:tcW w:w="2140" w:type="dxa"/>
            <w:vAlign w:val="bottom"/>
          </w:tcPr>
          <w:p>
            <w:pPr>
              <w:ind w:left="20"/>
              <w:spacing w:after="0"/>
              <w:rPr>
                <w:sz w:val="20"/>
                <w:szCs w:val="20"/>
                <w:color w:val="auto"/>
              </w:rPr>
            </w:pPr>
            <w:r>
              <w:rPr>
                <w:rFonts w:ascii="Arial" w:cs="Arial" w:eastAsia="Arial" w:hAnsi="Arial"/>
                <w:sz w:val="18"/>
                <w:szCs w:val="18"/>
                <w:color w:val="auto"/>
              </w:rPr>
              <w:t>May 1 - 31</w:t>
            </w:r>
          </w:p>
        </w:tc>
        <w:tc>
          <w:tcPr>
            <w:tcW w:w="2260" w:type="dxa"/>
            <w:vAlign w:val="bottom"/>
            <w:gridSpan w:val="2"/>
          </w:tcPr>
          <w:p>
            <w:pPr>
              <w:jc w:val="right"/>
              <w:spacing w:after="0" w:line="224" w:lineRule="exact"/>
              <w:rPr>
                <w:sz w:val="20"/>
                <w:szCs w:val="20"/>
                <w:color w:val="auto"/>
              </w:rPr>
            </w:pPr>
            <w:r>
              <w:rPr>
                <w:rFonts w:ascii="Arial" w:cs="Arial" w:eastAsia="Arial" w:hAnsi="Arial"/>
                <w:sz w:val="18"/>
                <w:szCs w:val="18"/>
                <w:color w:val="auto"/>
              </w:rPr>
              <w:t>2.62</w:t>
            </w:r>
            <w:r>
              <w:rPr>
                <w:rFonts w:ascii="Arial" w:cs="Arial" w:eastAsia="Arial" w:hAnsi="Arial"/>
                <w:sz w:val="22"/>
                <w:szCs w:val="22"/>
                <w:color w:val="auto"/>
                <w:vertAlign w:val="superscript"/>
              </w:rPr>
              <w:t>(3)</w:t>
            </w:r>
          </w:p>
        </w:tc>
        <w:tc>
          <w:tcPr>
            <w:tcW w:w="1000" w:type="dxa"/>
            <w:vAlign w:val="bottom"/>
            <w:gridSpan w:val="2"/>
          </w:tcPr>
          <w:p>
            <w:pPr>
              <w:jc w:val="right"/>
              <w:ind w:right="70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460.77</w:t>
            </w:r>
          </w:p>
        </w:tc>
        <w:tc>
          <w:tcPr>
            <w:tcW w:w="0" w:type="dxa"/>
            <w:vAlign w:val="bottom"/>
          </w:tcPr>
          <w:p>
            <w:pPr>
              <w:spacing w:after="0"/>
              <w:rPr>
                <w:sz w:val="1"/>
                <w:szCs w:val="1"/>
                <w:color w:val="auto"/>
              </w:rPr>
            </w:pPr>
          </w:p>
        </w:tc>
      </w:tr>
      <w:tr>
        <w:trPr>
          <w:trHeight w:val="224"/>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0" w:type="dxa"/>
            <w:vAlign w:val="bottom"/>
            <w:tcBorders>
              <w:bottom w:val="single" w:sz="8" w:color="CCEEFF"/>
            </w:tcBorders>
            <w:gridSpan w:val="2"/>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418.06</w:t>
            </w:r>
          </w:p>
        </w:tc>
        <w:tc>
          <w:tcPr>
            <w:tcW w:w="0" w:type="dxa"/>
            <w:vAlign w:val="bottom"/>
          </w:tcPr>
          <w:p>
            <w:pPr>
              <w:spacing w:after="0"/>
              <w:rPr>
                <w:sz w:val="1"/>
                <w:szCs w:val="1"/>
                <w:color w:val="auto"/>
              </w:rPr>
            </w:pPr>
          </w:p>
        </w:tc>
      </w:tr>
      <w:tr>
        <w:trPr>
          <w:trHeight w:val="231"/>
        </w:trPr>
        <w:tc>
          <w:tcPr>
            <w:tcW w:w="2140" w:type="dxa"/>
            <w:vAlign w:val="bottom"/>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1000" w:type="dxa"/>
            <w:vAlign w:val="bottom"/>
            <w:gridSpan w:val="2"/>
          </w:tcPr>
          <w:p>
            <w:pPr>
              <w:jc w:val="right"/>
              <w:ind w:right="70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22.25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40" w:firstLine="6"/>
        <w:spacing w:after="0" w:line="289" w:lineRule="auto"/>
        <w:tabs>
          <w:tab w:leader="none" w:pos="162" w:val="left"/>
        </w:tabs>
        <w:numPr>
          <w:ilvl w:val="0"/>
          <w:numId w:val="33"/>
        </w:numPr>
        <w:rPr>
          <w:rFonts w:ascii="Arial" w:cs="Arial" w:eastAsia="Arial" w:hAnsi="Arial"/>
          <w:sz w:val="19"/>
          <w:szCs w:val="19"/>
          <w:color w:val="auto"/>
          <w:vertAlign w:val="superscript"/>
        </w:rPr>
      </w:pPr>
      <w:r>
        <w:rPr>
          <w:rFonts w:ascii="Arial" w:cs="Arial" w:eastAsia="Arial" w:hAnsi="Arial"/>
          <w:sz w:val="13"/>
          <w:szCs w:val="13"/>
          <w:color w:val="auto"/>
        </w:rPr>
        <w:t>On February 17, 2022, we announced that our Board of Directors authorized the repurchase of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spacing w:after="0" w:line="377" w:lineRule="exact"/>
        <w:rPr>
          <w:rFonts w:ascii="Arial" w:cs="Arial" w:eastAsia="Arial" w:hAnsi="Arial"/>
          <w:sz w:val="19"/>
          <w:szCs w:val="19"/>
          <w:color w:val="auto"/>
          <w:vertAlign w:val="superscript"/>
        </w:rPr>
      </w:pPr>
    </w:p>
    <w:p>
      <w:pPr>
        <w:ind w:left="160" w:hanging="154"/>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3"/>
          <w:szCs w:val="13"/>
          <w:color w:val="auto"/>
        </w:rPr>
        <w:t>Average price paid per share includes costs associated with the repurchases, excluding the 1% excise tax.</w:t>
      </w:r>
    </w:p>
    <w:p>
      <w:pPr>
        <w:spacing w:after="0" w:line="228"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3"/>
          <w:szCs w:val="13"/>
          <w:color w:val="auto"/>
        </w:rPr>
        <w:t>Includes 47,527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47" w:lineRule="exact"/>
        <w:rPr>
          <w:sz w:val="20"/>
          <w:szCs w:val="20"/>
          <w:color w:val="auto"/>
        </w:rPr>
      </w:pPr>
    </w:p>
    <w:p>
      <w:pPr>
        <w:ind w:right="140" w:firstLine="396"/>
        <w:spacing w:after="0" w:line="262" w:lineRule="auto"/>
        <w:rPr>
          <w:sz w:val="20"/>
          <w:szCs w:val="20"/>
          <w:color w:val="auto"/>
        </w:rPr>
      </w:pPr>
      <w:r>
        <w:rPr>
          <w:rFonts w:ascii="Arial" w:cs="Arial" w:eastAsia="Arial" w:hAnsi="Arial"/>
          <w:sz w:val="18"/>
          <w:szCs w:val="18"/>
          <w:color w:val="auto"/>
        </w:rPr>
        <w:t>During our last fiscal quarter, the following officers, as defined in Rule 16a-1(f), adopted a “Rule 10b5-1 trading arrangement” as defined in Regulation S-K Item 408, as follows:</w:t>
      </w:r>
    </w:p>
    <w:p>
      <w:pPr>
        <w:spacing w:after="0" w:line="208" w:lineRule="exact"/>
        <w:rPr>
          <w:sz w:val="20"/>
          <w:szCs w:val="20"/>
          <w:color w:val="auto"/>
        </w:rPr>
      </w:pPr>
    </w:p>
    <w:p>
      <w:pPr>
        <w:ind w:right="180" w:firstLine="396"/>
        <w:spacing w:after="0" w:line="292" w:lineRule="auto"/>
        <w:rPr>
          <w:sz w:val="20"/>
          <w:szCs w:val="20"/>
          <w:color w:val="auto"/>
        </w:rPr>
      </w:pPr>
      <w:r>
        <w:rPr>
          <w:rFonts w:ascii="Arial" w:cs="Arial" w:eastAsia="Arial" w:hAnsi="Arial"/>
          <w:sz w:val="16"/>
          <w:szCs w:val="16"/>
          <w:color w:val="auto"/>
        </w:rPr>
        <w:t>On May 8, 2023, Tim Regan, our Chief Financial Officer, adopted a Rule 10b5-1 trading arrangement providing for the sale from time-to-time of an aggregate of up to 180,505 shares of our Class A common stock, although we expect the total number of such shares sold will ultimately be less than this amount due to withholding for applicable taxes. The trading arrangement is intended to satisfy the affirmative defense in Rule 10b5-1(c). The duration of the trading arrangement is until September 2, 2024, or earlier if all transactions under the trading arrangement are completed.</w:t>
      </w:r>
    </w:p>
    <w:p>
      <w:pPr>
        <w:spacing w:after="0" w:line="186" w:lineRule="exact"/>
        <w:rPr>
          <w:sz w:val="20"/>
          <w:szCs w:val="20"/>
          <w:color w:val="auto"/>
        </w:rPr>
      </w:pPr>
    </w:p>
    <w:p>
      <w:pPr>
        <w:ind w:firstLine="396"/>
        <w:spacing w:after="0" w:line="287" w:lineRule="auto"/>
        <w:rPr>
          <w:sz w:val="20"/>
          <w:szCs w:val="20"/>
          <w:color w:val="auto"/>
        </w:rPr>
      </w:pPr>
      <w:r>
        <w:rPr>
          <w:rFonts w:ascii="Arial" w:cs="Arial" w:eastAsia="Arial" w:hAnsi="Arial"/>
          <w:sz w:val="16"/>
          <w:szCs w:val="16"/>
          <w:color w:val="auto"/>
        </w:rPr>
        <w:t>On June 6, 2023, Bart Volkmer, our Chief Legal Officer, adopted a Rule 10b5-1 trading arrangement providing for the sale from time-to-time of an aggregate of up to 137,805 shares of our Class A common stock and up to 5,360 shares of our Class B common stock (which will convert into Class A common stock upon sale), although in each case we expect the total number of such shares sold will ultimately be less than these amounts due to withholding for applicable taxes. The trading arrangement is intended to satisfy the affirmative defense in Rule 10b5-1(c). The duration of the trading arrangement is until July 31, 2024, or earlier if all transactions under the trading arrangement are completed.</w:t>
      </w:r>
    </w:p>
    <w:p>
      <w:pPr>
        <w:spacing w:after="0" w:line="192" w:lineRule="exact"/>
        <w:rPr>
          <w:sz w:val="20"/>
          <w:szCs w:val="20"/>
          <w:color w:val="auto"/>
        </w:rPr>
      </w:pPr>
    </w:p>
    <w:p>
      <w:pPr>
        <w:ind w:right="20" w:firstLine="396"/>
        <w:spacing w:after="0" w:line="262" w:lineRule="auto"/>
        <w:rPr>
          <w:sz w:val="20"/>
          <w:szCs w:val="20"/>
          <w:color w:val="auto"/>
        </w:rPr>
      </w:pPr>
      <w:r>
        <w:rPr>
          <w:rFonts w:ascii="Arial" w:cs="Arial" w:eastAsia="Arial" w:hAnsi="Arial"/>
          <w:sz w:val="18"/>
          <w:szCs w:val="18"/>
          <w:color w:val="auto"/>
        </w:rPr>
        <w:t>No other officers or directors, as defined in Rule 16a-1(f), adopted and/or terminated a “Rule 10b5-1 trading arrangement” or a “non-Rule 10b5-1 trading arrangement,” as defined in Regulation S-K Item 408, during the last fiscal quarter.</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680" w:type="dxa"/>
            <w:vAlign w:val="bottom"/>
            <w:gridSpan w:val="5"/>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Reference from</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Filed with SEC</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4680" w:type="dxa"/>
            <w:vAlign w:val="bottom"/>
            <w:gridSpan w:val="5"/>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000" w:type="dxa"/>
            <w:vAlign w:val="bottom"/>
            <w:gridSpan w:val="6"/>
          </w:tcPr>
          <w:p>
            <w:pPr>
              <w:spacing w:after="0"/>
              <w:rPr>
                <w:sz w:val="20"/>
                <w:szCs w:val="20"/>
                <w:color w:val="auto"/>
              </w:rPr>
            </w:pPr>
            <w:r>
              <w:rPr>
                <w:rFonts w:ascii="Arial" w:cs="Arial" w:eastAsia="Arial" w:hAnsi="Arial"/>
                <w:sz w:val="14"/>
                <w:szCs w:val="14"/>
                <w:color w:val="0000FF"/>
                <w:w w:val="94"/>
              </w:rPr>
              <w:t>Certification of Principal Executive Officer pursuant to Exchange Act Rules 13a-14(a)</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4860" w:type="dxa"/>
            <w:vAlign w:val="bottom"/>
            <w:tcBorders>
              <w:top w:val="single" w:sz="8" w:color="0000FF"/>
              <w:bottom w:val="single" w:sz="8" w:color="0000FF"/>
            </w:tcBorders>
            <w:gridSpan w:val="3"/>
          </w:tcPr>
          <w:p>
            <w:pPr>
              <w:spacing w:after="0" w:line="112" w:lineRule="exact"/>
              <w:rPr>
                <w:sz w:val="20"/>
                <w:szCs w:val="20"/>
                <w:color w:val="auto"/>
              </w:rPr>
            </w:pPr>
            <w:r>
              <w:rPr>
                <w:rFonts w:ascii="Arial" w:cs="Arial" w:eastAsia="Arial" w:hAnsi="Arial"/>
                <w:sz w:val="12"/>
                <w:szCs w:val="12"/>
                <w:color w:val="0000FF"/>
              </w:rPr>
              <w:t>and 15d-14(a), as adopted pursuant to Section 302 of the Sarbanes-Oxley Act of 2002.</w:t>
            </w:r>
          </w:p>
        </w:tc>
        <w:tc>
          <w:tcPr>
            <w:tcW w:w="2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2"/>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000" w:type="dxa"/>
            <w:vAlign w:val="bottom"/>
            <w:gridSpan w:val="6"/>
          </w:tcPr>
          <w:p>
            <w:pPr>
              <w:spacing w:after="0"/>
              <w:rPr>
                <w:sz w:val="20"/>
                <w:szCs w:val="20"/>
                <w:color w:val="auto"/>
              </w:rPr>
            </w:pPr>
            <w:r>
              <w:rPr>
                <w:rFonts w:ascii="Arial" w:cs="Arial" w:eastAsia="Arial" w:hAnsi="Arial"/>
                <w:sz w:val="14"/>
                <w:szCs w:val="14"/>
                <w:color w:val="0000FF"/>
                <w:w w:val="95"/>
              </w:rPr>
              <w:t>Certification of Principal Financial Officer pursuant to Exchange Act Rules 13a-14(a)</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4820" w:type="dxa"/>
            <w:vAlign w:val="bottom"/>
            <w:tcBorders>
              <w:top w:val="single" w:sz="8" w:color="0000FF"/>
              <w:bottom w:val="single" w:sz="8" w:color="0000FF"/>
            </w:tcBorders>
            <w:gridSpan w:val="2"/>
          </w:tcPr>
          <w:p>
            <w:pPr>
              <w:spacing w:after="0" w:line="125" w:lineRule="exact"/>
              <w:rPr>
                <w:sz w:val="20"/>
                <w:szCs w:val="20"/>
                <w:color w:val="auto"/>
              </w:rPr>
            </w:pPr>
            <w:r>
              <w:rPr>
                <w:rFonts w:ascii="Arial" w:cs="Arial" w:eastAsia="Arial" w:hAnsi="Arial"/>
                <w:sz w:val="14"/>
                <w:szCs w:val="14"/>
                <w:color w:val="0000FF"/>
                <w:w w:val="89"/>
              </w:rPr>
              <w:t>and 15d-14(a), as adopted pursuant to Section 302 of the Sarbanes-Oxley Act of 2002.</w:t>
            </w:r>
          </w:p>
        </w:tc>
        <w:tc>
          <w:tcPr>
            <w:tcW w:w="40" w:type="dxa"/>
            <w:vAlign w:val="bottom"/>
            <w:tcBorders>
              <w:bottom w:val="single" w:sz="8" w:color="0000FF"/>
            </w:tcBorders>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5000" w:type="dxa"/>
            <w:vAlign w:val="bottom"/>
            <w:gridSpan w:val="6"/>
          </w:tcPr>
          <w:p>
            <w:pPr>
              <w:spacing w:after="0"/>
              <w:rPr>
                <w:sz w:val="20"/>
                <w:szCs w:val="20"/>
                <w:color w:val="auto"/>
              </w:rPr>
            </w:pPr>
            <w:r>
              <w:rPr>
                <w:rFonts w:ascii="Arial" w:cs="Arial" w:eastAsia="Arial" w:hAnsi="Arial"/>
                <w:sz w:val="14"/>
                <w:szCs w:val="14"/>
                <w:color w:val="0000FF"/>
                <w:w w:val="94"/>
              </w:rPr>
              <w:t>Certifications of Principal Executive Officer and Principal Financial Officer pursuant to</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80" w:type="dxa"/>
            <w:vAlign w:val="bottom"/>
          </w:tcPr>
          <w:p>
            <w:pPr>
              <w:spacing w:after="0"/>
              <w:rPr>
                <w:sz w:val="10"/>
                <w:szCs w:val="10"/>
                <w:color w:val="auto"/>
              </w:rPr>
            </w:pPr>
          </w:p>
        </w:tc>
        <w:tc>
          <w:tcPr>
            <w:tcW w:w="5000" w:type="dxa"/>
            <w:vAlign w:val="bottom"/>
            <w:tcBorders>
              <w:bottom w:val="single" w:sz="8" w:color="0000FF"/>
            </w:tcBorders>
            <w:gridSpan w:val="6"/>
          </w:tcPr>
          <w:p>
            <w:pPr>
              <w:spacing w:after="0" w:line="125" w:lineRule="exact"/>
              <w:rPr>
                <w:sz w:val="20"/>
                <w:szCs w:val="20"/>
                <w:color w:val="auto"/>
              </w:rPr>
            </w:pPr>
            <w:r>
              <w:rPr>
                <w:rFonts w:ascii="Arial" w:cs="Arial" w:eastAsia="Arial" w:hAnsi="Arial"/>
                <w:sz w:val="14"/>
                <w:szCs w:val="14"/>
                <w:color w:val="0000FF"/>
                <w:w w:val="89"/>
              </w:rPr>
              <w:t>18 U.S.C. Section 1350 as adopted pursuant to Section 906 of the Sarbanes-Oxley Act of</w:t>
            </w: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320" w:type="dxa"/>
            <w:vAlign w:val="bottom"/>
            <w:tcBorders>
              <w:bottom w:val="single" w:sz="8" w:color="0000FF"/>
            </w:tcBorders>
          </w:tcPr>
          <w:p>
            <w:pPr>
              <w:spacing w:after="0" w:line="125" w:lineRule="exact"/>
              <w:rPr>
                <w:sz w:val="20"/>
                <w:szCs w:val="20"/>
                <w:color w:val="auto"/>
              </w:rPr>
            </w:pPr>
            <w:r>
              <w:rPr>
                <w:rFonts w:ascii="Arial" w:cs="Arial" w:eastAsia="Arial" w:hAnsi="Arial"/>
                <w:sz w:val="14"/>
                <w:szCs w:val="14"/>
                <w:color w:val="0000FF"/>
                <w:w w:val="85"/>
              </w:rPr>
              <w:t>2002.</w:t>
            </w:r>
          </w:p>
        </w:tc>
        <w:tc>
          <w:tcPr>
            <w:tcW w:w="4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100" w:right="5060" w:hanging="1077"/>
        <w:spacing w:after="0" w:line="247" w:lineRule="auto"/>
        <w:tabs>
          <w:tab w:leader="none" w:pos="11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following financial statements from the Company's Quarterly Report on Form 10-Q for the quarter ended June 30, 2023,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78" w:lineRule="exact"/>
        <w:rPr>
          <w:sz w:val="20"/>
          <w:szCs w:val="20"/>
          <w:color w:val="auto"/>
        </w:rPr>
      </w:pPr>
    </w:p>
    <w:p>
      <w:pPr>
        <w:ind w:left="1100" w:right="5260" w:hanging="1077"/>
        <w:spacing w:after="0" w:line="243" w:lineRule="auto"/>
        <w:tabs>
          <w:tab w:leader="none" w:pos="1100" w:val="left"/>
        </w:tabs>
        <w:numPr>
          <w:ilvl w:val="1"/>
          <w:numId w:val="35"/>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0" w:lineRule="exact"/>
        <w:rPr>
          <w:rFonts w:ascii="Arial" w:cs="Arial" w:eastAsia="Arial" w:hAnsi="Arial"/>
          <w:sz w:val="14"/>
          <w:szCs w:val="14"/>
          <w:color w:val="auto"/>
        </w:rPr>
      </w:pPr>
    </w:p>
    <w:p>
      <w:pPr>
        <w:ind w:firstLine="6"/>
        <w:spacing w:after="0" w:line="269" w:lineRule="auto"/>
        <w:tabs>
          <w:tab w:leader="none" w:pos="10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00" w:firstLine="17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40" w:type="dxa"/>
            <w:vAlign w:val="bottom"/>
            <w:gridSpan w:val="3"/>
          </w:tcPr>
          <w:p>
            <w:pPr>
              <w:ind w:left="440"/>
              <w:spacing w:after="0"/>
              <w:rPr>
                <w:sz w:val="20"/>
                <w:szCs w:val="20"/>
                <w:color w:val="auto"/>
              </w:rPr>
            </w:pPr>
            <w:r>
              <w:rPr>
                <w:rFonts w:ascii="Arial" w:cs="Arial" w:eastAsia="Arial" w:hAnsi="Arial"/>
                <w:sz w:val="18"/>
                <w:szCs w:val="18"/>
                <w:b w:val="1"/>
                <w:bCs w:val="1"/>
                <w:color w:val="auto"/>
              </w:rPr>
              <w:t>DROPBOX, INC.</w:t>
            </w:r>
          </w:p>
        </w:tc>
      </w:tr>
      <w:tr>
        <w:trPr>
          <w:trHeight w:val="495"/>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1640" w:type="dxa"/>
            <w:vAlign w:val="bottom"/>
          </w:tcPr>
          <w:p>
            <w:pPr>
              <w:ind w:left="120"/>
              <w:spacing w:after="0"/>
              <w:rPr>
                <w:sz w:val="20"/>
                <w:szCs w:val="20"/>
                <w:color w:val="auto"/>
              </w:rPr>
            </w:pPr>
            <w:r>
              <w:rPr>
                <w:rFonts w:ascii="Arial" w:cs="Arial" w:eastAsia="Arial" w:hAnsi="Arial"/>
                <w:sz w:val="18"/>
                <w:szCs w:val="18"/>
                <w:color w:val="auto"/>
              </w:rPr>
              <w:t>August 4, 2023</w:t>
            </w:r>
          </w:p>
        </w:tc>
        <w:tc>
          <w:tcPr>
            <w:tcW w:w="1520" w:type="dxa"/>
            <w:vAlign w:val="bottom"/>
          </w:tcPr>
          <w:p>
            <w:pPr>
              <w:ind w:left="4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W. Houston</w:t>
            </w:r>
          </w:p>
        </w:tc>
      </w:tr>
      <w:tr>
        <w:trPr>
          <w:trHeight w:val="223"/>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Andrew W. Houston</w:t>
            </w:r>
          </w:p>
        </w:tc>
      </w:tr>
      <w:tr>
        <w:trPr>
          <w:trHeight w:val="224"/>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4"/>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13"/>
        </w:trPr>
        <w:tc>
          <w:tcPr>
            <w:tcW w:w="520" w:type="dxa"/>
            <w:vAlign w:val="bottom"/>
          </w:tcPr>
          <w:p>
            <w:pPr>
              <w:ind w:left="20"/>
              <w:spacing w:after="0"/>
              <w:rPr>
                <w:sz w:val="20"/>
                <w:szCs w:val="20"/>
                <w:color w:val="auto"/>
              </w:rPr>
            </w:pPr>
            <w:r>
              <w:rPr>
                <w:rFonts w:ascii="Arial" w:cs="Arial" w:eastAsia="Arial" w:hAnsi="Arial"/>
                <w:sz w:val="18"/>
                <w:szCs w:val="18"/>
                <w:color w:val="auto"/>
              </w:rPr>
              <w:t>Date:</w:t>
            </w:r>
          </w:p>
        </w:tc>
        <w:tc>
          <w:tcPr>
            <w:tcW w:w="1640" w:type="dxa"/>
            <w:vAlign w:val="bottom"/>
          </w:tcPr>
          <w:p>
            <w:pPr>
              <w:ind w:left="120"/>
              <w:spacing w:after="0"/>
              <w:rPr>
                <w:sz w:val="20"/>
                <w:szCs w:val="20"/>
                <w:color w:val="auto"/>
              </w:rPr>
            </w:pPr>
            <w:r>
              <w:rPr>
                <w:rFonts w:ascii="Arial" w:cs="Arial" w:eastAsia="Arial" w:hAnsi="Arial"/>
                <w:sz w:val="18"/>
                <w:szCs w:val="18"/>
                <w:color w:val="auto"/>
              </w:rPr>
              <w:t>August 4, 2023</w:t>
            </w:r>
          </w:p>
        </w:tc>
        <w:tc>
          <w:tcPr>
            <w:tcW w:w="1520" w:type="dxa"/>
            <w:vAlign w:val="bottom"/>
          </w:tcPr>
          <w:p>
            <w:pPr>
              <w:ind w:left="4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J. Regan</w:t>
            </w:r>
          </w:p>
        </w:tc>
      </w:tr>
      <w:tr>
        <w:trPr>
          <w:trHeight w:val="217"/>
        </w:trPr>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Timothy J. Regan</w:t>
            </w:r>
          </w:p>
        </w:tc>
      </w:tr>
      <w:tr>
        <w:trPr>
          <w:trHeight w:val="224"/>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5" w:lineRule="exact"/>
        <w:rPr>
          <w:sz w:val="20"/>
          <w:szCs w:val="20"/>
          <w:color w:val="auto"/>
        </w:rPr>
      </w:pPr>
    </w:p>
    <w:p>
      <w:pPr>
        <w:ind w:left="374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21"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15"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15" w:lineRule="exact"/>
        <w:rPr>
          <w:rFonts w:ascii="Arial" w:cs="Arial" w:eastAsia="Arial" w:hAnsi="Arial"/>
          <w:sz w:val="18"/>
          <w:szCs w:val="18"/>
          <w:color w:val="auto"/>
        </w:rPr>
      </w:pPr>
    </w:p>
    <w:p>
      <w:pPr>
        <w:ind w:left="320" w:right="200" w:hanging="314"/>
        <w:spacing w:after="0" w:line="363" w:lineRule="auto"/>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hanging="314"/>
        <w:spacing w:after="0" w:line="262"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720" w:hanging="314"/>
        <w:spacing w:after="0" w:line="262"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18"/>
          <w:szCs w:val="18"/>
          <w:color w:val="auto"/>
        </w:rPr>
      </w:pPr>
    </w:p>
    <w:p>
      <w:pPr>
        <w:ind w:left="640" w:right="120" w:hanging="318"/>
        <w:spacing w:after="0" w:line="253" w:lineRule="auto"/>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40" w:right="180" w:hanging="318"/>
        <w:spacing w:after="0" w:line="325" w:lineRule="auto"/>
        <w:tabs>
          <w:tab w:leader="none" w:pos="6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640" w:right="40" w:hanging="318"/>
        <w:spacing w:after="0" w:line="253" w:lineRule="auto"/>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20" w:right="420" w:hanging="314"/>
        <w:spacing w:after="0" w:line="325"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40" w:right="80" w:hanging="318"/>
        <w:spacing w:after="0" w:line="262" w:lineRule="auto"/>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0" w:right="160" w:hanging="318"/>
        <w:spacing w:after="0" w:line="262" w:lineRule="auto"/>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13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DROPBOX, INC.</w:t>
      </w:r>
    </w:p>
    <w:p>
      <w:pPr>
        <w:spacing w:after="0" w:line="268" w:lineRule="exact"/>
        <w:rPr>
          <w:sz w:val="20"/>
          <w:szCs w:val="20"/>
          <w:color w:val="auto"/>
        </w:rPr>
      </w:pPr>
    </w:p>
    <w:tbl>
      <w:tblPr>
        <w:tblLayout w:type="fixed"/>
        <w:tblInd w:w="668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W. Houston</w:t>
            </w:r>
          </w:p>
        </w:tc>
      </w:t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Andrew W. Houston</w:t>
            </w:r>
          </w:p>
        </w:tc>
      </w:tr>
      <w:tr>
        <w:trPr>
          <w:trHeight w:val="2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3"/>
        </w:trPr>
        <w:tc>
          <w:tcPr>
            <w:tcW w:w="7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7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Timothy J. Regan, certify that:</w:t>
      </w:r>
    </w:p>
    <w:p>
      <w:pPr>
        <w:spacing w:after="0" w:line="215"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15" w:lineRule="exact"/>
        <w:rPr>
          <w:rFonts w:ascii="Arial" w:cs="Arial" w:eastAsia="Arial" w:hAnsi="Arial"/>
          <w:sz w:val="18"/>
          <w:szCs w:val="18"/>
          <w:color w:val="auto"/>
        </w:rPr>
      </w:pPr>
    </w:p>
    <w:p>
      <w:pPr>
        <w:ind w:left="320" w:right="200" w:hanging="314"/>
        <w:spacing w:after="0" w:line="363" w:lineRule="auto"/>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hanging="314"/>
        <w:spacing w:after="0" w:line="262"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720" w:hanging="314"/>
        <w:spacing w:after="0" w:line="262"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18"/>
          <w:szCs w:val="18"/>
          <w:color w:val="auto"/>
        </w:rPr>
      </w:pPr>
    </w:p>
    <w:p>
      <w:pPr>
        <w:ind w:left="640" w:right="120" w:hanging="318"/>
        <w:spacing w:after="0" w:line="253" w:lineRule="auto"/>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40" w:right="180" w:hanging="318"/>
        <w:spacing w:after="0" w:line="325" w:lineRule="auto"/>
        <w:tabs>
          <w:tab w:leader="none" w:pos="6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640" w:right="40" w:hanging="318"/>
        <w:spacing w:after="0" w:line="253" w:lineRule="auto"/>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20" w:right="420" w:hanging="314"/>
        <w:spacing w:after="0" w:line="325"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640" w:right="80" w:hanging="318"/>
        <w:spacing w:after="0" w:line="262" w:lineRule="auto"/>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0" w:right="160" w:hanging="318"/>
        <w:spacing w:after="0" w:line="262" w:lineRule="auto"/>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DROPBOX, INC.</w:t>
      </w:r>
    </w:p>
    <w:p>
      <w:pPr>
        <w:spacing w:after="0" w:line="215"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8"/>
          <w:szCs w:val="18"/>
          <w:color w:val="auto"/>
        </w:rPr>
        <w:t>By:</w:t>
        <w:tab/>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10160</wp:posOffset>
            </wp:positionV>
            <wp:extent cx="1415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Timothy J. Regan</w:t>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Chief Financial Officer</w:t>
      </w:r>
    </w:p>
    <w:p>
      <w:pPr>
        <w:spacing w:after="0" w:line="29" w:lineRule="exact"/>
        <w:rPr>
          <w:sz w:val="20"/>
          <w:szCs w:val="20"/>
          <w:color w:val="auto"/>
        </w:rPr>
      </w:pPr>
    </w:p>
    <w:p>
      <w:pPr>
        <w:ind w:left="5480"/>
        <w:spacing w:after="0"/>
        <w:tabs>
          <w:tab w:leader="none" w:pos="6360" w:val="left"/>
          <w:tab w:leader="none" w:pos="7400" w:val="left"/>
        </w:tabs>
        <w:rPr>
          <w:sz w:val="20"/>
          <w:szCs w:val="20"/>
          <w:color w:val="auto"/>
        </w:rPr>
      </w:pPr>
      <w:r>
        <w:rPr>
          <w:rFonts w:ascii="Arial" w:cs="Arial" w:eastAsia="Arial" w:hAnsi="Arial"/>
          <w:sz w:val="18"/>
          <w:szCs w:val="18"/>
          <w:color w:val="auto"/>
        </w:rPr>
        <w:t>(Principal</w:t>
        <w:tab/>
        <w:t>Accounting</w:t>
      </w:r>
      <w:r>
        <w:rPr>
          <w:sz w:val="20"/>
          <w:szCs w:val="20"/>
          <w:color w:val="auto"/>
        </w:rPr>
        <w:tab/>
      </w:r>
      <w:r>
        <w:rPr>
          <w:rFonts w:ascii="Arial" w:cs="Arial" w:eastAsia="Arial" w:hAnsi="Arial"/>
          <w:sz w:val="14"/>
          <w:szCs w:val="14"/>
          <w:color w:val="auto"/>
        </w:rPr>
        <w:t>and</w:t>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240"/>
          </w:cols>
          <w:pgMar w:left="320" w:top="107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9"/>
          <w:szCs w:val="19"/>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4, 2023</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31"/>
        </w:trPr>
        <w:tc>
          <w:tcPr>
            <w:tcW w:w="1140" w:type="dxa"/>
            <w:vAlign w:val="bottom"/>
            <w:shd w:val="clear" w:color="auto" w:fill="FEFEFE"/>
          </w:tcPr>
          <w:p>
            <w:pPr>
              <w:spacing w:after="0"/>
              <w:rPr>
                <w:sz w:val="20"/>
                <w:szCs w:val="20"/>
                <w:color w:val="auto"/>
              </w:rPr>
            </w:pPr>
          </w:p>
        </w:tc>
        <w:tc>
          <w:tcPr>
            <w:tcW w:w="486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46"/>
        </w:trPr>
        <w:tc>
          <w:tcPr>
            <w:tcW w:w="1140" w:type="dxa"/>
            <w:vAlign w:val="bottom"/>
            <w:shd w:val="clear" w:color="auto" w:fill="FEFEFE"/>
          </w:tcPr>
          <w:p>
            <w:pPr>
              <w:spacing w:after="0"/>
              <w:rPr>
                <w:sz w:val="21"/>
                <w:szCs w:val="21"/>
                <w:color w:val="auto"/>
              </w:rPr>
            </w:pPr>
          </w:p>
        </w:tc>
        <w:tc>
          <w:tcPr>
            <w:tcW w:w="486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73"/>
        </w:trPr>
        <w:tc>
          <w:tcPr>
            <w:tcW w:w="1140" w:type="dxa"/>
            <w:vAlign w:val="bottom"/>
            <w:shd w:val="clear" w:color="auto" w:fill="FEFEFE"/>
          </w:tcPr>
          <w:p>
            <w:pPr>
              <w:spacing w:after="0"/>
              <w:rPr>
                <w:sz w:val="23"/>
                <w:szCs w:val="23"/>
                <w:color w:val="auto"/>
              </w:rPr>
            </w:pPr>
          </w:p>
        </w:tc>
        <w:tc>
          <w:tcPr>
            <w:tcW w:w="4860" w:type="dxa"/>
            <w:vAlign w:val="bottom"/>
            <w:shd w:val="clear" w:color="auto" w:fill="FEFEFE"/>
          </w:tcPr>
          <w:p>
            <w:pPr>
              <w:spacing w:after="0"/>
              <w:rPr>
                <w:sz w:val="23"/>
                <w:szCs w:val="23"/>
                <w:color w:val="auto"/>
              </w:rPr>
            </w:pPr>
          </w:p>
        </w:tc>
        <w:tc>
          <w:tcPr>
            <w:tcW w:w="860" w:type="dxa"/>
            <w:vAlign w:val="bottom"/>
            <w:shd w:val="clear" w:color="auto" w:fill="FEFEFE"/>
          </w:tcPr>
          <w:p>
            <w:pPr>
              <w:spacing w:after="0"/>
              <w:rPr>
                <w:sz w:val="23"/>
                <w:szCs w:val="23"/>
                <w:color w:val="auto"/>
              </w:rPr>
            </w:pP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5"/>
        </w:trPr>
        <w:tc>
          <w:tcPr>
            <w:tcW w:w="1140" w:type="dxa"/>
            <w:vAlign w:val="bottom"/>
            <w:shd w:val="clear" w:color="auto" w:fill="FEFEFE"/>
          </w:tcPr>
          <w:p>
            <w:pPr>
              <w:spacing w:after="0"/>
              <w:rPr>
                <w:sz w:val="24"/>
                <w:szCs w:val="24"/>
                <w:color w:val="auto"/>
              </w:rPr>
            </w:pPr>
          </w:p>
        </w:tc>
        <w:tc>
          <w:tcPr>
            <w:tcW w:w="486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380" w:type="dxa"/>
            <w:vAlign w:val="bottom"/>
            <w:shd w:val="clear" w:color="auto" w:fill="FEFEFE"/>
          </w:tcPr>
          <w:p>
            <w:pPr>
              <w:spacing w:after="0"/>
              <w:rPr>
                <w:sz w:val="24"/>
                <w:szCs w:val="24"/>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4, 2023</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31"/>
        </w:trPr>
        <w:tc>
          <w:tcPr>
            <w:tcW w:w="1140" w:type="dxa"/>
            <w:vAlign w:val="bottom"/>
            <w:shd w:val="clear" w:color="auto" w:fill="FEFEFE"/>
          </w:tcPr>
          <w:p>
            <w:pPr>
              <w:spacing w:after="0"/>
              <w:rPr>
                <w:sz w:val="20"/>
                <w:szCs w:val="20"/>
                <w:color w:val="auto"/>
              </w:rPr>
            </w:pPr>
          </w:p>
        </w:tc>
        <w:tc>
          <w:tcPr>
            <w:tcW w:w="4860" w:type="dxa"/>
            <w:vAlign w:val="bottom"/>
            <w:shd w:val="clear" w:color="auto" w:fill="FEFEFE"/>
          </w:tcPr>
          <w:p>
            <w:pPr>
              <w:spacing w:after="0"/>
              <w:rPr>
                <w:sz w:val="20"/>
                <w:szCs w:val="20"/>
                <w:color w:val="auto"/>
              </w:rPr>
            </w:pPr>
          </w:p>
        </w:tc>
        <w:tc>
          <w:tcPr>
            <w:tcW w:w="86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46"/>
        </w:trPr>
        <w:tc>
          <w:tcPr>
            <w:tcW w:w="1140" w:type="dxa"/>
            <w:vAlign w:val="bottom"/>
            <w:shd w:val="clear" w:color="auto" w:fill="FEFEFE"/>
          </w:tcPr>
          <w:p>
            <w:pPr>
              <w:spacing w:after="0"/>
              <w:rPr>
                <w:sz w:val="21"/>
                <w:szCs w:val="21"/>
                <w:color w:val="auto"/>
              </w:rPr>
            </w:pPr>
          </w:p>
        </w:tc>
        <w:tc>
          <w:tcPr>
            <w:tcW w:w="4860" w:type="dxa"/>
            <w:vAlign w:val="bottom"/>
            <w:shd w:val="clear" w:color="auto" w:fill="FEFEFE"/>
          </w:tcPr>
          <w:p>
            <w:pPr>
              <w:spacing w:after="0"/>
              <w:rPr>
                <w:sz w:val="21"/>
                <w:szCs w:val="21"/>
                <w:color w:val="auto"/>
              </w:rPr>
            </w:pPr>
          </w:p>
        </w:tc>
        <w:tc>
          <w:tcPr>
            <w:tcW w:w="86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42"/>
        </w:trPr>
        <w:tc>
          <w:tcPr>
            <w:tcW w:w="1140" w:type="dxa"/>
            <w:vAlign w:val="bottom"/>
            <w:shd w:val="clear" w:color="auto" w:fill="FEFEFE"/>
          </w:tcPr>
          <w:p>
            <w:pPr>
              <w:spacing w:after="0"/>
              <w:rPr>
                <w:sz w:val="21"/>
                <w:szCs w:val="21"/>
                <w:color w:val="auto"/>
              </w:rPr>
            </w:pPr>
          </w:p>
        </w:tc>
        <w:tc>
          <w:tcPr>
            <w:tcW w:w="486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
      <w:numFmt w:val="bullet"/>
      <w:start w:val="1"/>
    </w:lvl>
    <w:lvl w:ilvl="1">
      <w:lvlJc w:val="left"/>
      <w:lvlText w:val="%2"/>
      <w:numFmt w:val="decimal"/>
      <w:start w:val="10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2023-08-04T15:25:12Z</dcterms:created>
  <dcterms:modified xsi:type="dcterms:W3CDTF">2023-08-04T15:25:12Z</dcterms:modified>
</cp:coreProperties>
</file>