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Peacock Karen</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DROPBOX,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8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05/21/2020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4"/>
          </w:tcPr>
          <w:p>
            <w:pPr>
              <w:ind w:left="880"/>
              <w:spacing w:after="0"/>
              <w:rPr>
                <w:sz w:val="20"/>
                <w:szCs w:val="20"/>
                <w:color w:val="auto"/>
              </w:rPr>
            </w:pPr>
            <w:r>
              <w:rPr>
                <w:rFonts w:ascii="Arial" w:cs="Arial" w:eastAsia="Arial" w:hAnsi="Arial"/>
                <w:sz w:val="17"/>
                <w:szCs w:val="17"/>
                <w:color w:val="0000FF"/>
              </w:rPr>
              <w:t>05/21/2020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5"/>
              </w:rPr>
              <w:t>11,297</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23,966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21, 2021 or the day prior to the date of the Issuer's next annual meeting of stockholders.</w:t>
      </w:r>
    </w:p>
    <w:p>
      <w:pPr>
        <w:spacing w:after="0" w:line="15"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21, 2021 or the day prior to the date of the Issuer's next annual meeting of stockholders. In the event the Reporting Person ceases to be a Service Provider, the unvested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05/26/2020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6299"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2020-05-26T20:45:31Z</dcterms:created>
  <dcterms:modified xsi:type="dcterms:W3CDTF">2020-05-26T20:45:31Z</dcterms:modified>
</cp:coreProperties>
</file>