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18005.xml.htm"/>
      <w:bookmarkStart w:id="1" w:name="kswkform4_17843180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Schubach Sarah Elizabeth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HAWTHORNE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30.13</w:t>
            </w:r>
            <w:r>
              <w:rPr/>
              <w:t xml:space="preserve"> 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125,898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Rule 10b5-1 trading plan adopted by the Reporting Person on May 16,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Certain of these securities are restricted stock units. Each restricted stock unit represents the Reporting Person's right to receive one share of Class A Common Stock, subject to the applicable vesting schedule through February 15, 2030. In the event the Reporting Person ceases to be a Service Provider, the unvested restricted stock units will be cancelled by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Angelmar,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75704" TargetMode="External"/><Relationship Id="rId5" Type="http://schemas.openxmlformats.org/officeDocument/2006/relationships/hyperlink" Target="http://www.sec.gov/cgi-bin/browse-edgar?action=getcompany&amp;CIK=00014676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643</Words>
  <Characters>3487</Characters>
  <CharactersWithSpaces>4070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