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51" w:lineRule="exact"/>
        <w:rPr>
          <w:sz w:val="24"/>
          <w:szCs w:val="24"/>
          <w:color w:val="auto"/>
        </w:rPr>
      </w:pPr>
    </w:p>
    <w:p>
      <w:pPr>
        <w:ind w:left="3820"/>
        <w:spacing w:after="0"/>
        <w:rPr>
          <w:sz w:val="20"/>
          <w:szCs w:val="20"/>
          <w:color w:val="auto"/>
        </w:rPr>
      </w:pPr>
      <w:r>
        <w:rPr>
          <w:rFonts w:ascii="Arial" w:cs="Arial" w:eastAsia="Arial" w:hAnsi="Arial"/>
          <w:sz w:val="12"/>
          <w:szCs w:val="12"/>
          <w:b w:val="1"/>
          <w:bCs w:val="1"/>
          <w:color w:val="auto"/>
        </w:rPr>
        <w:t>As filed with the Securities and Exchange Commission on March 12, 2018</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333-223182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46355</wp:posOffset>
            </wp:positionV>
            <wp:extent cx="58439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3905" cy="698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82550</wp:posOffset>
            </wp:positionV>
            <wp:extent cx="58439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3905" cy="6985"/>
                    </a:xfrm>
                    <a:prstGeom prst="rect">
                      <a:avLst/>
                    </a:prstGeom>
                    <a:noFill/>
                  </pic:spPr>
                </pic:pic>
              </a:graphicData>
            </a:graphic>
          </wp:anchor>
        </w:drawing>
      </w:r>
    </w:p>
    <w:p>
      <w:pPr>
        <w:spacing w:after="0" w:line="124"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UNITED STATES</w:t>
      </w:r>
    </w:p>
    <w:p>
      <w:pPr>
        <w:spacing w:after="0" w:line="31"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10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90170</wp:posOffset>
            </wp:positionV>
            <wp:extent cx="12249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36"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AMENDMENT NO. 1</w:t>
      </w:r>
    </w:p>
    <w:p>
      <w:pPr>
        <w:spacing w:after="0" w:line="31"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TO</w:t>
      </w:r>
    </w:p>
    <w:p>
      <w:pPr>
        <w:spacing w:after="0" w:line="7"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FORM S-1</w:t>
      </w:r>
    </w:p>
    <w:p>
      <w:pPr>
        <w:spacing w:after="0" w:line="7"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REGISTRATION STATEMENT</w:t>
      </w:r>
    </w:p>
    <w:p>
      <w:pPr>
        <w:spacing w:after="0" w:line="4" w:lineRule="exact"/>
        <w:rPr>
          <w:sz w:val="24"/>
          <w:szCs w:val="24"/>
          <w:color w:val="auto"/>
        </w:rPr>
      </w:pPr>
    </w:p>
    <w:p>
      <w:pPr>
        <w:jc w:val="center"/>
        <w:ind w:right="-1099"/>
        <w:spacing w:after="0"/>
        <w:rPr>
          <w:sz w:val="20"/>
          <w:szCs w:val="20"/>
          <w:color w:val="auto"/>
        </w:rPr>
      </w:pPr>
      <w:r>
        <w:rPr>
          <w:rFonts w:ascii="Arial" w:cs="Arial" w:eastAsia="Arial" w:hAnsi="Arial"/>
          <w:sz w:val="15"/>
          <w:szCs w:val="15"/>
          <w:b w:val="1"/>
          <w:bCs w:val="1"/>
          <w:i w:val="1"/>
          <w:iCs w:val="1"/>
          <w:color w:val="auto"/>
        </w:rPr>
        <w:t>Under</w:t>
      </w:r>
    </w:p>
    <w:p>
      <w:pPr>
        <w:spacing w:after="0" w:line="5" w:lineRule="exact"/>
        <w:rPr>
          <w:sz w:val="24"/>
          <w:szCs w:val="24"/>
          <w:color w:val="auto"/>
        </w:rPr>
      </w:pPr>
    </w:p>
    <w:p>
      <w:pPr>
        <w:jc w:val="center"/>
        <w:ind w:right="-10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77470</wp:posOffset>
            </wp:positionV>
            <wp:extent cx="12249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04" w:lineRule="exact"/>
        <w:rPr>
          <w:sz w:val="24"/>
          <w:szCs w:val="24"/>
          <w:color w:val="auto"/>
        </w:rPr>
      </w:pPr>
    </w:p>
    <w:p>
      <w:pPr>
        <w:jc w:val="center"/>
        <w:ind w:right="-1099"/>
        <w:spacing w:after="0"/>
        <w:rPr>
          <w:sz w:val="20"/>
          <w:szCs w:val="20"/>
          <w:color w:val="auto"/>
        </w:rPr>
      </w:pPr>
      <w:r>
        <w:rPr>
          <w:rFonts w:ascii="Arial" w:cs="Arial" w:eastAsia="Arial" w:hAnsi="Arial"/>
          <w:sz w:val="30"/>
          <w:szCs w:val="30"/>
          <w:b w:val="1"/>
          <w:bCs w:val="1"/>
          <w:color w:val="auto"/>
        </w:rPr>
        <w:t>Dropbox, Inc.</w:t>
      </w:r>
    </w:p>
    <w:p>
      <w:pPr>
        <w:spacing w:after="0" w:line="30" w:lineRule="exact"/>
        <w:rPr>
          <w:sz w:val="24"/>
          <w:szCs w:val="24"/>
          <w:color w:val="auto"/>
        </w:rPr>
      </w:pPr>
    </w:p>
    <w:p>
      <w:pPr>
        <w:ind w:left="436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66040</wp:posOffset>
            </wp:positionV>
            <wp:extent cx="12249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19" w:lineRule="exact"/>
        <w:rPr>
          <w:sz w:val="24"/>
          <w:szCs w:val="24"/>
          <w:color w:val="auto"/>
        </w:rPr>
      </w:pPr>
    </w:p>
    <w:tbl>
      <w:tblPr>
        <w:tblLayout w:type="fixed"/>
        <w:tblInd w:w="1900" w:type="dxa"/>
        <w:tblCellMar>
          <w:top w:w="0" w:type="dxa"/>
          <w:left w:w="0" w:type="dxa"/>
          <w:bottom w:w="0" w:type="dxa"/>
          <w:right w:w="0" w:type="dxa"/>
        </w:tblCellMar>
      </w:tblPr>
      <w:tr>
        <w:trPr>
          <w:trHeight w:val="138"/>
        </w:trPr>
        <w:tc>
          <w:tcPr>
            <w:tcW w:w="2360" w:type="dxa"/>
            <w:vAlign w:val="bottom"/>
          </w:tcPr>
          <w:p>
            <w:pPr>
              <w:jc w:val="center"/>
              <w:ind w:right="740"/>
              <w:spacing w:after="0"/>
              <w:rPr>
                <w:sz w:val="20"/>
                <w:szCs w:val="20"/>
                <w:color w:val="auto"/>
              </w:rPr>
            </w:pPr>
            <w:r>
              <w:rPr>
                <w:rFonts w:ascii="Arial" w:cs="Arial" w:eastAsia="Arial" w:hAnsi="Arial"/>
                <w:sz w:val="12"/>
                <w:szCs w:val="12"/>
                <w:b w:val="1"/>
                <w:bCs w:val="1"/>
                <w:color w:val="auto"/>
                <w:w w:val="91"/>
              </w:rPr>
              <w:t>Delaware</w:t>
            </w:r>
          </w:p>
        </w:tc>
        <w:tc>
          <w:tcPr>
            <w:tcW w:w="3160" w:type="dxa"/>
            <w:vAlign w:val="bottom"/>
          </w:tcPr>
          <w:p>
            <w:pPr>
              <w:jc w:val="center"/>
              <w:spacing w:after="0"/>
              <w:rPr>
                <w:sz w:val="20"/>
                <w:szCs w:val="20"/>
                <w:color w:val="auto"/>
              </w:rPr>
            </w:pPr>
            <w:r>
              <w:rPr>
                <w:rFonts w:ascii="Arial" w:cs="Arial" w:eastAsia="Arial" w:hAnsi="Arial"/>
                <w:sz w:val="12"/>
                <w:szCs w:val="12"/>
                <w:b w:val="1"/>
                <w:bCs w:val="1"/>
                <w:color w:val="auto"/>
                <w:w w:val="97"/>
              </w:rPr>
              <w:t>7372</w:t>
            </w:r>
          </w:p>
        </w:tc>
        <w:tc>
          <w:tcPr>
            <w:tcW w:w="2020" w:type="dxa"/>
            <w:vAlign w:val="bottom"/>
          </w:tcPr>
          <w:p>
            <w:pPr>
              <w:jc w:val="center"/>
              <w:ind w:left="780"/>
              <w:spacing w:after="0"/>
              <w:rPr>
                <w:sz w:val="20"/>
                <w:szCs w:val="20"/>
                <w:color w:val="auto"/>
              </w:rPr>
            </w:pPr>
            <w:r>
              <w:rPr>
                <w:rFonts w:ascii="Arial" w:cs="Arial" w:eastAsia="Arial" w:hAnsi="Arial"/>
                <w:sz w:val="12"/>
                <w:szCs w:val="12"/>
                <w:b w:val="1"/>
                <w:bCs w:val="1"/>
                <w:color w:val="auto"/>
                <w:w w:val="90"/>
              </w:rPr>
              <w:t>26-0138832</w:t>
            </w:r>
          </w:p>
        </w:tc>
      </w:tr>
      <w:tr>
        <w:trPr>
          <w:trHeight w:val="124"/>
        </w:trPr>
        <w:tc>
          <w:tcPr>
            <w:tcW w:w="2360" w:type="dxa"/>
            <w:vAlign w:val="bottom"/>
          </w:tcPr>
          <w:p>
            <w:pPr>
              <w:jc w:val="center"/>
              <w:ind w:right="760"/>
              <w:spacing w:after="0" w:line="124" w:lineRule="exact"/>
              <w:rPr>
                <w:sz w:val="20"/>
                <w:szCs w:val="20"/>
                <w:color w:val="auto"/>
              </w:rPr>
            </w:pPr>
            <w:r>
              <w:rPr>
                <w:rFonts w:ascii="Arial" w:cs="Arial" w:eastAsia="Arial" w:hAnsi="Arial"/>
                <w:sz w:val="12"/>
                <w:szCs w:val="12"/>
                <w:b w:val="1"/>
                <w:bCs w:val="1"/>
                <w:color w:val="auto"/>
                <w:w w:val="91"/>
              </w:rPr>
              <w:t>(State or other jurisdiction of</w:t>
            </w:r>
          </w:p>
        </w:tc>
        <w:tc>
          <w:tcPr>
            <w:tcW w:w="31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5"/>
              </w:rPr>
              <w:t>(Primary Standard Industrial</w:t>
            </w:r>
          </w:p>
        </w:tc>
        <w:tc>
          <w:tcPr>
            <w:tcW w:w="2020" w:type="dxa"/>
            <w:vAlign w:val="bottom"/>
          </w:tcPr>
          <w:p>
            <w:pPr>
              <w:jc w:val="center"/>
              <w:ind w:left="760"/>
              <w:spacing w:after="0" w:line="124" w:lineRule="exact"/>
              <w:rPr>
                <w:sz w:val="20"/>
                <w:szCs w:val="20"/>
                <w:color w:val="auto"/>
              </w:rPr>
            </w:pPr>
            <w:r>
              <w:rPr>
                <w:rFonts w:ascii="Arial" w:cs="Arial" w:eastAsia="Arial" w:hAnsi="Arial"/>
                <w:sz w:val="12"/>
                <w:szCs w:val="12"/>
                <w:b w:val="1"/>
                <w:bCs w:val="1"/>
                <w:color w:val="auto"/>
                <w:w w:val="95"/>
              </w:rPr>
              <w:t>(I.R.S. Employer</w:t>
            </w:r>
          </w:p>
        </w:tc>
      </w:tr>
      <w:tr>
        <w:trPr>
          <w:trHeight w:val="157"/>
        </w:trPr>
        <w:tc>
          <w:tcPr>
            <w:tcW w:w="2360" w:type="dxa"/>
            <w:vAlign w:val="bottom"/>
          </w:tcPr>
          <w:p>
            <w:pPr>
              <w:jc w:val="center"/>
              <w:ind w:right="740"/>
              <w:spacing w:after="0"/>
              <w:rPr>
                <w:sz w:val="20"/>
                <w:szCs w:val="20"/>
                <w:color w:val="auto"/>
              </w:rPr>
            </w:pPr>
            <w:r>
              <w:rPr>
                <w:rFonts w:ascii="Arial" w:cs="Arial" w:eastAsia="Arial" w:hAnsi="Arial"/>
                <w:sz w:val="12"/>
                <w:szCs w:val="12"/>
                <w:b w:val="1"/>
                <w:bCs w:val="1"/>
                <w:color w:val="auto"/>
                <w:w w:val="91"/>
              </w:rPr>
              <w:t>incorporation or organization)</w:t>
            </w:r>
          </w:p>
        </w:tc>
        <w:tc>
          <w:tcPr>
            <w:tcW w:w="3160" w:type="dxa"/>
            <w:vAlign w:val="bottom"/>
          </w:tcPr>
          <w:p>
            <w:pPr>
              <w:jc w:val="center"/>
              <w:spacing w:after="0"/>
              <w:rPr>
                <w:sz w:val="20"/>
                <w:szCs w:val="20"/>
                <w:color w:val="auto"/>
              </w:rPr>
            </w:pPr>
            <w:r>
              <w:rPr>
                <w:rFonts w:ascii="Arial" w:cs="Arial" w:eastAsia="Arial" w:hAnsi="Arial"/>
                <w:sz w:val="12"/>
                <w:szCs w:val="12"/>
                <w:b w:val="1"/>
                <w:bCs w:val="1"/>
                <w:color w:val="auto"/>
                <w:w w:val="91"/>
              </w:rPr>
              <w:t>Classification Code Number)</w:t>
            </w:r>
          </w:p>
        </w:tc>
        <w:tc>
          <w:tcPr>
            <w:tcW w:w="2020" w:type="dxa"/>
            <w:vAlign w:val="bottom"/>
          </w:tcPr>
          <w:p>
            <w:pPr>
              <w:jc w:val="center"/>
              <w:ind w:left="760"/>
              <w:spacing w:after="0"/>
              <w:rPr>
                <w:sz w:val="20"/>
                <w:szCs w:val="20"/>
                <w:color w:val="auto"/>
              </w:rPr>
            </w:pPr>
            <w:r>
              <w:rPr>
                <w:rFonts w:ascii="Arial" w:cs="Arial" w:eastAsia="Arial" w:hAnsi="Arial"/>
                <w:sz w:val="12"/>
                <w:szCs w:val="12"/>
                <w:b w:val="1"/>
                <w:bCs w:val="1"/>
                <w:color w:val="auto"/>
                <w:w w:val="94"/>
              </w:rPr>
              <w:t>Identification Number)</w:t>
            </w:r>
          </w:p>
        </w:tc>
      </w:tr>
    </w:tbl>
    <w:p>
      <w:pPr>
        <w:spacing w:after="0" w:line="12" w:lineRule="exact"/>
        <w:rPr>
          <w:sz w:val="24"/>
          <w:szCs w:val="24"/>
          <w:color w:val="auto"/>
        </w:rPr>
      </w:pPr>
    </w:p>
    <w:p>
      <w:pPr>
        <w:jc w:val="center"/>
        <w:ind w:right="-1099"/>
        <w:spacing w:after="0"/>
        <w:rPr>
          <w:sz w:val="20"/>
          <w:szCs w:val="20"/>
          <w:color w:val="auto"/>
        </w:rPr>
      </w:pPr>
      <w:r>
        <w:rPr>
          <w:rFonts w:ascii="Arial" w:cs="Arial" w:eastAsia="Arial" w:hAnsi="Arial"/>
          <w:sz w:val="12"/>
          <w:szCs w:val="12"/>
          <w:b w:val="1"/>
          <w:bCs w:val="1"/>
          <w:color w:val="auto"/>
        </w:rPr>
        <w:t>Dropbox, Inc.</w:t>
      </w:r>
    </w:p>
    <w:p>
      <w:pPr>
        <w:jc w:val="center"/>
        <w:ind w:right="-1099"/>
        <w:spacing w:after="0" w:line="215" w:lineRule="auto"/>
        <w:rPr>
          <w:sz w:val="20"/>
          <w:szCs w:val="20"/>
          <w:color w:val="auto"/>
        </w:rPr>
      </w:pPr>
      <w:r>
        <w:rPr>
          <w:rFonts w:ascii="Arial" w:cs="Arial" w:eastAsia="Arial" w:hAnsi="Arial"/>
          <w:sz w:val="12"/>
          <w:szCs w:val="12"/>
          <w:b w:val="1"/>
          <w:bCs w:val="1"/>
          <w:color w:val="auto"/>
        </w:rPr>
        <w:t>333 Brannan Street</w:t>
      </w:r>
    </w:p>
    <w:p>
      <w:pPr>
        <w:jc w:val="center"/>
        <w:ind w:right="-1099"/>
        <w:spacing w:after="0" w:line="216" w:lineRule="auto"/>
        <w:rPr>
          <w:sz w:val="20"/>
          <w:szCs w:val="20"/>
          <w:color w:val="auto"/>
        </w:rPr>
      </w:pPr>
      <w:r>
        <w:rPr>
          <w:rFonts w:ascii="Arial" w:cs="Arial" w:eastAsia="Arial" w:hAnsi="Arial"/>
          <w:sz w:val="12"/>
          <w:szCs w:val="12"/>
          <w:b w:val="1"/>
          <w:bCs w:val="1"/>
          <w:color w:val="auto"/>
        </w:rPr>
        <w:t>San Francisco, California 94107</w:t>
      </w:r>
    </w:p>
    <w:p>
      <w:pPr>
        <w:jc w:val="center"/>
        <w:ind w:right="-1099"/>
        <w:spacing w:after="0" w:line="216" w:lineRule="auto"/>
        <w:rPr>
          <w:sz w:val="20"/>
          <w:szCs w:val="20"/>
          <w:color w:val="auto"/>
        </w:rPr>
      </w:pPr>
      <w:r>
        <w:rPr>
          <w:rFonts w:ascii="Arial" w:cs="Arial" w:eastAsia="Arial" w:hAnsi="Arial"/>
          <w:sz w:val="12"/>
          <w:szCs w:val="12"/>
          <w:b w:val="1"/>
          <w:bCs w:val="1"/>
          <w:color w:val="auto"/>
        </w:rPr>
        <w:t>(415) 857-6800</w:t>
      </w:r>
    </w:p>
    <w:p>
      <w:pPr>
        <w:jc w:val="center"/>
        <w:ind w:right="-109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73660</wp:posOffset>
            </wp:positionV>
            <wp:extent cx="12249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21" w:lineRule="exact"/>
        <w:rPr>
          <w:sz w:val="24"/>
          <w:szCs w:val="24"/>
          <w:color w:val="auto"/>
        </w:rPr>
      </w:pPr>
    </w:p>
    <w:p>
      <w:pPr>
        <w:jc w:val="center"/>
        <w:ind w:right="-1099"/>
        <w:spacing w:after="0"/>
        <w:rPr>
          <w:sz w:val="20"/>
          <w:szCs w:val="20"/>
          <w:color w:val="auto"/>
        </w:rPr>
      </w:pPr>
      <w:r>
        <w:rPr>
          <w:rFonts w:ascii="Arial" w:cs="Arial" w:eastAsia="Arial" w:hAnsi="Arial"/>
          <w:sz w:val="12"/>
          <w:szCs w:val="12"/>
          <w:b w:val="1"/>
          <w:bCs w:val="1"/>
          <w:color w:val="auto"/>
        </w:rPr>
        <w:t>Andrew W. Houston</w:t>
      </w:r>
    </w:p>
    <w:p>
      <w:pPr>
        <w:jc w:val="center"/>
        <w:ind w:right="-1099"/>
        <w:spacing w:after="0" w:line="215" w:lineRule="auto"/>
        <w:rPr>
          <w:sz w:val="20"/>
          <w:szCs w:val="20"/>
          <w:color w:val="auto"/>
        </w:rPr>
      </w:pPr>
      <w:r>
        <w:rPr>
          <w:rFonts w:ascii="Arial" w:cs="Arial" w:eastAsia="Arial" w:hAnsi="Arial"/>
          <w:sz w:val="12"/>
          <w:szCs w:val="12"/>
          <w:b w:val="1"/>
          <w:bCs w:val="1"/>
          <w:color w:val="auto"/>
        </w:rPr>
        <w:t>Chief Executive Officer</w:t>
      </w:r>
    </w:p>
    <w:p>
      <w:pPr>
        <w:jc w:val="center"/>
        <w:ind w:right="-1099"/>
        <w:spacing w:after="0" w:line="216" w:lineRule="auto"/>
        <w:rPr>
          <w:sz w:val="20"/>
          <w:szCs w:val="20"/>
          <w:color w:val="auto"/>
        </w:rPr>
      </w:pPr>
      <w:r>
        <w:rPr>
          <w:rFonts w:ascii="Arial" w:cs="Arial" w:eastAsia="Arial" w:hAnsi="Arial"/>
          <w:sz w:val="12"/>
          <w:szCs w:val="12"/>
          <w:b w:val="1"/>
          <w:bCs w:val="1"/>
          <w:color w:val="auto"/>
        </w:rPr>
        <w:t>Dropbox, Inc.</w:t>
      </w:r>
    </w:p>
    <w:p>
      <w:pPr>
        <w:jc w:val="center"/>
        <w:ind w:right="-1099"/>
        <w:spacing w:after="0" w:line="216" w:lineRule="auto"/>
        <w:rPr>
          <w:sz w:val="20"/>
          <w:szCs w:val="20"/>
          <w:color w:val="auto"/>
        </w:rPr>
      </w:pPr>
      <w:r>
        <w:rPr>
          <w:rFonts w:ascii="Arial" w:cs="Arial" w:eastAsia="Arial" w:hAnsi="Arial"/>
          <w:sz w:val="12"/>
          <w:szCs w:val="12"/>
          <w:b w:val="1"/>
          <w:bCs w:val="1"/>
          <w:color w:val="auto"/>
        </w:rPr>
        <w:t>333 Brannan Street</w:t>
      </w:r>
    </w:p>
    <w:p>
      <w:pPr>
        <w:jc w:val="center"/>
        <w:ind w:right="-1099"/>
        <w:spacing w:after="0" w:line="216" w:lineRule="auto"/>
        <w:rPr>
          <w:sz w:val="20"/>
          <w:szCs w:val="20"/>
          <w:color w:val="auto"/>
        </w:rPr>
      </w:pPr>
      <w:r>
        <w:rPr>
          <w:rFonts w:ascii="Arial" w:cs="Arial" w:eastAsia="Arial" w:hAnsi="Arial"/>
          <w:sz w:val="12"/>
          <w:szCs w:val="12"/>
          <w:b w:val="1"/>
          <w:bCs w:val="1"/>
          <w:color w:val="auto"/>
        </w:rPr>
        <w:t>San Francisco, California 94107</w:t>
      </w:r>
    </w:p>
    <w:p>
      <w:pPr>
        <w:jc w:val="center"/>
        <w:ind w:right="-1099"/>
        <w:spacing w:after="0" w:line="215" w:lineRule="auto"/>
        <w:rPr>
          <w:sz w:val="20"/>
          <w:szCs w:val="20"/>
          <w:color w:val="auto"/>
        </w:rPr>
      </w:pPr>
      <w:r>
        <w:rPr>
          <w:rFonts w:ascii="Arial" w:cs="Arial" w:eastAsia="Arial" w:hAnsi="Arial"/>
          <w:sz w:val="12"/>
          <w:szCs w:val="12"/>
          <w:b w:val="1"/>
          <w:bCs w:val="1"/>
          <w:color w:val="auto"/>
        </w:rPr>
        <w:t>(415) 857-6800</w:t>
      </w:r>
    </w:p>
    <w:p>
      <w:pPr>
        <w:spacing w:after="0" w:line="1" w:lineRule="exact"/>
        <w:rPr>
          <w:sz w:val="24"/>
          <w:szCs w:val="24"/>
          <w:color w:val="auto"/>
        </w:rPr>
      </w:pPr>
    </w:p>
    <w:p>
      <w:pPr>
        <w:jc w:val="center"/>
        <w:ind w:right="-109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52070</wp:posOffset>
            </wp:positionV>
            <wp:extent cx="12249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91" w:lineRule="exact"/>
        <w:rPr>
          <w:sz w:val="24"/>
          <w:szCs w:val="24"/>
          <w:color w:val="auto"/>
        </w:rPr>
      </w:pPr>
    </w:p>
    <w:tbl>
      <w:tblPr>
        <w:tblLayout w:type="fixed"/>
        <w:tblInd w:w="166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2960" w:type="dxa"/>
            <w:vAlign w:val="bottom"/>
          </w:tcPr>
          <w:p>
            <w:pPr>
              <w:ind w:left="1120"/>
              <w:spacing w:after="0"/>
              <w:rPr>
                <w:sz w:val="20"/>
                <w:szCs w:val="20"/>
                <w:color w:val="auto"/>
              </w:rPr>
            </w:pPr>
            <w:r>
              <w:rPr>
                <w:rFonts w:ascii="Arial" w:cs="Arial" w:eastAsia="Arial" w:hAnsi="Arial"/>
                <w:sz w:val="12"/>
                <w:szCs w:val="12"/>
                <w:b w:val="1"/>
                <w:bCs w:val="1"/>
                <w:i w:val="1"/>
                <w:iCs w:val="1"/>
                <w:color w:val="auto"/>
              </w:rPr>
              <w:t>Copies to:</w:t>
            </w:r>
          </w:p>
        </w:tc>
        <w:tc>
          <w:tcPr>
            <w:tcW w:w="2400" w:type="dxa"/>
            <w:vAlign w:val="bottom"/>
          </w:tcPr>
          <w:p>
            <w:pPr>
              <w:spacing w:after="0"/>
              <w:rPr>
                <w:sz w:val="13"/>
                <w:szCs w:val="13"/>
                <w:color w:val="auto"/>
              </w:rPr>
            </w:pPr>
          </w:p>
        </w:tc>
      </w:tr>
      <w:tr>
        <w:trPr>
          <w:trHeight w:val="125"/>
        </w:trPr>
        <w:tc>
          <w:tcPr>
            <w:tcW w:w="2680" w:type="dxa"/>
            <w:vAlign w:val="bottom"/>
          </w:tcPr>
          <w:p>
            <w:pPr>
              <w:jc w:val="center"/>
              <w:ind w:right="600"/>
              <w:spacing w:after="0" w:line="125" w:lineRule="exact"/>
              <w:rPr>
                <w:sz w:val="20"/>
                <w:szCs w:val="20"/>
                <w:color w:val="auto"/>
              </w:rPr>
            </w:pPr>
            <w:r>
              <w:rPr>
                <w:rFonts w:ascii="Arial" w:cs="Arial" w:eastAsia="Arial" w:hAnsi="Arial"/>
                <w:sz w:val="12"/>
                <w:szCs w:val="12"/>
                <w:b w:val="1"/>
                <w:bCs w:val="1"/>
                <w:color w:val="auto"/>
                <w:w w:val="88"/>
              </w:rPr>
              <w:t>Tony Jeffries, Esq.</w:t>
            </w:r>
          </w:p>
        </w:tc>
        <w:tc>
          <w:tcPr>
            <w:tcW w:w="29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0"/>
              </w:rPr>
              <w:t>Bart E. Volkmer, Esq.</w:t>
            </w:r>
          </w:p>
        </w:tc>
        <w:tc>
          <w:tcPr>
            <w:tcW w:w="2400" w:type="dxa"/>
            <w:vAlign w:val="bottom"/>
          </w:tcPr>
          <w:p>
            <w:pPr>
              <w:jc w:val="center"/>
              <w:ind w:left="620"/>
              <w:spacing w:after="0" w:line="125" w:lineRule="exact"/>
              <w:rPr>
                <w:sz w:val="20"/>
                <w:szCs w:val="20"/>
                <w:color w:val="auto"/>
              </w:rPr>
            </w:pPr>
            <w:r>
              <w:rPr>
                <w:rFonts w:ascii="Arial" w:cs="Arial" w:eastAsia="Arial" w:hAnsi="Arial"/>
                <w:sz w:val="12"/>
                <w:szCs w:val="12"/>
                <w:b w:val="1"/>
                <w:bCs w:val="1"/>
                <w:color w:val="auto"/>
                <w:w w:val="89"/>
              </w:rPr>
              <w:t>Kevin P. Kennedy, Esq.</w:t>
            </w: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91"/>
              </w:rPr>
              <w:t>Rezwan D. Pavri, Esq.</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0"/>
              </w:rPr>
              <w:t>Mary Anne Becking, Esq.</w:t>
            </w:r>
          </w:p>
        </w:tc>
        <w:tc>
          <w:tcPr>
            <w:tcW w:w="2400" w:type="dxa"/>
            <w:vAlign w:val="bottom"/>
          </w:tcPr>
          <w:p>
            <w:pPr>
              <w:jc w:val="center"/>
              <w:ind w:left="620"/>
              <w:spacing w:after="0" w:line="124" w:lineRule="exact"/>
              <w:rPr>
                <w:sz w:val="20"/>
                <w:szCs w:val="20"/>
                <w:color w:val="auto"/>
              </w:rPr>
            </w:pPr>
            <w:r>
              <w:rPr>
                <w:rFonts w:ascii="Arial" w:cs="Arial" w:eastAsia="Arial" w:hAnsi="Arial"/>
                <w:sz w:val="12"/>
                <w:szCs w:val="12"/>
                <w:b w:val="1"/>
                <w:bCs w:val="1"/>
                <w:color w:val="auto"/>
                <w:w w:val="93"/>
              </w:rPr>
              <w:t>Simpson Thacher &amp; Bartlett LLP</w:t>
            </w: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92"/>
              </w:rPr>
              <w:t>Lisa L. Stimmell, Esq.</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3"/>
              </w:rPr>
              <w:t>Cara M. Angelmar, Esq.</w:t>
            </w:r>
          </w:p>
        </w:tc>
        <w:tc>
          <w:tcPr>
            <w:tcW w:w="2400" w:type="dxa"/>
            <w:vAlign w:val="bottom"/>
          </w:tcPr>
          <w:p>
            <w:pPr>
              <w:jc w:val="center"/>
              <w:ind w:left="640"/>
              <w:spacing w:after="0" w:line="124" w:lineRule="exact"/>
              <w:rPr>
                <w:sz w:val="20"/>
                <w:szCs w:val="20"/>
                <w:color w:val="auto"/>
              </w:rPr>
            </w:pPr>
            <w:r>
              <w:rPr>
                <w:rFonts w:ascii="Arial" w:cs="Arial" w:eastAsia="Arial" w:hAnsi="Arial"/>
                <w:sz w:val="12"/>
                <w:szCs w:val="12"/>
                <w:b w:val="1"/>
                <w:bCs w:val="1"/>
                <w:color w:val="auto"/>
                <w:w w:val="92"/>
              </w:rPr>
              <w:t>2475 Hanover St</w:t>
            </w: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89"/>
              </w:rPr>
              <w:t>Shannon R. Delahaye, Esq.</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Dropbox, Inc.</w:t>
            </w:r>
          </w:p>
        </w:tc>
        <w:tc>
          <w:tcPr>
            <w:tcW w:w="2400" w:type="dxa"/>
            <w:vAlign w:val="bottom"/>
          </w:tcPr>
          <w:p>
            <w:pPr>
              <w:jc w:val="center"/>
              <w:ind w:left="620"/>
              <w:spacing w:after="0" w:line="124" w:lineRule="exact"/>
              <w:rPr>
                <w:sz w:val="20"/>
                <w:szCs w:val="20"/>
                <w:color w:val="auto"/>
              </w:rPr>
            </w:pPr>
            <w:r>
              <w:rPr>
                <w:rFonts w:ascii="Arial" w:cs="Arial" w:eastAsia="Arial" w:hAnsi="Arial"/>
                <w:sz w:val="12"/>
                <w:szCs w:val="12"/>
                <w:b w:val="1"/>
                <w:bCs w:val="1"/>
                <w:color w:val="auto"/>
                <w:w w:val="92"/>
              </w:rPr>
              <w:t>Palo Alto, California 94304</w:t>
            </w:r>
          </w:p>
        </w:tc>
      </w:tr>
      <w:tr>
        <w:trPr>
          <w:trHeight w:val="124"/>
        </w:trPr>
        <w:tc>
          <w:tcPr>
            <w:tcW w:w="2680" w:type="dxa"/>
            <w:vAlign w:val="bottom"/>
          </w:tcPr>
          <w:p>
            <w:pPr>
              <w:jc w:val="center"/>
              <w:ind w:right="580"/>
              <w:spacing w:after="0" w:line="124" w:lineRule="exact"/>
              <w:rPr>
                <w:sz w:val="20"/>
                <w:szCs w:val="20"/>
                <w:color w:val="auto"/>
              </w:rPr>
            </w:pPr>
            <w:r>
              <w:rPr>
                <w:rFonts w:ascii="Arial" w:cs="Arial" w:eastAsia="Arial" w:hAnsi="Arial"/>
                <w:sz w:val="12"/>
                <w:szCs w:val="12"/>
                <w:b w:val="1"/>
                <w:bCs w:val="1"/>
                <w:color w:val="auto"/>
                <w:w w:val="90"/>
              </w:rPr>
              <w:t>Wilson Sonsini Goodrich &amp; Rosati, P.C.</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9"/>
              </w:rPr>
              <w:t>333 Brannan Street</w:t>
            </w:r>
          </w:p>
        </w:tc>
        <w:tc>
          <w:tcPr>
            <w:tcW w:w="2400" w:type="dxa"/>
            <w:vAlign w:val="bottom"/>
          </w:tcPr>
          <w:p>
            <w:pPr>
              <w:jc w:val="center"/>
              <w:ind w:left="620"/>
              <w:spacing w:after="0" w:line="124" w:lineRule="exact"/>
              <w:rPr>
                <w:sz w:val="20"/>
                <w:szCs w:val="20"/>
                <w:color w:val="auto"/>
              </w:rPr>
            </w:pPr>
            <w:r>
              <w:rPr>
                <w:rFonts w:ascii="Arial" w:cs="Arial" w:eastAsia="Arial" w:hAnsi="Arial"/>
                <w:sz w:val="12"/>
                <w:szCs w:val="12"/>
                <w:b w:val="1"/>
                <w:bCs w:val="1"/>
                <w:color w:val="auto"/>
                <w:w w:val="92"/>
              </w:rPr>
              <w:t>(650) 251-5000</w:t>
            </w:r>
          </w:p>
        </w:tc>
      </w:tr>
      <w:tr>
        <w:trPr>
          <w:trHeight w:val="124"/>
        </w:trPr>
        <w:tc>
          <w:tcPr>
            <w:tcW w:w="2680" w:type="dxa"/>
            <w:vAlign w:val="bottom"/>
          </w:tcPr>
          <w:p>
            <w:pPr>
              <w:jc w:val="center"/>
              <w:ind w:right="580"/>
              <w:spacing w:after="0" w:line="124" w:lineRule="exact"/>
              <w:rPr>
                <w:sz w:val="20"/>
                <w:szCs w:val="20"/>
                <w:color w:val="auto"/>
              </w:rPr>
            </w:pPr>
            <w:r>
              <w:rPr>
                <w:rFonts w:ascii="Arial" w:cs="Arial" w:eastAsia="Arial" w:hAnsi="Arial"/>
                <w:sz w:val="12"/>
                <w:szCs w:val="12"/>
                <w:b w:val="1"/>
                <w:bCs w:val="1"/>
                <w:color w:val="auto"/>
                <w:w w:val="91"/>
              </w:rPr>
              <w:t>650 Page Mill Road</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San Francisco, California 94107</w:t>
            </w:r>
          </w:p>
        </w:tc>
        <w:tc>
          <w:tcPr>
            <w:tcW w:w="2400" w:type="dxa"/>
            <w:vAlign w:val="bottom"/>
          </w:tcPr>
          <w:p>
            <w:pPr>
              <w:spacing w:after="0"/>
              <w:rPr>
                <w:sz w:val="10"/>
                <w:szCs w:val="10"/>
                <w:color w:val="auto"/>
              </w:rPr>
            </w:pP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91"/>
              </w:rPr>
              <w:t>Palo Alto, California 94304</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0"/>
              </w:rPr>
              <w:t>(415) 857-6800</w:t>
            </w:r>
          </w:p>
        </w:tc>
        <w:tc>
          <w:tcPr>
            <w:tcW w:w="2400" w:type="dxa"/>
            <w:vAlign w:val="bottom"/>
          </w:tcPr>
          <w:p>
            <w:pPr>
              <w:spacing w:after="0"/>
              <w:rPr>
                <w:sz w:val="10"/>
                <w:szCs w:val="10"/>
                <w:color w:val="auto"/>
              </w:rPr>
            </w:pPr>
          </w:p>
        </w:tc>
      </w:tr>
      <w:tr>
        <w:trPr>
          <w:trHeight w:val="157"/>
        </w:trPr>
        <w:tc>
          <w:tcPr>
            <w:tcW w:w="2680" w:type="dxa"/>
            <w:vAlign w:val="bottom"/>
          </w:tcPr>
          <w:p>
            <w:pPr>
              <w:jc w:val="center"/>
              <w:ind w:right="600"/>
              <w:spacing w:after="0"/>
              <w:rPr>
                <w:sz w:val="20"/>
                <w:szCs w:val="20"/>
                <w:color w:val="auto"/>
              </w:rPr>
            </w:pPr>
            <w:r>
              <w:rPr>
                <w:rFonts w:ascii="Arial" w:cs="Arial" w:eastAsia="Arial" w:hAnsi="Arial"/>
                <w:sz w:val="12"/>
                <w:szCs w:val="12"/>
                <w:b w:val="1"/>
                <w:bCs w:val="1"/>
                <w:color w:val="auto"/>
                <w:w w:val="90"/>
              </w:rPr>
              <w:t>(650) 493-9300</w:t>
            </w:r>
          </w:p>
        </w:tc>
        <w:tc>
          <w:tcPr>
            <w:tcW w:w="2960" w:type="dxa"/>
            <w:vAlign w:val="bottom"/>
          </w:tcPr>
          <w:p>
            <w:pPr>
              <w:spacing w:after="0"/>
              <w:rPr>
                <w:sz w:val="13"/>
                <w:szCs w:val="13"/>
                <w:color w:val="auto"/>
              </w:rPr>
            </w:pPr>
          </w:p>
        </w:tc>
        <w:tc>
          <w:tcPr>
            <w:tcW w:w="24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48895</wp:posOffset>
            </wp:positionV>
            <wp:extent cx="12249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82" w:lineRule="exact"/>
        <w:rPr>
          <w:sz w:val="24"/>
          <w:szCs w:val="24"/>
          <w:color w:val="auto"/>
        </w:rPr>
      </w:pPr>
    </w:p>
    <w:p>
      <w:pPr>
        <w:ind w:left="138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As soon as practicable after this registration statement becomes effective.</w:t>
      </w:r>
    </w:p>
    <w:p>
      <w:pPr>
        <w:spacing w:after="0" w:line="24" w:lineRule="exact"/>
        <w:rPr>
          <w:sz w:val="24"/>
          <w:szCs w:val="24"/>
          <w:color w:val="auto"/>
        </w:rPr>
      </w:pPr>
    </w:p>
    <w:p>
      <w:pPr>
        <w:ind w:left="1120" w:right="380" w:firstLine="276"/>
        <w:spacing w:after="0" w:line="151"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ind w:left="1120" w:right="580" w:firstLine="276"/>
        <w:spacing w:after="0" w:line="147"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 w:lineRule="exact"/>
        <w:rPr>
          <w:sz w:val="24"/>
          <w:szCs w:val="24"/>
          <w:color w:val="auto"/>
        </w:rPr>
      </w:pPr>
    </w:p>
    <w:p>
      <w:pPr>
        <w:ind w:left="1120" w:right="20" w:firstLine="276"/>
        <w:spacing w:after="0" w:line="151"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 w:lineRule="exact"/>
        <w:rPr>
          <w:sz w:val="24"/>
          <w:szCs w:val="24"/>
          <w:color w:val="auto"/>
        </w:rPr>
      </w:pPr>
    </w:p>
    <w:p>
      <w:pPr>
        <w:ind w:left="1120" w:firstLine="276"/>
        <w:spacing w:after="0" w:line="151"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1120" w:right="100" w:firstLine="276"/>
        <w:spacing w:after="0" w:line="27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1120" w:type="dxa"/>
        <w:tblCellMar>
          <w:top w:w="0" w:type="dxa"/>
          <w:left w:w="0" w:type="dxa"/>
          <w:bottom w:w="0" w:type="dxa"/>
          <w:right w:w="0" w:type="dxa"/>
        </w:tblCellMar>
      </w:tblPr>
      <w:tr>
        <w:trPr>
          <w:trHeight w:val="188"/>
        </w:trPr>
        <w:tc>
          <w:tcPr>
            <w:tcW w:w="14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2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3180" w:type="dxa"/>
            <w:vAlign w:val="bottom"/>
          </w:tcPr>
          <w:p>
            <w:pPr>
              <w:ind w:left="1700"/>
              <w:spacing w:after="0"/>
              <w:rPr>
                <w:sz w:val="20"/>
                <w:szCs w:val="20"/>
                <w:color w:val="auto"/>
              </w:rPr>
            </w:pPr>
            <w:r>
              <w:rPr>
                <w:rFonts w:ascii="Arial" w:cs="Arial" w:eastAsia="Arial" w:hAnsi="Arial"/>
                <w:sz w:val="12"/>
                <w:szCs w:val="12"/>
                <w:color w:val="auto"/>
              </w:rPr>
              <w:t>Accelerated filer</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3"/>
        </w:trPr>
        <w:tc>
          <w:tcPr>
            <w:tcW w:w="1480" w:type="dxa"/>
            <w:vAlign w:val="bottom"/>
          </w:tcPr>
          <w:p>
            <w:pPr>
              <w:spacing w:after="0"/>
              <w:rPr>
                <w:sz w:val="20"/>
                <w:szCs w:val="20"/>
                <w:color w:val="auto"/>
              </w:rPr>
            </w:pPr>
            <w:r>
              <w:rPr>
                <w:rFonts w:ascii="Arial" w:cs="Arial" w:eastAsia="Arial" w:hAnsi="Arial"/>
                <w:sz w:val="12"/>
                <w:szCs w:val="12"/>
                <w:color w:val="auto"/>
              </w:rPr>
              <w:t>Non-accelerated filer</w:t>
            </w:r>
          </w:p>
        </w:tc>
        <w:tc>
          <w:tcPr>
            <w:tcW w:w="426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tc>
        <w:tc>
          <w:tcPr>
            <w:tcW w:w="3180" w:type="dxa"/>
            <w:vAlign w:val="bottom"/>
          </w:tcPr>
          <w:p>
            <w:pPr>
              <w:ind w:left="1700"/>
              <w:spacing w:after="0"/>
              <w:rPr>
                <w:sz w:val="20"/>
                <w:szCs w:val="20"/>
                <w:color w:val="auto"/>
              </w:rPr>
            </w:pPr>
            <w:r>
              <w:rPr>
                <w:rFonts w:ascii="Arial" w:cs="Arial" w:eastAsia="Arial" w:hAnsi="Arial"/>
                <w:sz w:val="12"/>
                <w:szCs w:val="12"/>
                <w:color w:val="auto"/>
              </w:rPr>
              <w:t>Smaller reporting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3"/>
        </w:trPr>
        <w:tc>
          <w:tcPr>
            <w:tcW w:w="14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42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4" w:lineRule="exact"/>
        <w:rPr>
          <w:sz w:val="24"/>
          <w:szCs w:val="24"/>
          <w:color w:val="auto"/>
        </w:rPr>
      </w:pPr>
    </w:p>
    <w:p>
      <w:pPr>
        <w:ind w:left="1120" w:right="300"/>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55880</wp:posOffset>
            </wp:positionV>
            <wp:extent cx="12249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93" w:lineRule="exact"/>
        <w:rPr>
          <w:sz w:val="24"/>
          <w:szCs w:val="24"/>
          <w:color w:val="auto"/>
        </w:rPr>
      </w:pPr>
    </w:p>
    <w:p>
      <w:pPr>
        <w:ind w:left="4560"/>
        <w:spacing w:after="0"/>
        <w:rPr>
          <w:sz w:val="20"/>
          <w:szCs w:val="20"/>
          <w:color w:val="auto"/>
        </w:rPr>
      </w:pPr>
      <w:r>
        <w:rPr>
          <w:rFonts w:ascii="Arial" w:cs="Arial" w:eastAsia="Arial" w:hAnsi="Arial"/>
          <w:sz w:val="12"/>
          <w:szCs w:val="12"/>
          <w:b w:val="1"/>
          <w:bCs w:val="1"/>
          <w:color w:val="auto"/>
        </w:rPr>
        <w:t>CALCULATION OF REGISTRATION FEE</w:t>
      </w:r>
    </w:p>
    <w:p>
      <w:pPr>
        <w:spacing w:after="0" w:line="42" w:lineRule="exact"/>
        <w:rPr>
          <w:sz w:val="24"/>
          <w:szCs w:val="24"/>
          <w:color w:val="auto"/>
        </w:rPr>
      </w:pPr>
    </w:p>
    <w:tbl>
      <w:tblPr>
        <w:tblLayout w:type="fixed"/>
        <w:tblInd w:w="11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06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71"/>
        </w:trPr>
        <w:tc>
          <w:tcPr>
            <w:tcW w:w="20" w:type="dxa"/>
            <w:vAlign w:val="bottom"/>
          </w:tcPr>
          <w:p>
            <w:pPr>
              <w:spacing w:after="0"/>
              <w:rPr>
                <w:sz w:val="6"/>
                <w:szCs w:val="6"/>
                <w:color w:val="auto"/>
              </w:rPr>
            </w:pPr>
          </w:p>
        </w:tc>
        <w:tc>
          <w:tcPr>
            <w:tcW w:w="406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jc w:val="center"/>
              <w:ind w:left="8"/>
              <w:spacing w:after="0" w:line="71" w:lineRule="exact"/>
              <w:rPr>
                <w:sz w:val="20"/>
                <w:szCs w:val="20"/>
                <w:color w:val="auto"/>
              </w:rPr>
            </w:pPr>
            <w:r>
              <w:rPr>
                <w:rFonts w:ascii="Arial" w:cs="Arial" w:eastAsia="Arial" w:hAnsi="Arial"/>
                <w:sz w:val="8"/>
                <w:szCs w:val="8"/>
                <w:b w:val="1"/>
                <w:bCs w:val="1"/>
                <w:color w:val="auto"/>
              </w:rPr>
              <w:t>Proposed Maximum</w:t>
            </w:r>
          </w:p>
        </w:tc>
        <w:tc>
          <w:tcPr>
            <w:tcW w:w="130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b w:val="1"/>
                <w:bCs w:val="1"/>
                <w:color w:val="auto"/>
              </w:rPr>
              <w:t>Maximum</w:t>
            </w:r>
          </w:p>
        </w:tc>
        <w:tc>
          <w:tcPr>
            <w:tcW w:w="1260" w:type="dxa"/>
            <w:vAlign w:val="bottom"/>
          </w:tcPr>
          <w:p>
            <w:pPr>
              <w:spacing w:after="0"/>
              <w:rPr>
                <w:sz w:val="6"/>
                <w:szCs w:val="6"/>
                <w:color w:val="auto"/>
              </w:rPr>
            </w:pPr>
          </w:p>
        </w:tc>
      </w:tr>
      <w:tr>
        <w:trPr>
          <w:trHeight w:val="117"/>
        </w:trPr>
        <w:tc>
          <w:tcPr>
            <w:tcW w:w="20" w:type="dxa"/>
            <w:vAlign w:val="bottom"/>
          </w:tcPr>
          <w:p>
            <w:pPr>
              <w:spacing w:after="0"/>
              <w:rPr>
                <w:sz w:val="10"/>
                <w:szCs w:val="10"/>
                <w:color w:val="auto"/>
              </w:rPr>
            </w:pPr>
          </w:p>
        </w:tc>
        <w:tc>
          <w:tcPr>
            <w:tcW w:w="4060" w:type="dxa"/>
            <w:vAlign w:val="bottom"/>
            <w:tcBorders>
              <w:right w:val="single" w:sz="8" w:color="auto"/>
            </w:tcBorders>
          </w:tcPr>
          <w:p>
            <w:pPr>
              <w:jc w:val="center"/>
              <w:ind w:right="5"/>
              <w:spacing w:after="0" w:line="117" w:lineRule="exact"/>
              <w:rPr>
                <w:sz w:val="20"/>
                <w:szCs w:val="20"/>
                <w:color w:val="auto"/>
              </w:rPr>
            </w:pPr>
            <w:r>
              <w:rPr>
                <w:rFonts w:ascii="Arial" w:cs="Arial" w:eastAsia="Arial" w:hAnsi="Arial"/>
                <w:sz w:val="11"/>
                <w:szCs w:val="11"/>
                <w:b w:val="1"/>
                <w:bCs w:val="1"/>
                <w:color w:val="auto"/>
                <w:w w:val="83"/>
              </w:rPr>
              <w:t>Title of each Class of</w:t>
            </w:r>
          </w:p>
        </w:tc>
        <w:tc>
          <w:tcPr>
            <w:tcW w:w="12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4"/>
              </w:rPr>
              <w:t>Shares to be</w:t>
            </w:r>
          </w:p>
        </w:tc>
        <w:tc>
          <w:tcPr>
            <w:tcW w:w="1280" w:type="dxa"/>
            <w:vAlign w:val="bottom"/>
            <w:tcBorders>
              <w:right w:val="single" w:sz="8" w:color="auto"/>
            </w:tcBorders>
          </w:tcPr>
          <w:p>
            <w:pPr>
              <w:jc w:val="center"/>
              <w:ind w:left="8"/>
              <w:spacing w:after="0" w:line="117" w:lineRule="exact"/>
              <w:rPr>
                <w:sz w:val="20"/>
                <w:szCs w:val="20"/>
                <w:color w:val="auto"/>
              </w:rPr>
            </w:pPr>
            <w:r>
              <w:rPr>
                <w:rFonts w:ascii="Arial" w:cs="Arial" w:eastAsia="Arial" w:hAnsi="Arial"/>
                <w:sz w:val="11"/>
                <w:szCs w:val="11"/>
                <w:b w:val="1"/>
                <w:bCs w:val="1"/>
                <w:color w:val="auto"/>
                <w:w w:val="85"/>
              </w:rPr>
              <w:t>Aggregate Offering</w:t>
            </w:r>
          </w:p>
        </w:tc>
        <w:tc>
          <w:tcPr>
            <w:tcW w:w="13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4"/>
              </w:rPr>
              <w:t>Aggregate</w:t>
            </w:r>
          </w:p>
        </w:tc>
        <w:tc>
          <w:tcPr>
            <w:tcW w:w="1260" w:type="dxa"/>
            <w:vAlign w:val="bottom"/>
          </w:tcPr>
          <w:p>
            <w:pPr>
              <w:jc w:val="center"/>
              <w:ind w:left="5"/>
              <w:spacing w:after="0" w:line="117" w:lineRule="exact"/>
              <w:rPr>
                <w:sz w:val="20"/>
                <w:szCs w:val="20"/>
                <w:color w:val="auto"/>
              </w:rPr>
            </w:pPr>
            <w:r>
              <w:rPr>
                <w:rFonts w:ascii="Arial" w:cs="Arial" w:eastAsia="Arial" w:hAnsi="Arial"/>
                <w:sz w:val="11"/>
                <w:szCs w:val="11"/>
                <w:b w:val="1"/>
                <w:bCs w:val="1"/>
                <w:color w:val="auto"/>
                <w:w w:val="87"/>
              </w:rPr>
              <w:t>Amount of</w:t>
            </w:r>
          </w:p>
        </w:tc>
      </w:tr>
      <w:tr>
        <w:trPr>
          <w:trHeight w:val="135"/>
        </w:trPr>
        <w:tc>
          <w:tcPr>
            <w:tcW w:w="20" w:type="dxa"/>
            <w:vAlign w:val="bottom"/>
          </w:tcPr>
          <w:p>
            <w:pPr>
              <w:spacing w:after="0"/>
              <w:rPr>
                <w:sz w:val="11"/>
                <w:szCs w:val="11"/>
                <w:color w:val="auto"/>
              </w:rPr>
            </w:pPr>
          </w:p>
        </w:tc>
        <w:tc>
          <w:tcPr>
            <w:tcW w:w="40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4"/>
              </w:rPr>
              <w:t>Securities to be Registered</w:t>
            </w:r>
          </w:p>
        </w:tc>
        <w:tc>
          <w:tcPr>
            <w:tcW w:w="128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6"/>
              </w:rPr>
              <w:t>Registered</w:t>
            </w:r>
            <w:r>
              <w:rPr>
                <w:rFonts w:ascii="Arial" w:cs="Arial" w:eastAsia="Arial" w:hAnsi="Arial"/>
                <w:sz w:val="8"/>
                <w:szCs w:val="8"/>
                <w:b w:val="1"/>
                <w:bCs w:val="1"/>
                <w:color w:val="auto"/>
                <w:w w:val="86"/>
              </w:rPr>
              <w:t>(1)</w:t>
            </w:r>
          </w:p>
        </w:tc>
        <w:tc>
          <w:tcPr>
            <w:tcW w:w="12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1"/>
                <w:szCs w:val="11"/>
                <w:b w:val="1"/>
                <w:bCs w:val="1"/>
                <w:color w:val="auto"/>
                <w:w w:val="89"/>
              </w:rPr>
              <w:t>Price Per Share</w:t>
            </w:r>
            <w:r>
              <w:rPr>
                <w:rFonts w:ascii="Arial" w:cs="Arial" w:eastAsia="Arial" w:hAnsi="Arial"/>
                <w:sz w:val="8"/>
                <w:szCs w:val="8"/>
                <w:b w:val="1"/>
                <w:bCs w:val="1"/>
                <w:color w:val="auto"/>
                <w:w w:val="89"/>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Offering Price</w:t>
            </w:r>
            <w:r>
              <w:rPr>
                <w:rFonts w:ascii="Arial" w:cs="Arial" w:eastAsia="Arial" w:hAnsi="Arial"/>
                <w:sz w:val="8"/>
                <w:szCs w:val="8"/>
                <w:b w:val="1"/>
                <w:bCs w:val="1"/>
                <w:color w:val="auto"/>
                <w:w w:val="93"/>
              </w:rPr>
              <w:t>(1)(2)</w:t>
            </w:r>
          </w:p>
        </w:tc>
        <w:tc>
          <w:tcPr>
            <w:tcW w:w="1260" w:type="dxa"/>
            <w:vAlign w:val="bottom"/>
            <w:tcBorders>
              <w:bottom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7"/>
              </w:rPr>
              <w:t>Registration Fee</w:t>
            </w:r>
            <w:r>
              <w:rPr>
                <w:rFonts w:ascii="Arial" w:cs="Arial" w:eastAsia="Arial" w:hAnsi="Arial"/>
                <w:sz w:val="8"/>
                <w:szCs w:val="8"/>
                <w:b w:val="1"/>
                <w:bCs w:val="1"/>
                <w:color w:val="auto"/>
                <w:w w:val="87"/>
              </w:rPr>
              <w:t>(3)</w:t>
            </w:r>
          </w:p>
        </w:tc>
      </w:tr>
      <w:tr>
        <w:trPr>
          <w:trHeight w:val="127"/>
        </w:trPr>
        <w:tc>
          <w:tcPr>
            <w:tcW w:w="20" w:type="dxa"/>
            <w:vAlign w:val="bottom"/>
            <w:tcBorders>
              <w:bottom w:val="single" w:sz="8" w:color="auto"/>
            </w:tcBorders>
          </w:tcPr>
          <w:p>
            <w:pPr>
              <w:spacing w:after="0"/>
              <w:rPr>
                <w:sz w:val="11"/>
                <w:szCs w:val="11"/>
                <w:color w:val="auto"/>
              </w:rPr>
            </w:pPr>
          </w:p>
        </w:tc>
        <w:tc>
          <w:tcPr>
            <w:tcW w:w="4060" w:type="dxa"/>
            <w:vAlign w:val="bottom"/>
            <w:tcBorders>
              <w:bottom w:val="single" w:sz="8" w:color="auto"/>
              <w:right w:val="single" w:sz="8" w:color="auto"/>
            </w:tcBorders>
          </w:tcPr>
          <w:p>
            <w:pPr>
              <w:spacing w:after="0" w:line="127" w:lineRule="exact"/>
              <w:rPr>
                <w:sz w:val="20"/>
                <w:szCs w:val="20"/>
                <w:color w:val="auto"/>
              </w:rPr>
            </w:pPr>
            <w:r>
              <w:rPr>
                <w:rFonts w:ascii="Arial" w:cs="Arial" w:eastAsia="Arial" w:hAnsi="Arial"/>
                <w:sz w:val="12"/>
                <w:szCs w:val="12"/>
                <w:color w:val="auto"/>
              </w:rPr>
              <w:t>Class A Common stock, $0.00001 par value per share</w:t>
            </w:r>
          </w:p>
        </w:tc>
        <w:tc>
          <w:tcPr>
            <w:tcW w:w="1280" w:type="dxa"/>
            <w:vAlign w:val="bottom"/>
            <w:tcBorders>
              <w:bottom w:val="single" w:sz="8" w:color="auto"/>
              <w:right w:val="single" w:sz="8" w:color="auto"/>
            </w:tcBorders>
          </w:tcPr>
          <w:p>
            <w:pPr>
              <w:jc w:val="center"/>
              <w:ind w:left="5"/>
              <w:spacing w:after="0" w:line="127" w:lineRule="exact"/>
              <w:rPr>
                <w:sz w:val="20"/>
                <w:szCs w:val="20"/>
                <w:color w:val="auto"/>
              </w:rPr>
            </w:pPr>
            <w:r>
              <w:rPr>
                <w:rFonts w:ascii="Arial" w:cs="Arial" w:eastAsia="Arial" w:hAnsi="Arial"/>
                <w:sz w:val="12"/>
                <w:szCs w:val="12"/>
                <w:color w:val="auto"/>
                <w:w w:val="89"/>
              </w:rPr>
              <w:t>41,400,000</w:t>
            </w:r>
          </w:p>
        </w:tc>
        <w:tc>
          <w:tcPr>
            <w:tcW w:w="1280" w:type="dxa"/>
            <w:vAlign w:val="bottom"/>
            <w:tcBorders>
              <w:bottom w:val="single" w:sz="8" w:color="auto"/>
              <w:right w:val="single" w:sz="8" w:color="auto"/>
            </w:tcBorders>
          </w:tcPr>
          <w:p>
            <w:pPr>
              <w:jc w:val="center"/>
              <w:ind w:left="8"/>
              <w:spacing w:after="0" w:line="127" w:lineRule="exact"/>
              <w:rPr>
                <w:sz w:val="20"/>
                <w:szCs w:val="20"/>
                <w:color w:val="auto"/>
              </w:rPr>
            </w:pPr>
            <w:r>
              <w:rPr>
                <w:rFonts w:ascii="Arial" w:cs="Arial" w:eastAsia="Arial" w:hAnsi="Arial"/>
                <w:sz w:val="12"/>
                <w:szCs w:val="12"/>
                <w:color w:val="auto"/>
                <w:w w:val="92"/>
              </w:rPr>
              <w:t>$18.00</w:t>
            </w:r>
          </w:p>
        </w:tc>
        <w:tc>
          <w:tcPr>
            <w:tcW w:w="130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$745,200,000</w:t>
            </w:r>
          </w:p>
        </w:tc>
        <w:tc>
          <w:tcPr>
            <w:tcW w:w="1260" w:type="dxa"/>
            <w:vAlign w:val="bottom"/>
            <w:tcBorders>
              <w:bottom w:val="single" w:sz="8" w:color="auto"/>
            </w:tcBorders>
          </w:tcPr>
          <w:p>
            <w:pPr>
              <w:jc w:val="center"/>
              <w:ind w:left="5"/>
              <w:spacing w:after="0" w:line="127" w:lineRule="exact"/>
              <w:rPr>
                <w:sz w:val="20"/>
                <w:szCs w:val="20"/>
                <w:color w:val="auto"/>
              </w:rPr>
            </w:pPr>
            <w:r>
              <w:rPr>
                <w:rFonts w:ascii="Arial" w:cs="Arial" w:eastAsia="Arial" w:hAnsi="Arial"/>
                <w:sz w:val="12"/>
                <w:szCs w:val="12"/>
                <w:color w:val="auto"/>
                <w:w w:val="92"/>
              </w:rPr>
              <w:t>$92,778</w:t>
            </w: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1380" w:hanging="268"/>
        <w:spacing w:after="0" w:line="225" w:lineRule="auto"/>
        <w:tabs>
          <w:tab w:leader="none" w:pos="1380" w:val="left"/>
        </w:tabs>
        <w:numPr>
          <w:ilvl w:val="0"/>
          <w:numId w:val="1"/>
        </w:numPr>
        <w:rPr>
          <w:rFonts w:ascii="Arial" w:cs="Arial" w:eastAsia="Arial" w:hAnsi="Arial"/>
          <w:sz w:val="10"/>
          <w:szCs w:val="10"/>
          <w:color w:val="auto"/>
        </w:rPr>
      </w:pPr>
      <w:r>
        <w:rPr>
          <w:rFonts w:ascii="Arial" w:cs="Arial" w:eastAsia="Arial" w:hAnsi="Arial"/>
          <w:sz w:val="12"/>
          <w:szCs w:val="12"/>
          <w:color w:val="auto"/>
        </w:rPr>
        <w:t>Includes an additional 5,400,000 shares of our Class A common stock that the underwriters have the option to purchase.</w:t>
      </w:r>
    </w:p>
    <w:p>
      <w:pPr>
        <w:ind w:left="1380" w:hanging="268"/>
        <w:spacing w:after="0" w:line="215" w:lineRule="auto"/>
        <w:tabs>
          <w:tab w:leader="none" w:pos="1380" w:val="left"/>
        </w:tabs>
        <w:numPr>
          <w:ilvl w:val="0"/>
          <w:numId w:val="1"/>
        </w:numPr>
        <w:rPr>
          <w:rFonts w:ascii="Arial" w:cs="Arial" w:eastAsia="Arial" w:hAnsi="Arial"/>
          <w:sz w:val="10"/>
          <w:szCs w:val="10"/>
          <w:color w:val="auto"/>
        </w:rPr>
      </w:pPr>
      <w:r>
        <w:rPr>
          <w:rFonts w:ascii="Arial" w:cs="Arial" w:eastAsia="Arial" w:hAnsi="Arial"/>
          <w:sz w:val="12"/>
          <w:szCs w:val="12"/>
          <w:color w:val="auto"/>
        </w:rPr>
        <w:t>Estimated solely for the purpose of calculating the registration fee in accordance with Rule 457(a) under the Securities Act of 1933, as amended.</w:t>
      </w:r>
    </w:p>
    <w:p>
      <w:pPr>
        <w:ind w:left="1380" w:hanging="268"/>
        <w:spacing w:after="0"/>
        <w:tabs>
          <w:tab w:leader="none" w:pos="1380" w:val="left"/>
        </w:tabs>
        <w:numPr>
          <w:ilvl w:val="0"/>
          <w:numId w:val="1"/>
        </w:numPr>
        <w:rPr>
          <w:rFonts w:ascii="Arial" w:cs="Arial" w:eastAsia="Arial" w:hAnsi="Arial"/>
          <w:sz w:val="10"/>
          <w:szCs w:val="10"/>
          <w:color w:val="auto"/>
        </w:rPr>
      </w:pPr>
      <w:r>
        <w:rPr>
          <w:rFonts w:ascii="Arial" w:cs="Arial" w:eastAsia="Arial" w:hAnsi="Arial"/>
          <w:sz w:val="12"/>
          <w:szCs w:val="12"/>
          <w:color w:val="auto"/>
        </w:rPr>
        <w:t>The Registrant previously paid $62,250 of this amount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59055</wp:posOffset>
            </wp:positionV>
            <wp:extent cx="12249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99" w:lineRule="exact"/>
        <w:rPr>
          <w:sz w:val="24"/>
          <w:szCs w:val="24"/>
          <w:color w:val="auto"/>
        </w:rPr>
      </w:pPr>
    </w:p>
    <w:p>
      <w:pPr>
        <w:ind w:left="1120" w:right="160" w:firstLine="276"/>
        <w:spacing w:after="0" w:line="302"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23495</wp:posOffset>
            </wp:positionV>
            <wp:extent cx="584390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3905" cy="698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59055</wp:posOffset>
            </wp:positionV>
            <wp:extent cx="58439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3905" cy="6985"/>
                    </a:xfrm>
                    <a:prstGeom prst="rect">
                      <a:avLst/>
                    </a:prstGeom>
                    <a:noFill/>
                  </pic:spPr>
                </pic:pic>
              </a:graphicData>
            </a:graphic>
          </wp:anchor>
        </w:drawing>
      </w:r>
    </w:p>
    <w:p>
      <w:pPr>
        <w:sectPr>
          <w:pgSz w:w="11900" w:h="16838" w:orient="portrait"/>
          <w:cols w:equalWidth="0" w:num="1">
            <w:col w:w="10320"/>
          </w:cols>
          <w:pgMar w:left="240" w:top="216" w:right="133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1260" w:right="59"/>
        <w:spacing w:after="0" w:line="293" w:lineRule="auto"/>
        <w:rPr>
          <w:sz w:val="20"/>
          <w:szCs w:val="20"/>
          <w:color w:val="auto"/>
        </w:rPr>
      </w:pPr>
      <w:r>
        <w:rPr>
          <w:rFonts w:ascii="Arial" w:cs="Arial" w:eastAsia="Arial" w:hAnsi="Arial"/>
          <w:sz w:val="14"/>
          <w:szCs w:val="14"/>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-364490</wp:posOffset>
            </wp:positionV>
            <wp:extent cx="5843905" cy="7469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3905" cy="7469505"/>
                    </a:xfrm>
                    <a:prstGeom prst="rect">
                      <a:avLst/>
                    </a:prstGeom>
                    <a:noFill/>
                  </pic:spPr>
                </pic:pic>
              </a:graphicData>
            </a:graphic>
          </wp:anchor>
        </w:drawing>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EB0029"/>
        </w:rPr>
        <w:t>Subject To Completion. Dated March 12, 2018.</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36,000,000 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Class A Common Stock</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This is an initial public offering of shares of Class A common stock of Dropbox, Inc.</w:t>
      </w:r>
    </w:p>
    <w:p>
      <w:pPr>
        <w:spacing w:after="0" w:line="87" w:lineRule="exact"/>
        <w:rPr>
          <w:sz w:val="20"/>
          <w:szCs w:val="20"/>
          <w:color w:val="auto"/>
        </w:rPr>
      </w:pPr>
    </w:p>
    <w:p>
      <w:pPr>
        <w:jc w:val="both"/>
        <w:ind w:left="1260" w:right="139"/>
        <w:spacing w:after="0"/>
        <w:rPr>
          <w:sz w:val="20"/>
          <w:szCs w:val="20"/>
          <w:color w:val="auto"/>
        </w:rPr>
      </w:pPr>
      <w:r>
        <w:rPr>
          <w:rFonts w:ascii="Arial" w:cs="Arial" w:eastAsia="Arial" w:hAnsi="Arial"/>
          <w:sz w:val="15"/>
          <w:szCs w:val="15"/>
          <w:color w:val="auto"/>
        </w:rPr>
        <w:t>Dropbox, Inc. is offering to sell 26,822,409 shares of Class A common stock in this offering. The selling stockholders identified in this prospectus are offering to sell an additional 9,177,591 shares of Class A common stock. We will not receive any of the proceeds from the sale of the shares being sold by the selling stockholders.</w:t>
      </w:r>
    </w:p>
    <w:p>
      <w:pPr>
        <w:spacing w:after="0" w:line="80" w:lineRule="exact"/>
        <w:rPr>
          <w:sz w:val="20"/>
          <w:szCs w:val="20"/>
          <w:color w:val="auto"/>
        </w:rPr>
      </w:pPr>
    </w:p>
    <w:p>
      <w:pPr>
        <w:ind w:left="1260" w:right="39"/>
        <w:spacing w:after="0" w:line="237" w:lineRule="auto"/>
        <w:rPr>
          <w:sz w:val="20"/>
          <w:szCs w:val="20"/>
          <w:color w:val="auto"/>
        </w:rPr>
      </w:pPr>
      <w:r>
        <w:rPr>
          <w:rFonts w:ascii="Arial" w:cs="Arial" w:eastAsia="Arial" w:hAnsi="Arial"/>
          <w:sz w:val="15"/>
          <w:szCs w:val="15"/>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 Shares of Class C common stock have no voting rights, except as otherwise required by law, and will convert into Class A common stock, on a share-for-share basis, following the conversion of all outstanding shares of Class B common stock into shares of Class A common stock and upon the date or time specified by the holders of a majority of the outstanding shares of Class A common stock voting as a separate class. Following this offering, outstanding shares of Class B common stock will represent approximately 98.0% of the voting power of our outstanding capital stock.</w:t>
      </w:r>
    </w:p>
    <w:p>
      <w:pPr>
        <w:spacing w:after="0" w:line="80" w:lineRule="exact"/>
        <w:rPr>
          <w:sz w:val="20"/>
          <w:szCs w:val="20"/>
          <w:color w:val="auto"/>
        </w:rPr>
      </w:pPr>
    </w:p>
    <w:p>
      <w:pPr>
        <w:ind w:left="1260" w:right="159"/>
        <w:spacing w:after="0"/>
        <w:rPr>
          <w:sz w:val="20"/>
          <w:szCs w:val="20"/>
          <w:color w:val="auto"/>
        </w:rPr>
      </w:pPr>
      <w:r>
        <w:rPr>
          <w:rFonts w:ascii="Arial" w:cs="Arial" w:eastAsia="Arial" w:hAnsi="Arial"/>
          <w:sz w:val="15"/>
          <w:szCs w:val="15"/>
          <w:color w:val="auto"/>
        </w:rPr>
        <w:t>Prior to this offering, there has been no public market for the Class A common stock. It is currently estimated that the initial public offering price per share will be between $16.00 and $18.00. We have applied to list the Class A common stock on the Nasdaq Global Select Market under the symbol “DBX”.</w:t>
      </w:r>
    </w:p>
    <w:p>
      <w:pPr>
        <w:spacing w:after="0" w:line="80" w:lineRule="exact"/>
        <w:rPr>
          <w:sz w:val="20"/>
          <w:szCs w:val="20"/>
          <w:color w:val="auto"/>
        </w:rPr>
      </w:pPr>
    </w:p>
    <w:p>
      <w:pPr>
        <w:ind w:left="1260" w:right="479"/>
        <w:spacing w:after="0" w:line="239" w:lineRule="auto"/>
        <w:rPr>
          <w:sz w:val="20"/>
          <w:szCs w:val="20"/>
          <w:color w:val="auto"/>
        </w:rPr>
      </w:pPr>
      <w:r>
        <w:rPr>
          <w:rFonts w:ascii="Arial" w:cs="Arial" w:eastAsia="Arial" w:hAnsi="Arial"/>
          <w:sz w:val="15"/>
          <w:szCs w:val="15"/>
          <w:color w:val="auto"/>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w:t>
      </w:r>
    </w:p>
    <w:p>
      <w:pPr>
        <w:spacing w:after="0" w:line="170" w:lineRule="exact"/>
        <w:rPr>
          <w:sz w:val="20"/>
          <w:szCs w:val="20"/>
          <w:color w:val="auto"/>
        </w:rPr>
      </w:pPr>
    </w:p>
    <w:p>
      <w:pPr>
        <w:jc w:val="both"/>
        <w:ind w:left="1260" w:right="359"/>
        <w:spacing w:after="0"/>
        <w:rPr>
          <w:sz w:val="20"/>
          <w:szCs w:val="20"/>
          <w:color w:val="auto"/>
        </w:rPr>
      </w:pPr>
      <w:r>
        <w:rPr>
          <w:rFonts w:ascii="Arial" w:cs="Arial" w:eastAsia="Arial" w:hAnsi="Arial"/>
          <w:sz w:val="15"/>
          <w:szCs w:val="15"/>
          <w:color w:val="auto"/>
        </w:rPr>
        <w:t>Salesforce Ventures LLC has entered into an agreement with us pursuant to which it has agreed to purchase $100,000,000 of our Class A common stock in a private placement at a price per share equal to the initial offering price. This transaction is contingent upon, and is scheduled to close immediately subsequent to, the closing of this offering.</w:t>
      </w:r>
    </w:p>
    <w:p>
      <w:pPr>
        <w:spacing w:after="0" w:line="288" w:lineRule="exact"/>
        <w:rPr>
          <w:sz w:val="20"/>
          <w:szCs w:val="20"/>
          <w:color w:val="auto"/>
        </w:rPr>
      </w:pPr>
    </w:p>
    <w:p>
      <w:pPr>
        <w:jc w:val="both"/>
        <w:ind w:left="1260" w:right="359"/>
        <w:spacing w:after="0" w:line="270" w:lineRule="auto"/>
        <w:rPr>
          <w:rFonts w:ascii="Arial" w:cs="Arial" w:eastAsia="Arial" w:hAnsi="Arial"/>
          <w:sz w:val="15"/>
          <w:szCs w:val="15"/>
          <w:b w:val="1"/>
          <w:bCs w:val="1"/>
          <w:color w:val="auto"/>
        </w:rPr>
      </w:pPr>
      <w:r>
        <w:rPr>
          <w:rFonts w:ascii="Arial" w:cs="Arial" w:eastAsia="Arial" w:hAnsi="Arial"/>
          <w:sz w:val="15"/>
          <w:szCs w:val="15"/>
          <w:b w:val="1"/>
          <w:bCs w:val="1"/>
          <w:color w:val="auto"/>
        </w:rPr>
        <w:t>See “</w:t>
      </w:r>
      <w:hyperlink w:anchor="page23">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16 to read about factors you should consider before buying shares of our Class A common stock.</w:t>
      </w:r>
    </w:p>
    <w:p>
      <w:pPr>
        <w:spacing w:after="0" w:line="266"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5"/>
          <w:szCs w:val="15"/>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28"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5300" w:type="dxa"/>
            <w:vAlign w:val="bottom"/>
            <w:vMerge w:val="restart"/>
          </w:tcPr>
          <w:p>
            <w:pPr>
              <w:spacing w:after="0"/>
              <w:rPr>
                <w:sz w:val="20"/>
                <w:szCs w:val="20"/>
                <w:color w:val="auto"/>
              </w:rPr>
            </w:pPr>
            <w:r>
              <w:rPr>
                <w:rFonts w:ascii="Arial" w:cs="Arial" w:eastAsia="Arial" w:hAnsi="Arial"/>
                <w:sz w:val="15"/>
                <w:szCs w:val="15"/>
                <w:color w:val="auto"/>
              </w:rPr>
              <w:t>Initial public offering price</w:t>
            </w:r>
          </w:p>
        </w:tc>
        <w:tc>
          <w:tcPr>
            <w:tcW w:w="2900" w:type="dxa"/>
            <w:vAlign w:val="bottom"/>
            <w:gridSpan w:val="3"/>
          </w:tcPr>
          <w:p>
            <w:pPr>
              <w:ind w:left="1920"/>
              <w:spacing w:after="0"/>
              <w:rPr>
                <w:sz w:val="20"/>
                <w:szCs w:val="20"/>
                <w:color w:val="auto"/>
              </w:rPr>
            </w:pPr>
            <w:r>
              <w:rPr>
                <w:rFonts w:ascii="Arial" w:cs="Arial" w:eastAsia="Arial" w:hAnsi="Arial"/>
                <w:sz w:val="12"/>
                <w:szCs w:val="12"/>
                <w:color w:val="auto"/>
              </w:rPr>
              <w:t>Per share</w:t>
            </w:r>
          </w:p>
        </w:tc>
        <w:tc>
          <w:tcPr>
            <w:tcW w:w="660" w:type="dxa"/>
            <w:vAlign w:val="bottom"/>
          </w:tcPr>
          <w:p>
            <w:pPr>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8"/>
        </w:trPr>
        <w:tc>
          <w:tcPr>
            <w:tcW w:w="530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660" w:type="dxa"/>
            <w:vAlign w:val="bottom"/>
            <w:tcBorders>
              <w:top w:val="single" w:sz="8" w:color="auto"/>
            </w:tcBorders>
          </w:tcPr>
          <w:p>
            <w:pPr>
              <w:jc w:val="right"/>
              <w:ind w:right="505"/>
              <w:spacing w:after="0" w:line="158" w:lineRule="exact"/>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3"/>
                <w:szCs w:val="13"/>
                <w:color w:val="auto"/>
              </w:rPr>
            </w:pPr>
          </w:p>
        </w:tc>
        <w:tc>
          <w:tcPr>
            <w:tcW w:w="660" w:type="dxa"/>
            <w:vAlign w:val="bottom"/>
            <w:tcBorders>
              <w:top w:val="single" w:sz="8" w:color="auto"/>
            </w:tcBorders>
          </w:tcPr>
          <w:p>
            <w:pPr>
              <w:spacing w:after="0" w:line="15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5300" w:type="dxa"/>
            <w:vAlign w:val="bottom"/>
          </w:tcPr>
          <w:p>
            <w:pPr>
              <w:spacing w:after="0" w:line="172" w:lineRule="exact"/>
              <w:rPr>
                <w:sz w:val="20"/>
                <w:szCs w:val="20"/>
                <w:color w:val="auto"/>
              </w:rPr>
            </w:pPr>
            <w:r>
              <w:rPr>
                <w:rFonts w:ascii="Arial" w:cs="Arial" w:eastAsia="Arial" w:hAnsi="Arial"/>
                <w:sz w:val="15"/>
                <w:szCs w:val="15"/>
                <w:color w:val="auto"/>
              </w:rPr>
              <w:t>Underwriting discount</w:t>
            </w:r>
            <w:r>
              <w:rPr>
                <w:rFonts w:ascii="Arial" w:cs="Arial" w:eastAsia="Arial" w:hAnsi="Arial"/>
                <w:sz w:val="12"/>
                <w:szCs w:val="12"/>
                <w:color w:val="auto"/>
              </w:rPr>
              <w:t>(1)</w:t>
            </w:r>
          </w:p>
        </w:tc>
        <w:tc>
          <w:tcPr>
            <w:tcW w:w="2580" w:type="dxa"/>
            <w:vAlign w:val="bottom"/>
            <w:gridSpan w:val="2"/>
          </w:tcPr>
          <w:p>
            <w:pPr>
              <w:jc w:val="right"/>
              <w:ind w:right="505"/>
              <w:spacing w:after="0" w:line="17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60" w:type="dxa"/>
            <w:vAlign w:val="bottom"/>
          </w:tcPr>
          <w:p>
            <w:pPr>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300" w:type="dxa"/>
            <w:vAlign w:val="bottom"/>
          </w:tcPr>
          <w:p>
            <w:pPr>
              <w:spacing w:after="0" w:line="169" w:lineRule="exact"/>
              <w:rPr>
                <w:sz w:val="20"/>
                <w:szCs w:val="20"/>
                <w:color w:val="auto"/>
              </w:rPr>
            </w:pPr>
            <w:r>
              <w:rPr>
                <w:rFonts w:ascii="Arial" w:cs="Arial" w:eastAsia="Arial" w:hAnsi="Arial"/>
                <w:sz w:val="15"/>
                <w:szCs w:val="15"/>
                <w:color w:val="auto"/>
              </w:rPr>
              <w:t>Proceeds, before expenses, to Dropbox, Inc.</w:t>
            </w:r>
          </w:p>
        </w:tc>
        <w:tc>
          <w:tcPr>
            <w:tcW w:w="2580" w:type="dxa"/>
            <w:vAlign w:val="bottom"/>
            <w:gridSpan w:val="2"/>
          </w:tcPr>
          <w:p>
            <w:pPr>
              <w:jc w:val="right"/>
              <w:ind w:right="505"/>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20"/>
                <w:szCs w:val="20"/>
                <w:color w:val="auto"/>
              </w:rPr>
            </w:pPr>
            <w:r>
              <w:rPr>
                <w:rFonts w:ascii="Arial" w:cs="Arial" w:eastAsia="Arial" w:hAnsi="Arial"/>
                <w:sz w:val="15"/>
                <w:szCs w:val="15"/>
                <w:color w:val="auto"/>
              </w:rPr>
              <w:t>Proceeds, before expenses, to selling stockholders</w:t>
            </w:r>
          </w:p>
        </w:tc>
        <w:tc>
          <w:tcPr>
            <w:tcW w:w="2580" w:type="dxa"/>
            <w:vAlign w:val="bottom"/>
            <w:gridSpan w:val="2"/>
          </w:tcPr>
          <w:p>
            <w:pPr>
              <w:jc w:val="right"/>
              <w:ind w:right="505"/>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500" w:hanging="250"/>
        <w:spacing w:after="0"/>
        <w:tabs>
          <w:tab w:leader="none" w:pos="150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“Underwriting (Conflicts of Interest)” for a description of the compensation payable to the underwriters.</w:t>
      </w:r>
    </w:p>
    <w:p>
      <w:pPr>
        <w:spacing w:after="0" w:line="76" w:lineRule="exact"/>
        <w:rPr>
          <w:sz w:val="20"/>
          <w:szCs w:val="20"/>
          <w:color w:val="auto"/>
        </w:rPr>
      </w:pPr>
    </w:p>
    <w:p>
      <w:pPr>
        <w:ind w:left="1260" w:right="299"/>
        <w:spacing w:after="0" w:line="280" w:lineRule="auto"/>
        <w:rPr>
          <w:sz w:val="20"/>
          <w:szCs w:val="20"/>
          <w:color w:val="auto"/>
        </w:rPr>
      </w:pPr>
      <w:r>
        <w:rPr>
          <w:rFonts w:ascii="Arial" w:cs="Arial" w:eastAsia="Arial" w:hAnsi="Arial"/>
          <w:sz w:val="14"/>
          <w:szCs w:val="14"/>
          <w:color w:val="auto"/>
        </w:rPr>
        <w:t>To the extent that the underwriters sell more than 36,000,000 shares of Class A common stock, the underwriters have the option to purchase up to an additional 5,400,000 shares from Dropbox, Inc. at the initial public offering price less the underwriting discount.</w:t>
      </w:r>
    </w:p>
    <w:p>
      <w:pPr>
        <w:spacing w:after="0" w:line="53" w:lineRule="exact"/>
        <w:rPr>
          <w:sz w:val="20"/>
          <w:szCs w:val="20"/>
          <w:color w:val="auto"/>
        </w:rPr>
      </w:pPr>
    </w:p>
    <w:tbl>
      <w:tblPr>
        <w:tblLayout w:type="fixed"/>
        <w:tblInd w:w="1260" w:type="dxa"/>
        <w:tblCellMar>
          <w:top w:w="0" w:type="dxa"/>
          <w:left w:w="0" w:type="dxa"/>
          <w:bottom w:w="0" w:type="dxa"/>
          <w:right w:w="0" w:type="dxa"/>
        </w:tblCellMar>
      </w:tblPr>
      <w:tr>
        <w:trPr>
          <w:trHeight w:val="180"/>
        </w:trPr>
        <w:tc>
          <w:tcPr>
            <w:tcW w:w="7320" w:type="dxa"/>
            <w:vAlign w:val="bottom"/>
            <w:gridSpan w:val="6"/>
          </w:tcPr>
          <w:p>
            <w:pPr>
              <w:spacing w:after="0"/>
              <w:rPr>
                <w:sz w:val="20"/>
                <w:szCs w:val="20"/>
                <w:color w:val="auto"/>
              </w:rPr>
            </w:pPr>
            <w:r>
              <w:rPr>
                <w:rFonts w:ascii="Arial" w:cs="Arial" w:eastAsia="Arial" w:hAnsi="Arial"/>
                <w:sz w:val="15"/>
                <w:szCs w:val="15"/>
                <w:color w:val="auto"/>
              </w:rPr>
              <w:t>The underwriters expect to deliver the shares against payment in New York, New York, on or about</w:t>
            </w:r>
          </w:p>
        </w:tc>
        <w:tc>
          <w:tcPr>
            <w:tcW w:w="1600" w:type="dxa"/>
            <w:vAlign w:val="bottom"/>
          </w:tcPr>
          <w:p>
            <w:pPr>
              <w:jc w:val="right"/>
              <w:ind w:right="965"/>
              <w:spacing w:after="0"/>
              <w:rPr>
                <w:sz w:val="20"/>
                <w:szCs w:val="20"/>
                <w:color w:val="auto"/>
              </w:rPr>
            </w:pPr>
            <w:r>
              <w:rPr>
                <w:rFonts w:ascii="Arial" w:cs="Arial" w:eastAsia="Arial" w:hAnsi="Arial"/>
                <w:sz w:val="15"/>
                <w:szCs w:val="15"/>
                <w:color w:val="auto"/>
              </w:rPr>
              <w:t>, 2018.</w:t>
            </w:r>
          </w:p>
        </w:tc>
      </w:tr>
      <w:tr>
        <w:trPr>
          <w:trHeight w:val="193"/>
        </w:trPr>
        <w:tc>
          <w:tcPr>
            <w:tcW w:w="2100" w:type="dxa"/>
            <w:vAlign w:val="bottom"/>
            <w:tcBorders>
              <w:bottom w:val="single" w:sz="8" w:color="auto"/>
            </w:tcBorders>
            <w:gridSpan w:val="2"/>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311"/>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Goldman Sachs &amp; Co. LLC</w:t>
            </w:r>
          </w:p>
        </w:tc>
        <w:tc>
          <w:tcPr>
            <w:tcW w:w="1140" w:type="dxa"/>
            <w:vAlign w:val="bottom"/>
          </w:tcPr>
          <w:p>
            <w:pPr>
              <w:ind w:left="220"/>
              <w:spacing w:after="0"/>
              <w:rPr>
                <w:sz w:val="20"/>
                <w:szCs w:val="20"/>
                <w:color w:val="auto"/>
              </w:rPr>
            </w:pPr>
            <w:r>
              <w:rPr>
                <w:rFonts w:ascii="Arial" w:cs="Arial" w:eastAsia="Arial" w:hAnsi="Arial"/>
                <w:sz w:val="15"/>
                <w:szCs w:val="15"/>
                <w:b w:val="1"/>
                <w:bCs w:val="1"/>
                <w:color w:val="auto"/>
              </w:rPr>
              <w:t>J.P. Morgan</w:t>
            </w:r>
          </w:p>
        </w:tc>
        <w:tc>
          <w:tcPr>
            <w:tcW w:w="2120" w:type="dxa"/>
            <w:vAlign w:val="bottom"/>
            <w:gridSpan w:val="2"/>
          </w:tcPr>
          <w:p>
            <w:pPr>
              <w:ind w:left="220"/>
              <w:spacing w:after="0"/>
              <w:rPr>
                <w:sz w:val="20"/>
                <w:szCs w:val="20"/>
                <w:color w:val="auto"/>
              </w:rPr>
            </w:pPr>
            <w:r>
              <w:rPr>
                <w:rFonts w:ascii="Arial" w:cs="Arial" w:eastAsia="Arial" w:hAnsi="Arial"/>
                <w:sz w:val="15"/>
                <w:szCs w:val="15"/>
                <w:b w:val="1"/>
                <w:bCs w:val="1"/>
                <w:color w:val="auto"/>
              </w:rPr>
              <w:t>Deutsche Bank Securities</w:t>
            </w:r>
          </w:p>
        </w:tc>
        <w:tc>
          <w:tcPr>
            <w:tcW w:w="1960" w:type="dxa"/>
            <w:vAlign w:val="bottom"/>
          </w:tcPr>
          <w:p>
            <w:pPr>
              <w:ind w:left="280"/>
              <w:spacing w:after="0"/>
              <w:rPr>
                <w:sz w:val="20"/>
                <w:szCs w:val="20"/>
                <w:color w:val="auto"/>
              </w:rPr>
            </w:pPr>
            <w:r>
              <w:rPr>
                <w:rFonts w:ascii="Arial" w:cs="Arial" w:eastAsia="Arial" w:hAnsi="Arial"/>
                <w:sz w:val="15"/>
                <w:szCs w:val="15"/>
                <w:b w:val="1"/>
                <w:bCs w:val="1"/>
                <w:color w:val="auto"/>
              </w:rPr>
              <w:t>Allen &amp; Company LLC</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BofA Merrill Lynch</w:t>
            </w:r>
          </w:p>
        </w:tc>
      </w:tr>
      <w:tr>
        <w:trPr>
          <w:trHeight w:val="169"/>
        </w:trPr>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RBC Capital Markets</w:t>
            </w:r>
          </w:p>
        </w:tc>
        <w:tc>
          <w:tcPr>
            <w:tcW w:w="1400" w:type="dxa"/>
            <w:vAlign w:val="bottom"/>
          </w:tcPr>
          <w:p>
            <w:pPr>
              <w:ind w:left="260"/>
              <w:spacing w:after="0" w:line="169" w:lineRule="exact"/>
              <w:rPr>
                <w:sz w:val="20"/>
                <w:szCs w:val="20"/>
                <w:color w:val="auto"/>
              </w:rPr>
            </w:pPr>
            <w:r>
              <w:rPr>
                <w:rFonts w:ascii="Arial" w:cs="Arial" w:eastAsia="Arial" w:hAnsi="Arial"/>
                <w:sz w:val="15"/>
                <w:szCs w:val="15"/>
                <w:b w:val="1"/>
                <w:bCs w:val="1"/>
                <w:color w:val="auto"/>
              </w:rPr>
              <w:t>Jefferies</w:t>
            </w:r>
          </w:p>
        </w:tc>
        <w:tc>
          <w:tcPr>
            <w:tcW w:w="1960" w:type="dxa"/>
            <w:vAlign w:val="bottom"/>
          </w:tcPr>
          <w:p>
            <w:pPr>
              <w:ind w:left="40"/>
              <w:spacing w:after="0" w:line="169" w:lineRule="exact"/>
              <w:rPr>
                <w:sz w:val="20"/>
                <w:szCs w:val="20"/>
                <w:color w:val="auto"/>
              </w:rPr>
            </w:pPr>
            <w:r>
              <w:rPr>
                <w:rFonts w:ascii="Arial" w:cs="Arial" w:eastAsia="Arial" w:hAnsi="Arial"/>
                <w:sz w:val="15"/>
                <w:szCs w:val="15"/>
                <w:b w:val="1"/>
                <w:bCs w:val="1"/>
                <w:color w:val="auto"/>
              </w:rPr>
              <w:t>Macquarie Capital</w:t>
            </w:r>
          </w:p>
        </w:tc>
        <w:tc>
          <w:tcPr>
            <w:tcW w:w="1600" w:type="dxa"/>
            <w:vAlign w:val="bottom"/>
          </w:tcPr>
          <w:p>
            <w:pPr>
              <w:spacing w:after="0"/>
              <w:rPr>
                <w:sz w:val="14"/>
                <w:szCs w:val="14"/>
                <w:color w:val="auto"/>
              </w:rPr>
            </w:pPr>
          </w:p>
        </w:tc>
      </w:tr>
      <w:tr>
        <w:trPr>
          <w:trHeight w:val="198"/>
        </w:trPr>
        <w:tc>
          <w:tcPr>
            <w:tcW w:w="1220" w:type="dxa"/>
            <w:vAlign w:val="bottom"/>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5"/>
                <w:szCs w:val="15"/>
                <w:b w:val="1"/>
                <w:bCs w:val="1"/>
                <w:color w:val="auto"/>
              </w:rPr>
              <w:t>Canaccord Genuity</w:t>
            </w:r>
          </w:p>
        </w:tc>
        <w:tc>
          <w:tcPr>
            <w:tcW w:w="5680" w:type="dxa"/>
            <w:vAlign w:val="bottom"/>
            <w:gridSpan w:val="4"/>
          </w:tcPr>
          <w:p>
            <w:pPr>
              <w:jc w:val="right"/>
              <w:ind w:right="1265"/>
              <w:spacing w:after="0"/>
              <w:rPr>
                <w:sz w:val="20"/>
                <w:szCs w:val="20"/>
                <w:color w:val="auto"/>
              </w:rPr>
            </w:pPr>
            <w:r>
              <w:rPr>
                <w:rFonts w:ascii="Arial" w:cs="Arial" w:eastAsia="Arial" w:hAnsi="Arial"/>
                <w:sz w:val="15"/>
                <w:szCs w:val="15"/>
                <w:b w:val="1"/>
                <w:bCs w:val="1"/>
                <w:color w:val="auto"/>
              </w:rPr>
              <w:t>JMP Securities   KeyBanc Capital Markets   Piper Jaffray</w:t>
            </w:r>
          </w:p>
        </w:tc>
      </w:tr>
      <w:tr>
        <w:trPr>
          <w:trHeight w:val="210"/>
        </w:trPr>
        <w:tc>
          <w:tcPr>
            <w:tcW w:w="1220" w:type="dxa"/>
            <w:vAlign w:val="bottom"/>
          </w:tcPr>
          <w:p>
            <w:pPr>
              <w:spacing w:after="0"/>
              <w:rPr>
                <w:sz w:val="20"/>
                <w:szCs w:val="20"/>
                <w:color w:val="auto"/>
              </w:rPr>
            </w:pPr>
            <w:r>
              <w:rPr>
                <w:rFonts w:ascii="Arial" w:cs="Arial" w:eastAsia="Arial" w:hAnsi="Arial"/>
                <w:sz w:val="14"/>
                <w:szCs w:val="14"/>
                <w:b w:val="1"/>
                <w:bCs w:val="1"/>
                <w:color w:val="auto"/>
              </w:rPr>
              <w:t>Prospectus dated</w:t>
            </w: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 2018</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ectPr>
          <w:pgSz w:w="11900" w:h="16838" w:orient="portrait"/>
          <w:cols w:equalWidth="0" w:num="1">
            <w:col w:w="10219"/>
          </w:cols>
          <w:pgMar w:left="240" w:top="407" w:right="1440"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186055</wp:posOffset>
            </wp:positionV>
            <wp:extent cx="4554855" cy="6302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4855" cy="630237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6302375" cy="4297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2375" cy="429704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259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69815" cy="625919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186055</wp:posOffset>
            </wp:positionV>
            <wp:extent cx="4619625" cy="6015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19625" cy="6015990"/>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40" w:type="dxa"/>
            <w:vAlign w:val="bottom"/>
            <w:gridSpan w:val="4"/>
          </w:tcPr>
          <w:p>
            <w:pPr>
              <w:jc w:val="center"/>
              <w:ind w:right="2940"/>
              <w:spacing w:after="0"/>
              <w:rPr>
                <w:sz w:val="20"/>
                <w:szCs w:val="20"/>
                <w:color w:val="auto"/>
              </w:rPr>
            </w:pPr>
            <w:r>
              <w:rPr>
                <w:rFonts w:ascii="Arial" w:cs="Arial" w:eastAsia="Arial" w:hAnsi="Arial"/>
                <w:sz w:val="15"/>
                <w:szCs w:val="15"/>
                <w:b w:val="1"/>
                <w:bCs w:val="1"/>
                <w:color w:val="auto"/>
              </w:rPr>
              <w:t>TABLE OF CONTENTS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gridSpan w:val="4"/>
          </w:tcPr>
          <w:p>
            <w:pPr>
              <w:jc w:val="center"/>
              <w:ind w:right="2940"/>
              <w:spacing w:after="0"/>
              <w:rPr>
                <w:sz w:val="20"/>
                <w:szCs w:val="20"/>
                <w:color w:val="auto"/>
              </w:rPr>
            </w:pPr>
            <w:r>
              <w:rPr>
                <w:rFonts w:ascii="Arial" w:cs="Arial" w:eastAsia="Arial" w:hAnsi="Arial"/>
                <w:sz w:val="15"/>
                <w:szCs w:val="15"/>
                <w:b w:val="1"/>
                <w:bCs w:val="1"/>
                <w:color w:val="auto"/>
                <w:w w:val="85"/>
              </w:rPr>
              <w:t>Prospectus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80" w:type="dxa"/>
            <w:vAlign w:val="bottom"/>
            <w:gridSpan w:val="25"/>
            <w:vMerge w:val="restart"/>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Prospectus Summary</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7"/>
        </w:trPr>
        <w:tc>
          <w:tcPr>
            <w:tcW w:w="8880" w:type="dxa"/>
            <w:vAlign w:val="bottom"/>
            <w:gridSpan w:val="25"/>
            <w:vMerge w:val="continue"/>
          </w:tcPr>
          <w:p>
            <w:pPr>
              <w:spacing w:after="0"/>
              <w:rPr>
                <w:sz w:val="11"/>
                <w:szCs w:val="11"/>
                <w:color w:val="auto"/>
              </w:rPr>
            </w:pPr>
          </w:p>
        </w:tc>
        <w:tc>
          <w:tcPr>
            <w:tcW w:w="280" w:type="dxa"/>
            <w:vAlign w:val="bottom"/>
          </w:tcPr>
          <w:p>
            <w:pPr>
              <w:jc w:val="right"/>
              <w:spacing w:after="0" w:line="116"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1260" w:type="dxa"/>
            <w:vAlign w:val="bottom"/>
            <w:tcBorders>
              <w:top w:val="single" w:sz="8" w:color="0000EE"/>
            </w:tcBorders>
            <w:gridSpan w:val="10"/>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Risk Factors</w:t>
              </w:r>
            </w:hyperlink>
          </w:p>
        </w:tc>
        <w:tc>
          <w:tcPr>
            <w:tcW w:w="7620" w:type="dxa"/>
            <w:vAlign w:val="bottom"/>
            <w:gridSpan w:val="15"/>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40" w:type="dxa"/>
            <w:vAlign w:val="bottom"/>
            <w:tcBorders>
              <w:bottom w:val="single" w:sz="8" w:color="0000EE"/>
            </w:tcBorders>
            <w:gridSpan w:val="21"/>
          </w:tcPr>
          <w:p>
            <w:pPr>
              <w:spacing w:after="0" w:line="161" w:lineRule="exact"/>
              <w:rPr>
                <w:rFonts w:ascii="Arial" w:cs="Arial" w:eastAsia="Arial" w:hAnsi="Arial"/>
                <w:sz w:val="15"/>
                <w:szCs w:val="15"/>
                <w:color w:val="0000EE"/>
                <w:w w:val="90"/>
              </w:rPr>
            </w:pPr>
            <w:hyperlink w:anchor="page53">
              <w:r>
                <w:rPr>
                  <w:rFonts w:ascii="Arial" w:cs="Arial" w:eastAsia="Arial" w:hAnsi="Arial"/>
                  <w:sz w:val="15"/>
                  <w:szCs w:val="15"/>
                  <w:color w:val="0000EE"/>
                  <w:w w:val="90"/>
                </w:rPr>
                <w:t>Special Note Regarding Forward-Looking Statements</w:t>
              </w:r>
            </w:hyperlink>
          </w:p>
        </w:tc>
        <w:tc>
          <w:tcPr>
            <w:tcW w:w="5640" w:type="dxa"/>
            <w:vAlign w:val="bottom"/>
            <w:gridSpan w:val="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55">
              <w:r>
                <w:rPr>
                  <w:rFonts w:ascii="Arial" w:cs="Arial" w:eastAsia="Arial" w:hAnsi="Arial"/>
                  <w:sz w:val="15"/>
                  <w:szCs w:val="15"/>
                  <w:color w:val="0000EE"/>
                </w:rPr>
                <w:t>Industry And Market Data</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0"/>
        </w:trPr>
        <w:tc>
          <w:tcPr>
            <w:tcW w:w="1580" w:type="dxa"/>
            <w:vAlign w:val="bottom"/>
            <w:tcBorders>
              <w:top w:val="single" w:sz="8" w:color="0000EE"/>
            </w:tcBorders>
            <w:gridSpan w:val="12"/>
          </w:tcPr>
          <w:p>
            <w:pPr>
              <w:spacing w:after="0" w:line="161" w:lineRule="exact"/>
              <w:rPr>
                <w:rFonts w:ascii="Arial" w:cs="Arial" w:eastAsia="Arial" w:hAnsi="Arial"/>
                <w:sz w:val="15"/>
                <w:szCs w:val="15"/>
                <w:color w:val="0000EE"/>
              </w:rPr>
            </w:pPr>
            <w:hyperlink w:anchor="page56">
              <w:r>
                <w:rPr>
                  <w:rFonts w:ascii="Arial" w:cs="Arial" w:eastAsia="Arial" w:hAnsi="Arial"/>
                  <w:sz w:val="15"/>
                  <w:szCs w:val="15"/>
                  <w:color w:val="0000EE"/>
                </w:rPr>
                <w:t>Use of Proceeds</w:t>
              </w:r>
            </w:hyperlink>
          </w:p>
        </w:tc>
        <w:tc>
          <w:tcPr>
            <w:tcW w:w="7300" w:type="dxa"/>
            <w:vAlign w:val="bottom"/>
            <w:gridSpan w:val="1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Borders>
              <w:bottom w:val="single" w:sz="8" w:color="0000EE"/>
            </w:tcBorders>
            <w:gridSpan w:val="9"/>
          </w:tcPr>
          <w:p>
            <w:pPr>
              <w:spacing w:after="0" w:line="161" w:lineRule="exact"/>
              <w:rPr>
                <w:rFonts w:ascii="Arial" w:cs="Arial" w:eastAsia="Arial" w:hAnsi="Arial"/>
                <w:sz w:val="15"/>
                <w:szCs w:val="15"/>
                <w:color w:val="0000EE"/>
                <w:w w:val="93"/>
              </w:rPr>
            </w:pPr>
            <w:hyperlink w:anchor="page57">
              <w:r>
                <w:rPr>
                  <w:rFonts w:ascii="Arial" w:cs="Arial" w:eastAsia="Arial" w:hAnsi="Arial"/>
                  <w:sz w:val="15"/>
                  <w:szCs w:val="15"/>
                  <w:color w:val="0000EE"/>
                  <w:w w:val="93"/>
                </w:rPr>
                <w:t>Dividend Policy</w:t>
              </w:r>
            </w:hyperlink>
          </w:p>
        </w:tc>
        <w:tc>
          <w:tcPr>
            <w:tcW w:w="7900" w:type="dxa"/>
            <w:vAlign w:val="bottom"/>
            <w:gridSpan w:val="16"/>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0"/>
        </w:trPr>
        <w:tc>
          <w:tcPr>
            <w:tcW w:w="860" w:type="dxa"/>
            <w:vAlign w:val="bottom"/>
            <w:tcBorders>
              <w:bottom w:val="single" w:sz="8" w:color="0000EE"/>
            </w:tcBorders>
            <w:gridSpan w:val="7"/>
          </w:tcPr>
          <w:p>
            <w:pPr>
              <w:spacing w:after="0" w:line="161" w:lineRule="exact"/>
              <w:rPr>
                <w:rFonts w:ascii="Arial" w:cs="Arial" w:eastAsia="Arial" w:hAnsi="Arial"/>
                <w:sz w:val="15"/>
                <w:szCs w:val="15"/>
                <w:color w:val="0000EE"/>
                <w:w w:val="93"/>
              </w:rPr>
            </w:pPr>
            <w:hyperlink w:anchor="page58">
              <w:r>
                <w:rPr>
                  <w:rFonts w:ascii="Arial" w:cs="Arial" w:eastAsia="Arial" w:hAnsi="Arial"/>
                  <w:sz w:val="15"/>
                  <w:szCs w:val="15"/>
                  <w:color w:val="0000EE"/>
                  <w:w w:val="93"/>
                </w:rPr>
                <w:t>Capitalization</w:t>
              </w:r>
            </w:hyperlink>
          </w:p>
        </w:tc>
        <w:tc>
          <w:tcPr>
            <w:tcW w:w="8020" w:type="dxa"/>
            <w:vAlign w:val="bottom"/>
            <w:gridSpan w:val="18"/>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0"/>
        </w:trPr>
        <w:tc>
          <w:tcPr>
            <w:tcW w:w="500" w:type="dxa"/>
            <w:vAlign w:val="bottom"/>
            <w:tcBorders>
              <w:bottom w:val="single" w:sz="8" w:color="0000EE"/>
            </w:tcBorders>
            <w:gridSpan w:val="2"/>
          </w:tcPr>
          <w:p>
            <w:pPr>
              <w:spacing w:after="0" w:line="161" w:lineRule="exact"/>
              <w:rPr>
                <w:rFonts w:ascii="Arial" w:cs="Arial" w:eastAsia="Arial" w:hAnsi="Arial"/>
                <w:sz w:val="15"/>
                <w:szCs w:val="15"/>
                <w:color w:val="0000EE"/>
                <w:w w:val="95"/>
              </w:rPr>
            </w:pPr>
            <w:hyperlink w:anchor="page62">
              <w:r>
                <w:rPr>
                  <w:rFonts w:ascii="Arial" w:cs="Arial" w:eastAsia="Arial" w:hAnsi="Arial"/>
                  <w:sz w:val="15"/>
                  <w:szCs w:val="15"/>
                  <w:color w:val="0000EE"/>
                  <w:w w:val="95"/>
                </w:rPr>
                <w:t>Dilution</w:t>
              </w:r>
            </w:hyperlink>
          </w:p>
        </w:tc>
        <w:tc>
          <w:tcPr>
            <w:tcW w:w="8380" w:type="dxa"/>
            <w:vAlign w:val="bottom"/>
            <w:gridSpan w:val="2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66">
              <w:r>
                <w:rPr>
                  <w:rFonts w:ascii="Arial" w:cs="Arial" w:eastAsia="Arial" w:hAnsi="Arial"/>
                  <w:sz w:val="15"/>
                  <w:szCs w:val="15"/>
                  <w:color w:val="0000EE"/>
                </w:rPr>
                <w:t>Selected Consolidated Financial and Other Data</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68">
              <w:r>
                <w:rPr>
                  <w:rFonts w:ascii="Arial" w:cs="Arial" w:eastAsia="Arial" w:hAnsi="Arial"/>
                  <w:sz w:val="15"/>
                  <w:szCs w:val="15"/>
                  <w:color w:val="0000EE"/>
                </w:rPr>
                <w:t>Management’s Discussion and Analysis of Financial Condition and Results of Operations</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0"/>
        </w:trPr>
        <w:tc>
          <w:tcPr>
            <w:tcW w:w="5380" w:type="dxa"/>
            <w:vAlign w:val="bottom"/>
            <w:tcBorders>
              <w:top w:val="single" w:sz="8" w:color="0000EE"/>
            </w:tcBorders>
            <w:gridSpan w:val="23"/>
          </w:tcPr>
          <w:p>
            <w:pPr>
              <w:spacing w:after="0" w:line="161" w:lineRule="exact"/>
              <w:rPr>
                <w:rFonts w:ascii="Arial" w:cs="Arial" w:eastAsia="Arial" w:hAnsi="Arial"/>
                <w:sz w:val="15"/>
                <w:szCs w:val="15"/>
                <w:color w:val="0000EE"/>
              </w:rPr>
            </w:pPr>
            <w:hyperlink w:anchor="page103">
              <w:r>
                <w:rPr>
                  <w:rFonts w:ascii="Arial" w:cs="Arial" w:eastAsia="Arial" w:hAnsi="Arial"/>
                  <w:sz w:val="15"/>
                  <w:szCs w:val="15"/>
                  <w:color w:val="0000EE"/>
                </w:rPr>
                <w:t>A Letter from Drew &amp; Arash</w:t>
              </w:r>
            </w:hyperlink>
          </w:p>
        </w:tc>
        <w:tc>
          <w:tcPr>
            <w:tcW w:w="3500" w:type="dxa"/>
            <w:vAlign w:val="bottom"/>
            <w:gridSpan w:val="2"/>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0"/>
        </w:trPr>
        <w:tc>
          <w:tcPr>
            <w:tcW w:w="174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w:anchor="page108">
              <w:r>
                <w:rPr>
                  <w:rFonts w:ascii="Arial" w:cs="Arial" w:eastAsia="Arial" w:hAnsi="Arial"/>
                  <w:sz w:val="15"/>
                  <w:szCs w:val="15"/>
                  <w:color w:val="0000EE"/>
                </w:rPr>
                <w:t>Business</w:t>
              </w:r>
            </w:hyperlink>
          </w:p>
        </w:tc>
        <w:tc>
          <w:tcPr>
            <w:tcW w:w="7140" w:type="dxa"/>
            <w:vAlign w:val="bottom"/>
            <w:gridSpan w:val="11"/>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tcBorders>
              <w:bottom w:val="single" w:sz="8" w:color="0000EE"/>
            </w:tcBorders>
            <w:gridSpan w:val="5"/>
          </w:tcPr>
          <w:p>
            <w:pPr>
              <w:spacing w:after="0" w:line="161" w:lineRule="exact"/>
              <w:rPr>
                <w:rFonts w:ascii="Arial" w:cs="Arial" w:eastAsia="Arial" w:hAnsi="Arial"/>
                <w:sz w:val="15"/>
                <w:szCs w:val="15"/>
                <w:color w:val="0000EE"/>
                <w:w w:val="86"/>
              </w:rPr>
            </w:pPr>
            <w:hyperlink w:anchor="page144">
              <w:r>
                <w:rPr>
                  <w:rFonts w:ascii="Arial" w:cs="Arial" w:eastAsia="Arial" w:hAnsi="Arial"/>
                  <w:sz w:val="15"/>
                  <w:szCs w:val="15"/>
                  <w:color w:val="0000EE"/>
                  <w:w w:val="86"/>
                </w:rPr>
                <w:t>Management</w:t>
              </w:r>
            </w:hyperlink>
          </w:p>
        </w:tc>
        <w:tc>
          <w:tcPr>
            <w:tcW w:w="8100" w:type="dxa"/>
            <w:vAlign w:val="bottom"/>
            <w:gridSpan w:val="20"/>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0"/>
        </w:trPr>
        <w:tc>
          <w:tcPr>
            <w:tcW w:w="1500" w:type="dxa"/>
            <w:vAlign w:val="bottom"/>
            <w:tcBorders>
              <w:bottom w:val="single" w:sz="8" w:color="0000EE"/>
            </w:tcBorders>
            <w:gridSpan w:val="11"/>
          </w:tcPr>
          <w:p>
            <w:pPr>
              <w:spacing w:after="0" w:line="161" w:lineRule="exact"/>
              <w:rPr>
                <w:rFonts w:ascii="Arial" w:cs="Arial" w:eastAsia="Arial" w:hAnsi="Arial"/>
                <w:sz w:val="15"/>
                <w:szCs w:val="15"/>
                <w:color w:val="0000EE"/>
                <w:w w:val="89"/>
              </w:rPr>
            </w:pPr>
            <w:hyperlink w:anchor="page153">
              <w:r>
                <w:rPr>
                  <w:rFonts w:ascii="Arial" w:cs="Arial" w:eastAsia="Arial" w:hAnsi="Arial"/>
                  <w:sz w:val="15"/>
                  <w:szCs w:val="15"/>
                  <w:color w:val="0000EE"/>
                  <w:w w:val="89"/>
                </w:rPr>
                <w:t>Executive Compensation</w:t>
              </w:r>
            </w:hyperlink>
          </w:p>
        </w:tc>
        <w:tc>
          <w:tcPr>
            <w:tcW w:w="7380" w:type="dxa"/>
            <w:vAlign w:val="bottom"/>
            <w:gridSpan w:val="1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68">
              <w:r>
                <w:rPr>
                  <w:rFonts w:ascii="Arial" w:cs="Arial" w:eastAsia="Arial" w:hAnsi="Arial"/>
                  <w:sz w:val="15"/>
                  <w:szCs w:val="15"/>
                  <w:color w:val="0000EE"/>
                </w:rPr>
                <w:t>Certain Relationships, Related Party Transactions, and Other Transactions</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0"/>
        </w:trPr>
        <w:tc>
          <w:tcPr>
            <w:tcW w:w="2080" w:type="dxa"/>
            <w:vAlign w:val="bottom"/>
            <w:tcBorders>
              <w:top w:val="single" w:sz="8" w:color="0000EE"/>
              <w:bottom w:val="single" w:sz="8" w:color="0000EE"/>
            </w:tcBorders>
            <w:gridSpan w:val="16"/>
          </w:tcPr>
          <w:p>
            <w:pPr>
              <w:spacing w:after="0" w:line="161" w:lineRule="exact"/>
              <w:rPr>
                <w:rFonts w:ascii="Arial" w:cs="Arial" w:eastAsia="Arial" w:hAnsi="Arial"/>
                <w:sz w:val="15"/>
                <w:szCs w:val="15"/>
                <w:color w:val="0000EE"/>
                <w:w w:val="90"/>
              </w:rPr>
            </w:pPr>
            <w:hyperlink w:anchor="page172">
              <w:r>
                <w:rPr>
                  <w:rFonts w:ascii="Arial" w:cs="Arial" w:eastAsia="Arial" w:hAnsi="Arial"/>
                  <w:sz w:val="15"/>
                  <w:szCs w:val="15"/>
                  <w:color w:val="0000EE"/>
                  <w:w w:val="90"/>
                </w:rPr>
                <w:t>Principal and Selling Stockholders</w:t>
              </w:r>
            </w:hyperlink>
          </w:p>
        </w:tc>
        <w:tc>
          <w:tcPr>
            <w:tcW w:w="2360" w:type="dxa"/>
            <w:vAlign w:val="bottom"/>
            <w:tcBorders>
              <w:top w:val="single" w:sz="8" w:color="0000EE"/>
            </w:tcBorders>
            <w:gridSpan w:val="6"/>
          </w:tcPr>
          <w:p>
            <w:pPr>
              <w:spacing w:after="0"/>
              <w:rPr>
                <w:sz w:val="13"/>
                <w:szCs w:val="13"/>
                <w:color w:val="auto"/>
              </w:rPr>
            </w:pPr>
          </w:p>
        </w:tc>
        <w:tc>
          <w:tcPr>
            <w:tcW w:w="4440" w:type="dxa"/>
            <w:vAlign w:val="bottom"/>
            <w:gridSpan w:val="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76">
              <w:r>
                <w:rPr>
                  <w:rFonts w:ascii="Arial" w:cs="Arial" w:eastAsia="Arial" w:hAnsi="Arial"/>
                  <w:sz w:val="15"/>
                  <w:szCs w:val="15"/>
                  <w:color w:val="0000EE"/>
                </w:rPr>
                <w:t>Description of Capital Stock</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85">
              <w:r>
                <w:rPr>
                  <w:rFonts w:ascii="Arial" w:cs="Arial" w:eastAsia="Arial" w:hAnsi="Arial"/>
                  <w:sz w:val="15"/>
                  <w:szCs w:val="15"/>
                  <w:color w:val="0000EE"/>
                </w:rPr>
                <w:t>Shares Eligible for Future Sale</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40" w:type="dxa"/>
            <w:vAlign w:val="bottom"/>
            <w:tcBorders>
              <w:bottom w:val="single" w:sz="8" w:color="0000EE"/>
            </w:tcBorders>
            <w:gridSpan w:val="24"/>
          </w:tcPr>
          <w:p>
            <w:pPr>
              <w:spacing w:after="0" w:line="161" w:lineRule="exact"/>
              <w:rPr>
                <w:rFonts w:ascii="Arial" w:cs="Arial" w:eastAsia="Arial" w:hAnsi="Arial"/>
                <w:sz w:val="15"/>
                <w:szCs w:val="15"/>
                <w:color w:val="0000EE"/>
                <w:w w:val="90"/>
              </w:rPr>
            </w:pPr>
            <w:hyperlink w:anchor="page188">
              <w:r>
                <w:rPr>
                  <w:rFonts w:ascii="Arial" w:cs="Arial" w:eastAsia="Arial" w:hAnsi="Arial"/>
                  <w:sz w:val="15"/>
                  <w:szCs w:val="15"/>
                  <w:color w:val="0000EE"/>
                  <w:w w:val="90"/>
                </w:rPr>
                <w:t>Material U.S. Federal Income Tax Consequences to Non-U.S. Holders of Our Class A Common Stock</w:t>
              </w:r>
            </w:hyperlink>
          </w:p>
        </w:tc>
        <w:tc>
          <w:tcPr>
            <w:tcW w:w="2740" w:type="dxa"/>
            <w:vAlign w:val="bottom"/>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92">
              <w:r>
                <w:rPr>
                  <w:rFonts w:ascii="Arial" w:cs="Arial" w:eastAsia="Arial" w:hAnsi="Arial"/>
                  <w:sz w:val="15"/>
                  <w:szCs w:val="15"/>
                  <w:color w:val="0000EE"/>
                </w:rPr>
                <w:t>Underwriting (Conflicts of Interest)</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0"/>
        </w:trPr>
        <w:tc>
          <w:tcPr>
            <w:tcW w:w="1840" w:type="dxa"/>
            <w:vAlign w:val="bottom"/>
            <w:tcBorders>
              <w:top w:val="single" w:sz="8" w:color="0000EE"/>
              <w:bottom w:val="single" w:sz="8" w:color="0000EE"/>
            </w:tcBorders>
            <w:gridSpan w:val="15"/>
          </w:tcPr>
          <w:p>
            <w:pPr>
              <w:spacing w:after="0" w:line="161" w:lineRule="exact"/>
              <w:rPr>
                <w:rFonts w:ascii="Arial" w:cs="Arial" w:eastAsia="Arial" w:hAnsi="Arial"/>
                <w:sz w:val="15"/>
                <w:szCs w:val="15"/>
                <w:color w:val="0000EE"/>
                <w:w w:val="89"/>
              </w:rPr>
            </w:pPr>
            <w:hyperlink w:anchor="page202">
              <w:r>
                <w:rPr>
                  <w:rFonts w:ascii="Arial" w:cs="Arial" w:eastAsia="Arial" w:hAnsi="Arial"/>
                  <w:sz w:val="15"/>
                  <w:szCs w:val="15"/>
                  <w:color w:val="0000EE"/>
                  <w:w w:val="89"/>
                </w:rPr>
                <w:t>Concurrent Private Placement</w:t>
              </w:r>
            </w:hyperlink>
          </w:p>
        </w:tc>
        <w:tc>
          <w:tcPr>
            <w:tcW w:w="300" w:type="dxa"/>
            <w:vAlign w:val="bottom"/>
            <w:tcBorders>
              <w:top w:val="single" w:sz="8" w:color="0000EE"/>
            </w:tcBorders>
            <w:gridSpan w:val="2"/>
          </w:tcPr>
          <w:p>
            <w:pPr>
              <w:spacing w:after="0"/>
              <w:rPr>
                <w:sz w:val="13"/>
                <w:szCs w:val="13"/>
                <w:color w:val="auto"/>
              </w:rPr>
            </w:pPr>
          </w:p>
        </w:tc>
        <w:tc>
          <w:tcPr>
            <w:tcW w:w="6740" w:type="dxa"/>
            <w:vAlign w:val="bottom"/>
            <w:gridSpan w:val="8"/>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840" w:type="dxa"/>
            <w:vAlign w:val="bottom"/>
            <w:tcBorders>
              <w:bottom w:val="single" w:sz="8" w:color="0000EE"/>
            </w:tcBorders>
            <w:gridSpan w:val="6"/>
          </w:tcPr>
          <w:p>
            <w:pPr>
              <w:spacing w:after="0" w:line="161" w:lineRule="exact"/>
              <w:rPr>
                <w:rFonts w:ascii="Arial" w:cs="Arial" w:eastAsia="Arial" w:hAnsi="Arial"/>
                <w:sz w:val="15"/>
                <w:szCs w:val="15"/>
                <w:color w:val="0000EE"/>
                <w:w w:val="90"/>
              </w:rPr>
            </w:pPr>
            <w:hyperlink w:anchor="page202">
              <w:r>
                <w:rPr>
                  <w:rFonts w:ascii="Arial" w:cs="Arial" w:eastAsia="Arial" w:hAnsi="Arial"/>
                  <w:sz w:val="15"/>
                  <w:szCs w:val="15"/>
                  <w:color w:val="0000EE"/>
                  <w:w w:val="90"/>
                </w:rPr>
                <w:t>Legal Matters</w:t>
              </w:r>
            </w:hyperlink>
          </w:p>
        </w:tc>
        <w:tc>
          <w:tcPr>
            <w:tcW w:w="8040" w:type="dxa"/>
            <w:vAlign w:val="bottom"/>
            <w:gridSpan w:val="19"/>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460" w:type="dxa"/>
            <w:vAlign w:val="bottom"/>
            <w:tcBorders>
              <w:bottom w:val="single" w:sz="8" w:color="0000EE"/>
            </w:tcBorders>
          </w:tcPr>
          <w:p>
            <w:pPr>
              <w:spacing w:after="0" w:line="161" w:lineRule="exact"/>
              <w:rPr>
                <w:rFonts w:ascii="Arial" w:cs="Arial" w:eastAsia="Arial" w:hAnsi="Arial"/>
                <w:sz w:val="15"/>
                <w:szCs w:val="15"/>
                <w:color w:val="0000EE"/>
                <w:w w:val="86"/>
              </w:rPr>
            </w:pPr>
            <w:hyperlink w:anchor="page202">
              <w:r>
                <w:rPr>
                  <w:rFonts w:ascii="Arial" w:cs="Arial" w:eastAsia="Arial" w:hAnsi="Arial"/>
                  <w:sz w:val="15"/>
                  <w:szCs w:val="15"/>
                  <w:color w:val="0000EE"/>
                  <w:w w:val="86"/>
                </w:rPr>
                <w:t>Experts</w:t>
              </w:r>
            </w:hyperlink>
          </w:p>
        </w:tc>
        <w:tc>
          <w:tcPr>
            <w:tcW w:w="8420" w:type="dxa"/>
            <w:vAlign w:val="bottom"/>
            <w:gridSpan w:val="2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202">
              <w:r>
                <w:rPr>
                  <w:rFonts w:ascii="Arial" w:cs="Arial" w:eastAsia="Arial" w:hAnsi="Arial"/>
                  <w:sz w:val="15"/>
                  <w:szCs w:val="15"/>
                  <w:color w:val="0000EE"/>
                </w:rPr>
                <w:t>Where You Can Find Additional Information</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2620" w:type="dxa"/>
            <w:vAlign w:val="bottom"/>
            <w:tcBorders>
              <w:top w:val="single" w:sz="8" w:color="0000EE"/>
              <w:bottom w:val="single" w:sz="8" w:color="0000EE"/>
            </w:tcBorders>
            <w:gridSpan w:val="18"/>
          </w:tcPr>
          <w:p>
            <w:pPr>
              <w:spacing w:after="0" w:line="161" w:lineRule="exact"/>
              <w:rPr>
                <w:rFonts w:ascii="Arial" w:cs="Arial" w:eastAsia="Arial" w:hAnsi="Arial"/>
                <w:sz w:val="15"/>
                <w:szCs w:val="15"/>
                <w:color w:val="0000EE"/>
                <w:w w:val="89"/>
              </w:rPr>
            </w:pPr>
            <w:hyperlink w:anchor="page204">
              <w:r>
                <w:rPr>
                  <w:rFonts w:ascii="Arial" w:cs="Arial" w:eastAsia="Arial" w:hAnsi="Arial"/>
                  <w:sz w:val="15"/>
                  <w:szCs w:val="15"/>
                  <w:color w:val="0000EE"/>
                  <w:w w:val="89"/>
                </w:rPr>
                <w:t>Index to Consolidated Financial Statements</w:t>
              </w:r>
            </w:hyperlink>
          </w:p>
        </w:tc>
        <w:tc>
          <w:tcPr>
            <w:tcW w:w="80" w:type="dxa"/>
            <w:vAlign w:val="bottom"/>
            <w:tcBorders>
              <w:top w:val="single" w:sz="8" w:color="0000EE"/>
            </w:tcBorders>
          </w:tcPr>
          <w:p>
            <w:pPr>
              <w:spacing w:after="0"/>
              <w:rPr>
                <w:sz w:val="13"/>
                <w:szCs w:val="13"/>
                <w:color w:val="auto"/>
              </w:rPr>
            </w:pPr>
          </w:p>
        </w:tc>
        <w:tc>
          <w:tcPr>
            <w:tcW w:w="6180" w:type="dxa"/>
            <w:vAlign w:val="bottom"/>
            <w:gridSpan w:val="6"/>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207645</wp:posOffset>
            </wp:positionV>
            <wp:extent cx="12249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20" w:right="220" w:firstLine="368"/>
        <w:spacing w:after="0" w:line="293" w:lineRule="auto"/>
        <w:rPr>
          <w:sz w:val="20"/>
          <w:szCs w:val="20"/>
          <w:color w:val="auto"/>
        </w:rPr>
      </w:pPr>
      <w:r>
        <w:rPr>
          <w:rFonts w:ascii="Arial" w:cs="Arial" w:eastAsia="Arial" w:hAnsi="Arial"/>
          <w:sz w:val="14"/>
          <w:szCs w:val="14"/>
          <w:b w:val="1"/>
          <w:bCs w:val="1"/>
          <w:color w:val="auto"/>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165100</wp:posOffset>
            </wp:positionV>
            <wp:extent cx="12249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w:t>
      </w:r>
    </w:p>
    <w:p>
      <w:pPr>
        <w:spacing w:after="0" w:line="164"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For investors outside the United States: Neither we, the selling stockholders, nor any of the underwriters have done anything that would permit our initial public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0320"/>
          </w:cols>
          <w:pgMar w:left="240" w:top="407" w:right="133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882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9620" cy="4882515"/>
                    </a:xfrm>
                    <a:prstGeom prst="rect">
                      <a:avLst/>
                    </a:prstGeom>
                    <a:noFill/>
                  </pic:spPr>
                </pic:pic>
              </a:graphicData>
            </a:graphic>
          </wp:anchor>
        </w:drawing>
      </w: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PROSPECTUS SUMMARY</w:t>
      </w:r>
    </w:p>
    <w:p>
      <w:pPr>
        <w:spacing w:after="0" w:line="192" w:lineRule="exact"/>
        <w:rPr>
          <w:sz w:val="20"/>
          <w:szCs w:val="20"/>
          <w:color w:val="auto"/>
        </w:rPr>
      </w:pPr>
    </w:p>
    <w:p>
      <w:pPr>
        <w:ind w:left="1260" w:right="79" w:firstLine="356"/>
        <w:spacing w:after="0" w:line="255" w:lineRule="auto"/>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“Dropbox,” “the Company,” “we,” “us,” and “our” in this prospectus refer to Dropbox, Inc. and its consolidated subsidiaries, and references to our “common stock” include our Class A common stock, Class B common stock, and Class C common stock.</w:t>
      </w:r>
    </w:p>
    <w:p>
      <w:pPr>
        <w:spacing w:after="0" w:line="337"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260" w:right="359" w:firstLine="356"/>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ind w:left="1260" w:right="259" w:firstLine="356"/>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260" w:right="199" w:firstLine="356"/>
        <w:spacing w:after="0" w:line="290" w:lineRule="auto"/>
        <w:rPr>
          <w:sz w:val="20"/>
          <w:szCs w:val="20"/>
          <w:color w:val="auto"/>
        </w:rPr>
      </w:pPr>
      <w:r>
        <w:rPr>
          <w:rFonts w:ascii="Arial" w:cs="Arial" w:eastAsia="Arial" w:hAnsi="Arial"/>
          <w:sz w:val="14"/>
          <w:szCs w:val="14"/>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38" w:lineRule="exact"/>
        <w:rPr>
          <w:sz w:val="20"/>
          <w:szCs w:val="20"/>
          <w:color w:val="auto"/>
        </w:rPr>
      </w:pPr>
    </w:p>
    <w:p>
      <w:pPr>
        <w:ind w:left="1260" w:right="119" w:firstLine="356"/>
        <w:spacing w:after="0" w:line="275" w:lineRule="auto"/>
        <w:rPr>
          <w:sz w:val="20"/>
          <w:szCs w:val="20"/>
          <w:color w:val="auto"/>
        </w:rPr>
      </w:pPr>
      <w:r>
        <w:rPr>
          <w:rFonts w:ascii="Arial" w:cs="Arial" w:eastAsia="Arial" w:hAnsi="Arial"/>
          <w:sz w:val="15"/>
          <w:szCs w:val="15"/>
          <w:color w:val="auto"/>
        </w:rPr>
        <w:t>We want to free up our users to spend more of their time on the work that truly matters. Our mission is to unleash the world’s creative energy by designing a more enlightened way of working.</w:t>
      </w:r>
    </w:p>
    <w:p>
      <w:pPr>
        <w:spacing w:after="0" w:line="146" w:lineRule="exact"/>
        <w:rPr>
          <w:sz w:val="20"/>
          <w:szCs w:val="20"/>
          <w:color w:val="auto"/>
        </w:rPr>
      </w:pPr>
    </w:p>
    <w:p>
      <w:pPr>
        <w:jc w:val="both"/>
        <w:ind w:left="1260" w:right="259" w:firstLine="356"/>
        <w:spacing w:after="0" w:line="263" w:lineRule="auto"/>
        <w:rPr>
          <w:sz w:val="20"/>
          <w:szCs w:val="20"/>
          <w:color w:val="auto"/>
        </w:rPr>
      </w:pPr>
      <w:r>
        <w:rPr>
          <w:rFonts w:ascii="Arial" w:cs="Arial" w:eastAsia="Arial" w:hAnsi="Arial"/>
          <w:sz w:val="15"/>
          <w:szCs w:val="15"/>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5" w:lineRule="exact"/>
        <w:rPr>
          <w:sz w:val="20"/>
          <w:szCs w:val="20"/>
          <w:color w:val="auto"/>
        </w:rPr>
      </w:pPr>
    </w:p>
    <w:p>
      <w:pPr>
        <w:ind w:left="1260" w:right="279" w:firstLine="356"/>
        <w:spacing w:after="0" w:line="275"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over 11 million paying users.</w:t>
      </w:r>
    </w:p>
    <w:p>
      <w:pPr>
        <w:spacing w:after="0" w:line="146" w:lineRule="exact"/>
        <w:rPr>
          <w:sz w:val="20"/>
          <w:szCs w:val="20"/>
          <w:color w:val="auto"/>
        </w:rPr>
      </w:pPr>
    </w:p>
    <w:p>
      <w:pPr>
        <w:ind w:left="1260" w:right="159" w:firstLine="356"/>
        <w:spacing w:after="0" w:line="259" w:lineRule="auto"/>
        <w:rPr>
          <w:sz w:val="20"/>
          <w:szCs w:val="20"/>
          <w:color w:val="auto"/>
        </w:rPr>
      </w:pPr>
      <w:r>
        <w:rPr>
          <w:rFonts w:ascii="Arial" w:cs="Arial" w:eastAsia="Arial" w:hAnsi="Arial"/>
          <w:sz w:val="15"/>
          <w:szCs w:val="15"/>
          <w:color w:val="auto"/>
        </w:rPr>
        <w:t>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200" w:lineRule="exact"/>
        <w:rPr>
          <w:sz w:val="20"/>
          <w:szCs w:val="20"/>
          <w:color w:val="auto"/>
        </w:rPr>
      </w:pPr>
    </w:p>
    <w:p>
      <w:pPr>
        <w:spacing w:after="0" w:line="31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19"/>
          </w:cols>
          <w:pgMar w:left="240" w:top="407"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20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9620" cy="520509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Users</w:t>
      </w:r>
    </w:p>
    <w:p>
      <w:pPr>
        <w:spacing w:after="0" w:line="102" w:lineRule="exact"/>
        <w:rPr>
          <w:sz w:val="20"/>
          <w:szCs w:val="20"/>
          <w:color w:val="auto"/>
        </w:rPr>
      </w:pPr>
    </w:p>
    <w:p>
      <w:pPr>
        <w:ind w:left="1260" w:right="79" w:firstLine="356"/>
        <w:spacing w:after="0" w:line="275" w:lineRule="auto"/>
        <w:rPr>
          <w:sz w:val="20"/>
          <w:szCs w:val="20"/>
          <w:color w:val="auto"/>
        </w:rPr>
      </w:pPr>
      <w:r>
        <w:rPr>
          <w:rFonts w:ascii="Arial" w:cs="Arial" w:eastAsia="Arial" w:hAnsi="Arial"/>
          <w:sz w:val="15"/>
          <w:szCs w:val="15"/>
          <w:color w:val="auto"/>
        </w:rPr>
        <w:t>We’re constantly inspired by the diverse ways people use Dropbox to bring their ideas to life and achieve their missions faster. Here are just a few examples:</w:t>
      </w:r>
    </w:p>
    <w:p>
      <w:pPr>
        <w:spacing w:after="0" w:line="67" w:lineRule="exact"/>
        <w:rPr>
          <w:sz w:val="20"/>
          <w:szCs w:val="20"/>
          <w:color w:val="auto"/>
        </w:rPr>
      </w:pPr>
    </w:p>
    <w:p>
      <w:pPr>
        <w:ind w:left="1960" w:hanging="255"/>
        <w:spacing w:after="0"/>
        <w:tabs>
          <w:tab w:leader="none" w:pos="19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Nobel Prize-winning researchers sync data with collaborators to speed development of new scientific breakthroughs.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Designers for a sustainable apparel company iterate on new designs and coordinate store openings.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commercial construction company shares blueprints with subcontractors on job sites and sends bids to prospective clients.</w:t>
      </w:r>
    </w:p>
    <w:p>
      <w:pPr>
        <w:spacing w:after="0" w:line="120" w:lineRule="exact"/>
        <w:rPr>
          <w:rFonts w:ascii="Arial" w:cs="Arial" w:eastAsia="Arial" w:hAnsi="Arial"/>
          <w:sz w:val="14"/>
          <w:szCs w:val="14"/>
          <w:color w:val="auto"/>
        </w:rPr>
      </w:pPr>
    </w:p>
    <w:p>
      <w:pPr>
        <w:ind w:left="1960" w:hanging="255"/>
        <w:spacing w:after="0"/>
        <w:tabs>
          <w:tab w:leader="none" w:pos="19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Fortune 500 online travel company keeps its global workforce connected with business partners around the world.</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 bono lawyers at a refugee assistance organization collect and share information across continents to save lives.</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What Sets Us Apart</w:t>
      </w:r>
    </w:p>
    <w:p>
      <w:pPr>
        <w:spacing w:after="0" w:line="102" w:lineRule="exact"/>
        <w:rPr>
          <w:sz w:val="20"/>
          <w:szCs w:val="20"/>
          <w:color w:val="auto"/>
        </w:rPr>
      </w:pPr>
    </w:p>
    <w:p>
      <w:pPr>
        <w:ind w:left="1260" w:right="519" w:firstLine="356"/>
        <w:spacing w:after="0" w:line="275" w:lineRule="auto"/>
        <w:rPr>
          <w:sz w:val="20"/>
          <w:szCs w:val="20"/>
          <w:color w:val="auto"/>
        </w:rPr>
      </w:pPr>
      <w:r>
        <w:rPr>
          <w:rFonts w:ascii="Arial" w:cs="Arial" w:eastAsia="Arial" w:hAnsi="Arial"/>
          <w:sz w:val="15"/>
          <w:szCs w:val="15"/>
          <w:color w:val="auto"/>
        </w:rPr>
        <w:t>Since the beginning, we’ve focused on simplifying the lives of our users. In a world where business software can be frustrating to use, challenging to integrate, and expensive to sell, we take a different approach.</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Simple and intuitive design</w:t>
      </w:r>
    </w:p>
    <w:p>
      <w:pPr>
        <w:spacing w:after="0" w:line="98" w:lineRule="exact"/>
        <w:rPr>
          <w:sz w:val="20"/>
          <w:szCs w:val="20"/>
          <w:color w:val="auto"/>
        </w:rPr>
      </w:pPr>
    </w:p>
    <w:p>
      <w:pPr>
        <w:ind w:left="1260" w:right="219" w:firstLine="356"/>
        <w:spacing w:after="0" w:line="322" w:lineRule="auto"/>
        <w:rPr>
          <w:sz w:val="20"/>
          <w:szCs w:val="20"/>
          <w:color w:val="auto"/>
        </w:rPr>
      </w:pPr>
      <w:r>
        <w:rPr>
          <w:rFonts w:ascii="Arial" w:cs="Arial" w:eastAsia="Arial" w:hAnsi="Arial"/>
          <w:sz w:val="13"/>
          <w:szCs w:val="13"/>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Open ecosystem</w:t>
      </w:r>
    </w:p>
    <w:p>
      <w:pPr>
        <w:spacing w:after="0" w:line="98" w:lineRule="exact"/>
        <w:rPr>
          <w:sz w:val="20"/>
          <w:szCs w:val="20"/>
          <w:color w:val="auto"/>
        </w:rPr>
      </w:pPr>
    </w:p>
    <w:p>
      <w:pPr>
        <w:jc w:val="both"/>
        <w:ind w:left="1260" w:right="199" w:firstLine="356"/>
        <w:spacing w:after="0" w:line="263" w:lineRule="auto"/>
        <w:rPr>
          <w:sz w:val="20"/>
          <w:szCs w:val="20"/>
          <w:color w:val="auto"/>
        </w:rPr>
      </w:pPr>
      <w:r>
        <w:rPr>
          <w:rFonts w:ascii="Arial" w:cs="Arial" w:eastAsia="Arial" w:hAnsi="Arial"/>
          <w:sz w:val="15"/>
          <w:szCs w:val="15"/>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Viral, bottom-up adoption</w:t>
      </w:r>
    </w:p>
    <w:p>
      <w:pPr>
        <w:spacing w:after="0" w:line="98" w:lineRule="exact"/>
        <w:rPr>
          <w:sz w:val="20"/>
          <w:szCs w:val="20"/>
          <w:color w:val="auto"/>
        </w:rPr>
      </w:pPr>
    </w:p>
    <w:p>
      <w:pPr>
        <w:jc w:val="both"/>
        <w:ind w:left="1260" w:right="259" w:firstLine="356"/>
        <w:spacing w:after="0" w:line="259" w:lineRule="auto"/>
        <w:rPr>
          <w:sz w:val="20"/>
          <w:szCs w:val="20"/>
          <w:color w:val="auto"/>
        </w:rPr>
      </w:pPr>
      <w:r>
        <w:rPr>
          <w:rFonts w:ascii="Arial" w:cs="Arial" w:eastAsia="Arial" w:hAnsi="Arial"/>
          <w:sz w:val="15"/>
          <w:szCs w:val="15"/>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Performance and security</w:t>
      </w:r>
    </w:p>
    <w:p>
      <w:pPr>
        <w:spacing w:after="0" w:line="98" w:lineRule="exact"/>
        <w:rPr>
          <w:sz w:val="20"/>
          <w:szCs w:val="20"/>
          <w:color w:val="auto"/>
        </w:rPr>
      </w:pPr>
    </w:p>
    <w:p>
      <w:pPr>
        <w:ind w:left="1260" w:right="119" w:firstLine="356"/>
        <w:spacing w:after="0" w:line="257" w:lineRule="auto"/>
        <w:rPr>
          <w:sz w:val="20"/>
          <w:szCs w:val="20"/>
          <w:color w:val="auto"/>
        </w:rPr>
      </w:pPr>
      <w:r>
        <w:rPr>
          <w:rFonts w:ascii="Arial" w:cs="Arial" w:eastAsia="Arial" w:hAnsi="Arial"/>
          <w:sz w:val="15"/>
          <w:szCs w:val="15"/>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00" w:lineRule="exact"/>
        <w:rPr>
          <w:sz w:val="20"/>
          <w:szCs w:val="20"/>
          <w:color w:val="auto"/>
        </w:rPr>
      </w:pPr>
    </w:p>
    <w:p>
      <w:pPr>
        <w:spacing w:after="0" w:line="320"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19"/>
          </w:cols>
          <w:pgMar w:left="240" w:top="407"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40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9620" cy="540575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Industry Trends in Our Favor</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Content is increasingly scattered</w:t>
      </w:r>
    </w:p>
    <w:p>
      <w:pPr>
        <w:spacing w:after="0" w:line="98" w:lineRule="exact"/>
        <w:rPr>
          <w:sz w:val="20"/>
          <w:szCs w:val="20"/>
          <w:color w:val="auto"/>
        </w:rPr>
      </w:pPr>
    </w:p>
    <w:p>
      <w:pPr>
        <w:ind w:left="1260" w:right="159" w:firstLine="356"/>
        <w:spacing w:after="0" w:line="290" w:lineRule="auto"/>
        <w:rPr>
          <w:sz w:val="20"/>
          <w:szCs w:val="20"/>
          <w:color w:val="auto"/>
        </w:rPr>
      </w:pPr>
      <w:r>
        <w:rPr>
          <w:rFonts w:ascii="Arial" w:cs="Arial" w:eastAsia="Arial" w:hAnsi="Arial"/>
          <w:sz w:val="14"/>
          <w:szCs w:val="14"/>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The tools people use are fragmented</w:t>
      </w:r>
    </w:p>
    <w:p>
      <w:pPr>
        <w:spacing w:after="0" w:line="98" w:lineRule="exact"/>
        <w:rPr>
          <w:sz w:val="20"/>
          <w:szCs w:val="20"/>
          <w:color w:val="auto"/>
        </w:rPr>
      </w:pPr>
    </w:p>
    <w:p>
      <w:pPr>
        <w:jc w:val="both"/>
        <w:ind w:left="1260" w:right="139" w:firstLine="356"/>
        <w:spacing w:after="0" w:line="259" w:lineRule="auto"/>
        <w:rPr>
          <w:sz w:val="20"/>
          <w:szCs w:val="20"/>
          <w:color w:val="auto"/>
        </w:rPr>
      </w:pPr>
      <w:r>
        <w:rPr>
          <w:rFonts w:ascii="Arial" w:cs="Arial" w:eastAsia="Arial" w:hAnsi="Arial"/>
          <w:sz w:val="15"/>
          <w:szCs w:val="15"/>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Teams have become more fluid and global</w:t>
      </w:r>
    </w:p>
    <w:p>
      <w:pPr>
        <w:spacing w:after="0" w:line="98" w:lineRule="exact"/>
        <w:rPr>
          <w:sz w:val="20"/>
          <w:szCs w:val="20"/>
          <w:color w:val="auto"/>
        </w:rPr>
      </w:pPr>
    </w:p>
    <w:p>
      <w:pPr>
        <w:ind w:left="1260" w:right="59" w:firstLine="356"/>
        <w:spacing w:after="0" w:line="259" w:lineRule="auto"/>
        <w:rPr>
          <w:sz w:val="20"/>
          <w:szCs w:val="20"/>
          <w:color w:val="auto"/>
        </w:rPr>
      </w:pPr>
      <w:r>
        <w:rPr>
          <w:rFonts w:ascii="Arial" w:cs="Arial" w:eastAsia="Arial" w:hAnsi="Arial"/>
          <w:sz w:val="15"/>
          <w:szCs w:val="15"/>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“Work about work” is wasteful and stifles creativity</w:t>
      </w:r>
    </w:p>
    <w:p>
      <w:pPr>
        <w:spacing w:after="0" w:line="98" w:lineRule="exact"/>
        <w:rPr>
          <w:sz w:val="20"/>
          <w:szCs w:val="20"/>
          <w:color w:val="auto"/>
        </w:rPr>
      </w:pPr>
    </w:p>
    <w:p>
      <w:pPr>
        <w:ind w:left="1260" w:right="59" w:firstLine="356"/>
        <w:spacing w:after="0" w:line="259" w:lineRule="auto"/>
        <w:rPr>
          <w:sz w:val="20"/>
          <w:szCs w:val="20"/>
          <w:color w:val="auto"/>
        </w:rPr>
      </w:pPr>
      <w:r>
        <w:rPr>
          <w:rFonts w:ascii="Arial" w:cs="Arial" w:eastAsia="Arial" w:hAnsi="Arial"/>
          <w:sz w:val="15"/>
          <w:szCs w:val="15"/>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Individual users are changing the way software is adopted and purchased</w:t>
      </w:r>
    </w:p>
    <w:p>
      <w:pPr>
        <w:spacing w:after="0" w:line="98" w:lineRule="exact"/>
        <w:rPr>
          <w:sz w:val="20"/>
          <w:szCs w:val="20"/>
          <w:color w:val="auto"/>
        </w:rPr>
      </w:pPr>
    </w:p>
    <w:p>
      <w:pPr>
        <w:ind w:left="1260" w:right="299" w:firstLine="356"/>
        <w:spacing w:after="0" w:line="259" w:lineRule="auto"/>
        <w:rPr>
          <w:sz w:val="20"/>
          <w:szCs w:val="20"/>
          <w:color w:val="auto"/>
        </w:rPr>
      </w:pPr>
      <w:r>
        <w:rPr>
          <w:rFonts w:ascii="Arial" w:cs="Arial" w:eastAsia="Arial" w:hAnsi="Arial"/>
          <w:sz w:val="15"/>
          <w:szCs w:val="15"/>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Solution</w:t>
      </w:r>
    </w:p>
    <w:p>
      <w:pPr>
        <w:spacing w:after="0" w:line="102" w:lineRule="exact"/>
        <w:rPr>
          <w:sz w:val="20"/>
          <w:szCs w:val="20"/>
          <w:color w:val="auto"/>
        </w:rPr>
      </w:pPr>
    </w:p>
    <w:p>
      <w:pPr>
        <w:ind w:left="1260" w:right="339" w:firstLine="356"/>
        <w:spacing w:after="0" w:line="354" w:lineRule="auto"/>
        <w:rPr>
          <w:sz w:val="20"/>
          <w:szCs w:val="20"/>
          <w:color w:val="auto"/>
        </w:rPr>
      </w:pPr>
      <w:r>
        <w:rPr>
          <w:rFonts w:ascii="Arial" w:cs="Arial" w:eastAsia="Arial" w:hAnsi="Arial"/>
          <w:sz w:val="13"/>
          <w:szCs w:val="13"/>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Key elements of our platform</w:t>
      </w:r>
    </w:p>
    <w:p>
      <w:pPr>
        <w:spacing w:after="0" w:line="109" w:lineRule="exact"/>
        <w:rPr>
          <w:sz w:val="20"/>
          <w:szCs w:val="20"/>
          <w:color w:val="auto"/>
        </w:rPr>
      </w:pPr>
    </w:p>
    <w:p>
      <w:pPr>
        <w:jc w:val="both"/>
        <w:ind w:left="1960" w:right="119" w:hanging="255"/>
        <w:spacing w:after="0" w:line="263" w:lineRule="auto"/>
        <w:tabs>
          <w:tab w:leader="none" w:pos="19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Unified home for content. </w:t>
      </w:r>
      <w:r>
        <w:rPr>
          <w:rFonts w:ascii="Arial" w:cs="Arial" w:eastAsia="Arial" w:hAnsi="Arial"/>
          <w:sz w:val="15"/>
          <w:szCs w:val="15"/>
          <w:color w:val="auto"/>
        </w:rPr>
        <w:t>We provide a unified home for the world’s content and the relevant context around it. To date, our users have</w:t>
      </w:r>
      <w:r>
        <w:rPr>
          <w:rFonts w:ascii="Arial" w:cs="Arial" w:eastAsia="Arial" w:hAnsi="Arial"/>
          <w:sz w:val="15"/>
          <w:szCs w:val="15"/>
          <w:i w:val="1"/>
          <w:iCs w:val="1"/>
          <w:color w:val="auto"/>
        </w:rPr>
        <w:t xml:space="preserve"> </w:t>
      </w:r>
      <w:r>
        <w:rPr>
          <w:rFonts w:ascii="Arial" w:cs="Arial" w:eastAsia="Arial" w:hAnsi="Arial"/>
          <w:sz w:val="15"/>
          <w:szCs w:val="15"/>
          <w:color w:val="auto"/>
        </w:rPr>
        <w:t>added more than 400 billion pieces of content to Dropbox, totaling over an exabyte (more than 1,000,000,000 gigabytes) of data. When users join Dropbox, they gain</w:t>
      </w:r>
    </w:p>
    <w:p>
      <w:pPr>
        <w:spacing w:after="0" w:line="200" w:lineRule="exact"/>
        <w:rPr>
          <w:sz w:val="20"/>
          <w:szCs w:val="20"/>
          <w:color w:val="auto"/>
        </w:rPr>
      </w:pPr>
    </w:p>
    <w:p>
      <w:pPr>
        <w:spacing w:after="0" w:line="3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219"/>
          </w:cols>
          <w:pgMar w:left="240" w:top="407"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26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9620" cy="5126355"/>
                    </a:xfrm>
                    <a:prstGeom prst="rect">
                      <a:avLst/>
                    </a:prstGeom>
                    <a:noFill/>
                  </pic:spPr>
                </pic:pic>
              </a:graphicData>
            </a:graphic>
          </wp:anchor>
        </w:drawing>
      </w:r>
    </w:p>
    <w:p>
      <w:pPr>
        <w:spacing w:after="0" w:line="397" w:lineRule="exact"/>
        <w:rPr>
          <w:sz w:val="20"/>
          <w:szCs w:val="20"/>
          <w:color w:val="auto"/>
        </w:rPr>
      </w:pPr>
    </w:p>
    <w:p>
      <w:pPr>
        <w:ind w:left="1980" w:right="619"/>
        <w:spacing w:after="0" w:line="275" w:lineRule="auto"/>
        <w:rPr>
          <w:sz w:val="20"/>
          <w:szCs w:val="20"/>
          <w:color w:val="auto"/>
        </w:rPr>
      </w:pPr>
      <w:r>
        <w:rPr>
          <w:rFonts w:ascii="Arial" w:cs="Arial" w:eastAsia="Arial" w:hAnsi="Arial"/>
          <w:sz w:val="15"/>
          <w:szCs w:val="15"/>
          <w:color w:val="auto"/>
        </w:rPr>
        <w:t>access to a digital workspace that supports the full content lifecycle—they can create and organize their content, access it from anywhere, share it with internal and external collaborators, and review feedback and history.</w:t>
      </w:r>
    </w:p>
    <w:p>
      <w:pPr>
        <w:spacing w:after="0" w:line="67" w:lineRule="exact"/>
        <w:rPr>
          <w:sz w:val="20"/>
          <w:szCs w:val="20"/>
          <w:color w:val="auto"/>
        </w:rPr>
      </w:pPr>
    </w:p>
    <w:p>
      <w:pPr>
        <w:ind w:left="1960" w:right="159" w:hanging="255"/>
        <w:spacing w:after="0" w:line="259"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Global sharing network. </w:t>
      </w:r>
      <w:r>
        <w:rPr>
          <w:rFonts w:ascii="Arial" w:cs="Arial" w:eastAsia="Arial" w:hAnsi="Arial"/>
          <w:sz w:val="15"/>
          <w:szCs w:val="15"/>
          <w:color w:val="auto"/>
        </w:rPr>
        <w:t>We’ve built one of the largest collaboration platforms in the world, with more than 4.5 billion connections to</w:t>
      </w:r>
      <w:r>
        <w:rPr>
          <w:rFonts w:ascii="Arial" w:cs="Arial" w:eastAsia="Arial" w:hAnsi="Arial"/>
          <w:sz w:val="15"/>
          <w:szCs w:val="15"/>
          <w:i w:val="1"/>
          <w:iCs w:val="1"/>
          <w:color w:val="auto"/>
        </w:rPr>
        <w:t xml:space="preserve"> </w:t>
      </w:r>
      <w:r>
        <w:rPr>
          <w:rFonts w:ascii="Arial" w:cs="Arial" w:eastAsia="Arial" w:hAnsi="Arial"/>
          <w:sz w:val="15"/>
          <w:szCs w:val="15"/>
          <w:color w:val="auto"/>
        </w:rPr>
        <w:t>shared 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78" w:lineRule="exact"/>
        <w:rPr>
          <w:rFonts w:ascii="Arial" w:cs="Arial" w:eastAsia="Arial" w:hAnsi="Arial"/>
          <w:sz w:val="15"/>
          <w:szCs w:val="15"/>
          <w:color w:val="auto"/>
        </w:rPr>
      </w:pPr>
    </w:p>
    <w:p>
      <w:pPr>
        <w:ind w:left="1960" w:right="199" w:hanging="255"/>
        <w:spacing w:after="0" w:line="322" w:lineRule="auto"/>
        <w:tabs>
          <w:tab w:leader="none" w:pos="196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New product experiences. </w:t>
      </w:r>
      <w:r>
        <w:rPr>
          <w:rFonts w:ascii="Arial" w:cs="Arial" w:eastAsia="Arial" w:hAnsi="Arial"/>
          <w:sz w:val="13"/>
          <w:szCs w:val="13"/>
          <w:color w:val="auto"/>
        </w:rPr>
        <w:t>The insights we glean from our community of users lead us to develop new product experiences, like Paper,</w:t>
      </w:r>
      <w:r>
        <w:rPr>
          <w:rFonts w:ascii="Arial" w:cs="Arial" w:eastAsia="Arial" w:hAnsi="Arial"/>
          <w:sz w:val="13"/>
          <w:szCs w:val="13"/>
          <w:i w:val="1"/>
          <w:iCs w:val="1"/>
          <w:color w:val="auto"/>
        </w:rPr>
        <w:t xml:space="preserve"> </w:t>
      </w:r>
      <w:r>
        <w:rPr>
          <w:rFonts w:ascii="Arial" w:cs="Arial" w:eastAsia="Arial" w:hAnsi="Arial"/>
          <w:sz w:val="13"/>
          <w:szCs w:val="13"/>
          <w:color w:val="auto"/>
        </w:rPr>
        <w:t>Smart 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20" w:lineRule="exact"/>
        <w:rPr>
          <w:sz w:val="20"/>
          <w:szCs w:val="20"/>
          <w:color w:val="auto"/>
        </w:rPr>
      </w:pPr>
    </w:p>
    <w:p>
      <w:pPr>
        <w:jc w:val="both"/>
        <w:ind w:left="1260" w:right="179" w:firstLine="356"/>
        <w:spacing w:after="0" w:line="259" w:lineRule="auto"/>
        <w:rPr>
          <w:sz w:val="20"/>
          <w:szCs w:val="20"/>
          <w:color w:val="auto"/>
        </w:rPr>
      </w:pPr>
      <w:r>
        <w:rPr>
          <w:rFonts w:ascii="Arial" w:cs="Arial" w:eastAsia="Arial" w:hAnsi="Arial"/>
          <w:sz w:val="15"/>
          <w:szCs w:val="15"/>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Growth Strategy</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Increase adoption and paid conversion</w:t>
      </w:r>
    </w:p>
    <w:p>
      <w:pPr>
        <w:spacing w:after="0" w:line="98" w:lineRule="exact"/>
        <w:rPr>
          <w:sz w:val="20"/>
          <w:szCs w:val="20"/>
          <w:color w:val="auto"/>
        </w:rPr>
      </w:pPr>
    </w:p>
    <w:p>
      <w:pPr>
        <w:ind w:left="1260" w:right="279" w:firstLine="356"/>
        <w:spacing w:after="0" w:line="276" w:lineRule="auto"/>
        <w:rPr>
          <w:sz w:val="20"/>
          <w:szCs w:val="20"/>
          <w:color w:val="auto"/>
        </w:rPr>
      </w:pPr>
      <w:r>
        <w:rPr>
          <w:rFonts w:ascii="Arial" w:cs="Arial" w:eastAsia="Arial" w:hAnsi="Arial"/>
          <w:sz w:val="14"/>
          <w:szCs w:val="14"/>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 Substantially all of our paying users share at least one of these characteristics. We reach our users through in-product notifications on our website and across hundreds of millions of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Upgrade our paying users</w:t>
      </w:r>
    </w:p>
    <w:p>
      <w:pPr>
        <w:spacing w:after="0" w:line="98" w:lineRule="exact"/>
        <w:rPr>
          <w:sz w:val="20"/>
          <w:szCs w:val="20"/>
          <w:color w:val="auto"/>
        </w:rPr>
      </w:pPr>
    </w:p>
    <w:p>
      <w:pPr>
        <w:ind w:left="1260" w:right="99" w:firstLine="356"/>
        <w:spacing w:after="0" w:line="255"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2017, over 40% of new Dropbox Business teams included a member who was previously a subscriber to one of our individual paid plans. We believe that a large majority of individual customers use Dropbox for work, which creates an opportunity to significantly increase conversion to Dropbox Business team offerings over time.</w:t>
      </w:r>
    </w:p>
    <w:p>
      <w:pPr>
        <w:spacing w:after="0" w:line="25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Apply insights to build new product experiences</w:t>
      </w:r>
    </w:p>
    <w:p>
      <w:pPr>
        <w:spacing w:after="0" w:line="98" w:lineRule="exact"/>
        <w:rPr>
          <w:sz w:val="20"/>
          <w:szCs w:val="20"/>
          <w:color w:val="auto"/>
        </w:rPr>
      </w:pPr>
    </w:p>
    <w:p>
      <w:pPr>
        <w:ind w:left="1260" w:right="219" w:firstLine="356"/>
        <w:spacing w:after="0" w:line="259" w:lineRule="auto"/>
        <w:rPr>
          <w:sz w:val="20"/>
          <w:szCs w:val="20"/>
          <w:color w:val="auto"/>
        </w:rPr>
      </w:pPr>
      <w:r>
        <w:rPr>
          <w:rFonts w:ascii="Arial" w:cs="Arial" w:eastAsia="Arial" w:hAnsi="Arial"/>
          <w:sz w:val="15"/>
          <w:szCs w:val="15"/>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00" w:lineRule="exact"/>
        <w:rPr>
          <w:sz w:val="20"/>
          <w:szCs w:val="20"/>
          <w:color w:val="auto"/>
        </w:rPr>
      </w:pPr>
    </w:p>
    <w:p>
      <w:pPr>
        <w:spacing w:after="0" w:line="31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19"/>
          </w:cols>
          <w:pgMar w:left="240" w:top="407"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83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9620" cy="5183505"/>
                    </a:xfrm>
                    <a:prstGeom prst="rect">
                      <a:avLst/>
                    </a:prstGeom>
                    <a:noFill/>
                  </pic:spPr>
                </pic:pic>
              </a:graphicData>
            </a:graphic>
          </wp:anchor>
        </w:drawing>
      </w:r>
    </w:p>
    <w:p>
      <w:pPr>
        <w:spacing w:after="0" w:line="39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Expand our ecosystem</w:t>
      </w:r>
    </w:p>
    <w:p>
      <w:pPr>
        <w:spacing w:after="0" w:line="98" w:lineRule="exact"/>
        <w:rPr>
          <w:sz w:val="20"/>
          <w:szCs w:val="20"/>
          <w:color w:val="auto"/>
        </w:rPr>
      </w:pPr>
    </w:p>
    <w:p>
      <w:pPr>
        <w:ind w:left="1260" w:right="139" w:firstLine="356"/>
        <w:spacing w:after="0" w:line="259" w:lineRule="auto"/>
        <w:rPr>
          <w:sz w:val="20"/>
          <w:szCs w:val="20"/>
          <w:color w:val="auto"/>
        </w:rPr>
      </w:pPr>
      <w:r>
        <w:rPr>
          <w:rFonts w:ascii="Arial" w:cs="Arial" w:eastAsia="Arial" w:hAnsi="Arial"/>
          <w:sz w:val="15"/>
          <w:szCs w:val="15"/>
          <w:color w:val="auto"/>
        </w:rPr>
        <w:t>Our open and thriving ecosystem fosters deeper relationships with our users and makes Dropbox more valuable to them over time. The scale and reach of our platform is enhanced by a number of third-party applications, developers, and technology partners. As of December 31, 2017, Dropbox was receiving over 50 billion API calls per month, and more than 500,000 developers had registered and built applications on our platform.</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Market Opportunity</w:t>
      </w:r>
    </w:p>
    <w:p>
      <w:pPr>
        <w:spacing w:after="0" w:line="102" w:lineRule="exact"/>
        <w:rPr>
          <w:sz w:val="20"/>
          <w:szCs w:val="20"/>
          <w:color w:val="auto"/>
        </w:rPr>
      </w:pPr>
    </w:p>
    <w:p>
      <w:pPr>
        <w:jc w:val="both"/>
        <w:ind w:left="1260" w:right="139" w:firstLine="356"/>
        <w:spacing w:after="0" w:line="263" w:lineRule="auto"/>
        <w:rPr>
          <w:sz w:val="20"/>
          <w:szCs w:val="20"/>
          <w:color w:val="auto"/>
        </w:rPr>
      </w:pPr>
      <w:r>
        <w:rPr>
          <w:rFonts w:ascii="Arial" w:cs="Arial" w:eastAsia="Arial" w:hAnsi="Arial"/>
          <w:sz w:val="15"/>
          <w:szCs w:val="15"/>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55" w:lineRule="exact"/>
        <w:rPr>
          <w:sz w:val="20"/>
          <w:szCs w:val="20"/>
          <w:color w:val="auto"/>
        </w:rPr>
      </w:pPr>
    </w:p>
    <w:p>
      <w:pPr>
        <w:ind w:left="1260" w:right="539" w:firstLine="356"/>
        <w:spacing w:after="0" w:line="275" w:lineRule="auto"/>
        <w:rPr>
          <w:sz w:val="20"/>
          <w:szCs w:val="20"/>
          <w:color w:val="auto"/>
        </w:rPr>
      </w:pPr>
      <w:r>
        <w:rPr>
          <w:rFonts w:ascii="Arial" w:cs="Arial" w:eastAsia="Arial" w:hAnsi="Arial"/>
          <w:sz w:val="15"/>
          <w:szCs w:val="15"/>
          <w:color w:val="auto"/>
        </w:rPr>
        <w:t>Our addressable market includes collaborative applications, content management, project and portfolio management, and public cloud storage. IDC estimates that investment in these categories will total more than $50 billion in 2019.</w:t>
      </w:r>
    </w:p>
    <w:p>
      <w:pPr>
        <w:spacing w:after="0" w:line="146" w:lineRule="exact"/>
        <w:rPr>
          <w:sz w:val="20"/>
          <w:szCs w:val="20"/>
          <w:color w:val="auto"/>
        </w:rPr>
      </w:pPr>
    </w:p>
    <w:p>
      <w:pPr>
        <w:ind w:left="1260" w:right="79" w:firstLine="356"/>
        <w:spacing w:after="0" w:line="354" w:lineRule="auto"/>
        <w:rPr>
          <w:sz w:val="20"/>
          <w:szCs w:val="20"/>
          <w:color w:val="auto"/>
        </w:rPr>
      </w:pPr>
      <w:r>
        <w:rPr>
          <w:rFonts w:ascii="Arial" w:cs="Arial" w:eastAsia="Arial" w:hAnsi="Arial"/>
          <w:sz w:val="13"/>
          <w:szCs w:val="13"/>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Risk Factors Summary</w:t>
      </w:r>
    </w:p>
    <w:p>
      <w:pPr>
        <w:spacing w:after="0" w:line="102" w:lineRule="exact"/>
        <w:rPr>
          <w:sz w:val="20"/>
          <w:szCs w:val="20"/>
          <w:color w:val="auto"/>
        </w:rPr>
      </w:pPr>
    </w:p>
    <w:p>
      <w:pPr>
        <w:ind w:left="1260" w:right="419" w:firstLine="356"/>
        <w:spacing w:after="0" w:line="275"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67" w:lineRule="exact"/>
        <w:rPr>
          <w:sz w:val="20"/>
          <w:szCs w:val="20"/>
          <w:color w:val="auto"/>
        </w:rPr>
      </w:pPr>
    </w:p>
    <w:p>
      <w:pPr>
        <w:ind w:left="1960" w:right="159" w:hanging="255"/>
        <w:spacing w:after="0" w:line="275" w:lineRule="auto"/>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depends on our ability to retain and upgrade paying users, and any decline in renewals or upgrades could adversely affect our future results of operations.</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future growth could be harmed if we fail to attract new users or convert registered users to paying users.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revenue growth rate has declined in recent periods and may continue to slow in the future.</w:t>
      </w:r>
    </w:p>
    <w:p>
      <w:pPr>
        <w:spacing w:after="0" w:line="109" w:lineRule="exact"/>
        <w:rPr>
          <w:rFonts w:ascii="Arial" w:cs="Arial" w:eastAsia="Arial" w:hAnsi="Arial"/>
          <w:sz w:val="15"/>
          <w:szCs w:val="15"/>
          <w:color w:val="auto"/>
        </w:rPr>
      </w:pPr>
    </w:p>
    <w:p>
      <w:pPr>
        <w:ind w:left="1960" w:right="659" w:hanging="255"/>
        <w:spacing w:after="0" w:line="275" w:lineRule="auto"/>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a history of net losses, we anticipate increasing expenses in the future, and we may not be able to achieve or maintain profitability.</w:t>
      </w:r>
    </w:p>
    <w:p>
      <w:pPr>
        <w:spacing w:after="0" w:line="67" w:lineRule="exact"/>
        <w:rPr>
          <w:rFonts w:ascii="Arial" w:cs="Arial" w:eastAsia="Arial" w:hAnsi="Arial"/>
          <w:sz w:val="15"/>
          <w:szCs w:val="15"/>
          <w:color w:val="auto"/>
        </w:rPr>
      </w:pPr>
    </w:p>
    <w:p>
      <w:pPr>
        <w:ind w:left="1960" w:right="79" w:hanging="255"/>
        <w:spacing w:after="0" w:line="275" w:lineRule="auto"/>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could be damaged, and we could be subject to liability if there is any unauthorized access to our data or our users’ content, including through privacy and data security breaches.</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could be harmed by any significant disruption of service on our platform or loss of content.</w:t>
      </w:r>
    </w:p>
    <w:p>
      <w:pPr>
        <w:spacing w:after="0" w:line="109" w:lineRule="exact"/>
        <w:rPr>
          <w:rFonts w:ascii="Arial" w:cs="Arial" w:eastAsia="Arial" w:hAnsi="Arial"/>
          <w:sz w:val="15"/>
          <w:szCs w:val="15"/>
          <w:color w:val="auto"/>
        </w:rPr>
      </w:pPr>
    </w:p>
    <w:p>
      <w:pPr>
        <w:ind w:left="1960" w:right="859" w:hanging="255"/>
        <w:spacing w:after="0" w:line="275" w:lineRule="auto"/>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generate revenue from sales of subscriptions to our platform, and any decline in demand for our platform or for content collaboration solutions in general could negatively impact our business.</w:t>
      </w:r>
    </w:p>
    <w:p>
      <w:pPr>
        <w:spacing w:after="0" w:line="67" w:lineRule="exact"/>
        <w:rPr>
          <w:rFonts w:ascii="Arial" w:cs="Arial" w:eastAsia="Arial" w:hAnsi="Arial"/>
          <w:sz w:val="15"/>
          <w:szCs w:val="15"/>
          <w:color w:val="auto"/>
        </w:rPr>
      </w:pPr>
    </w:p>
    <w:p>
      <w:pPr>
        <w:ind w:left="1960" w:right="199" w:hanging="255"/>
        <w:spacing w:after="0" w:line="275" w:lineRule="auto"/>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operate in competitive markets, and we must continue to compete effectively.</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may not be able to respond to rapid technological changes, extend our platform, or develop new features.</w:t>
      </w:r>
    </w:p>
    <w:p>
      <w:pPr>
        <w:spacing w:after="0" w:line="200" w:lineRule="exact"/>
        <w:rPr>
          <w:sz w:val="20"/>
          <w:szCs w:val="20"/>
          <w:color w:val="auto"/>
        </w:rPr>
      </w:pPr>
    </w:p>
    <w:p>
      <w:pPr>
        <w:spacing w:after="0" w:line="34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19"/>
          </w:cols>
          <w:pgMar w:left="240" w:top="407"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087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9620" cy="4087495"/>
                    </a:xfrm>
                    <a:prstGeom prst="rect">
                      <a:avLst/>
                    </a:prstGeom>
                    <a:noFill/>
                  </pic:spPr>
                </pic:pic>
              </a:graphicData>
            </a:graphic>
          </wp:anchor>
        </w:drawing>
      </w:r>
    </w:p>
    <w:p>
      <w:pPr>
        <w:spacing w:after="0" w:line="397" w:lineRule="exact"/>
        <w:rPr>
          <w:sz w:val="20"/>
          <w:szCs w:val="20"/>
          <w:color w:val="auto"/>
        </w:rPr>
      </w:pPr>
    </w:p>
    <w:p>
      <w:pPr>
        <w:ind w:left="1960" w:hanging="255"/>
        <w:spacing w:after="0"/>
        <w:tabs>
          <w:tab w:leader="none" w:pos="19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not successfully manage our growth or plan for future growth.</w:t>
      </w:r>
    </w:p>
    <w:p>
      <w:pPr>
        <w:spacing w:after="0" w:line="109" w:lineRule="exact"/>
        <w:rPr>
          <w:rFonts w:ascii="Arial" w:cs="Arial" w:eastAsia="Arial" w:hAnsi="Arial"/>
          <w:sz w:val="15"/>
          <w:szCs w:val="15"/>
          <w:color w:val="auto"/>
        </w:rPr>
      </w:pPr>
    </w:p>
    <w:p>
      <w:pPr>
        <w:ind w:left="1960" w:right="79" w:hanging="255"/>
        <w:spacing w:after="0" w:line="312" w:lineRule="auto"/>
        <w:tabs>
          <w:tab w:leader="none" w:pos="19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Channels for Disclosure of Information</w:t>
      </w:r>
    </w:p>
    <w:p>
      <w:pPr>
        <w:spacing w:after="0" w:line="102" w:lineRule="exact"/>
        <w:rPr>
          <w:sz w:val="20"/>
          <w:szCs w:val="20"/>
          <w:color w:val="auto"/>
        </w:rPr>
      </w:pPr>
    </w:p>
    <w:p>
      <w:pPr>
        <w:ind w:left="1260" w:right="79" w:firstLine="356"/>
        <w:spacing w:after="0" w:line="290" w:lineRule="auto"/>
        <w:rPr>
          <w:sz w:val="20"/>
          <w:szCs w:val="20"/>
          <w:color w:val="auto"/>
        </w:rPr>
      </w:pPr>
      <w:r>
        <w:rPr>
          <w:rFonts w:ascii="Arial" w:cs="Arial" w:eastAsia="Arial" w:hAnsi="Arial"/>
          <w:sz w:val="14"/>
          <w:szCs w:val="14"/>
          <w:color w:val="auto"/>
        </w:rPr>
        <w:t>Investors, the media, and others should note that, following the completion of this offering, we intend to announce material information to the public through filings with the Securities and Exchange Commission, or the SEC, the investor relations page on our website, press releases, public conference calls, webcasts, our company news site at dropbox.com/news, and our corporate blog at blogs.dropbox.com.</w:t>
      </w:r>
    </w:p>
    <w:p>
      <w:pPr>
        <w:spacing w:after="0" w:line="138" w:lineRule="exact"/>
        <w:rPr>
          <w:sz w:val="20"/>
          <w:szCs w:val="20"/>
          <w:color w:val="auto"/>
        </w:rPr>
      </w:pPr>
    </w:p>
    <w:p>
      <w:pPr>
        <w:ind w:left="1260" w:right="459" w:firstLine="356"/>
        <w:spacing w:after="0" w:line="312" w:lineRule="auto"/>
        <w:rPr>
          <w:sz w:val="20"/>
          <w:szCs w:val="20"/>
          <w:color w:val="auto"/>
        </w:rPr>
      </w:pPr>
      <w:r>
        <w:rPr>
          <w:rFonts w:ascii="Arial" w:cs="Arial" w:eastAsia="Arial" w:hAnsi="Arial"/>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3" w:lineRule="exact"/>
        <w:rPr>
          <w:sz w:val="20"/>
          <w:szCs w:val="20"/>
          <w:color w:val="auto"/>
        </w:rPr>
      </w:pPr>
    </w:p>
    <w:p>
      <w:pPr>
        <w:ind w:left="1260" w:right="239" w:firstLine="356"/>
        <w:spacing w:after="0" w:line="275" w:lineRule="auto"/>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Corporate Information</w:t>
      </w:r>
    </w:p>
    <w:p>
      <w:pPr>
        <w:spacing w:after="0" w:line="102" w:lineRule="exact"/>
        <w:rPr>
          <w:sz w:val="20"/>
          <w:szCs w:val="20"/>
          <w:color w:val="auto"/>
        </w:rPr>
      </w:pPr>
    </w:p>
    <w:p>
      <w:pPr>
        <w:ind w:left="1260" w:right="119" w:firstLine="356"/>
        <w:spacing w:after="0" w:line="283" w:lineRule="auto"/>
        <w:rPr>
          <w:sz w:val="20"/>
          <w:szCs w:val="20"/>
          <w:color w:val="auto"/>
        </w:rPr>
      </w:pPr>
      <w:r>
        <w:rPr>
          <w:rFonts w:ascii="Arial" w:cs="Arial" w:eastAsia="Arial" w:hAnsi="Arial"/>
          <w:sz w:val="14"/>
          <w:szCs w:val="14"/>
          <w:color w:val="auto"/>
        </w:rPr>
        <w:t>We were incorporated in May 2007 as Evenflow, Inc., a Delaware corporation, and changed our name to Dropbox, Inc. in October 2009. Our principal executive offices are located at 333 Brannan Street, San Francisco, California, 94107, and our telephone number is (415) 857-6800. Our website address is www.dropbox.com. Information contained on, or that can be accessed through, our website does not constitute part of this prospectus and inclusions of our website address in this prospectus are inactive textual references only.</w:t>
      </w:r>
    </w:p>
    <w:p>
      <w:pPr>
        <w:spacing w:after="0" w:line="143" w:lineRule="exact"/>
        <w:rPr>
          <w:sz w:val="20"/>
          <w:szCs w:val="20"/>
          <w:color w:val="auto"/>
        </w:rPr>
      </w:pPr>
    </w:p>
    <w:p>
      <w:pPr>
        <w:ind w:left="1260" w:right="139" w:firstLine="356"/>
        <w:spacing w:after="0" w:line="259" w:lineRule="auto"/>
        <w:rPr>
          <w:sz w:val="20"/>
          <w:szCs w:val="20"/>
          <w:color w:val="auto"/>
        </w:rPr>
      </w:pPr>
      <w:r>
        <w:rPr>
          <w:rFonts w:ascii="Arial" w:cs="Arial" w:eastAsia="Arial" w:hAnsi="Arial"/>
          <w:sz w:val="15"/>
          <w:szCs w:val="15"/>
          <w:color w:val="auto"/>
        </w:rPr>
        <w:t>“Dropbox,” “Dropbox Paper,” “Dropbox Smart Sync,” “Dropbox Showcase,” our logo, and our other registered or common law trademarks, service marks, or trade names appearing in this prospectus are the property of Dropbox, Inc. We refer to Dropbox Paper as Paper, Dropbox Smart Sync as Smart Sync, and Dropbox Showcase as Showcase in this prospectus. Other trademarks and trade names referred to in this prospectus are the property of their respective owners.</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JOBS Act</w:t>
      </w:r>
    </w:p>
    <w:p>
      <w:pPr>
        <w:spacing w:after="0" w:line="102" w:lineRule="exact"/>
        <w:rPr>
          <w:sz w:val="20"/>
          <w:szCs w:val="20"/>
          <w:color w:val="auto"/>
        </w:rPr>
      </w:pPr>
    </w:p>
    <w:p>
      <w:pPr>
        <w:ind w:left="1260" w:right="119" w:firstLine="356"/>
        <w:spacing w:after="0" w:line="290" w:lineRule="auto"/>
        <w:rPr>
          <w:sz w:val="20"/>
          <w:szCs w:val="20"/>
          <w:color w:val="auto"/>
        </w:rPr>
      </w:pPr>
      <w:r>
        <w:rPr>
          <w:rFonts w:ascii="Arial" w:cs="Arial" w:eastAsia="Arial" w:hAnsi="Arial"/>
          <w:sz w:val="14"/>
          <w:szCs w:val="14"/>
          <w:color w:val="auto"/>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w:t>
      </w:r>
    </w:p>
    <w:p>
      <w:pPr>
        <w:spacing w:after="0" w:line="200" w:lineRule="exact"/>
        <w:rPr>
          <w:sz w:val="20"/>
          <w:szCs w:val="20"/>
          <w:color w:val="auto"/>
        </w:rPr>
      </w:pPr>
    </w:p>
    <w:p>
      <w:pPr>
        <w:spacing w:after="0" w:line="29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219"/>
          </w:cols>
          <w:pgMar w:left="240" w:top="407"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183515</wp:posOffset>
            </wp:positionV>
            <wp:extent cx="5849620" cy="5004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9620" cy="5004435"/>
                    </a:xfrm>
                    <a:prstGeom prst="rect">
                      <a:avLst/>
                    </a:prstGeom>
                    <a:noFill/>
                  </pic:spPr>
                </pic:pic>
              </a:graphicData>
            </a:graphic>
          </wp:anchor>
        </w:drawing>
      </w:r>
    </w:p>
    <w:p>
      <w:pPr>
        <w:sectPr>
          <w:pgSz w:w="11900" w:h="16838" w:orient="portrait"/>
          <w:cols w:equalWidth="0" w:num="1">
            <w:col w:w="10320"/>
          </w:cols>
          <w:pgMar w:left="240" w:top="40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Class A common stock offered by us</w:t>
      </w:r>
    </w:p>
    <w:p>
      <w:pPr>
        <w:spacing w:after="0" w:line="222" w:lineRule="exact"/>
        <w:rPr>
          <w:sz w:val="20"/>
          <w:szCs w:val="20"/>
          <w:color w:val="auto"/>
        </w:rPr>
      </w:pPr>
    </w:p>
    <w:p>
      <w:pPr>
        <w:ind w:left="1340" w:right="400" w:hanging="65"/>
        <w:spacing w:after="0" w:line="275" w:lineRule="auto"/>
        <w:rPr>
          <w:sz w:val="20"/>
          <w:szCs w:val="20"/>
          <w:color w:val="auto"/>
        </w:rPr>
      </w:pPr>
      <w:r>
        <w:rPr>
          <w:rFonts w:ascii="Arial" w:cs="Arial" w:eastAsia="Arial" w:hAnsi="Arial"/>
          <w:sz w:val="15"/>
          <w:szCs w:val="15"/>
          <w:color w:val="auto"/>
        </w:rPr>
        <w:t>Class A common stock offered by the selling stockholders</w:t>
      </w:r>
    </w:p>
    <w:p>
      <w:pPr>
        <w:spacing w:after="0" w:line="180" w:lineRule="exact"/>
        <w:rPr>
          <w:sz w:val="20"/>
          <w:szCs w:val="20"/>
          <w:color w:val="auto"/>
        </w:rPr>
      </w:pPr>
    </w:p>
    <w:p>
      <w:pPr>
        <w:ind w:left="1340" w:hanging="65"/>
        <w:spacing w:after="0" w:line="275" w:lineRule="auto"/>
        <w:rPr>
          <w:sz w:val="20"/>
          <w:szCs w:val="20"/>
          <w:color w:val="auto"/>
        </w:rPr>
      </w:pPr>
      <w:r>
        <w:rPr>
          <w:rFonts w:ascii="Arial" w:cs="Arial" w:eastAsia="Arial" w:hAnsi="Arial"/>
          <w:sz w:val="15"/>
          <w:szCs w:val="15"/>
          <w:color w:val="auto"/>
        </w:rPr>
        <w:t>Class A common stock sold by us in the concurrent private placement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THE OFFERING</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26,822,409 shares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9,177,591 shares</w:t>
      </w:r>
    </w:p>
    <w:p>
      <w:pPr>
        <w:spacing w:after="0" w:line="200" w:lineRule="exact"/>
        <w:rPr>
          <w:sz w:val="20"/>
          <w:szCs w:val="20"/>
          <w:color w:val="auto"/>
        </w:rPr>
      </w:pPr>
    </w:p>
    <w:p>
      <w:pPr>
        <w:spacing w:after="0" w:line="203" w:lineRule="exact"/>
        <w:rPr>
          <w:sz w:val="20"/>
          <w:szCs w:val="20"/>
          <w:color w:val="auto"/>
        </w:rPr>
      </w:pPr>
    </w:p>
    <w:p>
      <w:pPr>
        <w:ind w:right="200"/>
        <w:spacing w:after="0" w:line="294" w:lineRule="auto"/>
        <w:rPr>
          <w:sz w:val="20"/>
          <w:szCs w:val="20"/>
          <w:color w:val="auto"/>
        </w:rPr>
      </w:pPr>
      <w:r>
        <w:rPr>
          <w:rFonts w:ascii="Arial" w:cs="Arial" w:eastAsia="Arial" w:hAnsi="Arial"/>
          <w:sz w:val="13"/>
          <w:szCs w:val="13"/>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$17.00 per share, which is the midpoint of the estimated offering price range set forth on the cover page of this prospectus, this would be 5,882,353 shares.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and lock-up agreement with the underwriters for a period of up to 180 days after the date of this prospectus. See “Shares Eligible for Future Sale—Lock-Up and Market Standoff Agreements” for additional information regarding such restrictions. We refer to the private placement of these shares of Class A common stock as the concurrent private placement.</w:t>
      </w:r>
    </w:p>
    <w:p>
      <w:pPr>
        <w:spacing w:after="0" w:line="166" w:lineRule="exact"/>
        <w:rPr>
          <w:sz w:val="20"/>
          <w:szCs w:val="20"/>
          <w:color w:val="auto"/>
        </w:rPr>
      </w:pPr>
    </w:p>
    <w:p>
      <w:pPr>
        <w:sectPr>
          <w:pgSz w:w="11900" w:h="16838" w:orient="portrait"/>
          <w:cols w:equalWidth="0" w:num="2">
            <w:col w:w="4360" w:space="280"/>
            <w:col w:w="5680"/>
          </w:cols>
          <w:pgMar w:left="240" w:top="407" w:right="1339" w:bottom="1440" w:gutter="0" w:footer="0" w:header="0"/>
          <w:type w:val="continuous"/>
        </w:sectPr>
      </w:pPr>
    </w:p>
    <w:tbl>
      <w:tblPr>
        <w:tblLayout w:type="fixed"/>
        <w:tblInd w:w="1120" w:type="dxa"/>
        <w:tblCellMar>
          <w:top w:w="0" w:type="dxa"/>
          <w:left w:w="0" w:type="dxa"/>
          <w:bottom w:w="0" w:type="dxa"/>
          <w:right w:w="0" w:type="dxa"/>
        </w:tblCellMar>
      </w:tblPr>
      <w:tr>
        <w:trPr>
          <w:trHeight w:val="180"/>
        </w:trPr>
        <w:tc>
          <w:tcPr>
            <w:tcW w:w="3500" w:type="dxa"/>
            <w:vAlign w:val="bottom"/>
          </w:tcPr>
          <w:p>
            <w:pPr>
              <w:ind w:left="140"/>
              <w:spacing w:after="0"/>
              <w:rPr>
                <w:sz w:val="20"/>
                <w:szCs w:val="20"/>
                <w:color w:val="auto"/>
              </w:rPr>
            </w:pPr>
            <w:r>
              <w:rPr>
                <w:rFonts w:ascii="Arial" w:cs="Arial" w:eastAsia="Arial" w:hAnsi="Arial"/>
                <w:sz w:val="15"/>
                <w:szCs w:val="15"/>
                <w:color w:val="auto"/>
              </w:rPr>
              <w:t>Class A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53,699,601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rPr>
              <w:t>Class B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339,323,858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w w:val="99"/>
              </w:rPr>
              <w:t>Class C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None</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w w:val="94"/>
              </w:rPr>
              <w:t>Total Class A common stock, Class B common stock,</w:t>
            </w:r>
          </w:p>
        </w:tc>
        <w:tc>
          <w:tcPr>
            <w:tcW w:w="5700" w:type="dxa"/>
            <w:vAlign w:val="bottom"/>
          </w:tcPr>
          <w:p>
            <w:pPr>
              <w:ind w:left="20"/>
              <w:spacing w:after="0"/>
              <w:rPr>
                <w:sz w:val="20"/>
                <w:szCs w:val="20"/>
                <w:color w:val="auto"/>
              </w:rPr>
            </w:pPr>
            <w:r>
              <w:rPr>
                <w:rFonts w:ascii="Arial" w:cs="Arial" w:eastAsia="Arial" w:hAnsi="Arial"/>
                <w:sz w:val="15"/>
                <w:szCs w:val="15"/>
                <w:color w:val="auto"/>
              </w:rPr>
              <w:t>393,023,459 shares</w:t>
            </w:r>
          </w:p>
        </w:tc>
      </w:tr>
      <w:tr>
        <w:trPr>
          <w:trHeight w:val="180"/>
        </w:trPr>
        <w:tc>
          <w:tcPr>
            <w:tcW w:w="3500" w:type="dxa"/>
            <w:vAlign w:val="bottom"/>
          </w:tcPr>
          <w:p>
            <w:pPr>
              <w:ind w:left="220"/>
              <w:spacing w:after="0"/>
              <w:rPr>
                <w:sz w:val="20"/>
                <w:szCs w:val="20"/>
                <w:color w:val="auto"/>
              </w:rPr>
            </w:pPr>
            <w:r>
              <w:rPr>
                <w:rFonts w:ascii="Arial" w:cs="Arial" w:eastAsia="Arial" w:hAnsi="Arial"/>
                <w:sz w:val="15"/>
                <w:szCs w:val="15"/>
                <w:color w:val="auto"/>
                <w:w w:val="89"/>
              </w:rPr>
              <w:t>and Class C common stock to be outstanding after this</w:t>
            </w:r>
          </w:p>
        </w:tc>
        <w:tc>
          <w:tcPr>
            <w:tcW w:w="5700" w:type="dxa"/>
            <w:vAlign w:val="bottom"/>
          </w:tcPr>
          <w:p>
            <w:pPr>
              <w:spacing w:after="0"/>
              <w:rPr>
                <w:sz w:val="15"/>
                <w:szCs w:val="15"/>
                <w:color w:val="auto"/>
              </w:rPr>
            </w:pP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rPr>
              <w:t>Option to purchase additional shares of Class A</w:t>
            </w:r>
          </w:p>
        </w:tc>
        <w:tc>
          <w:tcPr>
            <w:tcW w:w="5700" w:type="dxa"/>
            <w:vAlign w:val="bottom"/>
          </w:tcPr>
          <w:p>
            <w:pPr>
              <w:ind w:left="20"/>
              <w:spacing w:after="0"/>
              <w:rPr>
                <w:sz w:val="20"/>
                <w:szCs w:val="20"/>
                <w:color w:val="auto"/>
              </w:rPr>
            </w:pPr>
            <w:r>
              <w:rPr>
                <w:rFonts w:ascii="Arial" w:cs="Arial" w:eastAsia="Arial" w:hAnsi="Arial"/>
                <w:sz w:val="15"/>
                <w:szCs w:val="15"/>
                <w:color w:val="auto"/>
              </w:rPr>
              <w:t>5,400,000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common stock from us</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rPr>
              <w:t>Use of proceeds</w:t>
            </w:r>
          </w:p>
        </w:tc>
        <w:tc>
          <w:tcPr>
            <w:tcW w:w="5700" w:type="dxa"/>
            <w:vAlign w:val="bottom"/>
          </w:tcPr>
          <w:p>
            <w:pPr>
              <w:ind w:left="20"/>
              <w:spacing w:after="0"/>
              <w:rPr>
                <w:sz w:val="20"/>
                <w:szCs w:val="20"/>
                <w:color w:val="auto"/>
              </w:rPr>
            </w:pPr>
            <w:r>
              <w:rPr>
                <w:rFonts w:ascii="Arial" w:cs="Arial" w:eastAsia="Arial" w:hAnsi="Arial"/>
                <w:sz w:val="15"/>
                <w:szCs w:val="15"/>
                <w:color w:val="auto"/>
                <w:w w:val="97"/>
              </w:rPr>
              <w:t>We estimate that the net proceeds to us from the sale of shares of our Class A common</w:t>
            </w:r>
          </w:p>
        </w:tc>
      </w:tr>
      <w:tr>
        <w:trPr>
          <w:trHeight w:val="190"/>
        </w:trPr>
        <w:tc>
          <w:tcPr>
            <w:tcW w:w="35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5"/>
                <w:szCs w:val="15"/>
                <w:color w:val="auto"/>
              </w:rPr>
              <w:t>stock in this offering and the concurrent private</w:t>
            </w:r>
          </w:p>
        </w:tc>
      </w:tr>
      <w:tr>
        <w:trPr>
          <w:trHeight w:val="200"/>
        </w:trPr>
        <w:tc>
          <w:tcPr>
            <w:tcW w:w="350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r>
      <w:tr>
        <w:trPr>
          <w:trHeight w:val="502"/>
        </w:trPr>
        <w:tc>
          <w:tcPr>
            <w:tcW w:w="3500" w:type="dxa"/>
            <w:vAlign w:val="bottom"/>
          </w:tcPr>
          <w:p>
            <w:pPr>
              <w:spacing w:after="0"/>
              <w:rPr>
                <w:sz w:val="24"/>
                <w:szCs w:val="24"/>
                <w:color w:val="auto"/>
              </w:rPr>
            </w:pPr>
          </w:p>
        </w:tc>
        <w:tc>
          <w:tcPr>
            <w:tcW w:w="5700" w:type="dxa"/>
            <w:vAlign w:val="bottom"/>
          </w:tcPr>
          <w:p>
            <w:pPr>
              <w:ind w:left="1060"/>
              <w:spacing w:after="0"/>
              <w:rPr>
                <w:sz w:val="20"/>
                <w:szCs w:val="20"/>
                <w:color w:val="auto"/>
              </w:rPr>
            </w:pPr>
            <w:r>
              <w:rPr>
                <w:rFonts w:ascii="Arial" w:cs="Arial" w:eastAsia="Arial" w:hAnsi="Arial"/>
                <w:sz w:val="15"/>
                <w:szCs w:val="15"/>
                <w:color w:val="auto"/>
              </w:rPr>
              <w:t>7</w:t>
            </w:r>
          </w:p>
        </w:tc>
      </w:tr>
    </w:tbl>
    <w:p>
      <w:pPr>
        <w:sectPr>
          <w:pgSz w:w="11900" w:h="16838" w:orient="portrait"/>
          <w:cols w:equalWidth="0" w:num="1">
            <w:col w:w="10320"/>
          </w:cols>
          <w:pgMar w:left="240" w:top="407" w:right="1339" w:bottom="1440" w:gutter="0" w:footer="0" w:header="0"/>
          <w:type w:val="continuous"/>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796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9620" cy="4796790"/>
                    </a:xfrm>
                    <a:prstGeom prst="rect">
                      <a:avLst/>
                    </a:prstGeom>
                    <a:noFill/>
                  </pic:spPr>
                </pic:pic>
              </a:graphicData>
            </a:graphic>
          </wp:anchor>
        </w:drawing>
      </w:r>
    </w:p>
    <w:p>
      <w:pPr>
        <w:spacing w:after="0" w:line="397" w:lineRule="exact"/>
        <w:rPr>
          <w:sz w:val="20"/>
          <w:szCs w:val="20"/>
          <w:color w:val="auto"/>
        </w:rPr>
      </w:pPr>
    </w:p>
    <w:p>
      <w:pPr>
        <w:ind w:left="4640" w:right="259"/>
        <w:spacing w:after="0" w:line="302" w:lineRule="auto"/>
        <w:rPr>
          <w:sz w:val="20"/>
          <w:szCs w:val="20"/>
          <w:color w:val="auto"/>
        </w:rPr>
      </w:pPr>
      <w:r>
        <w:rPr>
          <w:rFonts w:ascii="Arial" w:cs="Arial" w:eastAsia="Arial" w:hAnsi="Arial"/>
          <w:sz w:val="13"/>
          <w:szCs w:val="13"/>
          <w:color w:val="auto"/>
        </w:rPr>
        <w:t>placement will be approximately $529.7 million (or approximately $617.4 million if the underwriters’ option to purchase additional shares of our Class A common stock from us and the selling stockholders is exercised in full),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w:t>
      </w:r>
    </w:p>
    <w:p>
      <w:pPr>
        <w:spacing w:after="0" w:line="168"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The principal purposes of this offering are to increase our capitalization and financial</w:t>
      </w:r>
    </w:p>
    <w:p>
      <w:pPr>
        <w:spacing w:after="0" w:line="29"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flexibility, create a public market for our Class A common stock, and enable access to the</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public equity markets for us and our stockholders. We intend to use a portion of the net</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proceeds we receive from this offering and the concurrent private placement to repay</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$172.8 million that is expected to be outstanding immediately prior to the completion of</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this offering under our revolving credit facility, which we intend to draw down prior to the</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completion of this offering to satisfy tax withholding and remittance obligations of</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$172.8 million related to the settlement of certain restricted stock units, or RSUs, for which</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the service condition was satisfied as of December 31, 2017, and for which we expect the</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liquidity event-related performance vesting condition, or the Performance Vesting</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Condition, to be satisfied upon the effectiveness of our registration statement related to this</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offering. This amount is based upon the assumed initial public offering price of $17.00 per</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share, which is the midpoint of the estimated offering price range set forth on the cover</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page of this prospectus. We also intend to use the net proceeds we receive from this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offering and the concurrent private placement for general corporate purposes, including</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working capital, operating expenses, and capital expenditures. Additionally, we may use a</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portion of the net proceeds we receive from this offering and the concurrent private</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placement to acquire businesses, products, services, or technologies. However, we do not</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have agreements or commitments for any material acquisitions at this time. We will not</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receive any of the proceeds from the sale of Class A common stock in this offering by the</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selling stockholders. See “Use of Proceeds” for additional information.</w:t>
      </w:r>
    </w:p>
    <w:p>
      <w:pPr>
        <w:spacing w:after="0" w:line="201" w:lineRule="exact"/>
        <w:rPr>
          <w:sz w:val="20"/>
          <w:szCs w:val="20"/>
          <w:color w:val="auto"/>
        </w:rPr>
      </w:pPr>
    </w:p>
    <w:p>
      <w:pPr>
        <w:ind w:left="1260"/>
        <w:spacing w:after="0"/>
        <w:tabs>
          <w:tab w:leader="none" w:pos="4620" w:val="left"/>
        </w:tabs>
        <w:rPr>
          <w:sz w:val="20"/>
          <w:szCs w:val="20"/>
          <w:color w:val="auto"/>
        </w:rPr>
      </w:pPr>
      <w:r>
        <w:rPr>
          <w:rFonts w:ascii="Arial" w:cs="Arial" w:eastAsia="Arial" w:hAnsi="Arial"/>
          <w:sz w:val="15"/>
          <w:szCs w:val="15"/>
          <w:color w:val="auto"/>
        </w:rPr>
        <w:t>Voting rights</w:t>
      </w:r>
      <w:r>
        <w:rPr>
          <w:sz w:val="20"/>
          <w:szCs w:val="20"/>
          <w:color w:val="auto"/>
        </w:rPr>
        <w:tab/>
      </w:r>
      <w:r>
        <w:rPr>
          <w:rFonts w:ascii="Arial" w:cs="Arial" w:eastAsia="Arial" w:hAnsi="Arial"/>
          <w:sz w:val="13"/>
          <w:szCs w:val="13"/>
          <w:color w:val="auto"/>
        </w:rPr>
        <w:t>Shares of our Class A common stock are entitled to one vote per share.</w:t>
      </w:r>
    </w:p>
    <w:p>
      <w:pPr>
        <w:spacing w:after="0" w:line="222"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Shares of our Class B common stock are entitled to ten votes per share.</w:t>
      </w:r>
    </w:p>
    <w:p>
      <w:pPr>
        <w:spacing w:after="0" w:line="211" w:lineRule="exact"/>
        <w:rPr>
          <w:sz w:val="20"/>
          <w:szCs w:val="20"/>
          <w:color w:val="auto"/>
        </w:rPr>
      </w:pPr>
    </w:p>
    <w:p>
      <w:pPr>
        <w:ind w:left="4640" w:right="79"/>
        <w:spacing w:after="0" w:line="275" w:lineRule="auto"/>
        <w:rPr>
          <w:sz w:val="20"/>
          <w:szCs w:val="20"/>
          <w:color w:val="auto"/>
        </w:rPr>
      </w:pPr>
      <w:r>
        <w:rPr>
          <w:rFonts w:ascii="Arial" w:cs="Arial" w:eastAsia="Arial" w:hAnsi="Arial"/>
          <w:sz w:val="15"/>
          <w:szCs w:val="15"/>
          <w:color w:val="auto"/>
        </w:rPr>
        <w:t>Shares of our Class C common stock have no voting rights, except as otherwise required by law.</w:t>
      </w:r>
    </w:p>
    <w:p>
      <w:pPr>
        <w:spacing w:after="0" w:line="169" w:lineRule="exact"/>
        <w:rPr>
          <w:sz w:val="20"/>
          <w:szCs w:val="20"/>
          <w:color w:val="auto"/>
        </w:rPr>
      </w:pPr>
    </w:p>
    <w:p>
      <w:pPr>
        <w:ind w:left="4640" w:right="299"/>
        <w:spacing w:after="0" w:line="263" w:lineRule="auto"/>
        <w:rPr>
          <w:sz w:val="20"/>
          <w:szCs w:val="20"/>
          <w:color w:val="auto"/>
        </w:rPr>
      </w:pPr>
      <w:r>
        <w:rPr>
          <w:rFonts w:ascii="Arial" w:cs="Arial" w:eastAsia="Arial" w:hAnsi="Arial"/>
          <w:sz w:val="15"/>
          <w:szCs w:val="15"/>
          <w:color w:val="auto"/>
        </w:rPr>
        <w:t>Holders of our Class A common stock and Class B common stock will generally vote together as a single class, unless otherwise required by law or our amended and restated certificate of</w:t>
      </w:r>
    </w:p>
    <w:p>
      <w:pPr>
        <w:spacing w:after="0" w:line="200" w:lineRule="exact"/>
        <w:rPr>
          <w:sz w:val="20"/>
          <w:szCs w:val="20"/>
          <w:color w:val="auto"/>
        </w:rPr>
      </w:pPr>
    </w:p>
    <w:p>
      <w:pPr>
        <w:spacing w:after="0" w:line="3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219"/>
          </w:cols>
          <w:pgMar w:left="24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653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9620" cy="4653280"/>
                    </a:xfrm>
                    <a:prstGeom prst="rect">
                      <a:avLst/>
                    </a:prstGeom>
                    <a:noFill/>
                  </pic:spPr>
                </pic:pic>
              </a:graphicData>
            </a:graphic>
          </wp:anchor>
        </w:drawing>
      </w:r>
    </w:p>
    <w:p>
      <w:pPr>
        <w:spacing w:after="0" w:line="397" w:lineRule="exact"/>
        <w:rPr>
          <w:sz w:val="20"/>
          <w:szCs w:val="20"/>
          <w:color w:val="auto"/>
        </w:rPr>
      </w:pPr>
    </w:p>
    <w:p>
      <w:pPr>
        <w:ind w:left="4640" w:right="139"/>
        <w:spacing w:after="0" w:line="274" w:lineRule="auto"/>
        <w:rPr>
          <w:sz w:val="20"/>
          <w:szCs w:val="20"/>
          <w:color w:val="auto"/>
        </w:rPr>
      </w:pPr>
      <w:r>
        <w:rPr>
          <w:rFonts w:ascii="Arial" w:cs="Arial" w:eastAsia="Arial" w:hAnsi="Arial"/>
          <w:sz w:val="14"/>
          <w:szCs w:val="14"/>
          <w:color w:val="auto"/>
        </w:rPr>
        <w:t>incorporation. The holders of our outstanding Class B common stock will hold approximately 98.0% of the voting power of our outstanding capital stock following this offering and the concurrent private placement and will have the ability to control the outcome of matters submitted to our stockholders for approval, including the election of our directors and the approval of any change in control transaction. Additionally, our executive officers, directors, and holders of 5% or more of our common stock will hold, in the aggregate, approximately 68.7% of the voting power of our outstanding capital stock following this offering and the concurrent private placement. See “Principal and Selling Stockholders” and “Description of Capital Stock” for additional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Proposed Nasdaq Global Select Market trading symbol “DBX”</w:t>
      </w:r>
    </w:p>
    <w:p>
      <w:pPr>
        <w:sectPr>
          <w:pgSz w:w="11900" w:h="16838" w:orient="portrait"/>
          <w:cols w:equalWidth="0" w:num="1">
            <w:col w:w="10219"/>
          </w:cols>
          <w:pgMar w:left="240" w:top="407" w:right="1440" w:bottom="1440" w:gutter="0" w:footer="0" w:header="0"/>
        </w:sectPr>
      </w:pP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Conflict of interest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79"/>
        <w:spacing w:after="0" w:line="272" w:lineRule="auto"/>
        <w:rPr>
          <w:sz w:val="20"/>
          <w:szCs w:val="20"/>
          <w:color w:val="auto"/>
        </w:rPr>
      </w:pPr>
      <w:r>
        <w:rPr>
          <w:rFonts w:ascii="Arial" w:cs="Arial" w:eastAsia="Arial" w:hAnsi="Arial"/>
          <w:sz w:val="14"/>
          <w:szCs w:val="14"/>
          <w:color w:val="auto"/>
        </w:rPr>
        <w:t>Affiliates of Goldman Sachs &amp; Co. LLC, J.P. Morgan Securities LLC, Deutsche Bank Securities Inc., and Merrill Lynch, Pierce, Fenner &amp; Smith Incorporated, underwriters in this offering, will receive at least 5% of the net proceeds of this offering in connection with the repayment of $172.8 million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of 1933, as amended, or the Securities Act.</w:t>
      </w:r>
    </w:p>
    <w:p>
      <w:pPr>
        <w:spacing w:after="0" w:line="156" w:lineRule="exact"/>
        <w:rPr>
          <w:sz w:val="20"/>
          <w:szCs w:val="20"/>
          <w:color w:val="auto"/>
        </w:rPr>
      </w:pPr>
    </w:p>
    <w:p>
      <w:pPr>
        <w:sectPr>
          <w:pgSz w:w="11900" w:h="16838" w:orient="portrait"/>
          <w:cols w:equalWidth="0" w:num="2">
            <w:col w:w="3920" w:space="720"/>
            <w:col w:w="5579"/>
          </w:cols>
          <w:pgMar w:left="240" w:top="407" w:right="1440" w:bottom="1440" w:gutter="0" w:footer="0" w:header="0"/>
          <w:type w:val="continuous"/>
        </w:sectPr>
      </w:pPr>
    </w:p>
    <w:p>
      <w:pPr>
        <w:ind w:left="1260" w:right="279" w:firstLine="356"/>
        <w:spacing w:after="0" w:line="290" w:lineRule="auto"/>
        <w:rPr>
          <w:sz w:val="20"/>
          <w:szCs w:val="20"/>
          <w:color w:val="auto"/>
        </w:rPr>
      </w:pPr>
      <w:r>
        <w:rPr>
          <w:rFonts w:ascii="Arial" w:cs="Arial" w:eastAsia="Arial" w:hAnsi="Arial"/>
          <w:sz w:val="14"/>
          <w:szCs w:val="14"/>
          <w:color w:val="auto"/>
        </w:rPr>
        <w:t>The number of shares of our Class A common stock, Class B common stock, and Class C common stock that will be outstanding after this offering and the concurrent private placement is based on 11,817,248 shares of our Class A common stock, 348,501,449 shares of our Class B common stock, and no shares of our Class C common stock outstanding as of December 31, 2017, and reflects:</w:t>
      </w:r>
    </w:p>
    <w:p>
      <w:pPr>
        <w:spacing w:after="0" w:line="59" w:lineRule="exact"/>
        <w:rPr>
          <w:sz w:val="20"/>
          <w:szCs w:val="20"/>
          <w:color w:val="auto"/>
        </w:rPr>
      </w:pPr>
    </w:p>
    <w:p>
      <w:pPr>
        <w:ind w:left="1960" w:right="79" w:hanging="255"/>
        <w:spacing w:after="0" w:line="257" w:lineRule="auto"/>
        <w:tabs>
          <w:tab w:leader="none" w:pos="1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 258,620 shares of preferred stock and 2,609,951 shares of Class B common stock that will convert into Class A common stock immediately prior to the completion of this offering pursuant to the terms of certain transfer agreements, and (ii) 147,310,563 shares of preferred stock that will automatically convert into shares of Class B common stock immediately prior to the completion of this offering pursuant to the terms of our amended and restated certificate of incorporation, which we refer to, collectively, as the Capital Stock Conversions; and</w:t>
      </w:r>
    </w:p>
    <w:p>
      <w:pPr>
        <w:spacing w:after="0" w:line="80" w:lineRule="exact"/>
        <w:rPr>
          <w:rFonts w:ascii="Arial" w:cs="Arial" w:eastAsia="Arial" w:hAnsi="Arial"/>
          <w:sz w:val="15"/>
          <w:szCs w:val="15"/>
          <w:color w:val="auto"/>
        </w:rPr>
      </w:pPr>
    </w:p>
    <w:p>
      <w:pPr>
        <w:ind w:left="1960" w:right="219" w:hanging="255"/>
        <w:spacing w:after="0" w:line="283" w:lineRule="auto"/>
        <w:tabs>
          <w:tab w:leader="none" w:pos="1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15,897,254 shares of our Class B common stock subject to RSUs, for which the service condition was satisfied as of December 31, 2017, and for which we expect the Performance Vesting Condition to be satisfied upon the effectiveness of our registration statement related to this offering (after repurchasing 10,163,817 shares of our Class B common stock subject to RSUs to satisfy tax withholding obligations at an assumed tax rate of 39%, with an equivalent number of shares of our Class A common stock</w:t>
      </w:r>
    </w:p>
    <w:p>
      <w:pPr>
        <w:spacing w:after="0" w:line="200" w:lineRule="exact"/>
        <w:rPr>
          <w:sz w:val="20"/>
          <w:szCs w:val="20"/>
          <w:color w:val="auto"/>
        </w:rPr>
      </w:pPr>
    </w:p>
    <w:p>
      <w:pPr>
        <w:spacing w:after="0" w:line="30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19"/>
          </w:cols>
          <w:pgMar w:left="240" w:top="407" w:right="1440" w:bottom="1440" w:gutter="0" w:footer="0" w:header="0"/>
          <w:type w:val="continuous"/>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732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9620" cy="4732020"/>
                    </a:xfrm>
                    <a:prstGeom prst="rect">
                      <a:avLst/>
                    </a:prstGeom>
                    <a:noFill/>
                  </pic:spPr>
                </pic:pic>
              </a:graphicData>
            </a:graphic>
          </wp:anchor>
        </w:drawing>
      </w:r>
    </w:p>
    <w:p>
      <w:pPr>
        <w:spacing w:after="0" w:line="397"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becoming available for issuance under our 2018 Equity Incentive Plan, or our 2018 Plan), or the RSU Settlement.</w:t>
      </w:r>
    </w:p>
    <w:p>
      <w:pPr>
        <w:spacing w:after="0" w:line="188" w:lineRule="exact"/>
        <w:rPr>
          <w:sz w:val="20"/>
          <w:szCs w:val="20"/>
          <w:color w:val="auto"/>
        </w:rPr>
      </w:pPr>
    </w:p>
    <w:p>
      <w:pPr>
        <w:ind w:left="1260" w:right="119" w:firstLine="356"/>
        <w:spacing w:after="0" w:line="275" w:lineRule="auto"/>
        <w:rPr>
          <w:sz w:val="20"/>
          <w:szCs w:val="20"/>
          <w:color w:val="auto"/>
        </w:rPr>
      </w:pPr>
      <w:r>
        <w:rPr>
          <w:rFonts w:ascii="Arial" w:cs="Arial" w:eastAsia="Arial" w:hAnsi="Arial"/>
          <w:sz w:val="15"/>
          <w:szCs w:val="15"/>
          <w:color w:val="auto"/>
        </w:rPr>
        <w:t>The shares of our Class A common stock, Class B common stock, and Class C common stock outstanding as of December 31, 2017 excludes the following:</w:t>
      </w:r>
    </w:p>
    <w:p>
      <w:pPr>
        <w:spacing w:after="0" w:line="67" w:lineRule="exact"/>
        <w:rPr>
          <w:sz w:val="20"/>
          <w:szCs w:val="20"/>
          <w:color w:val="auto"/>
        </w:rPr>
      </w:pPr>
    </w:p>
    <w:p>
      <w:pPr>
        <w:ind w:left="1960" w:right="179" w:hanging="255"/>
        <w:spacing w:after="0" w:line="354" w:lineRule="auto"/>
        <w:tabs>
          <w:tab w:leader="none" w:pos="19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14,733,333 shares of our Class A common stock subject to restricted stock awards, or RSAs, that were granted to our co-founders, or collectively, the Co-Founder Grants, and vest upon the satisfaction of a service condition and achievement of certain stock price goals;</w:t>
      </w:r>
    </w:p>
    <w:p>
      <w:pPr>
        <w:spacing w:after="0" w:line="21" w:lineRule="exact"/>
        <w:rPr>
          <w:rFonts w:ascii="Arial" w:cs="Arial" w:eastAsia="Arial" w:hAnsi="Arial"/>
          <w:sz w:val="13"/>
          <w:szCs w:val="13"/>
          <w:color w:val="auto"/>
        </w:rPr>
      </w:pPr>
    </w:p>
    <w:p>
      <w:pPr>
        <w:ind w:left="1960" w:right="21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960" w:right="13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400" w:right="119" w:hanging="346"/>
        <w:spacing w:after="0" w:line="263"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51,532,143 shares of our Class A common stock to be reserved for future issuance under our 2018 Plan, which will become effective prior to the completion of this offering (including the shares that will be repurchased by us in connection with the RSU Settlement);</w:t>
      </w:r>
    </w:p>
    <w:p>
      <w:pPr>
        <w:spacing w:after="0" w:line="75" w:lineRule="exact"/>
        <w:rPr>
          <w:rFonts w:ascii="Arial" w:cs="Arial" w:eastAsia="Arial" w:hAnsi="Arial"/>
          <w:sz w:val="15"/>
          <w:szCs w:val="15"/>
          <w:color w:val="auto"/>
        </w:rPr>
      </w:pPr>
    </w:p>
    <w:p>
      <w:pPr>
        <w:ind w:left="2400" w:right="119" w:hanging="346"/>
        <w:spacing w:after="0" w:line="257"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10,313,134 shares of our Class A common stock reserved for future issuance under our 2017 Equity Incentive Plan, or our 2017 Plan, which number of shares includes an additional 1,333,333 shares of our Class A common stock reserved for issuance under our 2017 Plan that was approved by our Board of Directors in February 2018 (and which we expect our stockholders to approve), and will be added to the shares of our Class A common stock to be reserved for future issuance under our 2018 Plan upon its effectiveness;</w:t>
      </w:r>
    </w:p>
    <w:p>
      <w:pPr>
        <w:spacing w:after="0" w:line="80" w:lineRule="exact"/>
        <w:rPr>
          <w:rFonts w:ascii="Arial" w:cs="Arial" w:eastAsia="Arial" w:hAnsi="Arial"/>
          <w:sz w:val="15"/>
          <w:szCs w:val="15"/>
          <w:color w:val="auto"/>
        </w:rPr>
      </w:pPr>
    </w:p>
    <w:p>
      <w:pPr>
        <w:ind w:left="2400" w:right="179" w:hanging="346"/>
        <w:spacing w:after="0" w:line="263"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2018 Employee Stock Purchase Plan, or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960" w:right="15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45,505,158 shares of our Class C common stock reserved for future issuance under certain other equity compensation plans, consisting of:</w:t>
      </w:r>
    </w:p>
    <w:p>
      <w:pPr>
        <w:spacing w:after="0" w:line="67" w:lineRule="exact"/>
        <w:rPr>
          <w:rFonts w:ascii="Arial" w:cs="Arial" w:eastAsia="Arial" w:hAnsi="Arial"/>
          <w:sz w:val="15"/>
          <w:szCs w:val="15"/>
          <w:color w:val="auto"/>
        </w:rPr>
      </w:pPr>
    </w:p>
    <w:p>
      <w:pPr>
        <w:ind w:left="2400" w:right="99" w:hanging="346"/>
        <w:spacing w:after="0" w:line="275"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Stock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400" w:right="79" w:hanging="346"/>
        <w:spacing w:after="0" w:line="290" w:lineRule="auto"/>
        <w:tabs>
          <w:tab w:leader="none" w:pos="2400" w:val="left"/>
        </w:tabs>
        <w:numPr>
          <w:ilvl w:val="1"/>
          <w:numId w:val="9"/>
        </w:numPr>
        <w:rPr>
          <w:rFonts w:ascii="Arial" w:cs="Arial" w:eastAsia="Arial" w:hAnsi="Arial"/>
          <w:sz w:val="14"/>
          <w:szCs w:val="14"/>
          <w:color w:val="auto"/>
        </w:rPr>
      </w:pPr>
      <w:r>
        <w:rPr>
          <w:rFonts w:ascii="Arial" w:cs="Arial" w:eastAsia="Arial" w:hAnsi="Arial"/>
          <w:sz w:val="14"/>
          <w:szCs w:val="14"/>
          <w:color w:val="auto"/>
        </w:rPr>
        <w:t>4,136,832 shares of our Class C common stock to be reserved for future issuance under our 2018 Class C Employee Stock Purchase Plan, or our Class C ESPP, which will become effective prior to the completion of this offering, but no offering periods under the Class C ESPP will commence unless and until otherwise determined by our Board of Directors.</w:t>
      </w:r>
    </w:p>
    <w:p>
      <w:pPr>
        <w:spacing w:after="0" w:line="138" w:lineRule="exact"/>
        <w:rPr>
          <w:sz w:val="20"/>
          <w:szCs w:val="20"/>
          <w:color w:val="auto"/>
        </w:rPr>
      </w:pPr>
    </w:p>
    <w:p>
      <w:pPr>
        <w:ind w:left="1260" w:right="399" w:firstLine="356"/>
        <w:spacing w:after="0" w:line="275" w:lineRule="auto"/>
        <w:rPr>
          <w:sz w:val="20"/>
          <w:szCs w:val="20"/>
          <w:color w:val="auto"/>
        </w:rPr>
      </w:pPr>
      <w:r>
        <w:rPr>
          <w:rFonts w:ascii="Arial" w:cs="Arial" w:eastAsia="Arial" w:hAnsi="Arial"/>
          <w:sz w:val="15"/>
          <w:szCs w:val="15"/>
          <w:color w:val="auto"/>
        </w:rPr>
        <w:t>The Co-Founder Grants are legally issued and outstanding shares of our Class A common stock and, as a result, the holders have certain stockholder rights, such as the right to vote the shares immediately upon grant and prior to their vesting.</w:t>
      </w: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19"/>
          </w:cols>
          <w:pgMar w:left="24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2985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9620" cy="2985135"/>
                    </a:xfrm>
                    <a:prstGeom prst="rect">
                      <a:avLst/>
                    </a:prstGeom>
                    <a:noFill/>
                  </pic:spPr>
                </pic:pic>
              </a:graphicData>
            </a:graphic>
          </wp:anchor>
        </w:drawing>
      </w:r>
    </w:p>
    <w:p>
      <w:pPr>
        <w:spacing w:after="0" w:line="397" w:lineRule="exact"/>
        <w:rPr>
          <w:sz w:val="20"/>
          <w:szCs w:val="20"/>
          <w:color w:val="auto"/>
        </w:rPr>
      </w:pPr>
    </w:p>
    <w:p>
      <w:pPr>
        <w:ind w:left="1260" w:right="59" w:firstLine="356"/>
        <w:spacing w:after="0" w:line="255"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 such plans will provide for annual automatic increases in the number of shares of our Class C common stock reserved thereunder.</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Except as otherwise indicated, all information in this prospectus assumes:</w:t>
      </w:r>
    </w:p>
    <w:p>
      <w:pPr>
        <w:spacing w:after="0" w:line="109" w:lineRule="exact"/>
        <w:rPr>
          <w:sz w:val="20"/>
          <w:szCs w:val="20"/>
          <w:color w:val="auto"/>
        </w:rPr>
      </w:pPr>
    </w:p>
    <w:p>
      <w:pPr>
        <w:ind w:left="1960" w:hanging="255"/>
        <w:spacing w:after="0"/>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1-for-1.5 reverse stock split effected on March 7, 2018;</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Capital Stock Conversions will occur immediately prior to the completion of this offering;</w:t>
      </w:r>
    </w:p>
    <w:p>
      <w:pPr>
        <w:spacing w:after="0" w:line="109" w:lineRule="exact"/>
        <w:rPr>
          <w:rFonts w:ascii="Arial" w:cs="Arial" w:eastAsia="Arial" w:hAnsi="Arial"/>
          <w:sz w:val="15"/>
          <w:szCs w:val="15"/>
          <w:color w:val="auto"/>
        </w:rPr>
      </w:pPr>
    </w:p>
    <w:p>
      <w:pPr>
        <w:ind w:left="1960" w:right="239" w:hanging="255"/>
        <w:spacing w:after="0" w:line="290" w:lineRule="auto"/>
        <w:tabs>
          <w:tab w:leader="none" w:pos="19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issuance of 5,882,353 shares of our Class A common stock to Salesforce Ventures LLC upon the closing of the concurrent private placement immediately subsequent to the closing of this offering, based upon the assumed initial public offering price of $17.00 per share, which is the midpoint of the estimated offering price range set forth on the cover page of this prospectus;</w:t>
      </w:r>
    </w:p>
    <w:p>
      <w:pPr>
        <w:spacing w:after="0" w:line="59" w:lineRule="exact"/>
        <w:rPr>
          <w:rFonts w:ascii="Arial" w:cs="Arial" w:eastAsia="Arial" w:hAnsi="Arial"/>
          <w:sz w:val="14"/>
          <w:szCs w:val="14"/>
          <w:color w:val="auto"/>
        </w:rPr>
      </w:pPr>
    </w:p>
    <w:p>
      <w:pPr>
        <w:ind w:left="1960" w:right="219" w:hanging="255"/>
        <w:spacing w:after="0" w:line="275" w:lineRule="auto"/>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67" w:lineRule="exact"/>
        <w:rPr>
          <w:rFonts w:ascii="Arial" w:cs="Arial" w:eastAsia="Arial" w:hAnsi="Arial"/>
          <w:sz w:val="15"/>
          <w:szCs w:val="15"/>
          <w:color w:val="auto"/>
        </w:rPr>
      </w:pPr>
    </w:p>
    <w:p>
      <w:pPr>
        <w:ind w:left="1960" w:right="239" w:hanging="255"/>
        <w:spacing w:after="0" w:line="275" w:lineRule="auto"/>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conversion of shares of our Class B common stock held by certain selling stockholders into an equivalent number of shares of our Class A common stock upon the sale by the selling stockholders in this offering;</w:t>
      </w:r>
    </w:p>
    <w:p>
      <w:pPr>
        <w:spacing w:after="0" w:line="67" w:lineRule="exact"/>
        <w:rPr>
          <w:rFonts w:ascii="Arial" w:cs="Arial" w:eastAsia="Arial" w:hAnsi="Arial"/>
          <w:sz w:val="15"/>
          <w:szCs w:val="15"/>
          <w:color w:val="auto"/>
        </w:rPr>
      </w:pPr>
    </w:p>
    <w:p>
      <w:pPr>
        <w:ind w:left="1960" w:right="439" w:hanging="255"/>
        <w:spacing w:after="0" w:line="275" w:lineRule="auto"/>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 exercise of outstanding stock options or settlement of outstanding RSUs subsequent to December 31, 2017, other than the RSU Settlement; and</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an additional 5,400,000 shares of our Class A common stock from us.</w:t>
      </w:r>
    </w:p>
    <w:p>
      <w:pPr>
        <w:spacing w:after="0" w:line="200" w:lineRule="exact"/>
        <w:rPr>
          <w:sz w:val="20"/>
          <w:szCs w:val="20"/>
          <w:color w:val="auto"/>
        </w:rPr>
      </w:pPr>
    </w:p>
    <w:p>
      <w:pPr>
        <w:spacing w:after="0" w:line="37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19"/>
          </w:cols>
          <w:pgMar w:left="24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453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9620" cy="4453255"/>
                    </a:xfrm>
                    <a:prstGeom prst="rect">
                      <a:avLst/>
                    </a:prstGeom>
                    <a:noFill/>
                  </pic:spPr>
                </pic:pic>
              </a:graphicData>
            </a:graphic>
          </wp:anchor>
        </w:drawing>
      </w:r>
    </w:p>
    <w:p>
      <w:pPr>
        <w:spacing w:after="0" w:line="393"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92" w:lineRule="exact"/>
        <w:rPr>
          <w:sz w:val="20"/>
          <w:szCs w:val="20"/>
          <w:color w:val="auto"/>
        </w:rPr>
      </w:pPr>
    </w:p>
    <w:p>
      <w:pPr>
        <w:ind w:left="1260" w:right="180" w:firstLine="356"/>
        <w:spacing w:after="0" w:line="276" w:lineRule="auto"/>
        <w:rPr>
          <w:sz w:val="20"/>
          <w:szCs w:val="20"/>
          <w:color w:val="auto"/>
        </w:rPr>
      </w:pPr>
      <w:r>
        <w:rPr>
          <w:rFonts w:ascii="Arial" w:cs="Arial" w:eastAsia="Arial" w:hAnsi="Arial"/>
          <w:sz w:val="14"/>
          <w:szCs w:val="14"/>
          <w:color w:val="auto"/>
        </w:rPr>
        <w:t>The following summary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2016, and 2017, and the consolidated balance sheet data as of December 31, 2017 are derived from our audited consolidated financial statements that are included elsewhere in this prospectus. Our historical results are not necessarily indicative of our future results. The summary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0"/>
              </w:rPr>
              <w:t>Year ended December 31,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7"/>
              <w:spacing w:after="0" w:line="115" w:lineRule="exact"/>
              <w:rPr>
                <w:sz w:val="20"/>
                <w:szCs w:val="20"/>
                <w:color w:val="auto"/>
              </w:rPr>
            </w:pPr>
            <w:r>
              <w:rPr>
                <w:rFonts w:ascii="Arial" w:cs="Arial" w:eastAsia="Arial" w:hAnsi="Arial"/>
                <w:sz w:val="12"/>
                <w:szCs w:val="12"/>
                <w:b w:val="1"/>
                <w:bCs w:val="1"/>
                <w:color w:val="auto"/>
                <w:w w:val="97"/>
              </w:rPr>
              <w:t>2015</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w w:val="97"/>
              </w:rPr>
              <w:t>2016</w:t>
            </w: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7"/>
          </w:tcPr>
          <w:p>
            <w:pPr>
              <w:jc w:val="right"/>
              <w:ind w:right="126"/>
              <w:spacing w:after="0" w:line="127" w:lineRule="exact"/>
              <w:rPr>
                <w:sz w:val="20"/>
                <w:szCs w:val="20"/>
                <w:color w:val="auto"/>
              </w:rPr>
            </w:pPr>
            <w:r>
              <w:rPr>
                <w:rFonts w:ascii="Arial" w:cs="Arial" w:eastAsia="Arial" w:hAnsi="Arial"/>
                <w:sz w:val="12"/>
                <w:szCs w:val="12"/>
                <w:i w:val="1"/>
                <w:iCs w:val="1"/>
                <w:color w:val="auto"/>
                <w:w w:val="94"/>
              </w:rPr>
              <w:t>(In millions, except for per share amounts)</w:t>
            </w:r>
          </w:p>
        </w:tc>
        <w:tc>
          <w:tcPr>
            <w:tcW w:w="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603.8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844.8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1,106.8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32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407.4</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390.6</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368.9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196.4</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454.2</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737.9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289.7</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193.1</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250.6</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314.0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107.4</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502.6</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647.7</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851.6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(306.2)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4.9</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Loss before income taxes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(325.6)</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(205.0)</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(325.9)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(210.2)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(2)</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5"/>
                <w:szCs w:val="15"/>
                <w:color w:val="auto"/>
              </w:rPr>
              <w:t>(1.77)</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167" w:lineRule="exact"/>
              <w:rPr>
                <w:sz w:val="20"/>
                <w:szCs w:val="20"/>
                <w:color w:val="auto"/>
              </w:rPr>
            </w:pPr>
            <w:r>
              <w:rPr>
                <w:rFonts w:ascii="Arial" w:cs="Arial" w:eastAsia="Arial" w:hAnsi="Arial"/>
                <w:sz w:val="15"/>
                <w:szCs w:val="15"/>
                <w:color w:val="auto"/>
              </w:rPr>
              <w:t>(1.11)</w:t>
            </w:r>
          </w:p>
        </w:tc>
        <w:tc>
          <w:tcPr>
            <w:tcW w:w="160" w:type="dxa"/>
            <w:vAlign w:val="bottom"/>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w w:val="93"/>
              </w:rPr>
              <w:t>Weighted-average shares used in computing net loss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63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12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184.5</w:t>
            </w:r>
          </w:p>
        </w:tc>
        <w:tc>
          <w:tcPr>
            <w:tcW w:w="1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189.1</w:t>
            </w:r>
          </w:p>
        </w:tc>
        <w:tc>
          <w:tcPr>
            <w:tcW w:w="1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195.9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w:t>
            </w: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w w:val="97"/>
              </w:rPr>
              <w:t>Weighted-average shares used in computing pro forma net loss per share attributable to common</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6340" w:type="dxa"/>
            <w:vAlign w:val="bottom"/>
          </w:tcPr>
          <w:p>
            <w:pPr>
              <w:ind w:left="160"/>
              <w:spacing w:after="0"/>
              <w:rPr>
                <w:sz w:val="20"/>
                <w:szCs w:val="20"/>
                <w:color w:val="auto"/>
              </w:rPr>
            </w:pPr>
            <w:r>
              <w:rPr>
                <w:rFonts w:ascii="Arial" w:cs="Arial" w:eastAsia="Arial" w:hAnsi="Arial"/>
                <w:sz w:val="15"/>
                <w:szCs w:val="15"/>
                <w:color w:val="auto"/>
              </w:rPr>
              <w:t>stockholders, basic and diluted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358.6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4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6480" w:type="dxa"/>
            <w:vAlign w:val="bottom"/>
            <w:gridSpan w:val="2"/>
          </w:tcPr>
          <w:p>
            <w:pPr>
              <w:jc w:val="right"/>
              <w:ind w:right="1745"/>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376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9620" cy="5376545"/>
                    </a:xfrm>
                    <a:prstGeom prst="rect">
                      <a:avLst/>
                    </a:prstGeom>
                    <a:noFill/>
                  </pic:spPr>
                </pic:pic>
              </a:graphicData>
            </a:graphic>
          </wp:anchor>
        </w:drawing>
      </w:r>
    </w:p>
    <w:p>
      <w:pPr>
        <w:spacing w:after="0" w:line="308" w:lineRule="exact"/>
        <w:rPr>
          <w:sz w:val="20"/>
          <w:szCs w:val="20"/>
          <w:color w:val="auto"/>
        </w:rPr>
      </w:pPr>
    </w:p>
    <w:p>
      <w:pPr>
        <w:ind w:left="1520" w:hanging="255"/>
        <w:spacing w:after="0"/>
        <w:tabs>
          <w:tab w:leader="none" w:pos="152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w:t>
      </w:r>
    </w:p>
    <w:p>
      <w:pPr>
        <w:spacing w:after="0" w:line="189" w:lineRule="exact"/>
        <w:rPr>
          <w:sz w:val="20"/>
          <w:szCs w:val="20"/>
          <w:color w:val="auto"/>
        </w:rPr>
      </w:pPr>
    </w:p>
    <w:tbl>
      <w:tblPr>
        <w:tblLayout w:type="fixed"/>
        <w:tblInd w:w="16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7"/>
              </w:rPr>
              <w:t>2015</w:t>
            </w:r>
          </w:p>
        </w:tc>
        <w:tc>
          <w:tcPr>
            <w:tcW w:w="3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tcPr>
          <w:p>
            <w:pPr>
              <w:jc w:val="center"/>
              <w:ind w:left="115"/>
              <w:spacing w:after="0" w:line="115" w:lineRule="exact"/>
              <w:rPr>
                <w:sz w:val="20"/>
                <w:szCs w:val="20"/>
                <w:color w:val="auto"/>
              </w:rPr>
            </w:pPr>
            <w:r>
              <w:rPr>
                <w:rFonts w:ascii="Arial" w:cs="Arial" w:eastAsia="Arial" w:hAnsi="Arial"/>
                <w:sz w:val="12"/>
                <w:szCs w:val="12"/>
                <w:i w:val="1"/>
                <w:iCs w:val="1"/>
                <w:color w:val="auto"/>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36.1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19.8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66.1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147.6</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164.6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1520" w:right="119" w:hanging="255"/>
        <w:spacing w:after="0" w:line="209" w:lineRule="auto"/>
        <w:tabs>
          <w:tab w:leader="none" w:pos="152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Consolidated Balance Sheet Data</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43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As of December 31, 2017</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360" w:type="dxa"/>
            <w:vAlign w:val="bottom"/>
          </w:tcPr>
          <w:p>
            <w:pPr>
              <w:spacing w:after="0"/>
              <w:rPr>
                <w:sz w:val="8"/>
                <w:szCs w:val="8"/>
                <w:color w:val="auto"/>
              </w:rPr>
            </w:pPr>
          </w:p>
        </w:tc>
        <w:tc>
          <w:tcPr>
            <w:tcW w:w="740" w:type="dxa"/>
            <w:vAlign w:val="bottom"/>
            <w:vMerge w:val="restart"/>
          </w:tcPr>
          <w:p>
            <w:pPr>
              <w:jc w:val="right"/>
              <w:ind w:right="227"/>
              <w:spacing w:after="0"/>
              <w:rPr>
                <w:sz w:val="20"/>
                <w:szCs w:val="20"/>
                <w:color w:val="auto"/>
              </w:rPr>
            </w:pPr>
            <w:r>
              <w:rPr>
                <w:rFonts w:ascii="Arial" w:cs="Arial" w:eastAsia="Arial" w:hAnsi="Arial"/>
                <w:sz w:val="12"/>
                <w:szCs w:val="12"/>
                <w:b w:val="1"/>
                <w:bCs w:val="1"/>
                <w:color w:val="auto"/>
              </w:rPr>
              <w:t>Actual</w:t>
            </w:r>
          </w:p>
        </w:tc>
        <w:tc>
          <w:tcPr>
            <w:tcW w:w="1460" w:type="dxa"/>
            <w:vAlign w:val="bottom"/>
          </w:tcPr>
          <w:p>
            <w:pPr>
              <w:jc w:val="right"/>
              <w:ind w:right="650"/>
              <w:spacing w:after="0" w:line="96" w:lineRule="exact"/>
              <w:rPr>
                <w:sz w:val="20"/>
                <w:szCs w:val="20"/>
                <w:color w:val="auto"/>
              </w:rPr>
            </w:pPr>
            <w:r>
              <w:rPr>
                <w:rFonts w:ascii="Arial" w:cs="Arial" w:eastAsia="Arial" w:hAnsi="Arial"/>
                <w:sz w:val="11"/>
                <w:szCs w:val="11"/>
                <w:b w:val="1"/>
                <w:bCs w:val="1"/>
                <w:color w:val="auto"/>
              </w:rPr>
              <w:t>Pro</w:t>
            </w:r>
          </w:p>
        </w:tc>
        <w:tc>
          <w:tcPr>
            <w:tcW w:w="140" w:type="dxa"/>
            <w:vAlign w:val="bottom"/>
          </w:tcPr>
          <w:p>
            <w:pPr>
              <w:spacing w:after="0"/>
              <w:rPr>
                <w:sz w:val="8"/>
                <w:szCs w:val="8"/>
                <w:color w:val="auto"/>
              </w:rPr>
            </w:pPr>
          </w:p>
        </w:tc>
        <w:tc>
          <w:tcPr>
            <w:tcW w:w="720" w:type="dxa"/>
            <w:vAlign w:val="bottom"/>
          </w:tcPr>
          <w:p>
            <w:pPr>
              <w:jc w:val="right"/>
              <w:ind w:right="67"/>
              <w:spacing w:after="0" w:line="96" w:lineRule="exact"/>
              <w:rPr>
                <w:sz w:val="20"/>
                <w:szCs w:val="20"/>
                <w:color w:val="auto"/>
              </w:rPr>
            </w:pPr>
            <w:r>
              <w:rPr>
                <w:rFonts w:ascii="Arial" w:cs="Arial" w:eastAsia="Arial" w:hAnsi="Arial"/>
                <w:sz w:val="11"/>
                <w:szCs w:val="11"/>
                <w:b w:val="1"/>
                <w:bCs w:val="1"/>
                <w:color w:val="auto"/>
              </w:rPr>
              <w:t>Pro forma</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60" w:type="dxa"/>
            <w:vAlign w:val="bottom"/>
          </w:tcPr>
          <w:p>
            <w:pPr>
              <w:jc w:val="right"/>
              <w:ind w:right="530"/>
              <w:spacing w:after="0"/>
              <w:rPr>
                <w:sz w:val="20"/>
                <w:szCs w:val="20"/>
                <w:color w:val="auto"/>
              </w:rPr>
            </w:pPr>
            <w:r>
              <w:rPr>
                <w:rFonts w:ascii="Arial" w:cs="Arial" w:eastAsia="Arial" w:hAnsi="Arial"/>
                <w:sz w:val="12"/>
                <w:szCs w:val="12"/>
                <w:b w:val="1"/>
                <w:bCs w:val="1"/>
                <w:color w:val="auto"/>
              </w:rPr>
              <w:t>forma</w:t>
            </w:r>
            <w:r>
              <w:rPr>
                <w:rFonts w:ascii="Arial" w:cs="Arial" w:eastAsia="Arial" w:hAnsi="Arial"/>
                <w:sz w:val="10"/>
                <w:szCs w:val="10"/>
                <w:b w:val="1"/>
                <w:bCs w:val="1"/>
                <w:color w:val="auto"/>
              </w:rPr>
              <w:t>(1)</w:t>
            </w:r>
          </w:p>
        </w:tc>
        <w:tc>
          <w:tcPr>
            <w:tcW w:w="900" w:type="dxa"/>
            <w:vAlign w:val="bottom"/>
            <w:gridSpan w:val="3"/>
          </w:tcPr>
          <w:p>
            <w:pPr>
              <w:ind w:left="40"/>
              <w:spacing w:after="0"/>
              <w:rPr>
                <w:sz w:val="20"/>
                <w:szCs w:val="20"/>
                <w:color w:val="auto"/>
              </w:rPr>
            </w:pPr>
            <w:r>
              <w:rPr>
                <w:rFonts w:ascii="Arial" w:cs="Arial" w:eastAsia="Arial" w:hAnsi="Arial"/>
                <w:sz w:val="12"/>
                <w:szCs w:val="12"/>
                <w:b w:val="1"/>
                <w:bCs w:val="1"/>
                <w:color w:val="auto"/>
                <w:w w:val="92"/>
              </w:rPr>
              <w:t>as adjusted</w:t>
            </w:r>
            <w:r>
              <w:rPr>
                <w:rFonts w:ascii="Arial" w:cs="Arial" w:eastAsia="Arial" w:hAnsi="Arial"/>
                <w:sz w:val="10"/>
                <w:szCs w:val="10"/>
                <w:b w:val="1"/>
                <w:bCs w:val="1"/>
                <w:color w:val="auto"/>
                <w:w w:val="92"/>
              </w:rPr>
              <w:t>(2)(3)</w:t>
            </w: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ind w:right="290"/>
              <w:spacing w:after="0" w:line="115" w:lineRule="exact"/>
              <w:rPr>
                <w:sz w:val="20"/>
                <w:szCs w:val="20"/>
                <w:color w:val="auto"/>
              </w:rPr>
            </w:pPr>
            <w:r>
              <w:rPr>
                <w:rFonts w:ascii="Arial" w:cs="Arial" w:eastAsia="Arial" w:hAnsi="Arial"/>
                <w:sz w:val="12"/>
                <w:szCs w:val="12"/>
                <w:i w:val="1"/>
                <w:iCs w:val="1"/>
                <w:color w:val="auto"/>
              </w:rPr>
              <w:t>(In millions)</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  430.0</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rPr>
              <w:t>$  430.0</w:t>
            </w: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786.8</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20"/>
                <w:szCs w:val="20"/>
                <w:color w:val="auto"/>
              </w:rPr>
            </w:pPr>
            <w:r>
              <w:rPr>
                <w:rFonts w:ascii="Arial" w:cs="Arial" w:eastAsia="Arial" w:hAnsi="Arial"/>
                <w:sz w:val="15"/>
                <w:szCs w:val="15"/>
                <w:color w:val="auto"/>
              </w:rPr>
              <w:t>Working capital</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(220.3)</w:t>
            </w:r>
          </w:p>
        </w:tc>
        <w:tc>
          <w:tcPr>
            <w:tcW w:w="1460" w:type="dxa"/>
            <w:vAlign w:val="bottom"/>
          </w:tcPr>
          <w:p>
            <w:pPr>
              <w:jc w:val="right"/>
              <w:ind w:right="430"/>
              <w:spacing w:after="0"/>
              <w:rPr>
                <w:sz w:val="20"/>
                <w:szCs w:val="20"/>
                <w:color w:val="auto"/>
              </w:rPr>
            </w:pPr>
            <w:r>
              <w:rPr>
                <w:rFonts w:ascii="Arial" w:cs="Arial" w:eastAsia="Arial" w:hAnsi="Arial"/>
                <w:sz w:val="15"/>
                <w:szCs w:val="15"/>
                <w:color w:val="auto"/>
              </w:rPr>
              <w:t>(393.1)</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136.5</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341.9</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rPr>
              <w:t>341.9</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341.9</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20"/>
                <w:szCs w:val="20"/>
                <w:color w:val="auto"/>
              </w:rPr>
            </w:pPr>
            <w:r>
              <w:rPr>
                <w:rFonts w:ascii="Arial" w:cs="Arial" w:eastAsia="Arial" w:hAnsi="Arial"/>
                <w:sz w:val="15"/>
                <w:szCs w:val="15"/>
                <w:color w:val="auto"/>
              </w:rPr>
              <w:t>Total assets</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1,019.9</w:t>
            </w:r>
          </w:p>
        </w:tc>
        <w:tc>
          <w:tcPr>
            <w:tcW w:w="1460" w:type="dxa"/>
            <w:vAlign w:val="bottom"/>
          </w:tcPr>
          <w:p>
            <w:pPr>
              <w:jc w:val="right"/>
              <w:ind w:right="470"/>
              <w:spacing w:after="0"/>
              <w:rPr>
                <w:sz w:val="20"/>
                <w:szCs w:val="20"/>
                <w:color w:val="auto"/>
              </w:rPr>
            </w:pPr>
            <w:r>
              <w:rPr>
                <w:rFonts w:ascii="Arial" w:cs="Arial" w:eastAsia="Arial" w:hAnsi="Arial"/>
                <w:sz w:val="15"/>
                <w:szCs w:val="15"/>
                <w:color w:val="auto"/>
              </w:rPr>
              <w:t>1,019.9</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1,376.7</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revenue</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419.2</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rPr>
              <w:t>419.2</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419.2</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20"/>
                <w:szCs w:val="20"/>
                <w:color w:val="auto"/>
              </w:rPr>
            </w:pPr>
            <w:r>
              <w:rPr>
                <w:rFonts w:ascii="Arial" w:cs="Arial" w:eastAsia="Arial" w:hAnsi="Arial"/>
                <w:sz w:val="15"/>
                <w:szCs w:val="15"/>
                <w:color w:val="auto"/>
              </w:rPr>
              <w:t>Total capital lease obligations</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174.3</w:t>
            </w:r>
          </w:p>
        </w:tc>
        <w:tc>
          <w:tcPr>
            <w:tcW w:w="1460" w:type="dxa"/>
            <w:vAlign w:val="bottom"/>
          </w:tcPr>
          <w:p>
            <w:pPr>
              <w:jc w:val="right"/>
              <w:ind w:right="470"/>
              <w:spacing w:after="0"/>
              <w:rPr>
                <w:sz w:val="20"/>
                <w:szCs w:val="20"/>
                <w:color w:val="auto"/>
              </w:rPr>
            </w:pPr>
            <w:r>
              <w:rPr>
                <w:rFonts w:ascii="Arial" w:cs="Arial" w:eastAsia="Arial" w:hAnsi="Arial"/>
                <w:sz w:val="15"/>
                <w:szCs w:val="15"/>
                <w:color w:val="auto"/>
              </w:rPr>
              <w:t>174.3</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174.3</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Revolving credit facility</w:t>
            </w:r>
          </w:p>
        </w:tc>
        <w:tc>
          <w:tcPr>
            <w:tcW w:w="74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rPr>
              <w:t>172.8</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102.9</w:t>
            </w:r>
          </w:p>
        </w:tc>
        <w:tc>
          <w:tcPr>
            <w:tcW w:w="1460" w:type="dxa"/>
            <w:vAlign w:val="bottom"/>
          </w:tcPr>
          <w:p>
            <w:pPr>
              <w:jc w:val="right"/>
              <w:ind w:right="430"/>
              <w:spacing w:after="0"/>
              <w:rPr>
                <w:sz w:val="20"/>
                <w:szCs w:val="20"/>
                <w:color w:val="auto"/>
              </w:rPr>
            </w:pPr>
            <w:r>
              <w:rPr>
                <w:rFonts w:ascii="Arial" w:cs="Arial" w:eastAsia="Arial" w:hAnsi="Arial"/>
                <w:sz w:val="15"/>
                <w:szCs w:val="15"/>
                <w:color w:val="auto"/>
              </w:rPr>
              <w:t>(69.9)</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459.7</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520" w:right="179" w:hanging="255"/>
        <w:spacing w:after="0" w:line="269" w:lineRule="auto"/>
        <w:tabs>
          <w:tab w:leader="none" w:pos="15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The pro forma column in the balance sheet data table above reflects (a) the Capital Stock Conversions, as if such conversions had occurred on December 31, 2017, (b) the filing and effectiveness of our amended and restated certificate of incorporation in Delaware that will become effective immediately prior to the completion of this offering, (c) stock-based compensation expense of $415.6 million associated with the RSU Settlement, (d) the net issuance of 15,897,254 shares of our Class B common stock upon the RSU Settlement, (e) the borrowing of $172.8 million under our revolving credit facility to satisfy our tax withholding and remittance obligations related to the RSU Settlement, and (f) a cash payment of $172.8 million to satisfy our tax withholding and remittance obligations related to the RSU Settlement, which amounts in (e) and (f) are based upon the assumed initial public offering price of $17.00 per share, which is the midpoint of the estimated offering price range set forth on the cover page of this prospectus.</w:t>
      </w:r>
    </w:p>
    <w:p>
      <w:pPr>
        <w:spacing w:after="0" w:line="1" w:lineRule="exact"/>
        <w:rPr>
          <w:rFonts w:ascii="Arial" w:cs="Arial" w:eastAsia="Arial" w:hAnsi="Arial"/>
          <w:sz w:val="20"/>
          <w:szCs w:val="20"/>
          <w:color w:val="auto"/>
          <w:vertAlign w:val="superscript"/>
        </w:rPr>
      </w:pPr>
    </w:p>
    <w:p>
      <w:pPr>
        <w:ind w:left="1520" w:right="119" w:hanging="255"/>
        <w:spacing w:after="0" w:line="243" w:lineRule="auto"/>
        <w:tabs>
          <w:tab w:leader="none" w:pos="152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The pro forma as adjusted column in the balance sheet data table above gives effect to (a) the pro forma adjustments set forth above, (b) the sale and issuance by us of 32,704,762 shares of our Class A common stock in this offering and the concurrent private placement,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 and (c) the use of proceeds from the offering to repay $172.8 million drawn down under our revolving credit facility to satisfy our tax withholding and remittance obligations related to the RSU Settlement and pay related net costs of approximately $0.1 million.</w:t>
      </w:r>
    </w:p>
    <w:p>
      <w:pPr>
        <w:spacing w:after="0" w:line="2" w:lineRule="exact"/>
        <w:rPr>
          <w:rFonts w:ascii="Arial" w:cs="Arial" w:eastAsia="Arial" w:hAnsi="Arial"/>
          <w:sz w:val="22"/>
          <w:szCs w:val="22"/>
          <w:color w:val="auto"/>
          <w:vertAlign w:val="superscript"/>
        </w:rPr>
      </w:pPr>
    </w:p>
    <w:p>
      <w:pPr>
        <w:ind w:left="1520" w:right="119" w:hanging="255"/>
        <w:spacing w:after="0" w:line="217" w:lineRule="auto"/>
        <w:tabs>
          <w:tab w:leader="none" w:pos="152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Each $1.00 increase or decrease in the assumed initial public offering price of $17.00 per share, which is the midpoint of the estimated offering price range set forth on the cover page of this prospectus, would increase or decrease, as applicable, (a) the amount of our pro forma as adjusted cash and cash equivalents, working capital, total assets, and total stockholders’ equity by $25.6 million, assuming that the number of shares offered by us, as set forth on the cover page of</w:t>
      </w: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19"/>
          </w:cols>
          <w:pgMar w:left="24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890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9620" cy="4890135"/>
                    </a:xfrm>
                    <a:prstGeom prst="rect">
                      <a:avLst/>
                    </a:prstGeom>
                    <a:noFill/>
                  </pic:spPr>
                </pic:pic>
              </a:graphicData>
            </a:graphic>
          </wp:anchor>
        </w:drawing>
      </w:r>
    </w:p>
    <w:p>
      <w:pPr>
        <w:spacing w:after="0" w:line="400" w:lineRule="exact"/>
        <w:rPr>
          <w:sz w:val="20"/>
          <w:szCs w:val="20"/>
          <w:color w:val="auto"/>
        </w:rPr>
      </w:pPr>
    </w:p>
    <w:p>
      <w:pPr>
        <w:ind w:left="1520" w:right="199"/>
        <w:spacing w:after="0" w:line="297" w:lineRule="auto"/>
        <w:rPr>
          <w:sz w:val="20"/>
          <w:szCs w:val="20"/>
          <w:color w:val="auto"/>
        </w:rPr>
      </w:pPr>
      <w:r>
        <w:rPr>
          <w:rFonts w:ascii="Arial" w:cs="Arial" w:eastAsia="Arial" w:hAnsi="Arial"/>
          <w:sz w:val="12"/>
          <w:szCs w:val="12"/>
          <w:color w:val="auto"/>
        </w:rPr>
        <w:t>this prospectus, remains the same, after deducting estimated underwriting discounts and commissions payable by us, (b) the amount we would be required to draw down under our revolving credit facility to satisfy our tax withholding and remittance obligations related to the RSU Settlement by $10.2 million, and</w:t>
      </w:r>
    </w:p>
    <w:p>
      <w:pPr>
        <w:jc w:val="both"/>
        <w:ind w:left="1520" w:right="179" w:firstLine="4"/>
        <w:spacing w:after="0" w:line="312" w:lineRule="auto"/>
        <w:tabs>
          <w:tab w:leader="none" w:pos="1704"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amount we would be required to pay to satisfy our tax withholding and remittance obligations related to the RSU Settlement by $10.2 million. An increase or decrease of 1.0 million shares in the number of shares offered by us would increase or decrease, as applicable, the amount of our pro forma as adjusted cash and cash equivalents, working capital, total assets, and total stockholders’ equity by $16.2 million, assuming the assumed initial public offering price remains the same, and after deducting estimated underwriting discounts and commissions payable by us.</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Key Business Metrics</w:t>
      </w:r>
    </w:p>
    <w:p>
      <w:pPr>
        <w:spacing w:after="0" w:line="102" w:lineRule="exact"/>
        <w:rPr>
          <w:sz w:val="20"/>
          <w:szCs w:val="20"/>
          <w:color w:val="auto"/>
        </w:rPr>
      </w:pPr>
    </w:p>
    <w:p>
      <w:pPr>
        <w:ind w:left="1260" w:right="779" w:firstLine="356"/>
        <w:spacing w:after="0" w:line="27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Paying users</w:t>
      </w:r>
    </w:p>
    <w:p>
      <w:pPr>
        <w:spacing w:after="0" w:line="98" w:lineRule="exact"/>
        <w:rPr>
          <w:sz w:val="20"/>
          <w:szCs w:val="20"/>
          <w:color w:val="auto"/>
        </w:rPr>
      </w:pPr>
    </w:p>
    <w:p>
      <w:pPr>
        <w:ind w:left="1260" w:right="59" w:firstLine="356"/>
        <w:spacing w:after="0" w:line="283" w:lineRule="auto"/>
        <w:rPr>
          <w:sz w:val="20"/>
          <w:szCs w:val="20"/>
          <w:color w:val="auto"/>
        </w:rPr>
      </w:pPr>
      <w:r>
        <w:rPr>
          <w:rFonts w:ascii="Arial" w:cs="Arial" w:eastAsia="Arial" w:hAnsi="Arial"/>
          <w:sz w:val="14"/>
          <w:szCs w:val="14"/>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below table sets forth the number of paying users as of December 31, 2015, 2016, and 2017:</w:t>
      </w:r>
    </w:p>
    <w:p>
      <w:pPr>
        <w:spacing w:after="0" w:line="202" w:lineRule="exact"/>
        <w:rPr>
          <w:sz w:val="20"/>
          <w:szCs w:val="20"/>
          <w:color w:val="auto"/>
        </w:rPr>
      </w:pPr>
    </w:p>
    <w:p>
      <w:pPr>
        <w:ind w:left="8160"/>
        <w:spacing w:after="0"/>
        <w:rPr>
          <w:sz w:val="20"/>
          <w:szCs w:val="20"/>
          <w:color w:val="auto"/>
        </w:rPr>
      </w:pPr>
      <w:r>
        <w:rPr>
          <w:rFonts w:ascii="Arial" w:cs="Arial" w:eastAsia="Arial" w:hAnsi="Arial"/>
          <w:sz w:val="12"/>
          <w:szCs w:val="12"/>
          <w:b w:val="1"/>
          <w:bCs w:val="1"/>
          <w:color w:val="auto"/>
        </w:rPr>
        <w:t>As of December 31,</w:t>
      </w:r>
    </w:p>
    <w:p>
      <w:pPr>
        <w:spacing w:after="0" w:line="9" w:lineRule="exact"/>
        <w:rPr>
          <w:sz w:val="20"/>
          <w:szCs w:val="20"/>
          <w:color w:val="auto"/>
        </w:rPr>
      </w:pPr>
    </w:p>
    <w:p>
      <w:pPr>
        <w:ind w:left="7920"/>
        <w:spacing w:after="0"/>
        <w:tabs>
          <w:tab w:leader="none" w:pos="8500" w:val="left"/>
          <w:tab w:leader="none" w:pos="91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ind w:left="836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980" w:type="dxa"/>
        <w:tblCellMar>
          <w:top w:w="0" w:type="dxa"/>
          <w:left w:w="0" w:type="dxa"/>
          <w:bottom w:w="0" w:type="dxa"/>
          <w:right w:w="0" w:type="dxa"/>
        </w:tblCellMar>
      </w:tblPr>
      <w:tr>
        <w:trPr>
          <w:trHeight w:val="172"/>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Paying users</w:t>
            </w:r>
          </w:p>
        </w:tc>
        <w:tc>
          <w:tcPr>
            <w:tcW w:w="30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w:t>
            </w:r>
          </w:p>
        </w:tc>
        <w:tc>
          <w:tcPr>
            <w:tcW w:w="5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8.8</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bl>
    <w:p>
      <w:pPr>
        <w:spacing w:after="0" w:line="26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98" w:lineRule="exact"/>
        <w:rPr>
          <w:sz w:val="20"/>
          <w:szCs w:val="20"/>
          <w:color w:val="auto"/>
        </w:rPr>
      </w:pPr>
    </w:p>
    <w:p>
      <w:pPr>
        <w:ind w:left="1260" w:right="79" w:firstLine="356"/>
        <w:spacing w:after="0" w:line="283" w:lineRule="auto"/>
        <w:rPr>
          <w:sz w:val="20"/>
          <w:szCs w:val="20"/>
          <w:color w:val="auto"/>
        </w:rPr>
      </w:pPr>
      <w:r>
        <w:rPr>
          <w:rFonts w:ascii="Arial" w:cs="Arial" w:eastAsia="Arial" w:hAnsi="Arial"/>
          <w:sz w:val="14"/>
          <w:szCs w:val="14"/>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below table sets forth our ARPU for the years ended December 31, 2015, 2016, and 2017.</w:t>
      </w:r>
    </w:p>
    <w:p>
      <w:pPr>
        <w:spacing w:after="0" w:line="202" w:lineRule="exact"/>
        <w:rPr>
          <w:sz w:val="20"/>
          <w:szCs w:val="20"/>
          <w:color w:val="auto"/>
        </w:rPr>
      </w:pPr>
    </w:p>
    <w:p>
      <w:pPr>
        <w:jc w:val="center"/>
        <w:ind w:left="5880"/>
        <w:spacing w:after="0"/>
        <w:rPr>
          <w:sz w:val="20"/>
          <w:szCs w:val="20"/>
          <w:color w:val="auto"/>
        </w:rPr>
      </w:pPr>
      <w:r>
        <w:rPr>
          <w:rFonts w:ascii="Arial" w:cs="Arial" w:eastAsia="Arial" w:hAnsi="Arial"/>
          <w:sz w:val="12"/>
          <w:szCs w:val="12"/>
          <w:b w:val="1"/>
          <w:bCs w:val="1"/>
          <w:color w:val="auto"/>
        </w:rPr>
        <w:t>Year ended December 31,</w:t>
      </w:r>
    </w:p>
    <w:p>
      <w:pPr>
        <w:spacing w:after="0" w:line="3" w:lineRule="exact"/>
        <w:rPr>
          <w:sz w:val="20"/>
          <w:szCs w:val="20"/>
          <w:color w:val="auto"/>
        </w:rPr>
      </w:pPr>
    </w:p>
    <w:p>
      <w:pPr>
        <w:ind w:left="7660"/>
        <w:spacing w:after="0"/>
        <w:tabs>
          <w:tab w:leader="none" w:pos="8520" w:val="left"/>
          <w:tab w:leader="none" w:pos="938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tbl>
      <w:tblPr>
        <w:tblLayout w:type="fixed"/>
        <w:tblInd w:w="1620" w:type="dxa"/>
        <w:tblCellMar>
          <w:top w:w="0" w:type="dxa"/>
          <w:left w:w="0" w:type="dxa"/>
          <w:bottom w:w="0" w:type="dxa"/>
          <w:right w:w="0" w:type="dxa"/>
        </w:tblCellMar>
      </w:tblPr>
      <w:tr>
        <w:trPr>
          <w:trHeight w:val="172"/>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ARPU</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$113.54</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$110.54</w:t>
            </w:r>
          </w:p>
        </w:tc>
        <w:tc>
          <w:tcPr>
            <w:tcW w:w="3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$111.91</w:t>
            </w: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26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Free cash flow</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define free cash flow, or FCF, as net cash provided by operating activities less capital expenditures.</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19"/>
          </w:cols>
          <w:pgMar w:left="24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146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9620" cy="1466850"/>
                    </a:xfrm>
                    <a:prstGeom prst="rect">
                      <a:avLst/>
                    </a:prstGeom>
                    <a:noFill/>
                  </pic:spPr>
                </pic:pic>
              </a:graphicData>
            </a:graphic>
          </wp:anchor>
        </w:drawing>
      </w:r>
    </w:p>
    <w:p>
      <w:pPr>
        <w:spacing w:after="0" w:line="39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202" w:lineRule="exact"/>
        <w:rPr>
          <w:sz w:val="20"/>
          <w:szCs w:val="20"/>
          <w:color w:val="auto"/>
        </w:rPr>
      </w:pPr>
    </w:p>
    <w:p>
      <w:pPr>
        <w:jc w:val="center"/>
        <w:ind w:left="5920"/>
        <w:spacing w:after="0"/>
        <w:rPr>
          <w:sz w:val="20"/>
          <w:szCs w:val="20"/>
          <w:color w:val="auto"/>
        </w:rPr>
      </w:pPr>
      <w:r>
        <w:rPr>
          <w:rFonts w:ascii="Arial" w:cs="Arial" w:eastAsia="Arial" w:hAnsi="Arial"/>
          <w:sz w:val="12"/>
          <w:szCs w:val="12"/>
          <w:b w:val="1"/>
          <w:bCs w:val="1"/>
          <w:color w:val="auto"/>
        </w:rPr>
        <w:t>Year ended December 31,</w:t>
      </w:r>
    </w:p>
    <w:p>
      <w:pPr>
        <w:spacing w:after="0" w:line="9" w:lineRule="exact"/>
        <w:rPr>
          <w:sz w:val="20"/>
          <w:szCs w:val="20"/>
          <w:color w:val="auto"/>
        </w:rPr>
      </w:pPr>
    </w:p>
    <w:p>
      <w:pPr>
        <w:ind w:left="7700"/>
        <w:spacing w:after="0"/>
        <w:tabs>
          <w:tab w:leader="none" w:pos="8520" w:val="left"/>
          <w:tab w:leader="none" w:pos="93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ind w:left="838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$ 14.8</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$ 252.6</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Capital expenditures</w:t>
            </w:r>
          </w:p>
        </w:tc>
        <w:tc>
          <w:tcPr>
            <w:tcW w:w="17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(78.7)</w:t>
            </w: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(115.2)</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1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(63.9)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$ 137.4</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right="379" w:firstLine="356"/>
        <w:spacing w:after="0" w:line="27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Operations—Non-GAAP Financial Measure” for additional information.</w:t>
      </w: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219"/>
          </w:cols>
          <w:pgMar w:left="24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RISK FACTORS</w:t>
      </w:r>
    </w:p>
    <w:p>
      <w:pPr>
        <w:spacing w:after="0" w:line="19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247"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192"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business depends on our ability to retain and upgrade paying users, and any decline in renewals or upgrades could adversely affect our future results of operations.</w:t>
      </w:r>
    </w:p>
    <w:p>
      <w:pPr>
        <w:spacing w:after="0" w:line="56" w:lineRule="exact"/>
        <w:rPr>
          <w:sz w:val="20"/>
          <w:szCs w:val="20"/>
          <w:color w:val="auto"/>
        </w:rPr>
      </w:pPr>
    </w:p>
    <w:p>
      <w:pPr>
        <w:ind w:left="1120" w:right="140" w:firstLine="368"/>
        <w:spacing w:after="0" w:line="255" w:lineRule="auto"/>
        <w:rPr>
          <w:sz w:val="20"/>
          <w:szCs w:val="20"/>
          <w:color w:val="auto"/>
        </w:rPr>
      </w:pPr>
      <w:r>
        <w:rPr>
          <w:rFonts w:ascii="Arial" w:cs="Arial" w:eastAsia="Arial" w:hAnsi="Arial"/>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64" w:lineRule="exact"/>
        <w:rPr>
          <w:sz w:val="20"/>
          <w:szCs w:val="20"/>
          <w:color w:val="auto"/>
        </w:rPr>
      </w:pPr>
    </w:p>
    <w:p>
      <w:pPr>
        <w:ind w:left="1120" w:right="220" w:firstLine="368"/>
        <w:spacing w:after="0" w:line="255" w:lineRule="auto"/>
        <w:rPr>
          <w:sz w:val="20"/>
          <w:szCs w:val="20"/>
          <w:color w:val="auto"/>
        </w:rPr>
      </w:pPr>
      <w:r>
        <w:rPr>
          <w:rFonts w:ascii="Arial" w:cs="Arial" w:eastAsia="Arial" w:hAnsi="Arial"/>
          <w:sz w:val="15"/>
          <w:szCs w:val="15"/>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64" w:lineRule="exact"/>
        <w:rPr>
          <w:sz w:val="20"/>
          <w:szCs w:val="20"/>
          <w:color w:val="auto"/>
        </w:rPr>
      </w:pPr>
    </w:p>
    <w:p>
      <w:pPr>
        <w:jc w:val="both"/>
        <w:ind w:left="1120" w:right="140" w:firstLine="368"/>
        <w:spacing w:after="0" w:line="290" w:lineRule="auto"/>
        <w:rPr>
          <w:sz w:val="20"/>
          <w:szCs w:val="20"/>
          <w:color w:val="auto"/>
        </w:rPr>
      </w:pPr>
      <w:r>
        <w:rPr>
          <w:rFonts w:ascii="Arial" w:cs="Arial" w:eastAsia="Arial" w:hAnsi="Arial"/>
          <w:sz w:val="14"/>
          <w:szCs w:val="14"/>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future growth could be harmed if we fail to attract new users or convert registered users to paying users.</w:t>
      </w:r>
    </w:p>
    <w:p>
      <w:pPr>
        <w:spacing w:after="0" w:line="98" w:lineRule="exact"/>
        <w:rPr>
          <w:sz w:val="20"/>
          <w:szCs w:val="20"/>
          <w:color w:val="auto"/>
        </w:rPr>
      </w:pPr>
    </w:p>
    <w:p>
      <w:pPr>
        <w:ind w:left="1120" w:right="80" w:firstLine="368"/>
        <w:spacing w:after="0" w:line="290" w:lineRule="auto"/>
        <w:rPr>
          <w:sz w:val="20"/>
          <w:szCs w:val="20"/>
          <w:color w:val="auto"/>
        </w:rPr>
      </w:pPr>
      <w:r>
        <w:rPr>
          <w:rFonts w:ascii="Arial" w:cs="Arial" w:eastAsia="Arial" w:hAnsi="Arial"/>
          <w:sz w:val="14"/>
          <w:szCs w:val="14"/>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3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2017, we served over 500 million registered users but only 11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300"/>
          </w:cols>
          <w:pgMar w:left="240" w:top="407" w:right="13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20" w:firstLine="368"/>
        <w:spacing w:after="0" w:line="322" w:lineRule="auto"/>
        <w:rPr>
          <w:sz w:val="20"/>
          <w:szCs w:val="20"/>
          <w:color w:val="auto"/>
        </w:rPr>
      </w:pPr>
      <w:r>
        <w:rPr>
          <w:rFonts w:ascii="Arial" w:cs="Arial" w:eastAsia="Arial" w:hAnsi="Arial"/>
          <w:sz w:val="13"/>
          <w:szCs w:val="13"/>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revenue growth rate has declined in recent periods and may continue to slow in the future.</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We have a history of net losses, we anticipate increasing expenses in the future, and we may not be able to achieve or maintain profitability.</w:t>
      </w:r>
    </w:p>
    <w:p>
      <w:pPr>
        <w:spacing w:after="0" w:line="121"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We have incurred net losses on an annual basis since our inception. We incurred net losses of $325.9 million, $210.2 million, and $111.7 million in 2015, 2016, and 2017, respectively, and we had an accumulated deficit of $1,049.7 million as of December 31,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47"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56" w:lineRule="exact"/>
        <w:rPr>
          <w:sz w:val="20"/>
          <w:szCs w:val="20"/>
          <w:color w:val="auto"/>
        </w:rPr>
      </w:pPr>
    </w:p>
    <w:p>
      <w:pPr>
        <w:ind w:left="1120" w:right="40" w:firstLine="368"/>
        <w:spacing w:after="0" w:line="273" w:lineRule="auto"/>
        <w:rPr>
          <w:sz w:val="20"/>
          <w:szCs w:val="20"/>
          <w:color w:val="auto"/>
        </w:rPr>
      </w:pPr>
      <w:r>
        <w:rPr>
          <w:rFonts w:ascii="Arial" w:cs="Arial" w:eastAsia="Arial" w:hAnsi="Arial"/>
          <w:sz w:val="14"/>
          <w:szCs w:val="14"/>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320"/>
          </w:cols>
          <w:pgMar w:left="240" w:top="407" w:right="13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5" w:lineRule="auto"/>
        <w:rPr>
          <w:sz w:val="20"/>
          <w:szCs w:val="20"/>
          <w:color w:val="auto"/>
        </w:rPr>
      </w:pPr>
      <w:r>
        <w:rPr>
          <w:rFonts w:ascii="Arial" w:cs="Arial" w:eastAsia="Arial" w:hAnsi="Arial"/>
          <w:sz w:val="15"/>
          <w:szCs w:val="15"/>
          <w:color w:val="auto"/>
        </w:rPr>
        <w:t>that we are unable to defend against 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4" w:lineRule="exact"/>
        <w:rPr>
          <w:sz w:val="20"/>
          <w:szCs w:val="20"/>
          <w:color w:val="auto"/>
        </w:rPr>
      </w:pPr>
    </w:p>
    <w:p>
      <w:pPr>
        <w:jc w:val="both"/>
        <w:ind w:left="1120" w:right="120" w:firstLine="368"/>
        <w:spacing w:after="0" w:line="263" w:lineRule="auto"/>
        <w:rPr>
          <w:sz w:val="20"/>
          <w:szCs w:val="20"/>
          <w:color w:val="auto"/>
        </w:rPr>
      </w:pPr>
      <w:r>
        <w:rPr>
          <w:rFonts w:ascii="Arial" w:cs="Arial" w:eastAsia="Arial" w:hAnsi="Arial"/>
          <w:sz w:val="15"/>
          <w:szCs w:val="15"/>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55" w:lineRule="exact"/>
        <w:rPr>
          <w:sz w:val="20"/>
          <w:szCs w:val="20"/>
          <w:color w:val="auto"/>
        </w:rPr>
      </w:pPr>
    </w:p>
    <w:p>
      <w:pPr>
        <w:ind w:left="1120" w:right="160" w:firstLine="368"/>
        <w:spacing w:after="0" w:line="283" w:lineRule="auto"/>
        <w:rPr>
          <w:sz w:val="20"/>
          <w:szCs w:val="20"/>
          <w:color w:val="auto"/>
        </w:rPr>
      </w:pPr>
      <w:r>
        <w:rPr>
          <w:rFonts w:ascii="Arial" w:cs="Arial" w:eastAsia="Arial" w:hAnsi="Arial"/>
          <w:sz w:val="14"/>
          <w:szCs w:val="14"/>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43"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business could be harmed by any significant disruption of service on our platform or loss of content.</w:t>
      </w:r>
    </w:p>
    <w:p>
      <w:pPr>
        <w:spacing w:after="0" w:line="98" w:lineRule="exact"/>
        <w:rPr>
          <w:sz w:val="20"/>
          <w:szCs w:val="20"/>
          <w:color w:val="auto"/>
        </w:rPr>
      </w:pPr>
    </w:p>
    <w:p>
      <w:pPr>
        <w:jc w:val="both"/>
        <w:ind w:left="1120" w:right="20" w:firstLine="368"/>
        <w:spacing w:after="0" w:line="279" w:lineRule="auto"/>
        <w:rPr>
          <w:sz w:val="20"/>
          <w:szCs w:val="20"/>
          <w:color w:val="auto"/>
        </w:rPr>
      </w:pPr>
      <w:r>
        <w:rPr>
          <w:rFonts w:ascii="Arial" w:cs="Arial" w:eastAsia="Arial" w:hAnsi="Arial"/>
          <w:sz w:val="14"/>
          <w:szCs w:val="14"/>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47"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5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80"/>
          </w:cols>
          <w:pgMar w:left="240" w:top="407" w:right="137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5" w:lineRule="auto"/>
        <w:rPr>
          <w:sz w:val="20"/>
          <w:szCs w:val="20"/>
          <w:color w:val="auto"/>
        </w:rPr>
      </w:pPr>
      <w:r>
        <w:rPr>
          <w:rFonts w:ascii="Arial" w:cs="Arial" w:eastAsia="Arial" w:hAnsi="Arial"/>
          <w:sz w:val="13"/>
          <w:szCs w:val="13"/>
          <w:color w:val="auto"/>
        </w:rPr>
        <w:t>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33"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23"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56"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38"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awareness of the content collaboration category generally;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availability of products and services that compete with ours;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customer support;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380" w:firstLine="368"/>
        <w:spacing w:after="0" w:line="263" w:lineRule="auto"/>
        <w:rPr>
          <w:sz w:val="20"/>
          <w:szCs w:val="20"/>
          <w:color w:val="auto"/>
        </w:rPr>
      </w:pPr>
      <w:r>
        <w:rPr>
          <w:rFonts w:ascii="Arial" w:cs="Arial" w:eastAsia="Arial" w:hAnsi="Arial"/>
          <w:sz w:val="15"/>
          <w:szCs w:val="15"/>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45" w:lineRule="exact"/>
        <w:rPr>
          <w:sz w:val="20"/>
          <w:szCs w:val="20"/>
          <w:color w:val="auto"/>
        </w:rPr>
      </w:pPr>
    </w:p>
    <w:p>
      <w:pPr>
        <w:ind w:left="1120" w:right="460"/>
        <w:spacing w:after="0" w:line="275" w:lineRule="auto"/>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56"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One of the most important features of our platform is its broad interoperability with a range of diverse devices, operating systems, and third-party applications. Our platform is accessible from the web and from</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80"/>
          </w:cols>
          <w:pgMar w:left="240" w:top="407" w:right="137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0" w:lineRule="auto"/>
        <w:rPr>
          <w:sz w:val="20"/>
          <w:szCs w:val="20"/>
          <w:color w:val="auto"/>
        </w:rPr>
      </w:pPr>
      <w:r>
        <w:rPr>
          <w:rFonts w:ascii="Arial" w:cs="Arial" w:eastAsia="Arial" w:hAnsi="Arial"/>
          <w:sz w:val="13"/>
          <w:szCs w:val="13"/>
          <w:color w:val="auto"/>
        </w:rPr>
        <w:t>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36"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operate in competitive markets, and we must continue to compete effectively.</w:t>
      </w:r>
    </w:p>
    <w:p>
      <w:pPr>
        <w:spacing w:after="0" w:line="98"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80" w:lineRule="exact"/>
        <w:rPr>
          <w:sz w:val="20"/>
          <w:szCs w:val="20"/>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systems, and applications;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With the introduction of new technologies and market entrants, we expect competition to intensify in the future. Many of our actual and potential competitors benefit from competitive advantages over us, such as greater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300"/>
          </w:cols>
          <w:pgMar w:left="240" w:top="407" w:right="13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57" w:lineRule="auto"/>
        <w:rPr>
          <w:sz w:val="20"/>
          <w:szCs w:val="20"/>
          <w:color w:val="auto"/>
        </w:rPr>
      </w:pPr>
      <w:r>
        <w:rPr>
          <w:rFonts w:ascii="Arial" w:cs="Arial" w:eastAsia="Arial" w:hAnsi="Arial"/>
          <w:sz w:val="15"/>
          <w:szCs w:val="15"/>
          <w:color w:val="auto"/>
        </w:rPr>
        <w:t>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59" w:lineRule="exact"/>
        <w:rPr>
          <w:sz w:val="20"/>
          <w:szCs w:val="20"/>
          <w:color w:val="auto"/>
        </w:rPr>
      </w:pPr>
    </w:p>
    <w:p>
      <w:pPr>
        <w:ind w:left="1120" w:right="120" w:firstLine="368"/>
        <w:spacing w:after="0" w:line="302" w:lineRule="auto"/>
        <w:rPr>
          <w:sz w:val="20"/>
          <w:szCs w:val="20"/>
          <w:color w:val="auto"/>
        </w:rPr>
      </w:pPr>
      <w:r>
        <w:rPr>
          <w:rFonts w:ascii="Arial" w:cs="Arial" w:eastAsia="Arial" w:hAnsi="Arial"/>
          <w:sz w:val="13"/>
          <w:szCs w:val="13"/>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not be able to respond to rapid technological changes, extend our platform, or develop new features.</w:t>
      </w:r>
    </w:p>
    <w:p>
      <w:pPr>
        <w:spacing w:after="0" w:line="98" w:lineRule="exact"/>
        <w:rPr>
          <w:sz w:val="20"/>
          <w:szCs w:val="20"/>
          <w:color w:val="auto"/>
        </w:rPr>
      </w:pPr>
    </w:p>
    <w:p>
      <w:pPr>
        <w:ind w:left="1120" w:firstLine="368"/>
        <w:spacing w:after="0" w:line="297" w:lineRule="auto"/>
        <w:rPr>
          <w:sz w:val="20"/>
          <w:szCs w:val="20"/>
          <w:color w:val="auto"/>
        </w:rPr>
      </w:pPr>
      <w:r>
        <w:rPr>
          <w:rFonts w:ascii="Arial" w:cs="Arial" w:eastAsia="Arial" w:hAnsi="Arial"/>
          <w:sz w:val="13"/>
          <w:szCs w:val="13"/>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40"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not successfully manage our growth or plan for future growth.</w:t>
      </w:r>
    </w:p>
    <w:p>
      <w:pPr>
        <w:spacing w:after="0" w:line="98"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Since our founding in 2007, we have experienced rapid growth. For example, our headcount has grown from 1,446 employees as of December 31, 2015, to 1,858 employees as of December 31, 2017, with employees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320"/>
          </w:cols>
          <w:pgMar w:left="240" w:top="407" w:right="13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5" w:lineRule="auto"/>
        <w:rPr>
          <w:sz w:val="20"/>
          <w:szCs w:val="20"/>
          <w:color w:val="auto"/>
        </w:rPr>
      </w:pPr>
      <w:r>
        <w:rPr>
          <w:rFonts w:ascii="Arial" w:cs="Arial" w:eastAsia="Arial" w:hAnsi="Arial"/>
          <w:sz w:val="15"/>
          <w:szCs w:val="15"/>
          <w:color w:val="auto"/>
        </w:rPr>
        <w:t>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61"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lack of a significant outbound sales force may limit the potential growth of our business.</w:t>
      </w:r>
    </w:p>
    <w:p>
      <w:pPr>
        <w:spacing w:after="0" w:line="98"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expand sales to large organizations, which could lengthen sales cycles and result in greater deployment challenges.</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Any failure to offer high-quality customer support may harm our relationships with our users and our financial results.</w:t>
      </w:r>
    </w:p>
    <w:p>
      <w:pPr>
        <w:spacing w:after="0" w:line="98"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320"/>
          </w:cols>
          <w:pgMar w:left="240" w:top="407" w:right="13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6" w:lineRule="auto"/>
        <w:rPr>
          <w:sz w:val="20"/>
          <w:szCs w:val="20"/>
          <w:color w:val="auto"/>
        </w:rPr>
      </w:pPr>
      <w:r>
        <w:rPr>
          <w:rFonts w:ascii="Arial" w:cs="Arial" w:eastAsia="Arial" w:hAnsi="Arial"/>
          <w:sz w:val="14"/>
          <w:szCs w:val="14"/>
          <w:color w:val="auto"/>
        </w:rPr>
        <w:t>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11 million as of December 31, 2017.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3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quarterly results may fluctuate significantly and may not fully reflect the underlying performance of our business.</w:t>
      </w:r>
    </w:p>
    <w:p>
      <w:pPr>
        <w:spacing w:after="0" w:line="98" w:lineRule="exact"/>
        <w:rPr>
          <w:sz w:val="20"/>
          <w:szCs w:val="20"/>
          <w:color w:val="auto"/>
        </w:rPr>
      </w:pPr>
    </w:p>
    <w:p>
      <w:pPr>
        <w:ind w:left="1120" w:right="120" w:firstLine="368"/>
        <w:spacing w:after="0" w:line="255" w:lineRule="auto"/>
        <w:rPr>
          <w:sz w:val="20"/>
          <w:szCs w:val="20"/>
          <w:color w:val="auto"/>
        </w:rPr>
      </w:pPr>
      <w:r>
        <w:rPr>
          <w:rFonts w:ascii="Arial" w:cs="Arial" w:eastAsia="Arial" w:hAnsi="Arial"/>
          <w:sz w:val="15"/>
          <w:szCs w:val="15"/>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85" w:lineRule="exact"/>
        <w:rPr>
          <w:sz w:val="20"/>
          <w:szCs w:val="20"/>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attract new paying users and convert registered to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timing of expenses and recognition of revenue;</w:t>
      </w:r>
    </w:p>
    <w:p>
      <w:pPr>
        <w:spacing w:after="0" w:line="109" w:lineRule="exact"/>
        <w:rPr>
          <w:rFonts w:ascii="Arial" w:cs="Arial" w:eastAsia="Arial" w:hAnsi="Arial"/>
          <w:sz w:val="15"/>
          <w:szCs w:val="15"/>
          <w:color w:val="auto"/>
        </w:rPr>
      </w:pPr>
    </w:p>
    <w:p>
      <w:pPr>
        <w:ind w:left="1840" w:right="260" w:hanging="276"/>
        <w:spacing w:after="0" w:line="275" w:lineRule="auto"/>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the maintenance and expansion of our business, operations, and infrastructure, as well as entry into operating and capital leases;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timing of expenses related to acquisitions;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large indemnification payments to our users or other third parties;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our pricing policies or those of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timing and success of new product feature and service introductions by us or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279"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results of operations may not immediately reflect downturns or upturns in sales because we recognize revenue from our users over the term of their subscriptions with us.</w:t>
      </w:r>
    </w:p>
    <w:p>
      <w:pPr>
        <w:spacing w:after="0" w:line="56"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300"/>
          </w:cols>
          <w:pgMar w:left="240" w:top="407" w:right="13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0"/>
        <w:spacing w:after="0" w:line="290" w:lineRule="auto"/>
        <w:rPr>
          <w:sz w:val="20"/>
          <w:szCs w:val="20"/>
          <w:color w:val="auto"/>
        </w:rPr>
      </w:pPr>
      <w:r>
        <w:rPr>
          <w:rFonts w:ascii="Arial" w:cs="Arial" w:eastAsia="Arial" w:hAnsi="Arial"/>
          <w:sz w:val="14"/>
          <w:szCs w:val="14"/>
          <w:color w:val="auto"/>
        </w:rPr>
        <w:t>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28"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56"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47"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58" w:lineRule="exact"/>
        <w:rPr>
          <w:sz w:val="20"/>
          <w:szCs w:val="20"/>
          <w:color w:val="auto"/>
        </w:rPr>
      </w:pPr>
    </w:p>
    <w:p>
      <w:pPr>
        <w:ind w:left="1120" w:right="40" w:firstLine="368"/>
        <w:spacing w:after="0" w:line="296" w:lineRule="auto"/>
        <w:rPr>
          <w:sz w:val="20"/>
          <w:szCs w:val="20"/>
          <w:color w:val="auto"/>
        </w:rPr>
      </w:pPr>
      <w:r>
        <w:rPr>
          <w:rFonts w:ascii="Arial" w:cs="Arial" w:eastAsia="Arial" w:hAnsi="Arial"/>
          <w:sz w:val="13"/>
          <w:szCs w:val="13"/>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If we fail to attract new personnel, or fail to retain and motivate our current personnel, our business and growth prospects could be harmed.</w:t>
      </w:r>
    </w:p>
    <w:p>
      <w:pPr>
        <w:spacing w:after="0" w:line="141" w:lineRule="exact"/>
        <w:rPr>
          <w:sz w:val="20"/>
          <w:szCs w:val="20"/>
          <w:color w:val="auto"/>
        </w:rPr>
      </w:pPr>
    </w:p>
    <w:p>
      <w:pPr>
        <w:jc w:val="both"/>
        <w:ind w:left="1120" w:right="240" w:firstLine="368"/>
        <w:spacing w:after="0" w:line="263" w:lineRule="auto"/>
        <w:rPr>
          <w:sz w:val="20"/>
          <w:szCs w:val="20"/>
          <w:color w:val="auto"/>
        </w:rPr>
      </w:pPr>
      <w:r>
        <w:rPr>
          <w:rFonts w:ascii="Arial" w:cs="Arial" w:eastAsia="Arial" w:hAnsi="Arial"/>
          <w:sz w:val="15"/>
          <w:szCs w:val="15"/>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245"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5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320"/>
          </w:cols>
          <w:pgMar w:left="240" w:top="407" w:right="13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color w:val="auto"/>
        </w:rPr>
        <w:t>the Dropbox brand, or if we incur excessive expenses in this effort, our business, results of operations, and financial condition will be materially and adversely affected.</w:t>
      </w:r>
    </w:p>
    <w:p>
      <w:pPr>
        <w:spacing w:after="0" w:line="236" w:lineRule="exact"/>
        <w:rPr>
          <w:sz w:val="20"/>
          <w:szCs w:val="20"/>
          <w:color w:val="auto"/>
        </w:rPr>
      </w:pPr>
    </w:p>
    <w:p>
      <w:pPr>
        <w:ind w:left="1120" w:right="20"/>
        <w:spacing w:after="0" w:line="275" w:lineRule="auto"/>
        <w:rPr>
          <w:sz w:val="20"/>
          <w:szCs w:val="20"/>
          <w:color w:val="auto"/>
        </w:rPr>
      </w:pPr>
      <w:r>
        <w:rPr>
          <w:rFonts w:ascii="Arial" w:cs="Arial" w:eastAsia="Arial" w:hAnsi="Arial"/>
          <w:sz w:val="15"/>
          <w:szCs w:val="15"/>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56"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We have paying users across 180 countries and approximately half of our revenue in the year ended December 31,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71" w:lineRule="exact"/>
        <w:rPr>
          <w:sz w:val="20"/>
          <w:szCs w:val="20"/>
          <w:color w:val="auto"/>
        </w:rPr>
      </w:pPr>
    </w:p>
    <w:p>
      <w:pPr>
        <w:ind w:left="1840" w:right="22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outside the United States, and maintaining our company culture across all of our offices;</w:t>
      </w:r>
    </w:p>
    <w:p>
      <w:pPr>
        <w:spacing w:after="0" w:line="67" w:lineRule="exact"/>
        <w:rPr>
          <w:rFonts w:ascii="Arial" w:cs="Arial" w:eastAsia="Arial" w:hAnsi="Arial"/>
          <w:sz w:val="15"/>
          <w:szCs w:val="15"/>
          <w:color w:val="auto"/>
        </w:rPr>
      </w:pPr>
    </w:p>
    <w:p>
      <w:pPr>
        <w:ind w:left="1840" w:right="400" w:hanging="276"/>
        <w:spacing w:after="0" w:line="263"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75" w:lineRule="exact"/>
        <w:rPr>
          <w:rFonts w:ascii="Arial" w:cs="Arial" w:eastAsia="Arial" w:hAnsi="Arial"/>
          <w:sz w:val="15"/>
          <w:szCs w:val="15"/>
          <w:color w:val="auto"/>
        </w:rPr>
      </w:pPr>
    </w:p>
    <w:p>
      <w:pPr>
        <w:ind w:left="1840" w:right="180" w:hanging="276"/>
        <w:spacing w:after="0" w:line="263"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75" w:lineRule="exact"/>
        <w:rPr>
          <w:rFonts w:ascii="Arial" w:cs="Arial" w:eastAsia="Arial" w:hAnsi="Arial"/>
          <w:sz w:val="15"/>
          <w:szCs w:val="15"/>
          <w:color w:val="auto"/>
        </w:rPr>
      </w:pPr>
    </w:p>
    <w:p>
      <w:pPr>
        <w:ind w:left="1840" w:right="26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operating in jurisdictions that do not protect intellectual property rights to the same extent as does the United States;</w:t>
      </w:r>
    </w:p>
    <w:p>
      <w:pPr>
        <w:spacing w:after="0" w:line="109" w:lineRule="exact"/>
        <w:rPr>
          <w:rFonts w:ascii="Arial" w:cs="Arial" w:eastAsia="Arial" w:hAnsi="Arial"/>
          <w:sz w:val="15"/>
          <w:szCs w:val="15"/>
          <w:color w:val="auto"/>
        </w:rPr>
      </w:pPr>
    </w:p>
    <w:p>
      <w:pPr>
        <w:ind w:left="1840" w:right="380" w:hanging="276"/>
        <w:spacing w:after="0" w:line="312" w:lineRule="auto"/>
        <w:tabs>
          <w:tab w:leader="none" w:pos="1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43" w:lineRule="exact"/>
        <w:rPr>
          <w:rFonts w:ascii="Arial" w:cs="Arial" w:eastAsia="Arial" w:hAnsi="Arial"/>
          <w:sz w:val="14"/>
          <w:szCs w:val="14"/>
          <w:color w:val="auto"/>
        </w:rPr>
      </w:pPr>
    </w:p>
    <w:p>
      <w:pPr>
        <w:ind w:left="184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foreign exchange controls that might require significant lead time in setting up operations in certain geographic territories and might prevent us from repatriating cash earned outside the United States;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109" w:lineRule="exact"/>
        <w:rPr>
          <w:rFonts w:ascii="Arial" w:cs="Arial" w:eastAsia="Arial" w:hAnsi="Arial"/>
          <w:sz w:val="15"/>
          <w:szCs w:val="15"/>
          <w:color w:val="auto"/>
        </w:rPr>
      </w:pPr>
    </w:p>
    <w:p>
      <w:pPr>
        <w:ind w:left="1840" w:right="16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double taxation of our international earnings and potentially adverse tax consequences due to changes in the income and other tax laws of the United States or the international jurisdictions in which we operate; and</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200" w:lineRule="exact"/>
        <w:rPr>
          <w:sz w:val="20"/>
          <w:szCs w:val="20"/>
          <w:color w:val="auto"/>
        </w:rPr>
      </w:pPr>
    </w:p>
    <w:p>
      <w:pPr>
        <w:jc w:val="both"/>
        <w:ind w:left="1120" w:right="360" w:firstLine="368"/>
        <w:spacing w:after="0" w:line="322" w:lineRule="auto"/>
        <w:rPr>
          <w:sz w:val="20"/>
          <w:szCs w:val="20"/>
          <w:color w:val="auto"/>
        </w:rPr>
      </w:pPr>
      <w:r>
        <w:rPr>
          <w:rFonts w:ascii="Arial" w:cs="Arial" w:eastAsia="Arial" w:hAnsi="Arial"/>
          <w:sz w:val="13"/>
          <w:szCs w:val="13"/>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80"/>
          </w:cols>
          <w:pgMar w:left="240" w:top="407" w:right="137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00"/>
        <w:spacing w:after="0" w:line="290" w:lineRule="auto"/>
        <w:rPr>
          <w:sz w:val="20"/>
          <w:szCs w:val="20"/>
          <w:color w:val="auto"/>
        </w:rPr>
      </w:pPr>
      <w:r>
        <w:rPr>
          <w:rFonts w:ascii="Arial" w:cs="Arial" w:eastAsia="Arial" w:hAnsi="Arial"/>
          <w:sz w:val="14"/>
          <w:szCs w:val="14"/>
          <w:color w:val="auto"/>
        </w:rPr>
        <w:t>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28" w:lineRule="exact"/>
        <w:rPr>
          <w:sz w:val="20"/>
          <w:szCs w:val="20"/>
          <w:color w:val="auto"/>
        </w:rPr>
      </w:pPr>
    </w:p>
    <w:p>
      <w:pPr>
        <w:ind w:left="1120" w:right="220"/>
        <w:spacing w:after="0" w:line="275" w:lineRule="auto"/>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56"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52"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5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9"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4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80"/>
          </w:cols>
          <w:pgMar w:left="240" w:top="407" w:right="137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320"/>
        <w:spacing w:after="0" w:line="275" w:lineRule="auto"/>
        <w:rPr>
          <w:sz w:val="20"/>
          <w:szCs w:val="20"/>
          <w:color w:val="auto"/>
        </w:rPr>
      </w:pPr>
      <w:r>
        <w:rPr>
          <w:rFonts w:ascii="Arial" w:cs="Arial" w:eastAsia="Arial" w:hAnsi="Arial"/>
          <w:sz w:val="15"/>
          <w:szCs w:val="15"/>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56"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4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254" w:lineRule="exact"/>
        <w:rPr>
          <w:sz w:val="20"/>
          <w:szCs w:val="20"/>
          <w:color w:val="auto"/>
        </w:rPr>
      </w:pPr>
    </w:p>
    <w:p>
      <w:pPr>
        <w:ind w:left="1120" w:right="180"/>
        <w:spacing w:after="0" w:line="263"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65" w:lineRule="exact"/>
        <w:rPr>
          <w:sz w:val="20"/>
          <w:szCs w:val="20"/>
          <w:color w:val="auto"/>
        </w:rPr>
      </w:pPr>
    </w:p>
    <w:p>
      <w:pPr>
        <w:ind w:left="1120" w:right="80" w:firstLine="368"/>
        <w:spacing w:after="0" w:line="276" w:lineRule="auto"/>
        <w:rPr>
          <w:sz w:val="20"/>
          <w:szCs w:val="20"/>
          <w:color w:val="auto"/>
        </w:rPr>
      </w:pPr>
      <w:r>
        <w:rPr>
          <w:rFonts w:ascii="Arial" w:cs="Arial" w:eastAsia="Arial" w:hAnsi="Arial"/>
          <w:sz w:val="14"/>
          <w:szCs w:val="14"/>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4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34"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5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We are also subject to various U.S. and international anti-corruption laws, such as the U.S. Foreign Corrupt Practices Act and the U.K. Bribery Act, as well as other similar anti-bribery and anti-kickback laws and</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80"/>
          </w:cols>
          <w:pgMar w:left="240" w:top="407" w:right="137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color w:val="auto"/>
        </w:rPr>
        <w:t>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248" w:lineRule="exact"/>
        <w:rPr>
          <w:sz w:val="20"/>
          <w:szCs w:val="20"/>
          <w:color w:val="auto"/>
        </w:rPr>
      </w:pPr>
    </w:p>
    <w:p>
      <w:pPr>
        <w:ind w:left="1120" w:right="200"/>
        <w:spacing w:after="0" w:line="275" w:lineRule="auto"/>
        <w:rPr>
          <w:sz w:val="20"/>
          <w:szCs w:val="20"/>
          <w:color w:val="auto"/>
        </w:rPr>
      </w:pPr>
      <w:r>
        <w:rPr>
          <w:rFonts w:ascii="Arial" w:cs="Arial" w:eastAsia="Arial" w:hAnsi="Arial"/>
          <w:sz w:val="15"/>
          <w:szCs w:val="15"/>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56" w:lineRule="exact"/>
        <w:rPr>
          <w:sz w:val="20"/>
          <w:szCs w:val="20"/>
          <w:color w:val="auto"/>
        </w:rPr>
      </w:pPr>
    </w:p>
    <w:p>
      <w:pPr>
        <w:ind w:left="1120" w:right="60" w:firstLine="368"/>
        <w:spacing w:after="0" w:line="272" w:lineRule="auto"/>
        <w:rPr>
          <w:sz w:val="20"/>
          <w:szCs w:val="20"/>
          <w:color w:val="auto"/>
        </w:rPr>
      </w:pPr>
      <w:r>
        <w:rPr>
          <w:rFonts w:ascii="Arial" w:cs="Arial" w:eastAsia="Arial" w:hAnsi="Arial"/>
          <w:sz w:val="14"/>
          <w:szCs w:val="14"/>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If we are found to be in violation of U.S. sanctions or export control laws, it could result in substantial fines and penalties for us and for the individuals working for us.</w:t>
      </w:r>
    </w:p>
    <w:p>
      <w:pPr>
        <w:spacing w:after="0" w:line="156" w:lineRule="exact"/>
        <w:rPr>
          <w:sz w:val="20"/>
          <w:szCs w:val="20"/>
          <w:color w:val="auto"/>
        </w:rPr>
      </w:pPr>
    </w:p>
    <w:p>
      <w:pPr>
        <w:ind w:left="1120" w:right="60" w:firstLine="368"/>
        <w:spacing w:after="0" w:line="298" w:lineRule="auto"/>
        <w:rPr>
          <w:sz w:val="20"/>
          <w:szCs w:val="20"/>
          <w:color w:val="auto"/>
        </w:rPr>
      </w:pPr>
      <w:r>
        <w:rPr>
          <w:rFonts w:ascii="Arial" w:cs="Arial" w:eastAsia="Arial" w:hAnsi="Arial"/>
          <w:sz w:val="13"/>
          <w:szCs w:val="13"/>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29"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56"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9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320"/>
          </w:cols>
          <w:pgMar w:left="240" w:top="407" w:right="13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41"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Our business could be adversely impacted by changes in internet access for our users or laws specifically governing the internet.</w:t>
      </w:r>
    </w:p>
    <w:p>
      <w:pPr>
        <w:spacing w:after="0" w:line="110" w:lineRule="exact"/>
        <w:rPr>
          <w:sz w:val="20"/>
          <w:szCs w:val="20"/>
          <w:color w:val="auto"/>
        </w:rPr>
      </w:pPr>
    </w:p>
    <w:p>
      <w:pPr>
        <w:jc w:val="both"/>
        <w:ind w:left="1120" w:right="40" w:firstLine="368"/>
        <w:spacing w:after="0" w:line="259" w:lineRule="auto"/>
        <w:rPr>
          <w:sz w:val="20"/>
          <w:szCs w:val="20"/>
          <w:color w:val="auto"/>
        </w:rPr>
      </w:pPr>
      <w:r>
        <w:rPr>
          <w:rFonts w:ascii="Arial" w:cs="Arial" w:eastAsia="Arial" w:hAnsi="Arial"/>
          <w:sz w:val="15"/>
          <w:szCs w:val="15"/>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79" w:lineRule="exact"/>
        <w:rPr>
          <w:sz w:val="20"/>
          <w:szCs w:val="20"/>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implement usage-based pricing;</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discount pricing for competitive products;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otherwise materially change their pricing rates or schemes;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charge us to deliver our traffic at certain levels or at all;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throttle traffic based on its source or type;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implement bandwidth caps or other usage restrictions;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otherwise try to monetize or control access to their networks.</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320"/>
          </w:cols>
          <w:pgMar w:left="240" w:top="407" w:right="13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On December 14, 2017, the Federal Communications Commission voted to repeal the “net neutrality” rules and return to a “light-touch” regulatory framework. However, the repeal has not yet taken effect and a number of parties have already stated their intent to appeal this order; thus, the future impact of such repeal and any challenge thereto remains uncertain. The rules were designed to ensure that all online content is treated the same by internet service providers and other companies that provide broadband services. Should the repeal of net neutrality rules take effect, we could incur greater operating expenses, which could harm our results of operations.</w:t>
      </w:r>
    </w:p>
    <w:p>
      <w:pPr>
        <w:spacing w:after="0" w:line="159"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55"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51" w:lineRule="exact"/>
        <w:rPr>
          <w:sz w:val="20"/>
          <w:szCs w:val="20"/>
          <w:color w:val="auto"/>
        </w:rPr>
      </w:pPr>
    </w:p>
    <w:p>
      <w:pPr>
        <w:ind w:left="1120" w:right="260"/>
        <w:spacing w:after="0" w:line="275" w:lineRule="auto"/>
        <w:rPr>
          <w:sz w:val="20"/>
          <w:szCs w:val="20"/>
          <w:color w:val="auto"/>
        </w:rPr>
      </w:pPr>
      <w:r>
        <w:rPr>
          <w:rFonts w:ascii="Arial" w:cs="Arial" w:eastAsia="Arial" w:hAnsi="Arial"/>
          <w:sz w:val="15"/>
          <w:szCs w:val="15"/>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56" w:lineRule="exact"/>
        <w:rPr>
          <w:sz w:val="20"/>
          <w:szCs w:val="20"/>
          <w:color w:val="auto"/>
        </w:rPr>
      </w:pPr>
    </w:p>
    <w:p>
      <w:pPr>
        <w:ind w:left="1120" w:right="40" w:firstLine="368"/>
        <w:spacing w:after="0" w:line="295" w:lineRule="auto"/>
        <w:rPr>
          <w:sz w:val="20"/>
          <w:szCs w:val="20"/>
          <w:color w:val="auto"/>
        </w:rPr>
      </w:pPr>
      <w:r>
        <w:rPr>
          <w:rFonts w:ascii="Arial" w:cs="Arial" w:eastAsia="Arial" w:hAnsi="Arial"/>
          <w:sz w:val="13"/>
          <w:szCs w:val="13"/>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Our failure to protect our intellectual property rights and proprietary information could diminish our brand and other intangible assets.</w:t>
      </w:r>
    </w:p>
    <w:p>
      <w:pPr>
        <w:spacing w:after="0" w:line="110" w:lineRule="exact"/>
        <w:rPr>
          <w:sz w:val="20"/>
          <w:szCs w:val="20"/>
          <w:color w:val="auto"/>
        </w:rPr>
      </w:pPr>
    </w:p>
    <w:p>
      <w:pPr>
        <w:ind w:left="1120" w:right="100" w:firstLine="368"/>
        <w:spacing w:after="0" w:line="283" w:lineRule="auto"/>
        <w:rPr>
          <w:sz w:val="20"/>
          <w:szCs w:val="20"/>
          <w:color w:val="auto"/>
        </w:rPr>
      </w:pPr>
      <w:r>
        <w:rPr>
          <w:rFonts w:ascii="Arial" w:cs="Arial" w:eastAsia="Arial" w:hAnsi="Arial"/>
          <w:sz w:val="14"/>
          <w:szCs w:val="14"/>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600 issued patents and more than 600 pending patent applications. However, third parties may knowingly or unknowingly infringe our proprietary rights, third parties may challenge our</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320"/>
          </w:cols>
          <w:pgMar w:left="240" w:top="407" w:right="13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2" w:lineRule="auto"/>
        <w:rPr>
          <w:sz w:val="20"/>
          <w:szCs w:val="20"/>
          <w:color w:val="auto"/>
        </w:rPr>
      </w:pPr>
      <w:r>
        <w:rPr>
          <w:rFonts w:ascii="Arial" w:cs="Arial" w:eastAsia="Arial" w:hAnsi="Arial"/>
          <w:sz w:val="14"/>
          <w:szCs w:val="14"/>
          <w:color w:val="auto"/>
        </w:rPr>
        <w:t>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Our use of open source software could negatively affect our ability to offer and sell subscriptions to our platform and subject us to possible litigation.</w:t>
      </w:r>
    </w:p>
    <w:p>
      <w:pPr>
        <w:spacing w:after="0" w:line="110" w:lineRule="exact"/>
        <w:rPr>
          <w:sz w:val="20"/>
          <w:szCs w:val="20"/>
          <w:color w:val="auto"/>
        </w:rPr>
      </w:pPr>
    </w:p>
    <w:p>
      <w:pPr>
        <w:ind w:left="1120" w:right="80" w:firstLine="368"/>
        <w:spacing w:after="0" w:line="273" w:lineRule="auto"/>
        <w:rPr>
          <w:sz w:val="20"/>
          <w:szCs w:val="20"/>
          <w:color w:val="auto"/>
        </w:rPr>
      </w:pPr>
      <w:r>
        <w:rPr>
          <w:rFonts w:ascii="Arial" w:cs="Arial" w:eastAsia="Arial" w:hAnsi="Arial"/>
          <w:sz w:val="14"/>
          <w:szCs w:val="14"/>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ability to sell subscriptions to our platform could be harmed by real or perceived material defects or errors in our platform.</w:t>
      </w:r>
    </w:p>
    <w:p>
      <w:pPr>
        <w:spacing w:after="0" w:line="98"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36" w:lineRule="exact"/>
        <w:rPr>
          <w:sz w:val="20"/>
          <w:szCs w:val="20"/>
          <w:color w:val="auto"/>
        </w:rPr>
      </w:pPr>
    </w:p>
    <w:p>
      <w:pPr>
        <w:ind w:left="1120" w:right="500" w:firstLine="368"/>
        <w:spacing w:after="0" w:line="263" w:lineRule="auto"/>
        <w:rPr>
          <w:sz w:val="20"/>
          <w:szCs w:val="20"/>
          <w:color w:val="auto"/>
        </w:rPr>
      </w:pPr>
      <w:r>
        <w:rPr>
          <w:rFonts w:ascii="Arial" w:cs="Arial" w:eastAsia="Arial" w:hAnsi="Arial"/>
          <w:sz w:val="15"/>
          <w:szCs w:val="15"/>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76" w:lineRule="exact"/>
        <w:rPr>
          <w:sz w:val="20"/>
          <w:szCs w:val="20"/>
          <w:color w:val="auto"/>
        </w:rPr>
      </w:pPr>
    </w:p>
    <w:p>
      <w:pPr>
        <w:ind w:left="5640" w:right="3940" w:hanging="4076"/>
        <w:spacing w:after="0" w:line="497" w:lineRule="auto"/>
        <w:tabs>
          <w:tab w:leader="none" w:pos="1835"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 31</w:t>
      </w:r>
    </w:p>
    <w:p>
      <w:pPr>
        <w:sectPr>
          <w:pgSz w:w="11900" w:h="16838" w:orient="portrait"/>
          <w:cols w:equalWidth="0" w:num="1">
            <w:col w:w="10320"/>
          </w:cols>
          <w:pgMar w:left="240" w:top="407" w:right="13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require us to issue refunds to our users or expose us to claims for damages;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cause us to lose existing users and make it more difficult to attract new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divert our development resources or require us to make extensive changes to our platform, which would increase our expenses;</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 our technical support costs;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harm our reputation and brand.</w:t>
      </w:r>
    </w:p>
    <w:p>
      <w:pPr>
        <w:spacing w:after="0" w:line="279" w:lineRule="exact"/>
        <w:rPr>
          <w:sz w:val="20"/>
          <w:szCs w:val="20"/>
          <w:color w:val="auto"/>
        </w:rPr>
      </w:pPr>
    </w:p>
    <w:p>
      <w:pPr>
        <w:ind w:left="1120" w:right="200"/>
        <w:spacing w:after="0" w:line="275" w:lineRule="auto"/>
        <w:rPr>
          <w:sz w:val="20"/>
          <w:szCs w:val="20"/>
          <w:color w:val="auto"/>
        </w:rPr>
      </w:pPr>
      <w:r>
        <w:rPr>
          <w:rFonts w:ascii="Arial" w:cs="Arial" w:eastAsia="Arial" w:hAnsi="Arial"/>
          <w:sz w:val="15"/>
          <w:szCs w:val="15"/>
          <w:b w:val="1"/>
          <w:bCs w:val="1"/>
          <w:i w:val="1"/>
          <w:iCs w:val="1"/>
          <w:color w:val="auto"/>
        </w:rPr>
        <w:t>We may acquire other businesses or receive offers to be acquired, which could require significant management attention, disrupt our business, or dilute stockholder value.</w:t>
      </w:r>
    </w:p>
    <w:p>
      <w:pPr>
        <w:spacing w:after="0" w:line="56"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54"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Our business may be significantly impacted by a change in the economy, including any resulting effect on consumer or business spending.</w:t>
      </w:r>
    </w:p>
    <w:p>
      <w:pPr>
        <w:spacing w:after="0" w:line="121"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business could be disrupted by catastrophic events.</w:t>
      </w:r>
    </w:p>
    <w:p>
      <w:pPr>
        <w:spacing w:after="0" w:line="98"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80"/>
          </w:cols>
          <w:pgMar w:left="240" w:top="407" w:right="13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0"/>
        <w:spacing w:after="0" w:line="263" w:lineRule="auto"/>
        <w:rPr>
          <w:sz w:val="20"/>
          <w:szCs w:val="20"/>
          <w:color w:val="auto"/>
        </w:rPr>
      </w:pPr>
      <w:r>
        <w:rPr>
          <w:rFonts w:ascii="Arial" w:cs="Arial" w:eastAsia="Arial" w:hAnsi="Arial"/>
          <w:sz w:val="15"/>
          <w:szCs w:val="15"/>
          <w:color w:val="auto"/>
        </w:rPr>
        <w:t>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have exposure to greater than anticipated tax liabilities, which could adversely impact our results of operations.</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59" w:lineRule="exact"/>
        <w:rPr>
          <w:sz w:val="20"/>
          <w:szCs w:val="20"/>
          <w:color w:val="auto"/>
        </w:rPr>
      </w:pPr>
    </w:p>
    <w:p>
      <w:pPr>
        <w:jc w:val="both"/>
        <w:ind w:left="1120" w:right="160" w:firstLine="368"/>
        <w:spacing w:after="0" w:line="294" w:lineRule="auto"/>
        <w:rPr>
          <w:sz w:val="20"/>
          <w:szCs w:val="20"/>
          <w:color w:val="auto"/>
        </w:rPr>
      </w:pPr>
      <w:r>
        <w:rPr>
          <w:rFonts w:ascii="Arial" w:cs="Arial" w:eastAsia="Arial" w:hAnsi="Arial"/>
          <w:sz w:val="13"/>
          <w:szCs w:val="13"/>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w:t>
      </w:r>
    </w:p>
    <w:p>
      <w:pPr>
        <w:spacing w:after="0" w:line="1" w:lineRule="exact"/>
        <w:rPr>
          <w:sz w:val="20"/>
          <w:szCs w:val="20"/>
          <w:color w:val="auto"/>
        </w:rPr>
      </w:pPr>
    </w:p>
    <w:p>
      <w:pPr>
        <w:ind w:left="1120" w:right="420"/>
        <w:spacing w:after="0" w:line="256" w:lineRule="auto"/>
        <w:rPr>
          <w:sz w:val="20"/>
          <w:szCs w:val="20"/>
          <w:color w:val="auto"/>
        </w:rPr>
      </w:pPr>
      <w:r>
        <w:rPr>
          <w:rFonts w:ascii="Arial" w:cs="Arial" w:eastAsia="Arial" w:hAnsi="Arial"/>
          <w:sz w:val="15"/>
          <w:szCs w:val="15"/>
          <w:color w:val="auto"/>
        </w:rPr>
        <w:t>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60" w:lineRule="exact"/>
        <w:rPr>
          <w:sz w:val="20"/>
          <w:szCs w:val="20"/>
          <w:color w:val="auto"/>
        </w:rPr>
      </w:pPr>
    </w:p>
    <w:p>
      <w:pPr>
        <w:ind w:left="1120" w:right="20" w:firstLine="368"/>
        <w:spacing w:after="0" w:line="277" w:lineRule="auto"/>
        <w:rPr>
          <w:sz w:val="20"/>
          <w:szCs w:val="20"/>
          <w:color w:val="auto"/>
        </w:rPr>
      </w:pPr>
      <w:r>
        <w:rPr>
          <w:rFonts w:ascii="Arial" w:cs="Arial" w:eastAsia="Arial" w:hAnsi="Arial"/>
          <w:sz w:val="14"/>
          <w:szCs w:val="14"/>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ability to use our net operating loss carryforwards and certain other tax attributes may be limited.</w:t>
      </w:r>
    </w:p>
    <w:p>
      <w:pPr>
        <w:spacing w:after="0" w:line="98"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color w:val="auto"/>
        </w:rPr>
        <w:t>As of December 31, 2017, we had $312.2 million of federal and $143.0 million of state net operating loss carryforwards available to reduce future taxable income, which will begin to expire in 2031 for federal and 2030 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10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320"/>
          </w:cols>
          <w:pgMar w:left="240" w:top="407" w:right="133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56"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37"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56" w:lineRule="exact"/>
        <w:rPr>
          <w:sz w:val="20"/>
          <w:szCs w:val="20"/>
          <w:color w:val="auto"/>
        </w:rPr>
      </w:pPr>
    </w:p>
    <w:p>
      <w:pPr>
        <w:ind w:left="1120" w:firstLine="368"/>
        <w:spacing w:after="0" w:line="297" w:lineRule="auto"/>
        <w:rPr>
          <w:sz w:val="20"/>
          <w:szCs w:val="20"/>
          <w:color w:val="auto"/>
        </w:rPr>
      </w:pPr>
      <w:r>
        <w:rPr>
          <w:rFonts w:ascii="Arial" w:cs="Arial" w:eastAsia="Arial" w:hAnsi="Arial"/>
          <w:sz w:val="13"/>
          <w:szCs w:val="13"/>
          <w:color w:val="auto"/>
        </w:rPr>
        <w:t>On December 22, 2017, the legislation commonly referred to as the Tax Cuts and Jobs Act, or the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Tax Reform Act will likely be subject to ongoing technical guidance and accounting interpretation, which we will continue to monitor and assess. Provisional accounting impacts may change in future reporting periods until the accounting analysis is finalized, which will occur no later than one year from the date the Tax Reform Act was enacted. As we expand the scale of our international business activities, any changes in the U.S. or foreign taxation of such activities may increase our worldwide effective tax rate and harm our business, results of operations, and financial condition.</w:t>
      </w:r>
    </w:p>
    <w:p>
      <w:pPr>
        <w:spacing w:after="0" w:line="230" w:lineRule="exact"/>
        <w:rPr>
          <w:sz w:val="20"/>
          <w:szCs w:val="20"/>
          <w:color w:val="auto"/>
        </w:rPr>
      </w:pPr>
    </w:p>
    <w:p>
      <w:pPr>
        <w:ind w:left="1120" w:right="420"/>
        <w:spacing w:after="0" w:line="275"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As a public company, we will be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7" w:lineRule="exact"/>
        <w:rPr>
          <w:sz w:val="20"/>
          <w:szCs w:val="20"/>
          <w:color w:val="auto"/>
        </w:rPr>
      </w:pPr>
    </w:p>
    <w:p>
      <w:pPr>
        <w:ind w:left="1120" w:right="100" w:firstLine="368"/>
        <w:spacing w:after="0" w:line="300" w:lineRule="auto"/>
        <w:rPr>
          <w:sz w:val="20"/>
          <w:szCs w:val="20"/>
          <w:color w:val="auto"/>
        </w:rPr>
      </w:pPr>
      <w:r>
        <w:rPr>
          <w:rFonts w:ascii="Arial" w:cs="Arial" w:eastAsia="Arial" w:hAnsi="Arial"/>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6"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300"/>
          </w:cols>
          <w:pgMar w:left="240" w:top="407" w:right="13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51"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254"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b w:val="1"/>
          <w:bCs w:val="1"/>
          <w:i w:val="1"/>
          <w:iCs w:val="1"/>
          <w:color w:val="auto"/>
        </w:rPr>
        <w:t>Although we ceased to be an “emerging growth company,” we can continue to take advantage of certain reduced disclosure requirements in this registration statement, which may make our Class A common stock less attractive to investors.</w:t>
      </w:r>
    </w:p>
    <w:p>
      <w:pPr>
        <w:spacing w:after="0" w:line="56"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4"/>
          <w:szCs w:val="14"/>
          <w:color w:val="auto"/>
        </w:rPr>
        <w:t>We ceased to be an “emerging growth company,” as defined in the Jumpstart Our Business Startups Act of 2012, or the JOBS Act, on December 31, 2017. However, because we ceased to be an “emerging growth company” after we confidentially submitted our registration statement related to this offering to the SEC, we will continue to be treated as an “emerging growth company” for certain purposes until the earlier of the date on which we complete this offering or December 31, 2018. As such, we have taken advantage of certain reduced disclosure obligations regarding selected financial data and executive compensation arrangements in our registration statement related to this offering that are not available to non-emerging growth companies. We cannot predict if investors will find our Class A common stock less attractive because we have relied on these exemptions. If some investors find our Class A common stock less attractive as a result, there may be less demand for our Class A common stock and the price that some investors are willing to pay for our Class A common stock may decrease.</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w:t>
      </w:r>
      <w:r>
        <w:rPr>
          <w:rFonts w:ascii="Arial" w:cs="Arial" w:eastAsia="Arial" w:hAnsi="Arial"/>
          <w:sz w:val="14"/>
          <w:szCs w:val="14"/>
          <w:i w:val="1"/>
          <w:iCs w:val="1"/>
          <w:color w:val="auto"/>
        </w:rPr>
        <w:t>Revenue from Contracts</w:t>
      </w:r>
      <w:r>
        <w:rPr>
          <w:rFonts w:ascii="Arial" w:cs="Arial" w:eastAsia="Arial" w:hAnsi="Arial"/>
          <w:sz w:val="14"/>
          <w:szCs w:val="14"/>
          <w:color w:val="auto"/>
        </w:rPr>
        <w:t xml:space="preserve"> </w:t>
      </w:r>
      <w:r>
        <w:rPr>
          <w:rFonts w:ascii="Arial" w:cs="Arial" w:eastAsia="Arial" w:hAnsi="Arial"/>
          <w:sz w:val="14"/>
          <w:szCs w:val="14"/>
          <w:i w:val="1"/>
          <w:iCs w:val="1"/>
          <w:color w:val="auto"/>
        </w:rPr>
        <w:t>with Customers (Topic 606)</w:t>
      </w:r>
      <w:r>
        <w:rPr>
          <w:rFonts w:ascii="Arial" w:cs="Arial" w:eastAsia="Arial" w:hAnsi="Arial"/>
          <w:sz w:val="14"/>
          <w:szCs w:val="14"/>
          <w:color w:val="auto"/>
        </w:rPr>
        <w:t>, or Topic 606, which superseded nearly all existing revenue recognition guidance. We adopted the requirements of Topic</w:t>
      </w:r>
      <w:r>
        <w:rPr>
          <w:rFonts w:ascii="Arial" w:cs="Arial" w:eastAsia="Arial" w:hAnsi="Arial"/>
          <w:sz w:val="14"/>
          <w:szCs w:val="14"/>
          <w:i w:val="1"/>
          <w:iCs w:val="1"/>
          <w:color w:val="auto"/>
        </w:rPr>
        <w:t xml:space="preserve"> </w:t>
      </w:r>
      <w:r>
        <w:rPr>
          <w:rFonts w:ascii="Arial" w:cs="Arial" w:eastAsia="Arial" w:hAnsi="Arial"/>
          <w:sz w:val="14"/>
          <w:szCs w:val="14"/>
          <w:color w:val="auto"/>
        </w:rPr>
        <w:t>606 as of January 1, 2017, utilizing the full retrospective method of transition. As such, Topic 606 is reflected in our financial results for all periods presented in this prospectus. The adoption of Topic 606 primarily resulted in</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80"/>
          </w:cols>
          <w:pgMar w:left="24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63" w:lineRule="auto"/>
        <w:rPr>
          <w:sz w:val="20"/>
          <w:szCs w:val="20"/>
          <w:color w:val="auto"/>
        </w:rPr>
      </w:pPr>
      <w:r>
        <w:rPr>
          <w:rFonts w:ascii="Arial" w:cs="Arial" w:eastAsia="Arial" w:hAnsi="Arial"/>
          <w:sz w:val="15"/>
          <w:szCs w:val="15"/>
          <w:color w:val="auto"/>
        </w:rPr>
        <w:t>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245"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65" w:lineRule="exact"/>
        <w:rPr>
          <w:sz w:val="20"/>
          <w:szCs w:val="20"/>
          <w:color w:val="auto"/>
        </w:rPr>
      </w:pPr>
    </w:p>
    <w:p>
      <w:pPr>
        <w:ind w:left="1120" w:right="80" w:firstLine="368"/>
        <w:spacing w:after="0" w:line="298" w:lineRule="auto"/>
        <w:rPr>
          <w:sz w:val="20"/>
          <w:szCs w:val="20"/>
          <w:color w:val="auto"/>
        </w:rPr>
      </w:pPr>
      <w:r>
        <w:rPr>
          <w:rFonts w:ascii="Arial" w:cs="Arial" w:eastAsia="Arial" w:hAnsi="Arial"/>
          <w:sz w:val="13"/>
          <w:szCs w:val="13"/>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229"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b w:val="1"/>
          <w:bCs w:val="1"/>
          <w:i w:val="1"/>
          <w:iCs w:val="1"/>
          <w:color w:val="auto"/>
        </w:rPr>
        <w:t>Certain of our market opportunity estimates, growth forecasts, and key metrics included in this prospectus could prove to be inaccurate, and any real or perceived inaccuracies may harm our reputation and negatively affect our business.</w:t>
      </w:r>
    </w:p>
    <w:p>
      <w:pPr>
        <w:spacing w:after="0" w:line="56" w:lineRule="exact"/>
        <w:rPr>
          <w:sz w:val="20"/>
          <w:szCs w:val="20"/>
          <w:color w:val="auto"/>
        </w:rPr>
      </w:pPr>
    </w:p>
    <w:p>
      <w:pPr>
        <w:ind w:left="1120" w:right="60" w:firstLine="368"/>
        <w:spacing w:after="0" w:line="273" w:lineRule="auto"/>
        <w:rPr>
          <w:sz w:val="20"/>
          <w:szCs w:val="20"/>
          <w:color w:val="auto"/>
        </w:rPr>
      </w:pPr>
      <w:r>
        <w:rPr>
          <w:rFonts w:ascii="Arial" w:cs="Arial" w:eastAsia="Arial" w:hAnsi="Arial"/>
          <w:sz w:val="14"/>
          <w:szCs w:val="14"/>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 may prove to be inaccurate. Even if the markets in which we compete meet the size estimates and growth forecasted in this prospectus,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44" w:lineRule="exact"/>
        <w:rPr>
          <w:sz w:val="20"/>
          <w:szCs w:val="20"/>
          <w:color w:val="auto"/>
        </w:rPr>
      </w:pPr>
    </w:p>
    <w:p>
      <w:pPr>
        <w:ind w:left="1120" w:right="100"/>
        <w:spacing w:after="0" w:line="263" w:lineRule="auto"/>
        <w:rPr>
          <w:sz w:val="20"/>
          <w:szCs w:val="20"/>
          <w:color w:val="auto"/>
        </w:rPr>
      </w:pPr>
      <w:r>
        <w:rPr>
          <w:rFonts w:ascii="Arial" w:cs="Arial" w:eastAsia="Arial" w:hAnsi="Arial"/>
          <w:sz w:val="15"/>
          <w:szCs w:val="15"/>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65"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320"/>
          </w:cols>
          <w:pgMar w:left="240" w:top="407" w:right="13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4"/>
          <w:szCs w:val="14"/>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39"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Our operations may be interrupted and our business, results of operations, and financial condition could be adversely affected if we default on our leasing or credit obligations.</w:t>
      </w:r>
    </w:p>
    <w:p>
      <w:pPr>
        <w:spacing w:after="0" w:line="56" w:lineRule="exact"/>
        <w:rPr>
          <w:sz w:val="20"/>
          <w:szCs w:val="20"/>
          <w:color w:val="auto"/>
        </w:rPr>
      </w:pPr>
    </w:p>
    <w:p>
      <w:pPr>
        <w:ind w:left="1120" w:right="40" w:firstLine="368"/>
        <w:spacing w:after="0" w:line="277" w:lineRule="auto"/>
        <w:rPr>
          <w:sz w:val="20"/>
          <w:szCs w:val="20"/>
          <w:color w:val="auto"/>
        </w:rPr>
      </w:pPr>
      <w:r>
        <w:rPr>
          <w:rFonts w:ascii="Arial" w:cs="Arial" w:eastAsia="Arial" w:hAnsi="Arial"/>
          <w:sz w:val="14"/>
          <w:szCs w:val="14"/>
          <w:color w:val="auto"/>
        </w:rPr>
        <w:t>We finance a significant portion of our expenditures through leasing arrangements, some of which are not required to be reflected on our balance sheet, and we may enter into additional similar arrangements in the future. As of December 31, 2017, we had an aggregate of $1,687.0 million of commitments to settle contractual obligations. In particular, we have used these types of arrangements to finance some of our equipment and datacenters. In addition, we may draw upon our revolving credit facility to finance our operations or for other corporate purposes, such as funding our tax withholding and remittance obligations in connection with the settlement of restricted stock units, or RSUs. If we default on these leasing or credit obligations, our leasing partners and lenders may, among other things:</w:t>
      </w:r>
    </w:p>
    <w:p>
      <w:pPr>
        <w:spacing w:after="0" w:line="69" w:lineRule="exact"/>
        <w:rPr>
          <w:sz w:val="20"/>
          <w:szCs w:val="20"/>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 repayment of any outstanding lease obligations;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terminate our leasing arrangements;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terminate our access to the leased datacenters we utilize;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stop delivery of ordered equipment;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sell or require us to return our leased equipment;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 repayment of any outstanding amounts drawn on our revolving credit facility;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terminate our revolving credit facility;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 us to pay significant fees, penalties, or damages.</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October 2017, we entered into a new lease agreement to rent office space in San Francisco, California, to serve as our new corporate headquarters. The total minimum obligations under this lease agreement are expected to be approximately $827.0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with the intention of subleasing the space to a third-party for the remainder of the lease term, which terminates in the third quarter of 2027. If we are unable to find sublessors for all or a portion of our current corporate headquarters, our results of operations will be adversely impacted as a result of this additional rent expense through 2027.</w:t>
      </w:r>
    </w:p>
    <w:p>
      <w:pPr>
        <w:spacing w:after="0" w:line="161"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may need additional capital, and we cannot be certain that additional financing will be available on favorable terms, or at all.</w:t>
      </w:r>
    </w:p>
    <w:p>
      <w:pPr>
        <w:spacing w:after="0" w:line="9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40"/>
          </w:cols>
          <w:pgMar w:left="240" w:top="407" w:right="14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77" w:lineRule="auto"/>
        <w:rPr>
          <w:sz w:val="20"/>
          <w:szCs w:val="20"/>
          <w:color w:val="auto"/>
        </w:rPr>
      </w:pPr>
      <w:r>
        <w:rPr>
          <w:rFonts w:ascii="Arial" w:cs="Arial" w:eastAsia="Arial" w:hAnsi="Arial"/>
          <w:sz w:val="14"/>
          <w:szCs w:val="14"/>
          <w:color w:val="auto"/>
        </w:rPr>
        <w:t>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35"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Risks Related to Ownership of Our Class A Common Stock</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An active trading market for our Class A common stock may never develop or be sustained.</w:t>
      </w:r>
    </w:p>
    <w:p>
      <w:pPr>
        <w:spacing w:after="0" w:line="98" w:lineRule="exact"/>
        <w:rPr>
          <w:sz w:val="20"/>
          <w:szCs w:val="20"/>
          <w:color w:val="auto"/>
        </w:rPr>
      </w:pPr>
    </w:p>
    <w:p>
      <w:pPr>
        <w:ind w:left="1120" w:right="180" w:firstLine="368"/>
        <w:spacing w:after="0" w:line="311" w:lineRule="auto"/>
        <w:rPr>
          <w:sz w:val="20"/>
          <w:szCs w:val="20"/>
          <w:color w:val="auto"/>
        </w:rPr>
      </w:pPr>
      <w:r>
        <w:rPr>
          <w:rFonts w:ascii="Arial" w:cs="Arial" w:eastAsia="Arial" w:hAnsi="Arial"/>
          <w:sz w:val="13"/>
          <w:szCs w:val="13"/>
          <w:color w:val="auto"/>
        </w:rPr>
        <w:t>We have applied to list our Class A common stock on Nasdaq under the symbol “DBX”.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1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The trading price of our Class A common stock may be volatile, and you could lose all or part of your investment.</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Prior to this offering, there has been no public market for shares of our Class A common stock. The initial public offering price of our Class A common stock was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82" w:lineRule="exact"/>
        <w:rPr>
          <w:sz w:val="20"/>
          <w:szCs w:val="20"/>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technology stocks;</w:t>
      </w:r>
    </w:p>
    <w:p>
      <w:pPr>
        <w:spacing w:after="0" w:line="109" w:lineRule="exact"/>
        <w:rPr>
          <w:rFonts w:ascii="Arial" w:cs="Arial" w:eastAsia="Arial" w:hAnsi="Arial"/>
          <w:sz w:val="15"/>
          <w:szCs w:val="15"/>
          <w:color w:val="auto"/>
        </w:rPr>
      </w:pPr>
    </w:p>
    <w:p>
      <w:pPr>
        <w:ind w:left="1840" w:right="620" w:hanging="276"/>
        <w:spacing w:after="0" w:line="275"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sales of shares of our Class A common stock by us or our stockholders;</w:t>
      </w:r>
    </w:p>
    <w:p>
      <w:pPr>
        <w:spacing w:after="0" w:line="109" w:lineRule="exact"/>
        <w:rPr>
          <w:rFonts w:ascii="Arial" w:cs="Arial" w:eastAsia="Arial" w:hAnsi="Arial"/>
          <w:sz w:val="15"/>
          <w:szCs w:val="15"/>
          <w:color w:val="auto"/>
        </w:rPr>
      </w:pPr>
    </w:p>
    <w:p>
      <w:pPr>
        <w:ind w:left="1840" w:right="240" w:hanging="276"/>
        <w:spacing w:after="0" w:line="275"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320"/>
          </w:cols>
          <w:pgMar w:left="240" w:top="407" w:right="133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significant change in our management;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188" w:lineRule="exact"/>
        <w:rPr>
          <w:sz w:val="20"/>
          <w:szCs w:val="20"/>
          <w:color w:val="auto"/>
        </w:rPr>
      </w:pPr>
    </w:p>
    <w:p>
      <w:pPr>
        <w:jc w:val="both"/>
        <w:ind w:left="1120" w:right="220" w:firstLine="368"/>
        <w:spacing w:after="0" w:line="263"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45" w:lineRule="exact"/>
        <w:rPr>
          <w:sz w:val="20"/>
          <w:szCs w:val="20"/>
          <w:color w:val="auto"/>
        </w:rPr>
      </w:pPr>
    </w:p>
    <w:p>
      <w:pPr>
        <w:jc w:val="both"/>
        <w:ind w:left="1120" w:right="320"/>
        <w:spacing w:after="0" w:line="263" w:lineRule="auto"/>
        <w:rPr>
          <w:sz w:val="20"/>
          <w:szCs w:val="20"/>
          <w:color w:val="auto"/>
        </w:rPr>
      </w:pPr>
      <w:r>
        <w:rPr>
          <w:rFonts w:ascii="Arial" w:cs="Arial" w:eastAsia="Arial" w:hAnsi="Arial"/>
          <w:sz w:val="15"/>
          <w:szCs w:val="15"/>
          <w:b w:val="1"/>
          <w:bCs w:val="1"/>
          <w:i w:val="1"/>
          <w:iCs w:val="1"/>
          <w:color w:val="auto"/>
        </w:rPr>
        <w:t>The multi-class structure of our common stock will have the effect of concentrating voting control with those stockholders who held our capital stock prior to the completion of this offering and the concurrent private placement, and it may depress the trading price of our Class A common stock.</w:t>
      </w:r>
    </w:p>
    <w:p>
      <w:pPr>
        <w:spacing w:after="0" w:line="65"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Our Class A common stock, which is the stock we are offering in this offering and the concurrent private placement, has one vote per share, our Class B common stock has ten votes per share, and our Class C common stock has no voting rights, except as otherwise required by law. Following this offering and the concurrent private placement, our directors, executive officers and holders of more than 5% of our common stock, and their respective affiliates, will hold in the aggregate 68.7% of the voting power of our capital stock (including the Co-Founder Grants). We are including the Co-Founder Grants in this calculation since they are legally issued and outstanding shares of our Class A common stock and our co-founders are able to vote these shares immediately upon grant and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41"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300"/>
          </w:cols>
          <w:pgMar w:left="240" w:top="407"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5" w:lineRule="auto"/>
        <w:rPr>
          <w:sz w:val="20"/>
          <w:szCs w:val="20"/>
          <w:color w:val="auto"/>
        </w:rPr>
      </w:pPr>
      <w:r>
        <w:rPr>
          <w:rFonts w:ascii="Arial" w:cs="Arial" w:eastAsia="Arial" w:hAnsi="Arial"/>
          <w:sz w:val="14"/>
          <w:szCs w:val="14"/>
          <w:color w:val="auto"/>
        </w:rPr>
        <w:t>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See the section titled “Description of Capital Stock – 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in the long term.</w:t>
      </w:r>
    </w:p>
    <w:p>
      <w:pPr>
        <w:spacing w:after="0" w:line="148" w:lineRule="exact"/>
        <w:rPr>
          <w:sz w:val="20"/>
          <w:szCs w:val="20"/>
          <w:color w:val="auto"/>
        </w:rPr>
      </w:pPr>
    </w:p>
    <w:p>
      <w:pPr>
        <w:ind w:left="1120" w:right="60" w:firstLine="368"/>
        <w:spacing w:after="0" w:line="283" w:lineRule="auto"/>
        <w:rPr>
          <w:sz w:val="20"/>
          <w:szCs w:val="20"/>
          <w:color w:val="auto"/>
        </w:rPr>
      </w:pPr>
      <w:r>
        <w:rPr>
          <w:rFonts w:ascii="Arial" w:cs="Arial" w:eastAsia="Arial" w:hAnsi="Arial"/>
          <w:sz w:val="14"/>
          <w:szCs w:val="14"/>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See the section titled “Description of Capital Stock—Anti-Takeover Provisions” for additional information.</w:t>
      </w:r>
    </w:p>
    <w:p>
      <w:pPr>
        <w:spacing w:after="0" w:line="143"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251"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b w:val="1"/>
          <w:bCs w:val="1"/>
          <w:i w:val="1"/>
          <w:iCs w:val="1"/>
          <w:color w:val="auto"/>
        </w:rPr>
        <w:t>Because of the relatively small number of shares of our Class A common stock outstanding immediately after this offering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65"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Based on 26,550,581 shares of Class A common stock (including the Capital Stock Conversions) outstanding as of December 31, 2017, inclusive of 14,733,333 shares of Class A common stock subject to RSAs that were granted pursuant to our Co-Founder Grants, following this offering, we will have 68,432,934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300"/>
          </w:cols>
          <w:pgMar w:left="240" w:top="407" w:right="13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59" w:lineRule="auto"/>
        <w:rPr>
          <w:sz w:val="20"/>
          <w:szCs w:val="20"/>
          <w:color w:val="auto"/>
        </w:rPr>
      </w:pPr>
      <w:r>
        <w:rPr>
          <w:rFonts w:ascii="Arial" w:cs="Arial" w:eastAsia="Arial" w:hAnsi="Arial"/>
          <w:sz w:val="15"/>
          <w:szCs w:val="15"/>
          <w:b w:val="1"/>
          <w:bCs w:val="1"/>
          <w:i w:val="1"/>
          <w:iCs w:val="1"/>
          <w:color w:val="auto"/>
        </w:rPr>
        <w:t>A substantial portion of the outstanding shares of our Class A common stock and Class B common stock after this offering and the concurrent private placement will be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67"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The market price of our Class A common stock could decline as a result of sales of a large number of shares of our Class A common stock in the market after this offering and the concurrent private placement, and the perception that these sales could occur may also depress the market price of our Class A common stock. Based on 11,817,248 shares of our Class A common stock (including the Capital Stock Conversions) and 348,501,449 shares of our Class B common stock (including the Capital Stock Conversions and the RSU Settlement) outstanding as of December 31, 2017, we will have 53,699,601 shares of our Class A common stock and 339,323,858 shares Class B common stock outstanding after this offering and the concurrent private placement.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following the date of this prospectus. We refer to such period as the lock-up period. Pursuant to the lock-up agreements with the underwriters,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5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As a result of these agreements and the provisions of our investors’ rights agreement described further in the section titled “Description of Capital Stock—Registration Rights,” and subject to the provisions of Rule 144 or Rule 701, shares of our Class A common stock and Class B common stock will be available for sale in the public market as follows:</w:t>
      </w:r>
    </w:p>
    <w:p>
      <w:pPr>
        <w:spacing w:after="0" w:line="76" w:lineRule="exact"/>
        <w:rPr>
          <w:sz w:val="20"/>
          <w:szCs w:val="20"/>
          <w:color w:val="auto"/>
        </w:rPr>
      </w:pPr>
    </w:p>
    <w:p>
      <w:pPr>
        <w:ind w:left="1840" w:right="4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beginning on the date of this prospectus, all shares of our Class A common stock sold in this offering will be immediately available for sale in the public market; and</w:t>
      </w:r>
    </w:p>
    <w:p>
      <w:pPr>
        <w:spacing w:after="0" w:line="67" w:lineRule="exact"/>
        <w:rPr>
          <w:rFonts w:ascii="Arial" w:cs="Arial" w:eastAsia="Arial" w:hAnsi="Arial"/>
          <w:sz w:val="15"/>
          <w:szCs w:val="15"/>
          <w:color w:val="auto"/>
        </w:rPr>
      </w:pPr>
    </w:p>
    <w:p>
      <w:pPr>
        <w:ind w:left="1840" w:hanging="276"/>
        <w:spacing w:after="0" w:line="290" w:lineRule="auto"/>
        <w:tabs>
          <w:tab w:leader="none" w:pos="18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beginning 181 days after the date of this prospectus (subject to the terms of the lock-up agreements and market standoff agreements described above), the remainder of the shares of our Class A common stock and Class B common stock will be eligible for sale in the public market from time to time thereafter, subject in some cases to the volume and other restrictions of Rule 144, as described below.</w:t>
      </w:r>
    </w:p>
    <w:p>
      <w:pPr>
        <w:spacing w:after="0" w:line="138"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Upon completion of this offering and the concurrent private placement, stockholders owning an aggregate of up to 144,907,822 shares of our Class B common stock and 6,140,973 shares of our Class A common stock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34"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60"/>
          </w:cols>
          <w:pgMar w:left="240" w:top="407" w:right="139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w:t>
      </w:r>
    </w:p>
    <w:p>
      <w:pPr>
        <w:spacing w:after="0" w:line="9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The initial public offering price is substantially higher than the pro forma as adjusted net tangible book value per share of our outstanding common stock of $0.87 per share as of December 31, 2017. Investors purchasing shares of our Class A common stock in this offering will pay a price per share that substantially exceeds the book value of our tangible assets after subtracting our liabilities. As a result, investors purchasing Class A common stock in this offering will incur immediate dilution of $16.13 per share, based on the assumed initial public offering price of $17.00 per share, which is the midpoint of the estimated offering price range set forth on the cover page of this prospectus.</w:t>
      </w:r>
    </w:p>
    <w:p>
      <w:pPr>
        <w:spacing w:after="0" w:line="147" w:lineRule="exact"/>
        <w:rPr>
          <w:sz w:val="20"/>
          <w:szCs w:val="20"/>
          <w:color w:val="auto"/>
        </w:rPr>
      </w:pPr>
    </w:p>
    <w:p>
      <w:pPr>
        <w:ind w:left="1120" w:right="120" w:firstLine="368"/>
        <w:spacing w:after="0" w:line="273" w:lineRule="auto"/>
        <w:rPr>
          <w:sz w:val="20"/>
          <w:szCs w:val="20"/>
          <w:color w:val="auto"/>
        </w:rPr>
      </w:pPr>
      <w:r>
        <w:rPr>
          <w:rFonts w:ascii="Arial" w:cs="Arial" w:eastAsia="Arial" w:hAnsi="Arial"/>
          <w:sz w:val="14"/>
          <w:szCs w:val="14"/>
          <w:color w:val="auto"/>
        </w:rPr>
        <w:t>This dilution is due to the substantially lower price paid by our investors who purchased shares prior to this offering as compared to the price offered to the public in this offering, and any previous exercise of stock options granted to our service providers. In addition, as of December 31, 2017, options to purchase 4,959,492 shares of our Class B common stock with a weighted-average exercise price of approximately $10.52 per share were outstanding as well as 16,707,823 shares of our Class A common stock and 38,219,737 shares of our Class B common stock subject to RSUs. The exercise of any of these options and settlement of any of these RSUs would result in additional dilution. Our Board of Directors has approved the acceleration of the Performance Vesting Condition for 26,061,071 RSUs (which are included in the 38,219,737 shares of our Class B common stock subject to RSUs referenced above) for which the service condition was satisfied as of December 31, 2017, to occur upon the effectiveness of our registration statement related to this offering, which will result in the net issuance of 15,897,254 shares of our Class B common stock upon the RSU Settlement. As a result of the dilution to investors purchasing shares in this offering, investors may receive less than the purchase price paid in this offering, if anything, in the event of our liquidation.</w:t>
      </w:r>
    </w:p>
    <w:p>
      <w:pPr>
        <w:spacing w:after="0" w:line="244" w:lineRule="exact"/>
        <w:rPr>
          <w:sz w:val="20"/>
          <w:szCs w:val="20"/>
          <w:color w:val="auto"/>
        </w:rPr>
      </w:pPr>
    </w:p>
    <w:p>
      <w:pPr>
        <w:ind w:left="1120" w:right="560"/>
        <w:spacing w:after="0" w:line="275" w:lineRule="auto"/>
        <w:rPr>
          <w:sz w:val="20"/>
          <w:szCs w:val="20"/>
          <w:color w:val="auto"/>
        </w:rPr>
      </w:pPr>
      <w:r>
        <w:rPr>
          <w:rFonts w:ascii="Arial" w:cs="Arial" w:eastAsia="Arial" w:hAnsi="Arial"/>
          <w:sz w:val="15"/>
          <w:szCs w:val="15"/>
          <w:b w:val="1"/>
          <w:bCs w:val="1"/>
          <w:i w:val="1"/>
          <w:iCs w:val="1"/>
          <w:color w:val="auto"/>
        </w:rPr>
        <w:t>We have broad discretion over the use of the net proceeds from this offering and the concurrent private placement and we may not use them effectively.</w:t>
      </w:r>
    </w:p>
    <w:p>
      <w:pPr>
        <w:spacing w:after="0" w:line="56"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4"/>
          <w:szCs w:val="14"/>
          <w:color w:val="auto"/>
        </w:rPr>
        <w:t>We cannot specify with any certainty the particular uses of the net proceeds that we will receive from this offering and the concurrent private placement. Our management will have broad discretion in the application of the net proceeds from this offering and the concurrent private placement,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and the concurrent private placement, their ultimate use may vary substantially from their currently intended use. The failure by our management to apply these proceeds effectively could adversely affect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239" w:lineRule="exact"/>
        <w:rPr>
          <w:sz w:val="20"/>
          <w:szCs w:val="20"/>
          <w:color w:val="auto"/>
        </w:rPr>
      </w:pPr>
    </w:p>
    <w:p>
      <w:pPr>
        <w:ind w:left="1120" w:right="320"/>
        <w:spacing w:after="0" w:line="275" w:lineRule="auto"/>
        <w:rPr>
          <w:sz w:val="20"/>
          <w:szCs w:val="20"/>
          <w:color w:val="auto"/>
        </w:rPr>
      </w:pPr>
      <w:r>
        <w:rPr>
          <w:rFonts w:ascii="Arial" w:cs="Arial" w:eastAsia="Arial" w:hAnsi="Arial"/>
          <w:sz w:val="15"/>
          <w:szCs w:val="15"/>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5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48" w:lineRule="exact"/>
        <w:rPr>
          <w:sz w:val="20"/>
          <w:szCs w:val="20"/>
          <w:color w:val="auto"/>
        </w:rPr>
      </w:pPr>
    </w:p>
    <w:p>
      <w:pPr>
        <w:ind w:left="1840" w:right="440" w:hanging="276"/>
        <w:spacing w:after="0" w:line="275" w:lineRule="auto"/>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transaction that would result in a change in control of our company requires the approval of a majority of our outstanding Class B common stock voting as a separate class;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320"/>
          </w:cols>
          <w:pgMar w:left="240" w:top="407" w:right="13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60" w:hanging="276"/>
        <w:spacing w:after="0" w:line="263"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75" w:lineRule="exact"/>
        <w:rPr>
          <w:rFonts w:ascii="Arial" w:cs="Arial" w:eastAsia="Arial" w:hAnsi="Arial"/>
          <w:sz w:val="15"/>
          <w:szCs w:val="15"/>
          <w:color w:val="auto"/>
        </w:rPr>
      </w:pPr>
    </w:p>
    <w:p>
      <w:pPr>
        <w:jc w:val="both"/>
        <w:ind w:left="1840" w:right="40" w:hanging="276"/>
        <w:spacing w:after="0" w:line="263"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75" w:lineRule="exact"/>
        <w:rPr>
          <w:rFonts w:ascii="Arial" w:cs="Arial" w:eastAsia="Arial" w:hAnsi="Arial"/>
          <w:sz w:val="15"/>
          <w:szCs w:val="15"/>
          <w:color w:val="auto"/>
        </w:rPr>
      </w:pPr>
    </w:p>
    <w:p>
      <w:pPr>
        <w:ind w:left="1840" w:right="80" w:hanging="276"/>
        <w:spacing w:after="0" w:line="311" w:lineRule="auto"/>
        <w:tabs>
          <w:tab w:leader="none" w:pos="18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48" w:lineRule="exact"/>
        <w:rPr>
          <w:rFonts w:ascii="Arial" w:cs="Arial" w:eastAsia="Arial" w:hAnsi="Arial"/>
          <w:sz w:val="13"/>
          <w:szCs w:val="13"/>
          <w:color w:val="auto"/>
        </w:rPr>
      </w:pPr>
    </w:p>
    <w:p>
      <w:pPr>
        <w:ind w:left="1840" w:right="8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67"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after the Voting Threshold Date our stockholders will only be able to take action at a meeting of stockholders, and will not be able to take action by written consent for any matter;</w:t>
      </w:r>
    </w:p>
    <w:p>
      <w:pPr>
        <w:spacing w:after="0" w:line="67"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until the Voting Threshold Date, our stockholders will be able to act by written consent only if the action is first recommended or approved by the Board of Directors;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109" w:lineRule="exact"/>
        <w:rPr>
          <w:rFonts w:ascii="Arial" w:cs="Arial" w:eastAsia="Arial" w:hAnsi="Arial"/>
          <w:sz w:val="15"/>
          <w:szCs w:val="15"/>
          <w:color w:val="auto"/>
        </w:rPr>
      </w:pPr>
    </w:p>
    <w:p>
      <w:pPr>
        <w:ind w:left="1840" w:right="40" w:hanging="276"/>
        <w:spacing w:after="0" w:line="263"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certain litigation against us can only be brought in Delaware;</w:t>
      </w:r>
    </w:p>
    <w:p>
      <w:pPr>
        <w:spacing w:after="0" w:line="109" w:lineRule="exact"/>
        <w:rPr>
          <w:rFonts w:ascii="Arial" w:cs="Arial" w:eastAsia="Arial" w:hAnsi="Arial"/>
          <w:sz w:val="15"/>
          <w:szCs w:val="15"/>
          <w:color w:val="auto"/>
        </w:rPr>
      </w:pPr>
    </w:p>
    <w:p>
      <w:pPr>
        <w:ind w:left="1840" w:right="4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67" w:lineRule="exact"/>
        <w:rPr>
          <w:rFonts w:ascii="Arial" w:cs="Arial" w:eastAsia="Arial" w:hAnsi="Arial"/>
          <w:sz w:val="15"/>
          <w:szCs w:val="15"/>
          <w:color w:val="auto"/>
        </w:rPr>
      </w:pPr>
    </w:p>
    <w:p>
      <w:pPr>
        <w:ind w:left="1840" w:right="40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w:t>
      </w:r>
    </w:p>
    <w:p>
      <w:pPr>
        <w:spacing w:after="0" w:line="146" w:lineRule="exact"/>
        <w:rPr>
          <w:sz w:val="20"/>
          <w:szCs w:val="20"/>
          <w:color w:val="auto"/>
        </w:rPr>
      </w:pPr>
    </w:p>
    <w:p>
      <w:pPr>
        <w:ind w:left="1120" w:right="60" w:firstLine="368"/>
        <w:spacing w:after="0" w:line="283" w:lineRule="auto"/>
        <w:rPr>
          <w:sz w:val="20"/>
          <w:szCs w:val="20"/>
          <w:color w:val="auto"/>
        </w:rPr>
      </w:pPr>
      <w:r>
        <w:rPr>
          <w:rFonts w:ascii="Arial" w:cs="Arial" w:eastAsia="Arial" w:hAnsi="Arial"/>
          <w:sz w:val="14"/>
          <w:szCs w:val="14"/>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33"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67"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amended and restated bylaws, which will become effective immediately prior to the completion of this offering, will provide that, unless we consent in writing to the selection of an alternative forum, the sole and</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80"/>
          </w:cols>
          <w:pgMar w:left="240" w:top="407" w:right="137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305" w:lineRule="auto"/>
        <w:rPr>
          <w:sz w:val="20"/>
          <w:szCs w:val="20"/>
          <w:color w:val="auto"/>
        </w:rPr>
      </w:pPr>
      <w:r>
        <w:rPr>
          <w:rFonts w:ascii="Arial" w:cs="Arial" w:eastAsia="Arial" w:hAnsi="Arial"/>
          <w:sz w:val="13"/>
          <w:szCs w:val="13"/>
          <w:color w:val="auto"/>
        </w:rPr>
        <w:t>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33"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amended and restated bylaws will also 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37" w:lineRule="exact"/>
        <w:rPr>
          <w:sz w:val="20"/>
          <w:szCs w:val="20"/>
          <w:color w:val="auto"/>
        </w:rPr>
      </w:pPr>
    </w:p>
    <w:p>
      <w:pPr>
        <w:ind w:left="1120" w:right="360"/>
        <w:spacing w:after="0" w:line="275" w:lineRule="auto"/>
        <w:rPr>
          <w:sz w:val="20"/>
          <w:szCs w:val="20"/>
          <w:color w:val="auto"/>
        </w:rPr>
      </w:pPr>
      <w:r>
        <w:rPr>
          <w:rFonts w:ascii="Arial" w:cs="Arial" w:eastAsia="Arial" w:hAnsi="Arial"/>
          <w:sz w:val="15"/>
          <w:szCs w:val="15"/>
          <w:b w:val="1"/>
          <w:bCs w:val="1"/>
          <w:i w:val="1"/>
          <w:iCs w:val="1"/>
          <w:color w:val="auto"/>
        </w:rPr>
        <w:t>Affiliates of two of the underwriters in this offering may receive at least 5% of the net proceeds of this offering and may have an interest in this offering beyond customary underwriting discounts and commissions.</w:t>
      </w:r>
    </w:p>
    <w:p>
      <w:pPr>
        <w:spacing w:after="0" w:line="56" w:lineRule="exact"/>
        <w:rPr>
          <w:sz w:val="20"/>
          <w:szCs w:val="20"/>
          <w:color w:val="auto"/>
        </w:rPr>
      </w:pPr>
    </w:p>
    <w:p>
      <w:pPr>
        <w:ind w:left="1120" w:firstLine="368"/>
        <w:spacing w:after="0" w:line="271" w:lineRule="auto"/>
        <w:rPr>
          <w:sz w:val="20"/>
          <w:szCs w:val="20"/>
          <w:color w:val="auto"/>
        </w:rPr>
      </w:pPr>
      <w:r>
        <w:rPr>
          <w:rFonts w:ascii="Arial" w:cs="Arial" w:eastAsia="Arial" w:hAnsi="Arial"/>
          <w:sz w:val="14"/>
          <w:szCs w:val="14"/>
          <w:color w:val="auto"/>
        </w:rPr>
        <w:t>Goldman Sachs &amp; Co. LLC, J.P. Morgan Securities LLC, Deutsche Bank Securities Inc., and Merrill Lynch, Pierce, Fenner &amp; Smith Incorporated are underwriters in this offering and their affiliates will receive at least 5% of the net proceeds of this offering in connection with the repayment of $172.8 million that is expected to be outstanding under our revolving credit facility immediately prior to the completion of this offering. As such, Goldman Sachs &amp; Co. LLC, J.P. Morgan Securities LLC, Deutsche Bank Securities Inc., and Merrill Lynch, Pierce, Fenner &amp; Smith Incorporated are each deemed to have a “conflict of interest” under Rule 5121 of the Financial Industry Regulatory Authority Inc., or Rule 5121. Accordingly, this offering will be made in compliance with the applicable provisions of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Allen &amp; Company LLC will not receive any additional fees for serving as qualified independent underwriter in connection with this offering. Although Allen &amp; Company LLC has, in its capacity as qualified independent underwriter, participated in due diligence and the preparation of this prospectus and the registration statement of which this prospectus forms a part, we cannot assure you that this will adequately address all potential conflicts of interest. We have agreed to indemnify Allen &amp; Company LLC against liabilities incurred in connection with acting as qualified independent underwriter, including liabilities under the Securities Act. Pursuant to FINRA Rule 5121, Goldman Sachs &amp; Co. LLC, J.P. Morgan Securities LLC, Deutsche Bank Securities Inc., and Merrill Lynch, Pierce, Fenner &amp; Smith Incorporated will not confirm sales of securities to any account over which it exercises discretionary authority without the prior written approval of the customer. See “Underwriting (Conflicts of Interest)” for additional information.</w:t>
      </w:r>
    </w:p>
    <w:p>
      <w:pPr>
        <w:spacing w:after="0" w:line="249" w:lineRule="exact"/>
        <w:rPr>
          <w:sz w:val="20"/>
          <w:szCs w:val="20"/>
          <w:color w:val="auto"/>
        </w:rPr>
      </w:pPr>
    </w:p>
    <w:p>
      <w:pPr>
        <w:ind w:left="1120" w:right="400"/>
        <w:spacing w:after="0" w:line="275" w:lineRule="auto"/>
        <w:rPr>
          <w:sz w:val="20"/>
          <w:szCs w:val="20"/>
          <w:color w:val="auto"/>
        </w:rPr>
      </w:pPr>
      <w:r>
        <w:rPr>
          <w:rFonts w:ascii="Arial" w:cs="Arial" w:eastAsia="Arial" w:hAnsi="Arial"/>
          <w:sz w:val="15"/>
          <w:szCs w:val="15"/>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6" w:lineRule="exact"/>
        <w:rPr>
          <w:sz w:val="20"/>
          <w:szCs w:val="20"/>
          <w:color w:val="auto"/>
        </w:rPr>
      </w:pPr>
    </w:p>
    <w:p>
      <w:pPr>
        <w:jc w:val="both"/>
        <w:ind w:left="1120" w:right="40" w:firstLine="368"/>
        <w:spacing w:after="0" w:line="322" w:lineRule="auto"/>
        <w:rPr>
          <w:sz w:val="20"/>
          <w:szCs w:val="20"/>
          <w:color w:val="auto"/>
        </w:rPr>
      </w:pPr>
      <w:r>
        <w:rPr>
          <w:rFonts w:ascii="Arial" w:cs="Arial" w:eastAsia="Arial" w:hAnsi="Arial"/>
          <w:sz w:val="13"/>
          <w:szCs w:val="13"/>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300"/>
          </w:cols>
          <w:pgMar w:left="24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9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300"/>
          </w:cols>
          <w:pgMar w:left="240" w:top="407"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2" w:lineRule="exact"/>
        <w:rPr>
          <w:sz w:val="20"/>
          <w:szCs w:val="20"/>
          <w:color w:val="auto"/>
        </w:rPr>
      </w:pPr>
    </w:p>
    <w:p>
      <w:pPr>
        <w:jc w:val="both"/>
        <w:ind w:left="1120" w:firstLine="368"/>
        <w:spacing w:after="0" w:line="255"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85" w:lineRule="exact"/>
        <w:rPr>
          <w:sz w:val="20"/>
          <w:szCs w:val="20"/>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attract new users or convert registered users to paying users;</w:t>
      </w:r>
    </w:p>
    <w:p>
      <w:pPr>
        <w:spacing w:after="0" w:line="109" w:lineRule="exact"/>
        <w:rPr>
          <w:rFonts w:ascii="Arial" w:cs="Arial" w:eastAsia="Arial" w:hAnsi="Arial"/>
          <w:sz w:val="15"/>
          <w:szCs w:val="15"/>
          <w:color w:val="auto"/>
        </w:rPr>
      </w:pPr>
    </w:p>
    <w:p>
      <w:pPr>
        <w:ind w:left="1840" w:right="220" w:hanging="276"/>
        <w:spacing w:after="0" w:line="275" w:lineRule="auto"/>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future financial performance, including trends in revenue, costs of revenue, gross profit or gross margin, operating expenses, paying users, and free cash flow;</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achieve or maintain profitability;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demand for our platform or for content collaboration solutions in general;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possible harm caused by significant disruption of service or loss or unauthorized access to users’ content;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effectively integrate our platform with others;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compete successfully in competitive markets;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respond to rapid technological changes;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expectations and management of future growth;</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grow due to our lack of a significant outbound sales force;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attract large organizations as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offer high-quality customer support;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manage our international expansion;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attract and retain key personnel and highly qualified personnel;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protect our 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prevent serious errors or defects in our platform;</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successfully identify, acquire, and integrate companies and assets;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anticipated uses of net proceeds from this offering and the concurrent private placement.</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88"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240" w:top="407" w:right="14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7" w:lineRule="auto"/>
        <w:rPr>
          <w:sz w:val="20"/>
          <w:szCs w:val="20"/>
          <w:color w:val="auto"/>
        </w:rPr>
      </w:pPr>
      <w:r>
        <w:rPr>
          <w:rFonts w:ascii="Arial" w:cs="Arial" w:eastAsia="Arial" w:hAnsi="Arial"/>
          <w:sz w:val="15"/>
          <w:szCs w:val="15"/>
          <w:color w:val="auto"/>
        </w:rPr>
        <w:t>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59" w:lineRule="exact"/>
        <w:rPr>
          <w:sz w:val="20"/>
          <w:szCs w:val="20"/>
          <w:color w:val="auto"/>
        </w:rPr>
      </w:pPr>
    </w:p>
    <w:p>
      <w:pPr>
        <w:ind w:left="1120" w:right="200" w:firstLine="368"/>
        <w:spacing w:after="0" w:line="305" w:lineRule="auto"/>
        <w:rPr>
          <w:sz w:val="20"/>
          <w:szCs w:val="20"/>
          <w:color w:val="auto"/>
        </w:rPr>
      </w:pPr>
      <w:r>
        <w:rPr>
          <w:rFonts w:ascii="Arial" w:cs="Arial" w:eastAsia="Arial" w:hAnsi="Arial"/>
          <w:sz w:val="13"/>
          <w:szCs w:val="13"/>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3" w:lineRule="exact"/>
        <w:rPr>
          <w:sz w:val="20"/>
          <w:szCs w:val="20"/>
          <w:color w:val="auto"/>
        </w:rPr>
      </w:pPr>
    </w:p>
    <w:p>
      <w:pPr>
        <w:ind w:left="1120" w:right="280" w:firstLine="368"/>
        <w:spacing w:after="0" w:line="25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300"/>
          </w:cols>
          <w:pgMar w:left="240" w:top="407" w:right="135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INDUSTRY AND MARKET DATA</w:t>
      </w:r>
    </w:p>
    <w:p>
      <w:pPr>
        <w:spacing w:after="0" w:line="192"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3"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The source of certain statistical data, estimates and forecasts contained in this prospectus are the following independent industry publications or reports:</w:t>
      </w:r>
    </w:p>
    <w:p>
      <w:pPr>
        <w:spacing w:after="0" w:line="67" w:lineRule="exact"/>
        <w:rPr>
          <w:sz w:val="20"/>
          <w:szCs w:val="20"/>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Gartner, Inc., Magic Quadrant for Content Collaboration Platforms, July 2017.</w:t>
      </w:r>
      <w:r>
        <w:rPr>
          <w:rFonts w:ascii="Arial" w:cs="Arial" w:eastAsia="Arial" w:hAnsi="Arial"/>
          <w:sz w:val="12"/>
          <w:szCs w:val="12"/>
          <w:color w:val="auto"/>
        </w:rPr>
        <w:t>*</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Collaborative Applications Forecast, 2017-2021: Creating Productivity Growth with Customer Experience, July 2017.</w:t>
      </w:r>
    </w:p>
    <w:p>
      <w:pPr>
        <w:spacing w:after="0" w:line="67" w:lineRule="exact"/>
        <w:rPr>
          <w:rFonts w:ascii="Arial" w:cs="Arial" w:eastAsia="Arial" w:hAnsi="Arial"/>
          <w:sz w:val="15"/>
          <w:szCs w:val="15"/>
          <w:color w:val="auto"/>
        </w:rPr>
      </w:pPr>
    </w:p>
    <w:p>
      <w:pPr>
        <w:ind w:left="1840" w:right="68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Project and Portfolio Management Forecast, 2017-2021: Agile Governance in the Cloud Drives Market, June 2017.</w:t>
      </w:r>
    </w:p>
    <w:p>
      <w:pPr>
        <w:spacing w:after="0" w:line="67" w:lineRule="exact"/>
        <w:rPr>
          <w:rFonts w:ascii="Arial" w:cs="Arial" w:eastAsia="Arial" w:hAnsi="Arial"/>
          <w:sz w:val="15"/>
          <w:szCs w:val="15"/>
          <w:color w:val="auto"/>
        </w:rPr>
      </w:pPr>
    </w:p>
    <w:p>
      <w:pPr>
        <w:ind w:left="1840" w:right="30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Enterprise Content Management Software Forecast, 2017-2021, May 2017.</w:t>
      </w:r>
    </w:p>
    <w:p>
      <w:pPr>
        <w:spacing w:after="0" w:line="67" w:lineRule="exact"/>
        <w:rPr>
          <w:rFonts w:ascii="Arial" w:cs="Arial" w:eastAsia="Arial" w:hAnsi="Arial"/>
          <w:sz w:val="15"/>
          <w:szCs w:val="15"/>
          <w:color w:val="auto"/>
        </w:rPr>
      </w:pPr>
    </w:p>
    <w:p>
      <w:pPr>
        <w:ind w:left="184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IDC’s Forecast Scenario Assumptions for the ICT Markets and Historical Market Values and Exchange Rates, Version 1, March 2017.</w:t>
      </w:r>
    </w:p>
    <w:p>
      <w:pPr>
        <w:spacing w:after="0" w:line="67" w:lineRule="exact"/>
        <w:rPr>
          <w:rFonts w:ascii="Arial" w:cs="Arial" w:eastAsia="Arial" w:hAnsi="Arial"/>
          <w:sz w:val="15"/>
          <w:szCs w:val="15"/>
          <w:color w:val="auto"/>
        </w:rPr>
      </w:pPr>
    </w:p>
    <w:p>
      <w:pPr>
        <w:ind w:left="1840" w:right="30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Storage for Public and Private Cloud Forecast 2016-2020, December 2016.</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EFSS Evaluation Guide: Dropbox Sync Performance, July 2016.</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Knowledge Worker Outlook on Content Managed Systems, June 2016.</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McKinsey Global Institute, The Social Economy: Unlocking Value and Productivity Through Social Technologies, July 2012.</w:t>
      </w:r>
    </w:p>
    <w:p>
      <w:pPr>
        <w:spacing w:after="0" w:line="109" w:lineRule="exact"/>
        <w:rPr>
          <w:rFonts w:ascii="Arial" w:cs="Arial" w:eastAsia="Arial" w:hAnsi="Arial"/>
          <w:sz w:val="15"/>
          <w:szCs w:val="15"/>
          <w:color w:val="auto"/>
        </w:rPr>
      </w:pPr>
    </w:p>
    <w:p>
      <w:pPr>
        <w:ind w:left="1840" w:right="32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Deloitte Consulting LLP, Transitioning to the Future of Work and the Workplace: Embracing Digital Culture, Tools and Approaches, A White Paper on the Future of Work Research Study, 2016.</w:t>
      </w:r>
    </w:p>
    <w:p>
      <w:pPr>
        <w:spacing w:after="0" w:line="118" w:lineRule="exact"/>
        <w:rPr>
          <w:rFonts w:ascii="Arial" w:cs="Arial" w:eastAsia="Arial" w:hAnsi="Arial"/>
          <w:sz w:val="15"/>
          <w:szCs w:val="15"/>
          <w:color w:val="auto"/>
        </w:rPr>
      </w:pPr>
    </w:p>
    <w:p>
      <w:pPr>
        <w:ind w:left="1200" w:right="60" w:hanging="90"/>
        <w:spacing w:after="0" w:line="224" w:lineRule="auto"/>
        <w:rPr>
          <w:rFonts w:ascii="Arial" w:cs="Arial" w:eastAsia="Arial" w:hAnsi="Arial"/>
          <w:sz w:val="15"/>
          <w:szCs w:val="15"/>
          <w:color w:val="auto"/>
        </w:rPr>
      </w:pPr>
      <w:r>
        <w:rPr>
          <w:rFonts w:ascii="Arial" w:cs="Arial" w:eastAsia="Arial" w:hAnsi="Arial"/>
          <w:sz w:val="8"/>
          <w:szCs w:val="8"/>
          <w:color w:val="auto"/>
        </w:rPr>
        <w:t xml:space="preserve">* </w:t>
      </w:r>
      <w:r>
        <w:rPr>
          <w:rFonts w:ascii="Arial" w:cs="Arial" w:eastAsia="Arial" w:hAnsi="Arial"/>
          <w:sz w:val="12"/>
          <w:szCs w:val="12"/>
          <w:color w:val="auto"/>
        </w:rPr>
        <w:t>The Gartner Report described herein, or the Gartner Report, represents research opinion or viewpoints published, as part of a syndicated subscription service, by Gartner, Inc., or Gartner,</w:t>
      </w:r>
      <w:r>
        <w:rPr>
          <w:rFonts w:ascii="Arial" w:cs="Arial" w:eastAsia="Arial" w:hAnsi="Arial"/>
          <w:sz w:val="8"/>
          <w:szCs w:val="8"/>
          <w:color w:val="auto"/>
        </w:rPr>
        <w:t xml:space="preserve"> </w:t>
      </w:r>
      <w:r>
        <w:rPr>
          <w:rFonts w:ascii="Arial" w:cs="Arial" w:eastAsia="Arial" w:hAnsi="Arial"/>
          <w:sz w:val="12"/>
          <w:szCs w:val="12"/>
          <w:color w:val="auto"/>
        </w:rPr>
        <w:t>and are not representations of fact. The Gartner Report speaks as of its original publication date (and not as of the date of this prospectus), and the opinions expressed in the Gartner Report are subject to change without notice. Gartner has advised us that it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has advised us that it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-508635</wp:posOffset>
            </wp:positionV>
            <wp:extent cx="58039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80"/>
          </w:cols>
          <w:pgMar w:left="240" w:top="407" w:right="137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USE OF PROCEEDS</w:t>
      </w:r>
    </w:p>
    <w:p>
      <w:pPr>
        <w:spacing w:after="0" w:line="192"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estimate that the net proceeds to us from the sale of shares of our Class A common stock in this offering and the concurrent private placement will be approximately $529.7 million,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 If the underwriters’ option to purchase additional shares of our Class A common stock from us is exercised in full, we estimate that the net proceeds to us would be approximately $617.4 million, after deducting estimated underwriting discounts and commissions and estimated offering expenses payable by us. We will not receive any of the proceeds from the sale of Class A common stock in this offering by the selling stockholders.</w:t>
      </w:r>
    </w:p>
    <w:p>
      <w:pPr>
        <w:spacing w:after="0" w:line="161" w:lineRule="exact"/>
        <w:rPr>
          <w:sz w:val="20"/>
          <w:szCs w:val="20"/>
          <w:color w:val="auto"/>
        </w:rPr>
      </w:pPr>
    </w:p>
    <w:p>
      <w:pPr>
        <w:ind w:left="1120" w:right="120" w:firstLine="368"/>
        <w:spacing w:after="0" w:line="276" w:lineRule="auto"/>
        <w:rPr>
          <w:sz w:val="20"/>
          <w:szCs w:val="20"/>
          <w:color w:val="auto"/>
        </w:rPr>
      </w:pPr>
      <w:r>
        <w:rPr>
          <w:rFonts w:ascii="Arial" w:cs="Arial" w:eastAsia="Arial" w:hAnsi="Arial"/>
          <w:sz w:val="14"/>
          <w:szCs w:val="14"/>
          <w:color w:val="auto"/>
        </w:rPr>
        <w:t>Each $1.00 increase or decrease in the assumed initial public offering price of $17.00 per share, which is the midpoint of the estimated offering price range set forth on the cover page of this prospectus, would increase or decrease the net proceeds that we receive from this offering and the concurrent private placement by approximately $25.6 million,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 from this offering and the concurrent private placement by approximately $16.2 million, assuming the assumed initial public offering price remains the same and after deducting the estimated underwriting discounts and commissions payable by us.</w:t>
      </w:r>
    </w:p>
    <w:p>
      <w:pPr>
        <w:spacing w:after="0" w:line="148"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Class A common stock, and enable access to the public equity markets for us and our stockholders.</w:t>
      </w:r>
    </w:p>
    <w:p>
      <w:pPr>
        <w:spacing w:after="0" w:line="146"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We intend to use a portion of the net proceeds we receive from this offering and the concurrent private placement to repay $172.8 million that is expected to be outstanding immediately prior to the completion of this offering under our revolving credit facility, which we intend to draw down prior to the completion of this offering to satisfy tax withholding and remittance obligations of $172.8 million related to the RSU Settlement. This amount is based upon the assumed initial public offering price of $17.00 per share, which is the midpoint of the estimated offering price range set forth on the cover page of this prospectus. See the section titled “Management’s Discussion and Analysis of Financial Condition and Results of Operations— Liquidity and Capital Resources” for additional information regarding our revolving credit facility.</w:t>
      </w:r>
    </w:p>
    <w:p>
      <w:pPr>
        <w:spacing w:after="0" w:line="14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also intend to use the net proceeds we receive from this offering and the concurrent private placement for general corporate purposes, including working capital, operating expenses, and capital expenditures. Additionally, we may use a portion of the net proceeds we receive from this offering and the concurrent private placement to acquire businesses, products, services, or technologies. However, we do not have agreements or commitments for any material acquisitions at this time. We cannot specify with certainty the particular uses of the net proceeds that we will receive from this offering and the concurrent private placement. Accordingly, we will have broad discretion in using these proceeds. Pending the use of proceeds from this offering as described above, we may invest the net proceeds that we receive in this offering and the concurrent private placement in short-term, investment grade, interest-bearing instruments.</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320"/>
          </w:cols>
          <w:pgMar w:left="240" w:top="407" w:right="13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DIVIDEND POLICY</w:t>
      </w:r>
    </w:p>
    <w:p>
      <w:pPr>
        <w:spacing w:after="0" w:line="19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7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80"/>
          </w:cols>
          <w:pgMar w:left="240" w:top="407" w:right="13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CAPITALIZATION</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The following table sets forth cash and cash equivalents, as well as our capitalization, as of December 31, 2017, as follows:</w:t>
      </w:r>
    </w:p>
    <w:p>
      <w:pPr>
        <w:spacing w:after="0" w:line="109" w:lineRule="exact"/>
        <w:rPr>
          <w:sz w:val="20"/>
          <w:szCs w:val="20"/>
          <w:color w:val="auto"/>
        </w:rPr>
      </w:pPr>
    </w:p>
    <w:p>
      <w:pPr>
        <w:ind w:left="1840" w:hanging="276"/>
        <w:spacing w:after="0"/>
        <w:tabs>
          <w:tab w:leader="none" w:pos="18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109"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 pro forma basis, giving effect to (i) the Capital Stock Conversions, as if such conversions had occurred on December 31, 2017, (ii) the filing and effectiveness of our amended and restated certificate of incorporation in Delaware that will become effective immediately prior to the completion of this offering, (iii) stock-based compensation expense of $415.6 million associated with the RSU Settlement, (iv) the net issuance of 15,897,254 shares of our Class B common stock upon the RSU Settlement, (v) the borrowing of $172.8 million under our revolving credit facility to satisfy our tax withholding and remittance obligations related to the RSU Settlement, and (vi) a cash payment of $172.8 million to satisfy our tax withholding and remittance obligations related to the RSU Settlement, which amounts in (v) and (vi) are based upon the assumed initial public offering price of $17.00 per share, which is the midpoint of the estimated offering price range set forth on the cover page of this prospectus; and</w:t>
      </w:r>
    </w:p>
    <w:p>
      <w:pPr>
        <w:spacing w:after="0" w:line="69" w:lineRule="exact"/>
        <w:rPr>
          <w:rFonts w:ascii="Arial" w:cs="Arial" w:eastAsia="Arial" w:hAnsi="Arial"/>
          <w:sz w:val="14"/>
          <w:szCs w:val="14"/>
          <w:color w:val="auto"/>
        </w:rPr>
      </w:pPr>
    </w:p>
    <w:p>
      <w:pPr>
        <w:ind w:left="1840" w:hanging="276"/>
        <w:spacing w:after="0"/>
        <w:tabs>
          <w:tab w:leader="none" w:pos="1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 pro forma as adjusted basis, giving effect to (i) the pro forma adjustments set forth above, (ii) the sale and issuance by us of</w:t>
      </w:r>
    </w:p>
    <w:p>
      <w:pPr>
        <w:spacing w:after="0" w:line="28" w:lineRule="exact"/>
        <w:rPr>
          <w:rFonts w:ascii="Arial" w:cs="Arial" w:eastAsia="Arial" w:hAnsi="Arial"/>
          <w:sz w:val="14"/>
          <w:szCs w:val="14"/>
          <w:color w:val="auto"/>
        </w:rPr>
      </w:pPr>
    </w:p>
    <w:p>
      <w:pPr>
        <w:ind w:left="1840" w:right="20"/>
        <w:spacing w:after="0" w:line="289" w:lineRule="auto"/>
        <w:rPr>
          <w:rFonts w:ascii="Arial" w:cs="Arial" w:eastAsia="Arial" w:hAnsi="Arial"/>
          <w:sz w:val="14"/>
          <w:szCs w:val="14"/>
          <w:color w:val="auto"/>
        </w:rPr>
      </w:pPr>
      <w:r>
        <w:rPr>
          <w:rFonts w:ascii="Arial" w:cs="Arial" w:eastAsia="Arial" w:hAnsi="Arial"/>
          <w:sz w:val="13"/>
          <w:szCs w:val="13"/>
          <w:color w:val="auto"/>
        </w:rPr>
        <w:t>32,704,762 shares of our Class A common stock in this offering and the concurrent private placement,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 (iii) the conversion of 9,177,591 shares of our Class B common stock held by certain selling stockholders into an equivalent number of shares of our Class A common stock upon the sale by the selling stockholders in this offering, and (iv) the use of proceeds from the offering to repay</w:t>
      </w:r>
    </w:p>
    <w:p>
      <w:pPr>
        <w:spacing w:after="0" w:line="2" w:lineRule="exact"/>
        <w:rPr>
          <w:rFonts w:ascii="Arial" w:cs="Arial" w:eastAsia="Arial" w:hAnsi="Arial"/>
          <w:sz w:val="14"/>
          <w:szCs w:val="14"/>
          <w:color w:val="auto"/>
        </w:rPr>
      </w:pPr>
    </w:p>
    <w:p>
      <w:pPr>
        <w:ind w:left="1840" w:right="120"/>
        <w:spacing w:after="0" w:line="262" w:lineRule="auto"/>
        <w:rPr>
          <w:rFonts w:ascii="Arial" w:cs="Arial" w:eastAsia="Arial" w:hAnsi="Arial"/>
          <w:sz w:val="14"/>
          <w:szCs w:val="14"/>
          <w:color w:val="auto"/>
        </w:rPr>
      </w:pPr>
      <w:r>
        <w:rPr>
          <w:rFonts w:ascii="Arial" w:cs="Arial" w:eastAsia="Arial" w:hAnsi="Arial"/>
          <w:sz w:val="15"/>
          <w:szCs w:val="15"/>
          <w:color w:val="auto"/>
        </w:rPr>
        <w:t>$172.8 million drawn down under our revolving credit facility to satisfy our tax withholding and remittance obligations related to the RSU Settlement and pay related net costs of approximately $0.1 million.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300"/>
          </w:cols>
          <w:pgMar w:left="240" w:top="407" w:right="135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89"/>
              </w:rPr>
              <w:t>As of December 31, 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2"/>
                <w:szCs w:val="12"/>
                <w:b w:val="1"/>
                <w:bCs w:val="1"/>
                <w:color w:val="auto"/>
                <w:w w:val="89"/>
              </w:rPr>
              <w:t>Pro</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146"/>
              <w:spacing w:after="0" w:line="96" w:lineRule="exact"/>
              <w:rPr>
                <w:sz w:val="20"/>
                <w:szCs w:val="20"/>
                <w:color w:val="auto"/>
              </w:rPr>
            </w:pPr>
            <w:r>
              <w:rPr>
                <w:rFonts w:ascii="Arial" w:cs="Arial" w:eastAsia="Arial" w:hAnsi="Arial"/>
                <w:sz w:val="11"/>
                <w:szCs w:val="11"/>
                <w:b w:val="1"/>
                <w:bCs w:val="1"/>
                <w:color w:val="auto"/>
              </w:rPr>
              <w:t>Pro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Actual</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forma as</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2"/>
              </w:rPr>
              <w:t>forma</w:t>
            </w:r>
            <w:r>
              <w:rPr>
                <w:rFonts w:ascii="Arial" w:cs="Arial" w:eastAsia="Arial" w:hAnsi="Arial"/>
                <w:sz w:val="10"/>
                <w:szCs w:val="10"/>
                <w:b w:val="1"/>
                <w:bCs w:val="1"/>
                <w:color w:val="auto"/>
                <w:w w:val="92"/>
              </w:rPr>
              <w:t>(1)</w:t>
            </w:r>
          </w:p>
        </w:tc>
        <w:tc>
          <w:tcPr>
            <w:tcW w:w="4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adjusted</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00"/>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Borders>
              <w:top w:val="single" w:sz="8" w:color="auto"/>
            </w:tcBorders>
            <w:gridSpan w:val="9"/>
          </w:tcPr>
          <w:p>
            <w:pPr>
              <w:jc w:val="center"/>
              <w:ind w:right="6"/>
              <w:spacing w:after="0" w:line="100" w:lineRule="exact"/>
              <w:rPr>
                <w:sz w:val="20"/>
                <w:szCs w:val="20"/>
                <w:color w:val="auto"/>
              </w:rPr>
            </w:pPr>
            <w:r>
              <w:rPr>
                <w:rFonts w:ascii="Arial" w:cs="Arial" w:eastAsia="Arial" w:hAnsi="Arial"/>
                <w:sz w:val="11"/>
                <w:szCs w:val="11"/>
                <w:i w:val="1"/>
                <w:iCs w:val="1"/>
                <w:color w:val="auto"/>
                <w:w w:val="99"/>
              </w:rPr>
              <w:t>(In millions, except share and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2"/>
                <w:szCs w:val="12"/>
                <w:i w:val="1"/>
                <w:iCs w:val="1"/>
                <w:color w:val="auto"/>
                <w:w w:val="87"/>
              </w:rPr>
              <w:t>data)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5"/>
                <w:szCs w:val="15"/>
                <w:color w:val="auto"/>
              </w:rPr>
              <w:t>Revolving credit facility</w:t>
            </w: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80" w:type="dxa"/>
            <w:vAlign w:val="bottom"/>
            <w:vMerge w:val="continue"/>
          </w:tcPr>
          <w:p>
            <w:pPr>
              <w:spacing w:after="0"/>
              <w:rPr>
                <w:sz w:val="14"/>
                <w:szCs w:val="14"/>
                <w:color w:val="auto"/>
              </w:rPr>
            </w:pPr>
          </w:p>
        </w:tc>
        <w:tc>
          <w:tcPr>
            <w:tcW w:w="28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line="164"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4" w:lineRule="exact"/>
              <w:rPr>
                <w:sz w:val="20"/>
                <w:szCs w:val="20"/>
                <w:color w:val="auto"/>
              </w:rPr>
            </w:pPr>
            <w:r>
              <w:rPr>
                <w:rFonts w:ascii="Arial" w:cs="Arial" w:eastAsia="Arial" w:hAnsi="Arial"/>
                <w:sz w:val="15"/>
                <w:szCs w:val="15"/>
                <w:color w:val="auto"/>
              </w:rPr>
              <w:t>172.8</w:t>
            </w:r>
          </w:p>
        </w:tc>
        <w:tc>
          <w:tcPr>
            <w:tcW w:w="380" w:type="dxa"/>
            <w:vAlign w:val="bottom"/>
          </w:tcPr>
          <w:p>
            <w:pPr>
              <w:spacing w:after="0"/>
              <w:rPr>
                <w:sz w:val="14"/>
                <w:szCs w:val="14"/>
                <w:color w:val="auto"/>
              </w:rPr>
            </w:pPr>
          </w:p>
        </w:tc>
        <w:tc>
          <w:tcPr>
            <w:tcW w:w="120" w:type="dxa"/>
            <w:vAlign w:val="bottom"/>
            <w:gridSpan w:val="2"/>
          </w:tcPr>
          <w:p>
            <w:pPr>
              <w:ind w:left="40"/>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line="16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w w:val="98"/>
              </w:rPr>
              <w:t>Convertible preferred stock, par value $0.00001 per share: 151,212,292 shares authorized,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2"/>
              </w:rPr>
              <w:t>147,569,183 issued and outstanding, actual; no shares authorized, issued and outstanding, pro</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440"/>
              <w:spacing w:after="0"/>
              <w:rPr>
                <w:sz w:val="20"/>
                <w:szCs w:val="20"/>
                <w:color w:val="auto"/>
              </w:rPr>
            </w:pPr>
            <w:r>
              <w:rPr>
                <w:rFonts w:ascii="Arial" w:cs="Arial" w:eastAsia="Arial" w:hAnsi="Arial"/>
                <w:sz w:val="15"/>
                <w:szCs w:val="15"/>
                <w:color w:val="auto"/>
              </w:rPr>
              <w:t>forma, and pro forma as adjusted</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615.3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w w:val="95"/>
              </w:rPr>
              <w:t>Preferred stock, par value $0.00001 per share: no shares authorized, issued and outstanding,</w:t>
            </w:r>
          </w:p>
        </w:tc>
        <w:tc>
          <w:tcPr>
            <w:tcW w:w="2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3"/>
              </w:rPr>
              <w:t>actual; 240,000,000 shares authorized, no shares issued and outstanding, pro forma, and pro</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forma as adjusted</w:t>
            </w:r>
          </w:p>
        </w:tc>
        <w:tc>
          <w:tcPr>
            <w:tcW w:w="28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w w:val="92"/>
              </w:rPr>
              <w:t>Class A common stock, par value $0.00001 per share: 533,333,333 shares authorized, 8,948,677</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5"/>
              </w:rPr>
              <w:t>shares issued and outstanding, actual; 2,400,000,000 shares authorized, 11,817,248 shares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4"/>
              </w:rPr>
              <w:t>issued and outstanding, pro forma, and 2,400,000,000 shares authorized, 53,699,601 shares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440"/>
              <w:spacing w:after="0"/>
              <w:rPr>
                <w:sz w:val="20"/>
                <w:szCs w:val="20"/>
                <w:color w:val="auto"/>
              </w:rPr>
            </w:pPr>
            <w:r>
              <w:rPr>
                <w:rFonts w:ascii="Arial" w:cs="Arial" w:eastAsia="Arial" w:hAnsi="Arial"/>
                <w:sz w:val="15"/>
                <w:szCs w:val="15"/>
                <w:color w:val="auto"/>
              </w:rPr>
              <w:t>issued and outstanding, pro forma as adjusted</w:t>
            </w:r>
          </w:p>
        </w:tc>
        <w:tc>
          <w:tcPr>
            <w:tcW w:w="2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Class B common stock, par value $0.00001 per share: 466,666,666 shares authorized,</w:t>
            </w:r>
          </w:p>
        </w:tc>
        <w:tc>
          <w:tcPr>
            <w:tcW w:w="2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187,903,583 shares issued and outstanding, actual; 475,000,000 shares authorized,</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5"/>
              </w:rPr>
              <w:t>348,501,449 shares issued and outstanding, pro forma, and 475,000,000 shares authorized,</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339,323,858 shares issued and outstanding, pro forma as adjusted</w:t>
            </w:r>
          </w:p>
        </w:tc>
        <w:tc>
          <w:tcPr>
            <w:tcW w:w="28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rPr>
              <w:t>Class C common stock, par value $0.00001 per share: no shares authorized, issued and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6"/>
              </w:rPr>
              <w:t>outstanding, actual; 800,000,000 shares authorized, no shares issued and outstanding, pro</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5"/>
              </w:rPr>
              <w:t>forma, and 800,000,000 shares authorized, no shares issued and outstanding, pro forma as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440"/>
              <w:spacing w:after="0"/>
              <w:rPr>
                <w:sz w:val="20"/>
                <w:szCs w:val="20"/>
                <w:color w:val="auto"/>
              </w:rPr>
            </w:pPr>
            <w:r>
              <w:rPr>
                <w:rFonts w:ascii="Arial" w:cs="Arial" w:eastAsia="Arial" w:hAnsi="Arial"/>
                <w:sz w:val="15"/>
                <w:szCs w:val="15"/>
                <w:color w:val="auto"/>
              </w:rPr>
              <w:t>adjusted</w:t>
            </w:r>
          </w:p>
        </w:tc>
        <w:tc>
          <w:tcPr>
            <w:tcW w:w="2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1,391.2</w:t>
            </w: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1,920.9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Arial" w:cs="Arial" w:eastAsia="Arial" w:hAnsi="Arial"/>
                <w:sz w:val="15"/>
                <w:szCs w:val="15"/>
                <w:color w:val="auto"/>
              </w:rPr>
              <w:t>Accumulated deficit</w:t>
            </w:r>
          </w:p>
        </w:tc>
        <w:tc>
          <w:tcPr>
            <w:tcW w:w="2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(1,049.7)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w w:val="89"/>
              </w:rPr>
              <w:t>(1,465.3)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(1,465.4)</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300"/>
              <w:spacing w:after="0"/>
              <w:rPr>
                <w:sz w:val="20"/>
                <w:szCs w:val="20"/>
                <w:color w:val="auto"/>
              </w:rPr>
            </w:pPr>
            <w:r>
              <w:rPr>
                <w:rFonts w:ascii="Arial" w:cs="Arial" w:eastAsia="Arial" w:hAnsi="Arial"/>
                <w:sz w:val="15"/>
                <w:szCs w:val="15"/>
                <w:color w:val="auto"/>
              </w:rPr>
              <w:t>Total stockholders’ equity</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102.9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(69.9)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capitalization</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78740</wp:posOffset>
            </wp:positionV>
            <wp:extent cx="58039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41" w:lineRule="exact"/>
        <w:rPr>
          <w:sz w:val="20"/>
          <w:szCs w:val="20"/>
          <w:color w:val="auto"/>
        </w:rPr>
      </w:pPr>
    </w:p>
    <w:p>
      <w:pPr>
        <w:jc w:val="both"/>
        <w:ind w:left="1380" w:right="280" w:hanging="268"/>
        <w:spacing w:after="0" w:line="209" w:lineRule="auto"/>
        <w:tabs>
          <w:tab w:leader="none" w:pos="1380" w:val="left"/>
        </w:tabs>
        <w:numPr>
          <w:ilvl w:val="0"/>
          <w:numId w:val="31"/>
        </w:numPr>
        <w:rPr>
          <w:rFonts w:ascii="Arial" w:cs="Arial" w:eastAsia="Arial" w:hAnsi="Arial"/>
          <w:sz w:val="23"/>
          <w:szCs w:val="23"/>
          <w:color w:val="auto"/>
          <w:vertAlign w:val="superscript"/>
        </w:rPr>
      </w:pPr>
      <w:r>
        <w:rPr>
          <w:rFonts w:ascii="Arial" w:cs="Arial" w:eastAsia="Arial" w:hAnsi="Arial"/>
          <w:sz w:val="14"/>
          <w:szCs w:val="14"/>
          <w:color w:val="auto"/>
        </w:rPr>
        <w:t>The pro forma data as of December 31, 2017, gives effect to stock-based compensation expense of $415.6 million associated with the RSU Settlement. The pro forma adjustment related to stock-based compensation expense of $415.6 million has been reflected as an increase to additional paid-in capital and accumulated deficit.</w:t>
      </w:r>
    </w:p>
    <w:p>
      <w:pPr>
        <w:ind w:left="1380" w:right="60" w:hanging="268"/>
        <w:spacing w:after="0" w:line="259" w:lineRule="auto"/>
        <w:tabs>
          <w:tab w:leader="none" w:pos="1380" w:val="left"/>
        </w:tabs>
        <w:numPr>
          <w:ilvl w:val="0"/>
          <w:numId w:val="31"/>
        </w:numPr>
        <w:rPr>
          <w:rFonts w:ascii="Arial" w:cs="Arial" w:eastAsia="Arial" w:hAnsi="Arial"/>
          <w:sz w:val="20"/>
          <w:szCs w:val="20"/>
          <w:color w:val="auto"/>
          <w:vertAlign w:val="superscript"/>
        </w:rPr>
      </w:pPr>
      <w:r>
        <w:rPr>
          <w:rFonts w:ascii="Arial" w:cs="Arial" w:eastAsia="Arial" w:hAnsi="Arial"/>
          <w:sz w:val="12"/>
          <w:szCs w:val="12"/>
          <w:color w:val="auto"/>
        </w:rPr>
        <w:t>Each $1.00 increase or decrease in the assumed initial public offering price of $17.00 per share, which is the midpoint of the estimated offering price range set forth on the cover page of this prospectus, would increase or decrease, as applicable, (i) the amount of our pro forma as adjusted cash and cash equivalents, additional paid-in capital, total stockholders’ equity, and total capitalization by approximately $25.6 million, assuming that the number of shares offered by us, as set forth on the cover page of this prospectus, remains the same and after deducting estimated underwriting discounts and commissions payable by us, (ii) the amount we would be required to draw down under our revolving credit facility to satisfy our tax withholding and remittance obligations related to the RSU Settlement by</w:t>
      </w:r>
    </w:p>
    <w:p>
      <w:pPr>
        <w:spacing w:after="0" w:line="2" w:lineRule="exact"/>
        <w:rPr>
          <w:rFonts w:ascii="Arial" w:cs="Arial" w:eastAsia="Arial" w:hAnsi="Arial"/>
          <w:sz w:val="20"/>
          <w:szCs w:val="20"/>
          <w:color w:val="auto"/>
          <w:vertAlign w:val="superscript"/>
        </w:rPr>
      </w:pPr>
    </w:p>
    <w:p>
      <w:pPr>
        <w:ind w:left="1380"/>
        <w:spacing w:after="0"/>
        <w:rPr>
          <w:rFonts w:ascii="Arial" w:cs="Arial" w:eastAsia="Arial" w:hAnsi="Arial"/>
          <w:sz w:val="20"/>
          <w:szCs w:val="20"/>
          <w:color w:val="auto"/>
          <w:vertAlign w:val="superscript"/>
        </w:rPr>
      </w:pPr>
      <w:r>
        <w:rPr>
          <w:rFonts w:ascii="Arial" w:cs="Arial" w:eastAsia="Arial" w:hAnsi="Arial"/>
          <w:sz w:val="14"/>
          <w:szCs w:val="14"/>
          <w:color w:val="auto"/>
        </w:rPr>
        <w:t>$10.2 million, and</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320"/>
          </w:cols>
          <w:pgMar w:left="240" w:top="407" w:right="133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380" w:right="40" w:firstLine="3"/>
        <w:spacing w:after="0" w:line="314" w:lineRule="auto"/>
        <w:tabs>
          <w:tab w:leader="none" w:pos="161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 we would be required to pay to satisfy our tax withholding and remittance obligations related to the RSU Settlement by $10.2 million. An increase or decrease of 1.0 million shares in the number of shares offered by us would increase or decrease, as applicable, the amount of our pro forma as adjusted cash, and cash equivalents, additional paid-in capital, total stockholders’ equity, and total capitalization by approximately $16.2 million, assuming the assumed initial public offering price remains the same, and after deducting estimated underwriting discounts and commissions payable by us.</w:t>
      </w:r>
    </w:p>
    <w:p>
      <w:pPr>
        <w:spacing w:after="0" w:line="133" w:lineRule="exact"/>
        <w:rPr>
          <w:sz w:val="20"/>
          <w:szCs w:val="20"/>
          <w:color w:val="auto"/>
        </w:rPr>
      </w:pPr>
    </w:p>
    <w:p>
      <w:pPr>
        <w:jc w:val="both"/>
        <w:ind w:left="1120" w:right="40" w:firstLine="368"/>
        <w:spacing w:after="0" w:line="290" w:lineRule="auto"/>
        <w:rPr>
          <w:sz w:val="20"/>
          <w:szCs w:val="20"/>
          <w:color w:val="auto"/>
        </w:rPr>
      </w:pPr>
      <w:r>
        <w:rPr>
          <w:rFonts w:ascii="Arial" w:cs="Arial" w:eastAsia="Arial" w:hAnsi="Arial"/>
          <w:sz w:val="14"/>
          <w:szCs w:val="14"/>
          <w:color w:val="auto"/>
        </w:rPr>
        <w:t>If the underwriters’ option to purchase additional shares of our Class A common stock from us were exercised in full, pro forma as adjusted cash and cash equivalents, additional paid-in capital, total stockholders’ equity, total capitalization, and Class A shares outstanding as of December 31, 2017, would be $874.5 million, $2,008.6 million, $547.4 million, $547.4 million, and 59,099,601 shares, respectively.</w:t>
      </w:r>
    </w:p>
    <w:p>
      <w:pPr>
        <w:spacing w:after="0" w:line="138"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The number of shares of our Class A common stock, Class B common stock, and Class C common stock that will be outstanding after this offering and the concurrent private placement is based on 11,817,248 shares of our Class A common stock (including the Capital Stock Conversions), 348,501,449 shares of our Class B common stock (including the Capital Stock Conversions and the RSU Settlement), and no shares of our Class C common stock outstanding as of December 31, 2017, and excludes the following:</w:t>
      </w:r>
    </w:p>
    <w:p>
      <w:pPr>
        <w:spacing w:after="0" w:line="79" w:lineRule="exact"/>
        <w:rPr>
          <w:sz w:val="20"/>
          <w:szCs w:val="20"/>
          <w:color w:val="auto"/>
        </w:rPr>
      </w:pPr>
    </w:p>
    <w:p>
      <w:pPr>
        <w:ind w:left="1840" w:right="160" w:hanging="276"/>
        <w:spacing w:after="0" w:line="275"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our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840" w:right="400" w:hanging="276"/>
        <w:spacing w:after="0" w:line="275"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300" w:hanging="364"/>
        <w:spacing w:after="0" w:line="354" w:lineRule="auto"/>
        <w:tabs>
          <w:tab w:leader="none" w:pos="23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51,532,143 shares of our Class A common stock to be reserved for future issuance under our 2018 Plan, which will become effective prior to the completion of this offering (including the shares that will be repurchased by us in connection with the RSU Settlement);</w:t>
      </w:r>
    </w:p>
    <w:p>
      <w:pPr>
        <w:spacing w:after="0" w:line="21" w:lineRule="exact"/>
        <w:rPr>
          <w:rFonts w:ascii="Arial" w:cs="Arial" w:eastAsia="Arial" w:hAnsi="Arial"/>
          <w:sz w:val="13"/>
          <w:szCs w:val="13"/>
          <w:color w:val="auto"/>
        </w:rPr>
      </w:pPr>
    </w:p>
    <w:p>
      <w:pPr>
        <w:ind w:left="2300" w:right="60" w:hanging="364"/>
        <w:spacing w:after="0" w:line="283" w:lineRule="auto"/>
        <w:tabs>
          <w:tab w:leader="none" w:pos="23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10,313,134 shares of our Class A common stock reserved for future issuance under our 2017 Plan, which number of shares includes an additional 1,333,333 shares of our Class A common stock reserved for issuance under our 2017 Plan that was approved by our Board of Directors in February 2018 (and which we expect our stockholders to approve), and will be added to the shares of our Class A common stock to be reserved for future issuance under our 2018 Plan upon its effectiveness;</w:t>
      </w:r>
    </w:p>
    <w:p>
      <w:pPr>
        <w:spacing w:after="0" w:line="63" w:lineRule="exact"/>
        <w:rPr>
          <w:rFonts w:ascii="Arial" w:cs="Arial" w:eastAsia="Arial" w:hAnsi="Arial"/>
          <w:sz w:val="14"/>
          <w:szCs w:val="14"/>
          <w:color w:val="auto"/>
        </w:rPr>
      </w:pPr>
    </w:p>
    <w:p>
      <w:pPr>
        <w:ind w:left="2300" w:right="20" w:hanging="364"/>
        <w:spacing w:after="0" w:line="263" w:lineRule="auto"/>
        <w:tabs>
          <w:tab w:leader="none" w:pos="23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45,505,158 shares of our Class C common stock reserved for future issuance under certain other equity compensation plans, consisting of:</w:t>
      </w:r>
    </w:p>
    <w:p>
      <w:pPr>
        <w:spacing w:after="0" w:line="132" w:lineRule="exact"/>
        <w:rPr>
          <w:rFonts w:ascii="Arial" w:cs="Arial" w:eastAsia="Arial" w:hAnsi="Arial"/>
          <w:sz w:val="13"/>
          <w:szCs w:val="13"/>
          <w:color w:val="auto"/>
        </w:rPr>
      </w:pPr>
    </w:p>
    <w:p>
      <w:pPr>
        <w:ind w:left="2300" w:right="40" w:hanging="364"/>
        <w:spacing w:after="0" w:line="275" w:lineRule="auto"/>
        <w:tabs>
          <w:tab w:leader="none" w:pos="23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Equity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300" w:right="40" w:hanging="364"/>
        <w:spacing w:after="0" w:line="275" w:lineRule="auto"/>
        <w:tabs>
          <w:tab w:leader="none" w:pos="23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4,136,832 shares of our Class C common stock to be reserved for future issuance under our 2018 Class C Employee Stock Purchase Plan, or our Class C ESPP, which will become effective prior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80"/>
          </w:cols>
          <w:pgMar w:left="240" w:top="407" w:right="137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300" w:right="500"/>
        <w:spacing w:after="0" w:line="275" w:lineRule="auto"/>
        <w:rPr>
          <w:sz w:val="20"/>
          <w:szCs w:val="20"/>
          <w:color w:val="auto"/>
        </w:rPr>
      </w:pPr>
      <w:r>
        <w:rPr>
          <w:rFonts w:ascii="Arial" w:cs="Arial" w:eastAsia="Arial" w:hAnsi="Arial"/>
          <w:sz w:val="15"/>
          <w:szCs w:val="15"/>
          <w:color w:val="auto"/>
        </w:rPr>
        <w:t>to the completion of this offering, but no offering periods under the Class C ESPP will commence unless and until otherwise determined by our Board of Directors.</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 such plans will provide for annual automatic increases in the number of shares of our Class C common stock reserved thereunder.</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300"/>
          </w:cols>
          <w:pgMar w:left="24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DILUTION</w:t>
      </w:r>
    </w:p>
    <w:p>
      <w:pPr>
        <w:spacing w:after="0" w:line="192"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and the concurrent private placement.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completion of this offering and the concurrent private placement.</w:t>
      </w:r>
    </w:p>
    <w:p>
      <w:pPr>
        <w:spacing w:after="0" w:line="147"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Net tangible book value per share is determined by dividing our total tangible assets less our total liabilities by the number of shares of our common stock outstanding. Our historical net tangible book value as of December 31, 2017, was $(13.0) million, or $(0.04) per share. Our pro forma net tangible book value as of December 31, 2017, was $(185.8) million, or $(0.52) per share, based on the total number of shares of our Class A common stock and Class B common stock outstanding as of December 31, 2017, after giving effect to the Capital Stock Conversions and the RSU Settlement.</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After giving effect to the sale by us of 32,704,762 shares of our Class A common stock in this offering and the concurrent private placement at the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assumed initial public offering price of $17.00 per share, which is the midpoint of the estimated offering price range set forth on the cover page of this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prospectus, and after deducting estimated underwriting discounts and commissions and estimated offering expenses payable by us, our pro forma as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adjusted net tangible book value as of December 31, 2017, would have been $343.9 million, or $0.87 per share. This represents an immediate increase in</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pro forma net tangible book value of $1.39 per share to our existing stockholders and an immediate dilution in pro forma net tangible book value of</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$16.13 per share to investors purchasing shares of our Class A common stock in this offering at the assumed initial public offering price. The following</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table illustrates this dilution:</w:t>
      </w:r>
    </w:p>
    <w:p>
      <w:pPr>
        <w:spacing w:after="0" w:line="212" w:lineRule="exact"/>
        <w:rPr>
          <w:sz w:val="20"/>
          <w:szCs w:val="20"/>
          <w:color w:val="auto"/>
        </w:rPr>
      </w:pPr>
    </w:p>
    <w:tbl>
      <w:tblPr>
        <w:tblLayout w:type="fixed"/>
        <w:tblInd w:w="1860" w:type="dxa"/>
        <w:tblCellMar>
          <w:top w:w="0" w:type="dxa"/>
          <w:left w:w="0" w:type="dxa"/>
          <w:bottom w:w="0" w:type="dxa"/>
          <w:right w:w="0" w:type="dxa"/>
        </w:tblCellMar>
      </w:tblPr>
      <w:tr>
        <w:trPr>
          <w:trHeight w:val="180"/>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$17.00</w:t>
            </w:r>
          </w:p>
        </w:tc>
      </w:tr>
      <w:tr>
        <w:trPr>
          <w:trHeight w:val="180"/>
        </w:trPr>
        <w:tc>
          <w:tcPr>
            <w:tcW w:w="6460" w:type="dxa"/>
            <w:vAlign w:val="bottom"/>
          </w:tcPr>
          <w:p>
            <w:pPr>
              <w:ind w:left="300"/>
              <w:spacing w:after="0"/>
              <w:rPr>
                <w:sz w:val="20"/>
                <w:szCs w:val="20"/>
                <w:color w:val="auto"/>
              </w:rPr>
            </w:pPr>
            <w:r>
              <w:rPr>
                <w:rFonts w:ascii="Arial" w:cs="Arial" w:eastAsia="Arial" w:hAnsi="Arial"/>
                <w:sz w:val="15"/>
                <w:szCs w:val="15"/>
                <w:color w:val="auto"/>
              </w:rPr>
              <w:t>Pro forma net tangible book value per share as of December 31, 2017</w:t>
            </w: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w w:val="88"/>
              </w:rPr>
              <w:t>$(0.52)</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0"/>
        </w:trPr>
        <w:tc>
          <w:tcPr>
            <w:tcW w:w="646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w w:val="96"/>
              </w:rPr>
              <w:t>Increase in pro forma net tangible book value per share attributable to new investors purchasing</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1"/>
        </w:trPr>
        <w:tc>
          <w:tcPr>
            <w:tcW w:w="64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shares of Class A common stock in this offering and the concurrent private placement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1.39</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2"/>
        </w:trPr>
        <w:tc>
          <w:tcPr>
            <w:tcW w:w="6460" w:type="dxa"/>
            <w:vAlign w:val="bottom"/>
          </w:tcPr>
          <w:p>
            <w:pPr>
              <w:spacing w:after="0"/>
              <w:rPr>
                <w:sz w:val="20"/>
                <w:szCs w:val="20"/>
                <w:color w:val="auto"/>
              </w:rPr>
            </w:pPr>
            <w:r>
              <w:rPr>
                <w:rFonts w:ascii="Arial" w:cs="Arial" w:eastAsia="Arial" w:hAnsi="Arial"/>
                <w:sz w:val="15"/>
                <w:szCs w:val="15"/>
                <w:color w:val="auto"/>
                <w:w w:val="96"/>
              </w:rPr>
              <w:t>Pro forma as adjusted net tangible book value per share after this offering and the concurrent private</w:t>
            </w: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4"/>
        </w:trPr>
        <w:tc>
          <w:tcPr>
            <w:tcW w:w="6460" w:type="dxa"/>
            <w:vAlign w:val="bottom"/>
          </w:tcPr>
          <w:p>
            <w:pPr>
              <w:ind w:left="140"/>
              <w:spacing w:after="0"/>
              <w:rPr>
                <w:sz w:val="20"/>
                <w:szCs w:val="20"/>
                <w:color w:val="auto"/>
              </w:rPr>
            </w:pPr>
            <w:r>
              <w:rPr>
                <w:rFonts w:ascii="Arial" w:cs="Arial" w:eastAsia="Arial" w:hAnsi="Arial"/>
                <w:sz w:val="15"/>
                <w:szCs w:val="15"/>
                <w:color w:val="auto"/>
              </w:rPr>
              <w:t>placement</w:t>
            </w:r>
          </w:p>
        </w:tc>
        <w:tc>
          <w:tcPr>
            <w:tcW w:w="1260" w:type="dxa"/>
            <w:vAlign w:val="bottom"/>
            <w:gridSpan w:val="4"/>
          </w:tcPr>
          <w:p>
            <w:pPr>
              <w:jc w:val="right"/>
              <w:ind w:right="40"/>
              <w:spacing w:after="0"/>
              <w:rPr>
                <w:sz w:val="20"/>
                <w:szCs w:val="20"/>
                <w:color w:val="auto"/>
              </w:rPr>
            </w:pPr>
            <w:r>
              <w:rPr>
                <w:rFonts w:ascii="Arial" w:cs="Arial" w:eastAsia="Arial" w:hAnsi="Arial"/>
                <w:sz w:val="15"/>
                <w:szCs w:val="15"/>
                <w:color w:val="auto"/>
              </w:rPr>
              <w:t>0.87</w:t>
            </w: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Dilution in pro forma net tangible book value per share to new investors in this offering and the</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1"/>
        </w:trPr>
        <w:tc>
          <w:tcPr>
            <w:tcW w:w="6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concurrent private placement</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16.13</w:t>
            </w:r>
          </w:p>
        </w:tc>
      </w:tr>
      <w:tr>
        <w:trPr>
          <w:trHeight w:val="20"/>
        </w:trPr>
        <w:tc>
          <w:tcPr>
            <w:tcW w:w="6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20" w:firstLine="368"/>
        <w:spacing w:after="0" w:line="297" w:lineRule="auto"/>
        <w:rPr>
          <w:sz w:val="20"/>
          <w:szCs w:val="20"/>
          <w:color w:val="auto"/>
        </w:rPr>
      </w:pPr>
      <w:r>
        <w:rPr>
          <w:rFonts w:ascii="Arial" w:cs="Arial" w:eastAsia="Arial" w:hAnsi="Arial"/>
          <w:sz w:val="13"/>
          <w:szCs w:val="13"/>
          <w:color w:val="auto"/>
        </w:rPr>
        <w:t>Each $1.00 increase or decrease in the assumed initial public offering price of $17.00 per share, which is the midpoint of the estimated offering price range set forth on the cover page of this prospectus, would increase or decrease, as applicable, our pro forma as adjusted net tangible book value per share to new investors by $0.07, and would increase or decrease, as applicable, dilution per share to new investors purchasing shares of our Class A common stock in this offering by $0.93,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pro forma as adjusted net tangible book value by approximately $0.04 per share and increase or decrease, as applicable, the dilution to new investors purchasing shares of our Class A common stock in this offering by $0.04 per share, assuming the assumed initial public offering price remains the same, and after deducting underwriting discounts and commissions and estimated offering expenses payable by us.</w:t>
      </w:r>
    </w:p>
    <w:p>
      <w:pPr>
        <w:spacing w:after="0" w:line="8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300"/>
          </w:cols>
          <w:pgMar w:left="240" w:top="407" w:right="13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If the underwriters’ option to purchase additional shares of our Class A common stock from us is exercised in full, the pro forma as adjusted net tangible book value per share of our common stock, as adjusted to give effect to this offering and the concurrent private placement, would be $1.08 per share, and the dilution in pro forma net tangible book value per share to new investors purchasing shares of our Class A common stock in this offering would be $15.92 per share.</w:t>
      </w:r>
    </w:p>
    <w:p>
      <w:pPr>
        <w:spacing w:after="0" w:line="158"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The following table presents, as of December 31, 2017, after giving effect to the Capital Stock Conversions and the RSU Settlement, the differences between the existing stockholders and the new investors purchasing shares of our Class A common stock in this offering and the concurrent private placement with respect to the number of shares purchased from us, the total consideration paid or to be paid to us, which includes net proceeds received from the issuance of our Class A common stock and the average price per share paid or to be paid to us at the assumed initial public offering price of $17.00 per share, which is the midpoint of the estimated offering price range set forth on the cover page of this prospectus, before deducting estimated underwriting discounts and commissions and estimated offering expenses payable by us: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500" w:type="dxa"/>
            <w:vAlign w:val="bottom"/>
            <w:gridSpan w:val="3"/>
            <w:vMerge w:val="restart"/>
          </w:tcPr>
          <w:p>
            <w:pPr>
              <w:jc w:val="right"/>
              <w:ind w:right="225"/>
              <w:spacing w:after="0"/>
              <w:rPr>
                <w:sz w:val="20"/>
                <w:szCs w:val="20"/>
                <w:color w:val="auto"/>
              </w:rPr>
            </w:pPr>
            <w:r>
              <w:rPr>
                <w:rFonts w:ascii="Arial" w:cs="Arial" w:eastAsia="Arial" w:hAnsi="Arial"/>
                <w:sz w:val="12"/>
                <w:szCs w:val="12"/>
                <w:b w:val="1"/>
                <w:bCs w:val="1"/>
                <w:color w:val="auto"/>
              </w:rPr>
              <w:t>Shares purchased</w:t>
            </w:r>
          </w:p>
        </w:tc>
        <w:tc>
          <w:tcPr>
            <w:tcW w:w="2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vMerge w:val="restart"/>
          </w:tcPr>
          <w:p>
            <w:pPr>
              <w:jc w:val="right"/>
              <w:ind w:right="365"/>
              <w:spacing w:after="0"/>
              <w:rPr>
                <w:sz w:val="20"/>
                <w:szCs w:val="20"/>
                <w:color w:val="auto"/>
              </w:rPr>
            </w:pPr>
            <w:r>
              <w:rPr>
                <w:rFonts w:ascii="Arial" w:cs="Arial" w:eastAsia="Arial" w:hAnsi="Arial"/>
                <w:sz w:val="12"/>
                <w:szCs w:val="12"/>
                <w:b w:val="1"/>
                <w:bCs w:val="1"/>
                <w:color w:val="auto"/>
              </w:rPr>
              <w:t>Total consideration</w:t>
            </w:r>
          </w:p>
        </w:tc>
        <w:tc>
          <w:tcPr>
            <w:tcW w:w="260" w:type="dxa"/>
            <w:vAlign w:val="bottom"/>
            <w:vMerge w:val="restart"/>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73"/>
              <w:spacing w:after="0" w:line="133" w:lineRule="exact"/>
              <w:rPr>
                <w:sz w:val="20"/>
                <w:szCs w:val="20"/>
                <w:color w:val="auto"/>
              </w:rPr>
            </w:pPr>
            <w:r>
              <w:rPr>
                <w:rFonts w:ascii="Arial" w:cs="Arial" w:eastAsia="Arial" w:hAnsi="Arial"/>
                <w:sz w:val="12"/>
                <w:szCs w:val="12"/>
                <w:b w:val="1"/>
                <w:bCs w:val="1"/>
                <w:color w:val="auto"/>
                <w:w w:val="90"/>
              </w:rPr>
              <w:t>price</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80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Number</w:t>
            </w: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Percent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restart"/>
          </w:tcPr>
          <w:p>
            <w:pPr>
              <w:jc w:val="right"/>
              <w:ind w:right="21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center"/>
              <w:ind w:right="73"/>
              <w:spacing w:after="0" w:line="96" w:lineRule="exact"/>
              <w:rPr>
                <w:sz w:val="20"/>
                <w:szCs w:val="20"/>
                <w:color w:val="auto"/>
              </w:rPr>
            </w:pPr>
            <w:r>
              <w:rPr>
                <w:rFonts w:ascii="Arial" w:cs="Arial" w:eastAsia="Arial" w:hAnsi="Arial"/>
                <w:sz w:val="11"/>
                <w:szCs w:val="11"/>
                <w:b w:val="1"/>
                <w:bCs w:val="1"/>
                <w:color w:val="auto"/>
              </w:rPr>
              <w:t>per</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share</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56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360,318,697</w:t>
            </w:r>
          </w:p>
        </w:tc>
        <w:tc>
          <w:tcPr>
            <w:tcW w:w="320" w:type="dxa"/>
            <w:vAlign w:val="bottom"/>
            <w:vMerge w:val="continue"/>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91.7%</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639,593,106</w:t>
            </w:r>
          </w:p>
        </w:tc>
        <w:tc>
          <w:tcPr>
            <w:tcW w:w="30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58.3%</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5"/>
                <w:szCs w:val="15"/>
                <w:color w:val="auto"/>
              </w:rPr>
              <w:t>New investors</w:t>
            </w:r>
          </w:p>
        </w:tc>
        <w:tc>
          <w:tcPr>
            <w:tcW w:w="800" w:type="dxa"/>
            <w:vAlign w:val="bottom"/>
          </w:tcPr>
          <w:p>
            <w:pPr>
              <w:jc w:val="right"/>
              <w:spacing w:after="0"/>
              <w:rPr>
                <w:sz w:val="20"/>
                <w:szCs w:val="20"/>
                <w:color w:val="auto"/>
              </w:rPr>
            </w:pPr>
            <w:r>
              <w:rPr>
                <w:rFonts w:ascii="Arial" w:cs="Arial" w:eastAsia="Arial" w:hAnsi="Arial"/>
                <w:sz w:val="15"/>
                <w:szCs w:val="15"/>
                <w:color w:val="auto"/>
              </w:rPr>
              <w:t>26,822,409</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6.8%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455,980,953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41.6</w:t>
            </w:r>
          </w:p>
        </w:tc>
        <w:tc>
          <w:tcPr>
            <w:tcW w:w="260" w:type="dxa"/>
            <w:vAlign w:val="bottom"/>
          </w:tcPr>
          <w:p>
            <w:pPr>
              <w:spacing w:after="0"/>
              <w:rPr>
                <w:sz w:val="15"/>
                <w:szCs w:val="15"/>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0"/>
              </w:rPr>
              <w:t>17.00</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Concurrent private placement investor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5,882,353</w:t>
            </w:r>
          </w:p>
        </w:tc>
        <w:tc>
          <w:tcPr>
            <w:tcW w:w="3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0"/>
              </w:rPr>
              <w:t>17.00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00"/>
              <w:spacing w:after="0"/>
              <w:rPr>
                <w:sz w:val="20"/>
                <w:szCs w:val="20"/>
                <w:color w:val="auto"/>
              </w:rPr>
            </w:pPr>
            <w:r>
              <w:rPr>
                <w:rFonts w:ascii="Arial" w:cs="Arial" w:eastAsia="Arial" w:hAnsi="Arial"/>
                <w:sz w:val="15"/>
                <w:szCs w:val="15"/>
                <w:color w:val="auto"/>
              </w:rPr>
              <w:t>Totals</w:t>
            </w: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6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3"/>
              </w:rPr>
              <w:t>393,023,459</w:t>
            </w:r>
          </w:p>
        </w:tc>
        <w:tc>
          <w:tcPr>
            <w:tcW w:w="3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w w:val="94"/>
              </w:rPr>
              <w:t>100.0%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w w:val="87"/>
              </w:rPr>
              <w:t>1,195,574,060</w:t>
            </w: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Each $1.00 increase or decrease in the assumed initial public offering price of $17.00 per share, which is the midpoint of the estimated offering price range set forth on the cover page of this prospectus, would increase or decrease, as applicable, the total consideration paid by new investors and total consideration paid by all stockholders by approximately $25.6 million, assuming that the number of shares of our Class A common stock offered by us, as set forth on the cover page of this prospectus, remains the same and after deducting estimated underwriting discounts and commissions and estimated offering expenses payable by us. Similarly, each increase or decrease of 1.0 million in the number of shares of our Class A common stock offered by us would increase or decrease the total consideration paid by new investors and total consideration paid by all stockholders by approximately $16.2 million, assuming the assumed initial public offering price remains the same and after deducting the estimated underwriting discounts and commissions payable by us.</w:t>
      </w:r>
    </w:p>
    <w:p>
      <w:pPr>
        <w:spacing w:after="0" w:line="14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90.4% and our new investors would own 9.6% of the total number of shares of our common stock outstanding upon completion of this offering and the concurrent private placement.</w:t>
      </w:r>
    </w:p>
    <w:p>
      <w:pPr>
        <w:spacing w:after="0" w:line="158" w:lineRule="exact"/>
        <w:rPr>
          <w:sz w:val="20"/>
          <w:szCs w:val="20"/>
          <w:color w:val="auto"/>
        </w:rPr>
      </w:pPr>
    </w:p>
    <w:p>
      <w:pPr>
        <w:ind w:left="1120" w:right="280" w:firstLine="368"/>
        <w:spacing w:after="0" w:line="259" w:lineRule="auto"/>
        <w:rPr>
          <w:sz w:val="20"/>
          <w:szCs w:val="20"/>
          <w:color w:val="auto"/>
        </w:rPr>
      </w:pPr>
      <w:r>
        <w:rPr>
          <w:rFonts w:ascii="Arial" w:cs="Arial" w:eastAsia="Arial" w:hAnsi="Arial"/>
          <w:sz w:val="15"/>
          <w:szCs w:val="15"/>
          <w:color w:val="auto"/>
        </w:rPr>
        <w:t>Sales by the selling stockholders in this offering will cause the number of shares held by existing stockholders to be reduced to 351,141,106 shares, or 89.3% of the total number of shares of our common stock outstanding following the completion of this offering and the concurrent private placement, and will increase the number of shares held by new investors to 41,882,353 shares, or 10.7% of the total number of shares outstanding following the completion of this offering and the concurrent private placement.</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320"/>
          </w:cols>
          <w:pgMar w:left="240" w:top="407" w:right="13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80" w:firstLine="368"/>
        <w:spacing w:after="0" w:line="259" w:lineRule="auto"/>
        <w:rPr>
          <w:sz w:val="20"/>
          <w:szCs w:val="20"/>
          <w:color w:val="auto"/>
        </w:rPr>
      </w:pPr>
      <w:r>
        <w:rPr>
          <w:rFonts w:ascii="Arial" w:cs="Arial" w:eastAsia="Arial" w:hAnsi="Arial"/>
          <w:sz w:val="15"/>
          <w:szCs w:val="15"/>
          <w:color w:val="auto"/>
        </w:rPr>
        <w:t>The number of shares of our Class A common stock, Class B common stock, and Class C common stock that will be outstanding after this offering and the concurrent private placement is based on 11,817,248 shares of our Class A common stock (including the Capital Stock Conversions), 348,501,449 shares of our Class B common stock (including the Capital Stock Conversions and the RSU Settlement) and no shares of our Class C common stock outstanding as of December 31, 2017, and excludes the following:</w:t>
      </w:r>
    </w:p>
    <w:p>
      <w:pPr>
        <w:spacing w:after="0" w:line="79" w:lineRule="exact"/>
        <w:rPr>
          <w:sz w:val="20"/>
          <w:szCs w:val="20"/>
          <w:color w:val="auto"/>
        </w:rPr>
      </w:pPr>
    </w:p>
    <w:p>
      <w:pPr>
        <w:ind w:left="1840" w:right="180" w:hanging="276"/>
        <w:spacing w:after="0" w:line="275"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our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840" w:right="420" w:hanging="276"/>
        <w:spacing w:after="0" w:line="275"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840" w:right="120" w:hanging="276"/>
        <w:spacing w:after="0" w:line="275"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300" w:right="140" w:hanging="364"/>
        <w:spacing w:after="0" w:line="263"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51,532,143 shares of our Class A common stock to be reserved for future issuance under our 2018 Equity Incentive Plan, or our 2018 Plan, which will become effective prior to the completion of this offering (including the shares that will be repurchased by us in connection with the RSU Settlement);</w:t>
      </w:r>
    </w:p>
    <w:p>
      <w:pPr>
        <w:spacing w:after="0" w:line="75" w:lineRule="exact"/>
        <w:rPr>
          <w:rFonts w:ascii="Arial" w:cs="Arial" w:eastAsia="Arial" w:hAnsi="Arial"/>
          <w:sz w:val="15"/>
          <w:szCs w:val="15"/>
          <w:color w:val="auto"/>
        </w:rPr>
      </w:pPr>
    </w:p>
    <w:p>
      <w:pPr>
        <w:ind w:left="2300" w:right="60" w:hanging="364"/>
        <w:spacing w:after="0" w:line="257"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10,313,134 shares of our Class A common stock reserved for future issuance under our 2017 Equity Incentive Plan, or our 2017 Plan, which number of shares includes an additional 1,333,333 shares of our Class A common stock reserved for issuance under our 2017 Plan that was approved by our Board of Directors in February 2018 (and which we expect our stockholders to approve), and will be added to the shares of our Class A common stock to be reserved for future issuance under our 2018 Plan upon its effectiveness;</w:t>
      </w:r>
    </w:p>
    <w:p>
      <w:pPr>
        <w:spacing w:after="0" w:line="80" w:lineRule="exact"/>
        <w:rPr>
          <w:rFonts w:ascii="Arial" w:cs="Arial" w:eastAsia="Arial" w:hAnsi="Arial"/>
          <w:sz w:val="15"/>
          <w:szCs w:val="15"/>
          <w:color w:val="auto"/>
        </w:rPr>
      </w:pPr>
    </w:p>
    <w:p>
      <w:pPr>
        <w:ind w:left="2300" w:right="40" w:hanging="364"/>
        <w:spacing w:after="0" w:line="263"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45,505,158 shares of our Class C common stock reserved for future issuance under certain other equity compensation plans, consisting of:</w:t>
      </w:r>
    </w:p>
    <w:p>
      <w:pPr>
        <w:spacing w:after="0" w:line="132" w:lineRule="exact"/>
        <w:rPr>
          <w:rFonts w:ascii="Arial" w:cs="Arial" w:eastAsia="Arial" w:hAnsi="Arial"/>
          <w:sz w:val="13"/>
          <w:szCs w:val="13"/>
          <w:color w:val="auto"/>
        </w:rPr>
      </w:pPr>
    </w:p>
    <w:p>
      <w:pPr>
        <w:ind w:left="2300" w:right="120" w:hanging="364"/>
        <w:spacing w:after="0" w:line="275"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Stock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300" w:right="60" w:hanging="364"/>
        <w:spacing w:after="0" w:line="290" w:lineRule="auto"/>
        <w:tabs>
          <w:tab w:leader="none" w:pos="23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4,136,832 shares of our Class C common stock to be reserved for future issuance under our 2018 Class C Employee Stock Purchase Plan, or our Class C ESPP, which will become effective prior to the completion of this offering, but no offering periods under the Class C ESPP will commence unless and until otherwise determined by our Board of Directors.</w:t>
      </w:r>
    </w:p>
    <w:p>
      <w:pPr>
        <w:spacing w:after="0" w:line="13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300"/>
          </w:cols>
          <w:pgMar w:left="240" w:top="407" w:right="1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such plans will provide for annual automatic increases in the number of shares of our Class C common stock reserved thereunder.</w:t>
      </w:r>
    </w:p>
    <w:p>
      <w:pPr>
        <w:spacing w:after="0" w:line="188"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color w:val="auto"/>
        </w:rPr>
        <w:t>To the extent that any outstanding options to purchase our common stock are exercised, RSUs are settled or new awards are granted under our equity compensation plans, there will be further dilution to investors participating in this offering.</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19"/>
          </w:cols>
          <w:pgMar w:left="240" w:top="407" w:right="1440"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SELECTED CONSOLIDATED FINANCIAL AND OTHER DATA</w:t>
      </w:r>
    </w:p>
    <w:p>
      <w:pPr>
        <w:spacing w:after="0" w:line="192"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2016, and 2017 and the consolidated balance sheet data as of December 31, 2016 and 2017, are derived from our audited consolidated financial statements that are included elsewhere in this prospectus. Our historical results are not necessarily indicative of our future results. The selected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3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10"/>
          </w:tcPr>
          <w:p>
            <w:pPr>
              <w:jc w:val="center"/>
              <w:ind w:right="160"/>
              <w:spacing w:after="0"/>
              <w:rPr>
                <w:sz w:val="20"/>
                <w:szCs w:val="20"/>
                <w:color w:val="auto"/>
              </w:rPr>
            </w:pPr>
            <w:r>
              <w:rPr>
                <w:rFonts w:ascii="Arial" w:cs="Arial" w:eastAsia="Arial" w:hAnsi="Arial"/>
                <w:sz w:val="12"/>
                <w:szCs w:val="12"/>
                <w:b w:val="1"/>
                <w:bCs w:val="1"/>
                <w:color w:val="auto"/>
                <w:w w:val="90"/>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2015</w:t>
            </w:r>
          </w:p>
        </w:tc>
        <w:tc>
          <w:tcPr>
            <w:tcW w:w="20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2"/>
                <w:szCs w:val="12"/>
                <w:b w:val="1"/>
                <w:bCs w:val="1"/>
                <w:color w:val="auto"/>
                <w:w w:val="89"/>
              </w:rPr>
              <w:t>2016</w:t>
            </w:r>
          </w:p>
        </w:tc>
        <w:tc>
          <w:tcPr>
            <w:tcW w:w="1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gridSpan w:val="9"/>
          </w:tcPr>
          <w:p>
            <w:pPr>
              <w:jc w:val="center"/>
              <w:ind w:right="6"/>
              <w:spacing w:after="0" w:line="100" w:lineRule="exact"/>
              <w:rPr>
                <w:sz w:val="20"/>
                <w:szCs w:val="20"/>
                <w:color w:val="auto"/>
              </w:rPr>
            </w:pPr>
            <w:r>
              <w:rPr>
                <w:rFonts w:ascii="Arial" w:cs="Arial" w:eastAsia="Arial" w:hAnsi="Arial"/>
                <w:sz w:val="11"/>
                <w:szCs w:val="11"/>
                <w:i w:val="1"/>
                <w:iCs w:val="1"/>
                <w:color w:val="auto"/>
              </w:rPr>
              <w:t>(In millions except for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2"/>
                <w:szCs w:val="12"/>
                <w:i w:val="1"/>
                <w:iCs w:val="1"/>
                <w:color w:val="auto"/>
                <w:w w:val="87"/>
              </w:rPr>
              <w:t>amounts)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844.8</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390.6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454.2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289.7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5"/>
              </w:rPr>
              <w:t>250.6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107.4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8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647.7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(306.2)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8"/>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Interest expense, net</w:t>
            </w:r>
          </w:p>
        </w:tc>
        <w:tc>
          <w:tcPr>
            <w:tcW w:w="2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(325.6)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gridSpan w:val="2"/>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u w:val="single" w:color="auto"/>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(325.9)</w:t>
            </w:r>
          </w:p>
        </w:tc>
        <w:tc>
          <w:tcPr>
            <w:tcW w:w="2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(2)</w:t>
            </w:r>
          </w:p>
        </w:tc>
        <w:tc>
          <w:tcPr>
            <w:tcW w:w="220" w:type="dxa"/>
            <w:vAlign w:val="bottom"/>
            <w:tcBorders>
              <w:right w:val="single" w:sz="8" w:color="CCEEFF"/>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(1.11)</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w w:val="91"/>
              </w:rPr>
              <w:t>Weighted-average shares used in computing net loss per share attributable to common stockholders, basic and</w:t>
            </w: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189.1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w:t>
            </w:r>
            <w:r>
              <w:rPr>
                <w:rFonts w:ascii="Arial" w:cs="Arial" w:eastAsia="Arial" w:hAnsi="Arial"/>
                <w:sz w:val="12"/>
                <w:szCs w:val="12"/>
                <w:color w:val="auto"/>
              </w:rPr>
              <w:t>(2)</w:t>
            </w:r>
          </w:p>
        </w:tc>
        <w:tc>
          <w:tcPr>
            <w:tcW w:w="2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w w:val="91"/>
              </w:rPr>
              <w:t>Weighted-average shares used in computing pro forma net loss per share attributable to common stockholders,</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4520"/>
              <w:spacing w:after="0"/>
              <w:rPr>
                <w:sz w:val="20"/>
                <w:szCs w:val="20"/>
                <w:color w:val="auto"/>
              </w:rPr>
            </w:pPr>
            <w:r>
              <w:rPr>
                <w:rFonts w:ascii="Arial" w:cs="Arial" w:eastAsia="Arial" w:hAnsi="Arial"/>
                <w:sz w:val="15"/>
                <w:szCs w:val="15"/>
                <w:color w:val="auto"/>
              </w:rPr>
              <w:t>59</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170" w:lineRule="exact"/>
        <w:rPr>
          <w:sz w:val="20"/>
          <w:szCs w:val="20"/>
          <w:color w:val="auto"/>
        </w:rPr>
      </w:pPr>
    </w:p>
    <w:p>
      <w:pPr>
        <w:ind w:left="1380" w:hanging="268"/>
        <w:spacing w:after="0"/>
        <w:tabs>
          <w:tab w:leader="none" w:pos="13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w:t>
      </w:r>
    </w:p>
    <w:p>
      <w:pPr>
        <w:spacing w:after="0" w:line="189"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9"/>
              </w:rPr>
              <w:t>2015</w:t>
            </w:r>
          </w:p>
        </w:tc>
        <w:tc>
          <w:tcPr>
            <w:tcW w:w="3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2017</w:t>
            </w:r>
          </w:p>
        </w:tc>
        <w:tc>
          <w:tcPr>
            <w:tcW w:w="2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4"/>
          </w:tcPr>
          <w:p>
            <w:pPr>
              <w:jc w:val="center"/>
              <w:ind w:left="135"/>
              <w:spacing w:after="0" w:line="115" w:lineRule="exact"/>
              <w:rPr>
                <w:sz w:val="20"/>
                <w:szCs w:val="20"/>
                <w:color w:val="auto"/>
              </w:rPr>
            </w:pPr>
            <w:r>
              <w:rPr>
                <w:rFonts w:ascii="Arial" w:cs="Arial" w:eastAsia="Arial" w:hAnsi="Arial"/>
                <w:sz w:val="12"/>
                <w:szCs w:val="12"/>
                <w:i w:val="1"/>
                <w:iCs w:val="1"/>
                <w:color w:val="auto"/>
                <w:w w:val="97"/>
              </w:rPr>
              <w:t>(In millions)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36.1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19.8</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16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66.1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147.6</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164.6</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380" w:hanging="268"/>
        <w:spacing w:after="0" w:line="209"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26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Consolidated Balance Sheet Data</w:t>
      </w:r>
    </w:p>
    <w:p>
      <w:pPr>
        <w:spacing w:after="0" w:line="206"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7"/>
              </w:rPr>
              <w:t>As of December 31,</w:t>
            </w:r>
          </w:p>
        </w:tc>
      </w:tr>
      <w:tr>
        <w:trPr>
          <w:trHeight w:val="115"/>
        </w:trPr>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380"/>
              <w:spacing w:after="0" w:line="115"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r>
      <w:tr>
        <w:trPr>
          <w:trHeight w:val="115"/>
        </w:trPr>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40" w:type="dxa"/>
            <w:vAlign w:val="bottom"/>
            <w:gridSpan w:val="2"/>
          </w:tcPr>
          <w:p>
            <w:pPr>
              <w:jc w:val="center"/>
              <w:ind w:left="400"/>
              <w:spacing w:after="0" w:line="115" w:lineRule="exact"/>
              <w:rPr>
                <w:sz w:val="20"/>
                <w:szCs w:val="20"/>
                <w:color w:val="auto"/>
              </w:rPr>
            </w:pPr>
            <w:r>
              <w:rPr>
                <w:rFonts w:ascii="Arial" w:cs="Arial" w:eastAsia="Arial" w:hAnsi="Arial"/>
                <w:sz w:val="12"/>
                <w:szCs w:val="12"/>
                <w:i w:val="1"/>
                <w:iCs w:val="1"/>
                <w:color w:val="auto"/>
                <w:w w:val="97"/>
              </w:rPr>
              <w:t>(In millions)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  352.7</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Working capital</w:t>
            </w:r>
          </w:p>
        </w:tc>
        <w:tc>
          <w:tcPr>
            <w:tcW w:w="4080" w:type="dxa"/>
            <w:vAlign w:val="bottom"/>
            <w:gridSpan w:val="2"/>
          </w:tcPr>
          <w:p>
            <w:pPr>
              <w:jc w:val="right"/>
              <w:ind w:right="180"/>
              <w:spacing w:after="0"/>
              <w:rPr>
                <w:sz w:val="20"/>
                <w:szCs w:val="20"/>
                <w:color w:val="auto"/>
              </w:rPr>
            </w:pPr>
            <w:r>
              <w:rPr>
                <w:rFonts w:ascii="Arial" w:cs="Arial" w:eastAsia="Arial" w:hAnsi="Arial"/>
                <w:sz w:val="15"/>
                <w:szCs w:val="15"/>
                <w:color w:val="auto"/>
              </w:rPr>
              <w:t>(221.9)</w:t>
            </w:r>
          </w:p>
        </w:tc>
        <w:tc>
          <w:tcPr>
            <w:tcW w:w="3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(220.3)</w:t>
            </w: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444.0</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341.9</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Total assets</w:t>
            </w:r>
          </w:p>
        </w:tc>
        <w:tc>
          <w:tcPr>
            <w:tcW w:w="4080" w:type="dxa"/>
            <w:vAlign w:val="bottom"/>
            <w:gridSpan w:val="2"/>
          </w:tcPr>
          <w:p>
            <w:pPr>
              <w:jc w:val="right"/>
              <w:ind w:right="240"/>
              <w:spacing w:after="0"/>
              <w:rPr>
                <w:sz w:val="20"/>
                <w:szCs w:val="20"/>
                <w:color w:val="auto"/>
              </w:rPr>
            </w:pPr>
            <w:r>
              <w:rPr>
                <w:rFonts w:ascii="Arial" w:cs="Arial" w:eastAsia="Arial" w:hAnsi="Arial"/>
                <w:sz w:val="15"/>
                <w:szCs w:val="15"/>
                <w:color w:val="auto"/>
              </w:rPr>
              <w:t>1,004.2</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1,019.9</w:t>
            </w:r>
          </w:p>
        </w:tc>
        <w:tc>
          <w:tcPr>
            <w:tcW w:w="100" w:type="dxa"/>
            <w:vAlign w:val="bottom"/>
          </w:tcPr>
          <w:p>
            <w:pPr>
              <w:spacing w:after="0"/>
              <w:rPr>
                <w:sz w:val="15"/>
                <w:szCs w:val="15"/>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revenue</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354.9</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419.2</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Total capital lease obligations</w:t>
            </w:r>
          </w:p>
        </w:tc>
        <w:tc>
          <w:tcPr>
            <w:tcW w:w="4080" w:type="dxa"/>
            <w:vAlign w:val="bottom"/>
            <w:gridSpan w:val="2"/>
          </w:tcPr>
          <w:p>
            <w:pPr>
              <w:jc w:val="right"/>
              <w:ind w:right="240"/>
              <w:spacing w:after="0"/>
              <w:rPr>
                <w:sz w:val="20"/>
                <w:szCs w:val="20"/>
                <w:color w:val="auto"/>
              </w:rPr>
            </w:pPr>
            <w:r>
              <w:rPr>
                <w:rFonts w:ascii="Arial" w:cs="Arial" w:eastAsia="Arial" w:hAnsi="Arial"/>
                <w:sz w:val="15"/>
                <w:szCs w:val="15"/>
                <w:color w:val="auto"/>
              </w:rPr>
              <w:t>257.2</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174.3</w:t>
            </w:r>
          </w:p>
        </w:tc>
        <w:tc>
          <w:tcPr>
            <w:tcW w:w="100" w:type="dxa"/>
            <w:vAlign w:val="bottom"/>
          </w:tcPr>
          <w:p>
            <w:pPr>
              <w:spacing w:after="0"/>
              <w:rPr>
                <w:sz w:val="15"/>
                <w:szCs w:val="15"/>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122.8</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100" w:type="dxa"/>
            <w:vAlign w:val="bottom"/>
            <w:shd w:val="clear" w:color="auto" w:fill="CCEEFF"/>
          </w:tcPr>
          <w:p>
            <w:pPr>
              <w:spacing w:after="0"/>
              <w:rPr>
                <w:sz w:val="15"/>
                <w:szCs w:val="15"/>
                <w:color w:val="auto"/>
              </w:rPr>
            </w:pPr>
          </w:p>
        </w:tc>
      </w:tr>
      <w:tr>
        <w:trPr>
          <w:trHeight w:val="303"/>
        </w:trPr>
        <w:tc>
          <w:tcPr>
            <w:tcW w:w="2780" w:type="dxa"/>
            <w:vAlign w:val="bottom"/>
          </w:tcPr>
          <w:p>
            <w:pPr>
              <w:spacing w:after="0"/>
              <w:rPr>
                <w:sz w:val="24"/>
                <w:szCs w:val="24"/>
                <w:color w:val="auto"/>
              </w:rPr>
            </w:pPr>
          </w:p>
        </w:tc>
        <w:tc>
          <w:tcPr>
            <w:tcW w:w="3260" w:type="dxa"/>
            <w:vAlign w:val="bottom"/>
          </w:tcPr>
          <w:p>
            <w:pPr>
              <w:jc w:val="right"/>
              <w:ind w:right="2045"/>
              <w:spacing w:after="0"/>
              <w:rPr>
                <w:sz w:val="20"/>
                <w:szCs w:val="20"/>
                <w:color w:val="auto"/>
              </w:rPr>
            </w:pPr>
            <w:r>
              <w:rPr>
                <w:rFonts w:ascii="Arial" w:cs="Arial" w:eastAsia="Arial" w:hAnsi="Arial"/>
                <w:sz w:val="15"/>
                <w:szCs w:val="15"/>
                <w:color w:val="auto"/>
              </w:rPr>
              <w:t>60</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60"/>
          </w:cols>
          <w:pgMar w:left="240" w:top="407" w:right="139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92" w:lineRule="exact"/>
        <w:rPr>
          <w:sz w:val="20"/>
          <w:szCs w:val="20"/>
          <w:color w:val="auto"/>
        </w:rPr>
      </w:pPr>
    </w:p>
    <w:p>
      <w:pPr>
        <w:ind w:left="1120" w:right="179" w:firstLine="368"/>
        <w:spacing w:after="0" w:line="27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120" w:right="19" w:firstLine="368"/>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jc w:val="both"/>
        <w:ind w:left="1120" w:right="59" w:firstLine="368"/>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120" w:right="39" w:firstLine="368"/>
        <w:spacing w:after="0" w:line="263" w:lineRule="auto"/>
        <w:rPr>
          <w:sz w:val="20"/>
          <w:szCs w:val="20"/>
          <w:color w:val="auto"/>
        </w:rPr>
      </w:pPr>
      <w:r>
        <w:rPr>
          <w:rFonts w:ascii="Arial" w:cs="Arial" w:eastAsia="Arial" w:hAnsi="Arial"/>
          <w:sz w:val="15"/>
          <w:szCs w:val="15"/>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55" w:lineRule="exact"/>
        <w:rPr>
          <w:sz w:val="20"/>
          <w:szCs w:val="20"/>
          <w:color w:val="auto"/>
        </w:rPr>
      </w:pPr>
    </w:p>
    <w:p>
      <w:pPr>
        <w:ind w:left="1120" w:right="239" w:firstLine="368"/>
        <w:spacing w:after="0" w:line="283" w:lineRule="auto"/>
        <w:rPr>
          <w:sz w:val="20"/>
          <w:szCs w:val="20"/>
          <w:color w:val="auto"/>
        </w:rPr>
      </w:pPr>
      <w:r>
        <w:rPr>
          <w:rFonts w:ascii="Arial" w:cs="Arial" w:eastAsia="Arial" w:hAnsi="Arial"/>
          <w:sz w:val="14"/>
          <w:szCs w:val="14"/>
          <w:color w:val="auto"/>
        </w:rPr>
        <w:t>We’ve built a thriving global business with 11 million paying users. 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19"/>
          </w:cols>
          <w:pgMar w:left="240" w:top="407" w:right="1440"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History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our founding, we’ve built one of the largest collaboration platforms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140970</wp:posOffset>
            </wp:positionV>
            <wp:extent cx="4203700" cy="47910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03700" cy="479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Subscription Plans</w:t>
      </w:r>
    </w:p>
    <w:p>
      <w:pPr>
        <w:spacing w:after="0" w:line="102" w:lineRule="exact"/>
        <w:rPr>
          <w:sz w:val="20"/>
          <w:szCs w:val="20"/>
          <w:color w:val="auto"/>
        </w:rPr>
      </w:pPr>
    </w:p>
    <w:p>
      <w:pPr>
        <w:jc w:val="both"/>
        <w:ind w:left="1120" w:right="119" w:firstLine="368"/>
        <w:spacing w:after="0" w:line="322" w:lineRule="auto"/>
        <w:rPr>
          <w:sz w:val="20"/>
          <w:szCs w:val="20"/>
          <w:color w:val="auto"/>
        </w:rPr>
      </w:pPr>
      <w:r>
        <w:rPr>
          <w:rFonts w:ascii="Arial" w:cs="Arial" w:eastAsia="Arial" w:hAnsi="Arial"/>
          <w:sz w:val="13"/>
          <w:szCs w:val="13"/>
          <w:color w:val="auto"/>
        </w:rPr>
        <w:t>We generate revenue from individuals, teams, and organizations by selling subscriptions to our platform, which serve the varying needs of our diverse customer base. Of our 11 million paying users, approximately 30% use Dropbox for work on a Dropbox Business team plan, and we estimate that an additional 50% use Dropbox for work on an individual plan, collectively totaling approximately 80% of paying users. As of December 31,</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19"/>
          </w:cols>
          <w:pgMar w:left="240" w:top="407" w:right="1440"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19"/>
        <w:spacing w:after="0" w:line="276" w:lineRule="auto"/>
        <w:rPr>
          <w:sz w:val="20"/>
          <w:szCs w:val="20"/>
          <w:color w:val="auto"/>
        </w:rPr>
      </w:pPr>
      <w:r>
        <w:rPr>
          <w:rFonts w:ascii="Arial" w:cs="Arial" w:eastAsia="Arial" w:hAnsi="Arial"/>
          <w:sz w:val="14"/>
          <w:szCs w:val="14"/>
          <w:color w:val="auto"/>
        </w:rPr>
        <w:t>2017, approximately 92% of Fortune 500 companies had paying Dropbox users within their organization, and approximately 56% had at least one paying Dropbox Business team. We had more than 300,000 paying Dropbox Business teams as of December 31, 2017. Each Dropbox Business team represents a separately billed deployment that is managed through a single administrative dashboard. Each team must have a minimum of three users, but we also serve teams that can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114935</wp:posOffset>
            </wp:positionV>
            <wp:extent cx="4203700" cy="4841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03700" cy="484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19"/>
          </w:cols>
          <w:pgMar w:left="240" w:top="407" w:right="1440"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Our premium subscription plans, such as Professional and Advanced, provide more functionality than other subscription plans and are offered at higher prices per user. Our Standard and Advanced subscription plans offer robust capabilities for businesses, and the vast majority of Dropbox Business teams, including those at Fortune 500 companies, purchase our Standard or Advanced subscription plans. While our Enterprise subscription plan offers more opportunities for customization, companies can subscribe to any of these team plans for their business needs.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 Model</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Drive new signups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acquire users efficiently and at relatively low costs through word-of-mouth referrals, direct in-product referrals, and sharing of content.</w:t>
      </w:r>
    </w:p>
    <w:p>
      <w:pPr>
        <w:spacing w:after="0" w:line="200" w:lineRule="exact"/>
        <w:rPr>
          <w:sz w:val="20"/>
          <w:szCs w:val="20"/>
          <w:color w:val="auto"/>
        </w:rPr>
      </w:pPr>
    </w:p>
    <w:p>
      <w:pPr>
        <w:ind w:left="1120" w:right="180" w:firstLine="368"/>
        <w:spacing w:after="0" w:line="283" w:lineRule="auto"/>
        <w:rPr>
          <w:sz w:val="20"/>
          <w:szCs w:val="20"/>
          <w:color w:val="auto"/>
        </w:rPr>
      </w:pPr>
      <w:r>
        <w:rPr>
          <w:rFonts w:ascii="Arial" w:cs="Arial" w:eastAsia="Arial" w:hAnsi="Arial"/>
          <w:sz w:val="14"/>
          <w:szCs w:val="14"/>
          <w:color w:val="auto"/>
        </w:rPr>
        <w:t>Anyone can create a Dropbox account for free through our website or app and be up and running in minutes. These users often share and collaborate with other non-registered users, attracting new signups into our network. For example, many people use Dropbox for work and spread our platform by collaborating on projects or sharing content externally. We also acquire a small proportion of our registered users through paid marketing and distribution partnerships in which hardware manufacturers pre-install our software on their devices.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over 500 million registered users on our platform, of which over 100 million signed up since the beginning of 2017.</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Increase conversion of registered users to our paid subscription plans</w:t>
      </w:r>
    </w:p>
    <w:p>
      <w:pPr>
        <w:spacing w:after="0" w:line="98"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Dropbox Basic, the free version of our product, serves as a major funnel for conversions to our paid subscription plans. It fosters brand awareness, product familiarity, and organic adoption of Dropbox. When they purchase a subscription, our users gain access to premium features such as richer collaboration tools, administrative controls, and advanced security features, as well as larger storage capacity. We believe that our current registered user base represents a significant opportunity to increase our revenue. We estimate that approximately 300 million of our registered users have at least one characteristic that we believe makes them more likely than other registered users to pay over time. These characteristics include: (i) having signed up for Dropbox with a business domain email; (ii) having used specific types of computers or mobile devices to access our platform; or (iii) having signed up from certain countries in more developed markets in North America, Europe, and Asia Pacific, and having linked a desktop or laptop to our platform. Substantially all of our paying users share at least one of these characteristics. We’ve found that aggregate user activity metrics aren’t leading indicators of revenue or conversion. For that reason, we don’t comprehensively track user activity across the Dropbox platform for financial planning and forecasting purposes.</w:t>
      </w:r>
    </w:p>
    <w:p>
      <w:pPr>
        <w:spacing w:after="0" w:line="154"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55" w:lineRule="exact"/>
        <w:rPr>
          <w:sz w:val="20"/>
          <w:szCs w:val="20"/>
          <w:color w:val="auto"/>
        </w:rPr>
      </w:pPr>
    </w:p>
    <w:p>
      <w:pPr>
        <w:ind w:left="1120" w:right="240" w:firstLine="368"/>
        <w:spacing w:after="0" w:line="290" w:lineRule="auto"/>
        <w:rPr>
          <w:sz w:val="20"/>
          <w:szCs w:val="20"/>
          <w:color w:val="auto"/>
        </w:rPr>
      </w:pPr>
      <w:r>
        <w:rPr>
          <w:rFonts w:ascii="Arial" w:cs="Arial" w:eastAsia="Arial" w:hAnsi="Arial"/>
          <w:sz w:val="14"/>
          <w:szCs w:val="14"/>
          <w:color w:val="auto"/>
        </w:rPr>
        <w:t>During the fourth quarter of 2017, hundreds of millions of devices—including computers, phones, and tablets—were actively connected to the Dropbox platform. Because our users have installed Dropbox on many devices, we have multiple opportunities to inform them about new product experiences and premium subscription plans via in-product notifications, without any external marketing spend.</w:t>
      </w:r>
    </w:p>
    <w:p>
      <w:pPr>
        <w:spacing w:after="0" w:line="138" w:lineRule="exact"/>
        <w:rPr>
          <w:sz w:val="20"/>
          <w:szCs w:val="20"/>
          <w:color w:val="auto"/>
        </w:rPr>
      </w:pPr>
    </w:p>
    <w:p>
      <w:pPr>
        <w:ind w:left="1120" w:right="360" w:firstLine="368"/>
        <w:spacing w:after="0" w:line="354" w:lineRule="auto"/>
        <w:rPr>
          <w:sz w:val="20"/>
          <w:szCs w:val="20"/>
          <w:color w:val="auto"/>
        </w:rPr>
      </w:pPr>
      <w:r>
        <w:rPr>
          <w:rFonts w:ascii="Arial" w:cs="Arial" w:eastAsia="Arial" w:hAnsi="Arial"/>
          <w:sz w:val="13"/>
          <w:szCs w:val="13"/>
          <w:color w:val="auto"/>
        </w:rPr>
        <w:t>Our scale enables us to experiment and optimize the conversion marketing process. We run hundreds of product tests and targeted marketing campaigns simultaneously, and analyze usage patterns within our network to continually improve our user targeting and marketing messaging.</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300"/>
          </w:cols>
          <w:pgMar w:left="240" w:top="407" w:right="135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Upgrade and expand existing customers</w:t>
      </w:r>
    </w:p>
    <w:p>
      <w:pPr>
        <w:spacing w:after="0" w:line="98" w:lineRule="exact"/>
        <w:rPr>
          <w:sz w:val="20"/>
          <w:szCs w:val="20"/>
          <w:color w:val="auto"/>
        </w:rPr>
      </w:pPr>
    </w:p>
    <w:p>
      <w:pPr>
        <w:ind w:left="1120" w:right="180" w:firstLine="368"/>
        <w:spacing w:after="0" w:line="305" w:lineRule="auto"/>
        <w:rPr>
          <w:sz w:val="20"/>
          <w:szCs w:val="20"/>
          <w:color w:val="auto"/>
        </w:rPr>
      </w:pPr>
      <w:r>
        <w:rPr>
          <w:rFonts w:ascii="Arial" w:cs="Arial" w:eastAsia="Arial" w:hAnsi="Arial"/>
          <w:sz w:val="13"/>
          <w:szCs w:val="13"/>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They can do this by either joining an existing Dropbox Business team or by creating a new Dropbox Business team and inviting others to join. In 2017, over 40% of new Dropbox Business teams included a member who was previously a subscriber to one of our individual paid plans.</w:t>
      </w:r>
    </w:p>
    <w:p>
      <w:pPr>
        <w:spacing w:after="0" w:line="13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We believe that a large majority of individual customers use Dropbox for work, which creates an opportunity to significantly increase conversion to Dropbox Business team offerings over time. We also encourage existing Dropbox Business teams to purchase additional licenses or to upgrade to premium subscription plans.</w:t>
      </w:r>
    </w:p>
    <w:p>
      <w:pPr>
        <w:spacing w:after="0" w:line="155" w:lineRule="exact"/>
        <w:rPr>
          <w:sz w:val="20"/>
          <w:szCs w:val="20"/>
          <w:color w:val="auto"/>
        </w:rPr>
      </w:pPr>
    </w:p>
    <w:p>
      <w:pPr>
        <w:jc w:val="both"/>
        <w:ind w:left="1120" w:firstLine="368"/>
        <w:spacing w:after="0" w:line="263" w:lineRule="auto"/>
        <w:rPr>
          <w:sz w:val="20"/>
          <w:szCs w:val="20"/>
          <w:color w:val="auto"/>
        </w:rPr>
      </w:pPr>
      <w:r>
        <w:rPr>
          <w:rFonts w:ascii="Arial" w:cs="Arial" w:eastAsia="Arial" w:hAnsi="Arial"/>
          <w:sz w:val="15"/>
          <w:szCs w:val="15"/>
          <w:color w:val="auto"/>
        </w:rPr>
        <w:t>Within an organization, Dropbox usage may be spread between a mix of Basic users, Plus and Professional subscribers, and one or more Dropbox Business teams. Our outbound sales team focuses on converting and consolidating these separate pockets of usage into a centralized deployment. Nearly all of our largest outbound deals originated as smaller self-serve deployments.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Attractive Cohort Economics</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We define a cohort as all registered users who signed up for Dropbox in a given period of time. We track the total monthly subscription amount of all paying users in each cohort as of the end of the month, or the monthly subscription amount. For paying users who opt for our monthly plans, the monthly subscription amount is equal to the price of the monthly plan. For paying users who opt for our annual plans, which a majority of our users do, the monthly subscription amount is equal to the price of the annual plan divided by twelve. These amounts increase as more registered users in each cohort convert to paying users, paying users upgrade to premium subscription offerings, and team administrators purchase additional licenses. These amounts decrease when paying users terminate their subscriptions, downgrade their subscriptions to a lower tier, or team administrators reduce the number of licenses on their subscription plans. We continuously focus on adding new users and increasing the value we offer to them. As a result, each cohort of new users typically generates higher subscription amounts over time.</w:t>
      </w:r>
    </w:p>
    <w:p>
      <w:pPr>
        <w:spacing w:after="0" w:line="9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80"/>
          </w:cols>
          <w:pgMar w:left="240" w:top="407" w:right="137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99" w:firstLine="368"/>
        <w:spacing w:after="0" w:line="275" w:lineRule="auto"/>
        <w:rPr>
          <w:sz w:val="20"/>
          <w:szCs w:val="20"/>
          <w:color w:val="auto"/>
        </w:rPr>
      </w:pPr>
      <w:r>
        <w:rPr>
          <w:rFonts w:ascii="Arial" w:cs="Arial" w:eastAsia="Arial" w:hAnsi="Arial"/>
          <w:sz w:val="15"/>
          <w:szCs w:val="15"/>
          <w:color w:val="auto"/>
        </w:rPr>
        <w:t>The chart below reflects the monthly subscription amount from January 2013 to December 2017 of all paying users in each quarterly cohort, including those who signed up for our platform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113665</wp:posOffset>
            </wp:positionV>
            <wp:extent cx="3781425" cy="31083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81425" cy="310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0" w:right="39" w:firstLine="368"/>
        <w:spacing w:after="0" w:line="263" w:lineRule="auto"/>
        <w:rPr>
          <w:sz w:val="20"/>
          <w:szCs w:val="20"/>
          <w:color w:val="auto"/>
        </w:rPr>
      </w:pPr>
      <w:r>
        <w:rPr>
          <w:rFonts w:ascii="Arial" w:cs="Arial" w:eastAsia="Arial" w:hAnsi="Arial"/>
          <w:sz w:val="15"/>
          <w:szCs w:val="15"/>
          <w:color w:val="auto"/>
        </w:rPr>
        <w:t>We continuously focus on adding new users and increasing the value we offer to them. As a result, each cohort of new users typically generates higher subscription amounts over time. For example, the monthly subscription amount generated by the January 2015 cohort doubled in less than three years after signup. We believe this cohort is representative of a typical cohort in recent periods.</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19"/>
          </w:cols>
          <w:pgMar w:left="240" w:top="407" w:right="1440"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Moreover, as we continue to innovate and optimize our go-to-market strategy, we have successfully increased monetization for subsequent cohorts. Comparing January cohorts from the last three years, at virtually every point in time after signup, the January 2017 cohort generated a higher monthly subscription amount than the January 2016 cohort, which in turn generated a higher monthly subscription amount than the January 2015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97155</wp:posOffset>
            </wp:positionV>
            <wp:extent cx="3781425" cy="2363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81425" cy="236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Global, Diversified Customer Base</w:t>
      </w:r>
    </w:p>
    <w:p>
      <w:pPr>
        <w:spacing w:after="0" w:line="102" w:lineRule="exact"/>
        <w:rPr>
          <w:sz w:val="20"/>
          <w:szCs w:val="20"/>
          <w:color w:val="auto"/>
        </w:rPr>
      </w:pPr>
    </w:p>
    <w:p>
      <w:pPr>
        <w:ind w:left="1120" w:right="320" w:firstLine="368"/>
        <w:spacing w:after="0" w:line="312" w:lineRule="auto"/>
        <w:rPr>
          <w:sz w:val="20"/>
          <w:szCs w:val="20"/>
          <w:color w:val="auto"/>
        </w:rPr>
      </w:pPr>
      <w:r>
        <w:rPr>
          <w:rFonts w:ascii="Arial" w:cs="Arial" w:eastAsia="Arial" w:hAnsi="Arial"/>
          <w:sz w:val="14"/>
          <w:szCs w:val="14"/>
          <w:color w:val="auto"/>
        </w:rPr>
        <w:t>The growing need for a unified home for content and the viral nature of our business have allowed us to scale globally. We have paying users across 180 countries, and we generated approximately half of our revenue in 2017 from customers outside the United States.</w:t>
      </w:r>
    </w:p>
    <w:p>
      <w:pPr>
        <w:spacing w:after="0" w:line="12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customer base is highly diversified, and in the periods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300"/>
          </w:cols>
          <w:pgMar w:left="240" w:top="407" w:right="1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Predictable Subscription Revenue</w:t>
      </w:r>
    </w:p>
    <w:p>
      <w:pPr>
        <w:spacing w:after="0" w:line="102" w:lineRule="exact"/>
        <w:rPr>
          <w:sz w:val="20"/>
          <w:szCs w:val="20"/>
          <w:color w:val="auto"/>
        </w:rPr>
      </w:pPr>
    </w:p>
    <w:p>
      <w:pPr>
        <w:ind w:left="1120" w:right="560" w:firstLine="368"/>
        <w:spacing w:after="0" w:line="312" w:lineRule="auto"/>
        <w:rPr>
          <w:sz w:val="20"/>
          <w:szCs w:val="20"/>
          <w:color w:val="auto"/>
        </w:rPr>
      </w:pPr>
      <w:r>
        <w:rPr>
          <w:rFonts w:ascii="Arial" w:cs="Arial" w:eastAsia="Arial" w:hAnsi="Arial"/>
          <w:sz w:val="14"/>
          <w:szCs w:val="14"/>
          <w:color w:val="auto"/>
        </w:rPr>
        <w:t>Taken together, our subscription revenue model, consistent cohort trends, self-serve monetization engine, and large and diversified global customer base resulted in linear and predictable revenue generation over the duration of the quarters 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84455</wp:posOffset>
            </wp:positionV>
            <wp:extent cx="3803015" cy="2649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0301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As of December 31, 2017, more than 80% of our annualized revenue came from existing individual users and Dropbox Business teams who were on our platform as of December 31, 2016.</w:t>
      </w:r>
    </w:p>
    <w:p>
      <w:pPr>
        <w:spacing w:after="0" w:line="146"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As of December 31, 2017, our Annualized Net Revenue Retention for paying Dropbox Business customers was approximately 100%. Annualized Net Revenue Retention is the percentage of annualized revenue retained over a 365-day period, inclusive of changes in price, changes in number of licenses, upgrades and downgrades to different subscription plans, and churn. We calculate Annualized Net Revenue Retention by aggregating the annualized revenue from all paying Dropbox Business customers subscribing to a Dropbox Business plan at the beginning of the period, then aggregating the annualized revenue from those same Dropbox Business customers at the end of the period. For customers whose renewal is pending at the end of the period, we include their annualized revenue in the ending total if they resume payment within 30 days from the end of that period. Annualized Net Revenue Retention is equal to ending annualized revenue divided by beginning annualized revenue.</w:t>
      </w:r>
    </w:p>
    <w:p>
      <w:pPr>
        <w:spacing w:after="0" w:line="14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of December 31, 2017, our blended Annualized Net Revenue Retention across the entire business, including individuals and Dropbox Business customers, was over 90%.</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02" w:lineRule="exact"/>
        <w:rPr>
          <w:sz w:val="20"/>
          <w:szCs w:val="20"/>
          <w:color w:val="auto"/>
        </w:rPr>
      </w:pPr>
    </w:p>
    <w:p>
      <w:pPr>
        <w:ind w:left="1120" w:right="260" w:firstLine="368"/>
        <w:spacing w:after="0" w:line="263" w:lineRule="auto"/>
        <w:rPr>
          <w:sz w:val="20"/>
          <w:szCs w:val="20"/>
          <w:color w:val="auto"/>
        </w:rPr>
      </w:pPr>
      <w:r>
        <w:rPr>
          <w:rFonts w:ascii="Arial" w:cs="Arial" w:eastAsia="Arial" w:hAnsi="Arial"/>
          <w:sz w:val="15"/>
          <w:szCs w:val="15"/>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55"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b w:val="1"/>
          <w:bCs w:val="1"/>
          <w:i w:val="1"/>
          <w:iCs w:val="1"/>
          <w:color w:val="auto"/>
        </w:rPr>
        <w:t xml:space="preserve">Attract Users and Expand Relationships with Them. </w:t>
      </w:r>
      <w:r>
        <w:rPr>
          <w:rFonts w:ascii="Arial" w:cs="Arial" w:eastAsia="Arial" w:hAnsi="Arial"/>
          <w:sz w:val="15"/>
          <w:szCs w:val="15"/>
          <w:color w:val="auto"/>
        </w:rPr>
        <w:t>Our business model is based on attracting new users to our platform, converting registered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users to paying users, and retaining and expanding paying users’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300"/>
          </w:cols>
          <w:pgMar w:left="240" w:top="407"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20"/>
        <w:spacing w:after="0" w:line="311" w:lineRule="auto"/>
        <w:rPr>
          <w:sz w:val="20"/>
          <w:szCs w:val="20"/>
          <w:color w:val="auto"/>
        </w:rPr>
      </w:pPr>
      <w:r>
        <w:rPr>
          <w:rFonts w:ascii="Arial" w:cs="Arial" w:eastAsia="Arial" w:hAnsi="Arial"/>
          <w:sz w:val="13"/>
          <w:szCs w:val="13"/>
          <w:color w:val="auto"/>
        </w:rPr>
        <w:t>subscriptions over time. Our continued success depends in part on our ability to offer compelling subscription plans with valuable capabilities, and to market these plans effectively to users. In addition, we must continue to provide a quality user experience to retain paying customers and encourage existing Dropbox Business teams to purchase additional licenses for their organizations over time. We intend to continue driving organic adoption by individual users and Dropbox Business teams through our self-serve model, and supplement this with our outbound sales force.</w:t>
      </w:r>
    </w:p>
    <w:p>
      <w:pPr>
        <w:spacing w:after="0" w:line="127" w:lineRule="exact"/>
        <w:rPr>
          <w:sz w:val="20"/>
          <w:szCs w:val="20"/>
          <w:color w:val="auto"/>
        </w:rPr>
      </w:pPr>
    </w:p>
    <w:p>
      <w:pPr>
        <w:ind w:left="1120" w:right="40" w:firstLine="368"/>
        <w:spacing w:after="0" w:line="298" w:lineRule="auto"/>
        <w:rPr>
          <w:sz w:val="20"/>
          <w:szCs w:val="20"/>
          <w:color w:val="auto"/>
        </w:rPr>
      </w:pPr>
      <w:r>
        <w:rPr>
          <w:rFonts w:ascii="Arial" w:cs="Arial" w:eastAsia="Arial" w:hAnsi="Arial"/>
          <w:sz w:val="13"/>
          <w:szCs w:val="13"/>
          <w:b w:val="1"/>
          <w:bCs w:val="1"/>
          <w:i w:val="1"/>
          <w:iCs w:val="1"/>
          <w:color w:val="auto"/>
        </w:rPr>
        <w:t xml:space="preserve">Continued Investment in Growth. </w:t>
      </w:r>
      <w:r>
        <w:rPr>
          <w:rFonts w:ascii="Arial" w:cs="Arial" w:eastAsia="Arial" w:hAnsi="Arial"/>
          <w:sz w:val="13"/>
          <w:szCs w:val="13"/>
          <w:color w:val="auto"/>
        </w:rPr>
        <w:t>We intend to continue to make focused investments to increase revenue and scale operations to support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growth of our business, and therefore expect expenses to increase. We plan to further invest in research and development as we hire employees in engineering, product, and design to enhance our platform and support the needs of our growing user base. We also plan to invest in sales and marketing activities to drive our self-serve business model and increase our brand awareness. We expect to incur additional general and administrative expenses to support our growth and our transition to being a publicly traded company. Further, we continue to make investments in our technical infrastructure to support user growth, and in our office locations to support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39"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b w:val="1"/>
          <w:bCs w:val="1"/>
          <w:i w:val="1"/>
          <w:iCs w:val="1"/>
          <w:color w:val="auto"/>
        </w:rPr>
        <w:t>Ongoing Innovation in a Rapidly Changing Environment</w:t>
      </w:r>
      <w:r>
        <w:rPr>
          <w:rFonts w:ascii="Arial" w:cs="Arial" w:eastAsia="Arial" w:hAnsi="Arial"/>
          <w:sz w:val="14"/>
          <w:szCs w:val="14"/>
          <w:color w:val="auto"/>
        </w:rPr>
        <w:t>. The market for content collaboration platforms is characterized by rapid technological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change and frequent new product and service introductions. Our ability to acquire, retain, and upgrade paying users will depend in part on our ability to enhance our platform, introduce new features, and interoperate across an increasing range of devices, operating systems, and third-party applications. Certain features of our platform compete directly with products offered by Amazon, Apple, Atlassian, Box, Google, and Microsoft. We will need to continue to innovate in the face of this rapidly changing landscape to remain competitive.</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Key Business Metrics</w:t>
      </w:r>
    </w:p>
    <w:p>
      <w:pPr>
        <w:spacing w:after="0" w:line="102"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Paying users</w:t>
      </w:r>
    </w:p>
    <w:p>
      <w:pPr>
        <w:spacing w:after="0" w:line="98"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5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have experienced growth in the number of paying users across our products, with the vast majority of paying users for the periods presented coming from our self-serve channels.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sets forth the number of paying users as of December 31, 2015, 2016, and 2017:</w:t>
      </w:r>
    </w:p>
    <w:p>
      <w:pPr>
        <w:spacing w:after="0" w:line="202"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3810</wp:posOffset>
            </wp:positionV>
            <wp:extent cx="9525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52500" cy="6985"/>
                    </a:xfrm>
                    <a:prstGeom prst="rect">
                      <a:avLst/>
                    </a:prstGeom>
                    <a:noFill/>
                  </pic:spPr>
                </pic:pic>
              </a:graphicData>
            </a:graphic>
          </wp:anchor>
        </w:drawing>
      </w:r>
    </w:p>
    <w:p>
      <w:pPr>
        <w:ind w:left="8040"/>
        <w:spacing w:after="0"/>
        <w:tabs>
          <w:tab w:leader="none" w:pos="8620" w:val="left"/>
          <w:tab w:leader="none" w:pos="924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-3175</wp:posOffset>
            </wp:positionV>
            <wp:extent cx="9525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52500" cy="6985"/>
                    </a:xfrm>
                    <a:prstGeom prst="rect">
                      <a:avLst/>
                    </a:prstGeom>
                    <a:noFill/>
                  </pic:spPr>
                </pic:pic>
              </a:graphicData>
            </a:graphic>
          </wp:anchor>
        </w:drawing>
      </w:r>
    </w:p>
    <w:p>
      <w:pPr>
        <w:ind w:left="848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860" w:type="dxa"/>
        <w:tblCellMar>
          <w:top w:w="0" w:type="dxa"/>
          <w:left w:w="0" w:type="dxa"/>
          <w:bottom w:w="0" w:type="dxa"/>
          <w:right w:w="0" w:type="dxa"/>
        </w:tblCellMar>
      </w:tblPr>
      <w:tr>
        <w:trPr>
          <w:trHeight w:val="172"/>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Paying users</w:t>
            </w:r>
          </w:p>
        </w:tc>
        <w:tc>
          <w:tcPr>
            <w:tcW w:w="31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w:t>
            </w:r>
          </w:p>
        </w:tc>
        <w:tc>
          <w:tcPr>
            <w:tcW w:w="6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bl>
    <w:p>
      <w:pPr>
        <w:spacing w:after="0" w:line="11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300"/>
          </w:cols>
          <w:pgMar w:left="24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98"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4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Our ARPU declined for the year ended December 31, 2016, compared to the year ended December 31, 2015, primarily due to foreign currency fluctuations related to our sales that are denominated in foreign currencies. Our ARPU increased for the year ended December 31, 2017, compared to the year ended December 31, 2016, primarily due to an increased mix of sales towards our higher priced subscription plans, including our new Dropbox Business Advanced plan.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sets forth our ARPU for the years ended December 31, 2015, 2016, and 2017.</w:t>
      </w:r>
    </w:p>
    <w:p>
      <w:pPr>
        <w:spacing w:after="0" w:line="202" w:lineRule="exact"/>
        <w:rPr>
          <w:sz w:val="20"/>
          <w:szCs w:val="20"/>
          <w:color w:val="auto"/>
        </w:rPr>
      </w:pPr>
    </w:p>
    <w:p>
      <w:pPr>
        <w:jc w:val="center"/>
        <w:ind w:left="614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4864100</wp:posOffset>
            </wp:positionH>
            <wp:positionV relativeFrom="paragraph">
              <wp:posOffset>3810</wp:posOffset>
            </wp:positionV>
            <wp:extent cx="142494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24940" cy="6985"/>
                    </a:xfrm>
                    <a:prstGeom prst="rect">
                      <a:avLst/>
                    </a:prstGeom>
                    <a:noFill/>
                  </pic:spPr>
                </pic:pic>
              </a:graphicData>
            </a:graphic>
          </wp:anchor>
        </w:drawing>
      </w:r>
    </w:p>
    <w:p>
      <w:pPr>
        <w:ind w:left="7780"/>
        <w:spacing w:after="0"/>
        <w:tabs>
          <w:tab w:leader="none" w:pos="8640" w:val="left"/>
          <w:tab w:leader="none" w:pos="952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tbl>
      <w:tblPr>
        <w:tblLayout w:type="fixed"/>
        <w:tblInd w:w="14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ARPU</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$113.54</w:t>
            </w:r>
          </w:p>
        </w:tc>
        <w:tc>
          <w:tcPr>
            <w:tcW w:w="3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$110.54</w:t>
            </w:r>
          </w:p>
        </w:tc>
        <w:tc>
          <w:tcPr>
            <w:tcW w:w="3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$111.91</w:t>
            </w: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Non-GAAP Financial Measure</w:t>
      </w:r>
    </w:p>
    <w:p>
      <w:pPr>
        <w:spacing w:after="0" w:line="102"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In addition to our results determined in accordance with U.S. generally accepted accounting principles, or GAAP, we believe that free cash flow, or FCF, a non-GAAP financial measure, is useful in evaluating our liquidity.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Free cash flow</w:t>
      </w:r>
    </w:p>
    <w:p>
      <w:pPr>
        <w:spacing w:after="0" w:line="98"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4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We have experienced an increase in our FCF as a result of an increase in net cash provided by operating activities, primarily due to our Infrastructure Optimization discussed below in “ —Recent Initiative,” increased sales in the periods presented, and a decrease in capital expenditures relating to infrastructure equipment and leasehold improvements for our office spaces. 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320"/>
          </w:cols>
          <w:pgMar w:left="240" w:top="407" w:right="13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202" w:lineRule="exact"/>
        <w:rPr>
          <w:sz w:val="20"/>
          <w:szCs w:val="20"/>
          <w:color w:val="auto"/>
        </w:rPr>
      </w:pPr>
    </w:p>
    <w:p>
      <w:pPr>
        <w:jc w:val="center"/>
        <w:ind w:left="61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3810</wp:posOffset>
            </wp:positionV>
            <wp:extent cx="133921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7820"/>
        <w:spacing w:after="0"/>
        <w:tabs>
          <w:tab w:leader="none" w:pos="8640" w:val="left"/>
          <w:tab w:leader="none" w:pos="95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-3175</wp:posOffset>
            </wp:positionV>
            <wp:extent cx="133921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850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$ 14.8</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$ 252.6</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Capital expenditures</w:t>
            </w:r>
          </w:p>
        </w:tc>
        <w:tc>
          <w:tcPr>
            <w:tcW w:w="19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(78.7)</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(115.2)</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1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(63.9)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$ 137.4</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Recent Initiative</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Infrastructure Optimization</w:t>
      </w:r>
    </w:p>
    <w:p>
      <w:pPr>
        <w:spacing w:after="0" w:line="98"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 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164"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Starting in 2016, we also took measures to manage the storage footprint of certain long-inactive Basic users, freeing up additional storage capacity. Specifically, we closed the accounts of certain Basic users who had not engaged in any activity on the Dropbox platform in the last year and did not respond to multiple e-mail inquiries from us regarding their inactivity. We continue to regularly take similar measures to manage long-inactive and non-responsive Basic user accounts, and our total registered user numbers do not include accounts that have been closed. This effort, along with additional usage optimizations in 2017, enabled us to continue operating our business within our existing infrastructure base without a need for extensive incremental capital expenditures and leasing activity.</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These efforts are collectively referred to as our Infrastructure Optimization, and some are ongoing.</w:t>
      </w:r>
    </w:p>
    <w:p>
      <w:pPr>
        <w:spacing w:after="0" w:line="188" w:lineRule="exact"/>
        <w:rPr>
          <w:sz w:val="20"/>
          <w:szCs w:val="20"/>
          <w:color w:val="auto"/>
        </w:rPr>
      </w:pPr>
    </w:p>
    <w:p>
      <w:pPr>
        <w:ind w:left="1120" w:right="540" w:firstLine="368"/>
        <w:spacing w:after="0" w:line="263" w:lineRule="auto"/>
        <w:rPr>
          <w:sz w:val="20"/>
          <w:szCs w:val="20"/>
          <w:color w:val="auto"/>
        </w:rPr>
      </w:pPr>
      <w:r>
        <w:rPr>
          <w:rFonts w:ascii="Arial" w:cs="Arial" w:eastAsia="Arial" w:hAnsi="Arial"/>
          <w:sz w:val="15"/>
          <w:szCs w:val="15"/>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Components of Our Results of Operations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generate revenue from sales of subscriptions to our platform.</w:t>
      </w:r>
    </w:p>
    <w:p>
      <w:pPr>
        <w:spacing w:after="0" w:line="188"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40"/>
          </w:cols>
          <w:pgMar w:left="240" w:top="407" w:right="14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Cost of revenue and gross margin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Our cost of revenue consists primarily of expenses associated with the storage, delivery, and distribution of our platform for both</w:t>
      </w:r>
      <w:r>
        <w:rPr>
          <w:rFonts w:ascii="Arial" w:cs="Arial" w:eastAsia="Arial" w:hAnsi="Arial"/>
          <w:sz w:val="14"/>
          <w:szCs w:val="14"/>
          <w:i w:val="1"/>
          <w:iCs w:val="1"/>
          <w:color w:val="auto"/>
        </w:rPr>
        <w:t xml:space="preserve"> </w:t>
      </w:r>
      <w:r>
        <w:rPr>
          <w:rFonts w:ascii="Arial" w:cs="Arial" w:eastAsia="Arial" w:hAnsi="Arial"/>
          <w:sz w:val="14"/>
          <w:szCs w:val="14"/>
          <w:color w:val="auto"/>
        </w:rPr>
        <w:t>paying users and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5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 future periods. In addition, as a result of certain stock-based compensation charges described in “—Significant Impacts of Stock-Based Compensation,” we expect our cost of revenue to increase significantly in absolute dollars in the quarter during which we complete this offering.</w:t>
      </w:r>
    </w:p>
    <w:p>
      <w:pPr>
        <w:spacing w:after="0" w:line="159"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is gross profit expressed as a percentage of revenue. Our gross margin may fluctuate from period to period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 Taking into account these charges, we expect our gross margin to decrease significantly in the quarter during which we complete this offering.</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Our research and development expenses consist primarily of employee-related costs for our engineering, product, and</w:t>
      </w:r>
      <w:r>
        <w:rPr>
          <w:rFonts w:ascii="Arial" w:cs="Arial" w:eastAsia="Arial" w:hAnsi="Arial"/>
          <w:sz w:val="14"/>
          <w:szCs w:val="14"/>
          <w:i w:val="1"/>
          <w:iCs w:val="1"/>
          <w:color w:val="auto"/>
        </w:rPr>
        <w:t xml:space="preserve"> </w:t>
      </w:r>
      <w:r>
        <w:rPr>
          <w:rFonts w:ascii="Arial" w:cs="Arial" w:eastAsia="Arial" w:hAnsi="Arial"/>
          <w:sz w:val="14"/>
          <w:szCs w:val="14"/>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13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138" w:lineRule="exact"/>
        <w:rPr>
          <w:sz w:val="20"/>
          <w:szCs w:val="20"/>
          <w:color w:val="auto"/>
        </w:rPr>
      </w:pPr>
    </w:p>
    <w:p>
      <w:pPr>
        <w:jc w:val="both"/>
        <w:ind w:left="1120" w:firstLine="368"/>
        <w:spacing w:after="0" w:line="322" w:lineRule="auto"/>
        <w:rPr>
          <w:sz w:val="20"/>
          <w:szCs w:val="20"/>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Our sales and marketing expenses relate to both self-serve and outbound sales activities, and consist primarily of employee-related costs, brand campaign fees, lead generation fees, and allocated overhead. Sales commissions earned by our outbound sales team and the related payroll taxes, as well as commissions earned by third-party resellers that we consider to be incremental and recoverable costs of</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40"/>
          </w:cols>
          <w:pgMar w:left="240" w:top="407" w:right="14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color w:val="auto"/>
        </w:rPr>
        <w:t>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4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27"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Our general and administrative expenses consist primarily of employee-related costs for our legal, finance, human</w:t>
      </w:r>
      <w:r>
        <w:rPr>
          <w:rFonts w:ascii="Arial" w:cs="Arial" w:eastAsia="Arial" w:hAnsi="Arial"/>
          <w:sz w:val="15"/>
          <w:szCs w:val="15"/>
          <w:i w:val="1"/>
          <w:iCs w:val="1"/>
          <w:color w:val="auto"/>
        </w:rPr>
        <w:t xml:space="preserve"> </w:t>
      </w:r>
      <w:r>
        <w:rPr>
          <w:rFonts w:ascii="Arial" w:cs="Arial" w:eastAsia="Arial" w:hAnsi="Arial"/>
          <w:sz w:val="15"/>
          <w:szCs w:val="15"/>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55" w:lineRule="exact"/>
        <w:rPr>
          <w:sz w:val="20"/>
          <w:szCs w:val="20"/>
          <w:color w:val="auto"/>
        </w:rPr>
      </w:pPr>
    </w:p>
    <w:p>
      <w:pPr>
        <w:ind w:left="1120" w:right="180" w:firstLine="368"/>
        <w:spacing w:after="0" w:line="257"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As a result of certain stock-based compensation charges described in “—Significant Impacts of Stock-Based Compensation,” we expect our research and development, sales and marketing, and general and administrative expenses to increase significantly in absolute dollars and as a percentage of revenue in the quarter during which we complete this offering.</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98"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98"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Other income (expense), net consists of other non-operating gains or losses, including those related to ongoing subleases and foreign currency transaction gains and losses.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Provision for income taxes</w:t>
      </w:r>
    </w:p>
    <w:p>
      <w:pPr>
        <w:spacing w:after="0" w:line="98"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47"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of December 31, 2017, we had $312.2 million of federal and $143.0 million of state net operating loss carryforwards available to reduce future taxable income, which will begin to expire in 2031 for federal and 2030</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80"/>
          </w:cols>
          <w:pgMar w:left="240" w:top="407" w:right="137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have occurred. Our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154" w:lineRule="exact"/>
        <w:rPr>
          <w:sz w:val="20"/>
          <w:szCs w:val="20"/>
          <w:color w:val="auto"/>
        </w:rPr>
      </w:pPr>
    </w:p>
    <w:p>
      <w:pPr>
        <w:ind w:left="1120" w:right="40" w:firstLine="368"/>
        <w:spacing w:after="0" w:line="274" w:lineRule="auto"/>
        <w:rPr>
          <w:sz w:val="20"/>
          <w:szCs w:val="20"/>
          <w:color w:val="auto"/>
        </w:rPr>
      </w:pPr>
      <w:r>
        <w:rPr>
          <w:rFonts w:ascii="Arial" w:cs="Arial" w:eastAsia="Arial" w:hAnsi="Arial"/>
          <w:sz w:val="14"/>
          <w:szCs w:val="14"/>
          <w:color w:val="auto"/>
        </w:rPr>
        <w:t>The Tax Cuts and Jobs Act, or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us in future years. Since the Tax Reform Act was recently finalized and ongoing guidance and accounting interpretation is expected over the next twelve months, we have made certain provisional accounting estimates, as permitted under Staff Accounting Bulletin No. 118, and continue to analyze our accounting policies in this area. The U.S. Treasury Department, the IRS, and other standard-setting bodies could interpret or issue guidance on how provisions of the Tax Reform Act will be applied or otherwise administered that is different from our interpretation. As we complete our analysis of the Tax Reform Act, collect and prepare necessary data, and interpret any additional guidance, the we may make adjustments to provisional amounts that we have recorded that may be material in the period in which the adjustments are made. The final accounting analysis will occur no later than one year from the date the Tax Reform Act was enacted.</w:t>
      </w:r>
    </w:p>
    <w:p>
      <w:pPr>
        <w:spacing w:after="0" w:line="150" w:lineRule="exact"/>
        <w:rPr>
          <w:sz w:val="20"/>
          <w:szCs w:val="20"/>
          <w:color w:val="auto"/>
        </w:rPr>
      </w:pPr>
    </w:p>
    <w:p>
      <w:pPr>
        <w:ind w:left="1120" w:right="200" w:firstLine="368"/>
        <w:spacing w:after="0" w:line="277" w:lineRule="auto"/>
        <w:rPr>
          <w:sz w:val="20"/>
          <w:szCs w:val="20"/>
          <w:color w:val="auto"/>
        </w:rPr>
      </w:pPr>
      <w:r>
        <w:rPr>
          <w:rFonts w:ascii="Arial" w:cs="Arial" w:eastAsia="Arial" w:hAnsi="Arial"/>
          <w:sz w:val="14"/>
          <w:szCs w:val="14"/>
          <w:color w:val="auto"/>
        </w:rPr>
        <w:t>As a result of the reduction in the corporate rate, we have remeasured our U.S. deferred tax assets and liabilities as of December 31, 2017 to reflect the lower rate expected to apply when these temporary differences reverse. We provisionally estimate that the remeasurement resulted in a reduction in deferred tax assets of $63.1 million, which was fully offset by a corresponding change to our valuation allowance. Although the tax rate reduction is known, we have not collected all of the necessary data to complete our analysis of the effect of the Tax Reform Act on the underlying deferred taxes and as such, the amounts recorded as of December 31, 2017 are provisional. However, we anticipate that any adjustment to provisional amounts recorded would be fully offset by a corresponding change to our valuation allowance.</w:t>
      </w:r>
    </w:p>
    <w:p>
      <w:pPr>
        <w:spacing w:after="0" w:line="148"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The Tax Reform Act repeals the corporate alternative minimum tax, or AMT, effective beginning in 2018 and permits AMT credit carryforwards to be refunded to the extent unused through 2021. Since we do not anticipate the use of these credits to reduce future federal taxes, we recognized an income tax benefit and established an income tax receivable to reflect anticipated refunds of $1.4 million for our 2016 AMT credit carryforward during the year ended December 31, 2017. We have not collected all of the necessary data to complete our analysis of the classification of the AMT tax credit as a receivable and as such, the amounts recorded as an income tax receivable as of December 31, 2017 are provisional.</w:t>
      </w:r>
    </w:p>
    <w:p>
      <w:pPr>
        <w:spacing w:after="0" w:line="133"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The Tax Reform Act also provides for a transition to a new territorial system of taxation and generally requires companies to include certain untaxed foreign earnings of non-U.S. subsidiaries into taxable income in 2017, or the Transition Tax. As a result of the cumulative deficits in our foreign subsidiaries, we estimate that we will have no Transition Tax inclusion.</w:t>
      </w:r>
    </w:p>
    <w:p>
      <w:pPr>
        <w:spacing w:after="0" w:line="155"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We continue to evaluate our accounting policy for recording deferred taxes, if any, that would arise as a result of other new provisions including the global intangible low-taxed income tax and the base erosion tax</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320"/>
          </w:cols>
          <w:pgMar w:left="240" w:top="407" w:right="13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regimes established under the Tax Reform Act. This evaluation will be completed no later than one year from the date the Tax Reform Act was enacted.</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Results of Operations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tables set forth our results of operations for the periods presented and as a percentage of our total revenue for those periods:</w:t>
      </w:r>
    </w:p>
    <w:p>
      <w:pPr>
        <w:spacing w:after="0" w:line="213"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2"/>
                <w:szCs w:val="12"/>
                <w:b w:val="1"/>
                <w:bCs w:val="1"/>
                <w:color w:val="auto"/>
                <w:w w:val="90"/>
              </w:rPr>
              <w:t>Year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right"/>
              <w:ind w:right="180"/>
              <w:spacing w:after="0" w:line="115" w:lineRule="exact"/>
              <w:rPr>
                <w:sz w:val="20"/>
                <w:szCs w:val="20"/>
                <w:color w:val="auto"/>
              </w:rPr>
            </w:pPr>
            <w:r>
              <w:rPr>
                <w:rFonts w:ascii="Arial" w:cs="Arial" w:eastAsia="Arial" w:hAnsi="Arial"/>
                <w:sz w:val="12"/>
                <w:szCs w:val="12"/>
                <w:i w:val="1"/>
                <w:iCs w:val="1"/>
                <w:color w:val="auto"/>
              </w:rPr>
              <w:t>(In millions)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$ 603.8</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$ 844.8</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30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454.2</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3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3480" w:type="dxa"/>
            <w:vAlign w:val="bottom"/>
            <w:gridSpan w:val="2"/>
          </w:tcPr>
          <w:p>
            <w:pPr>
              <w:jc w:val="right"/>
              <w:spacing w:after="0"/>
              <w:rPr>
                <w:sz w:val="20"/>
                <w:szCs w:val="20"/>
                <w:color w:val="auto"/>
              </w:rPr>
            </w:pPr>
            <w:r>
              <w:rPr>
                <w:rFonts w:ascii="Arial" w:cs="Arial" w:eastAsia="Arial" w:hAnsi="Arial"/>
                <w:sz w:val="15"/>
                <w:szCs w:val="15"/>
                <w:color w:val="auto"/>
              </w:rPr>
              <w:t>193.1</w:t>
            </w:r>
          </w:p>
        </w:tc>
        <w:tc>
          <w:tcPr>
            <w:tcW w:w="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250.6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30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30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37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(306.2)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Interest expense, net</w:t>
            </w:r>
          </w:p>
        </w:tc>
        <w:tc>
          <w:tcPr>
            <w:tcW w:w="3700" w:type="dxa"/>
            <w:vAlign w:val="bottom"/>
            <w:gridSpan w:val="3"/>
          </w:tcPr>
          <w:p>
            <w:pPr>
              <w:jc w:val="right"/>
              <w:ind w:right="120"/>
              <w:spacing w:after="0"/>
              <w:rPr>
                <w:sz w:val="20"/>
                <w:szCs w:val="20"/>
                <w:color w:val="auto"/>
              </w:rPr>
            </w:pPr>
            <w:r>
              <w:rPr>
                <w:rFonts w:ascii="Arial" w:cs="Arial" w:eastAsia="Arial" w:hAnsi="Arial"/>
                <w:sz w:val="15"/>
                <w:szCs w:val="15"/>
                <w:color w:val="auto"/>
              </w:rPr>
              <w:t>(15.2)</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3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30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(325.6)</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3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370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(325.9)</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0" w:type="dxa"/>
            <w:vAlign w:val="bottom"/>
            <w:vMerge w:val="restart"/>
          </w:tcPr>
          <w:p>
            <w:pPr>
              <w:jc w:val="right"/>
              <w:ind w:right="1665"/>
              <w:spacing w:after="0"/>
              <w:rPr>
                <w:sz w:val="20"/>
                <w:szCs w:val="20"/>
                <w:color w:val="auto"/>
              </w:rPr>
            </w:pPr>
            <w:r>
              <w:rPr>
                <w:rFonts w:ascii="Arial" w:cs="Arial" w:eastAsia="Arial" w:hAnsi="Arial"/>
                <w:sz w:val="15"/>
                <w:szCs w:val="15"/>
                <w:color w:val="auto"/>
              </w:rPr>
              <w:t>75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407" w:right="14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167" w:lineRule="exact"/>
        <w:rPr>
          <w:sz w:val="20"/>
          <w:szCs w:val="20"/>
          <w:color w:val="auto"/>
        </w:rPr>
      </w:pPr>
    </w:p>
    <w:p>
      <w:pPr>
        <w:ind w:left="1120"/>
        <w:spacing w:after="0"/>
        <w:tabs>
          <w:tab w:leader="none" w:pos="136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4"/>
          <w:szCs w:val="14"/>
          <w:color w:val="auto"/>
        </w:rPr>
        <w:t>Includes stock-based compensation as follows:</w:t>
      </w:r>
    </w:p>
    <w:p>
      <w:pPr>
        <w:spacing w:after="0" w:line="195" w:lineRule="exact"/>
        <w:rPr>
          <w:sz w:val="20"/>
          <w:szCs w:val="20"/>
          <w:color w:val="auto"/>
        </w:rPr>
      </w:pPr>
    </w:p>
    <w:tbl>
      <w:tblPr>
        <w:tblLayout w:type="fixed"/>
        <w:tblInd w:w="14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5"/>
              </w:rPr>
              <w:t>Year ended December 31,</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29"/>
              <w:spacing w:after="0" w:line="104" w:lineRule="exact"/>
              <w:rPr>
                <w:sz w:val="20"/>
                <w:szCs w:val="20"/>
                <w:color w:val="auto"/>
              </w:rPr>
            </w:pPr>
            <w:r>
              <w:rPr>
                <w:rFonts w:ascii="Arial" w:cs="Arial" w:eastAsia="Arial" w:hAnsi="Arial"/>
                <w:sz w:val="11"/>
                <w:szCs w:val="11"/>
                <w:b w:val="1"/>
                <w:bCs w:val="1"/>
                <w:color w:val="auto"/>
                <w:w w:val="81"/>
              </w:rPr>
              <w:t>2015</w:t>
            </w: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29"/>
              <w:spacing w:after="0" w:line="104" w:lineRule="exact"/>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68"/>
              <w:spacing w:after="0" w:line="104" w:lineRule="exact"/>
              <w:rPr>
                <w:sz w:val="20"/>
                <w:szCs w:val="20"/>
                <w:color w:val="auto"/>
              </w:rPr>
            </w:pPr>
            <w:r>
              <w:rPr>
                <w:rFonts w:ascii="Arial" w:cs="Arial" w:eastAsia="Arial" w:hAnsi="Arial"/>
                <w:sz w:val="11"/>
                <w:szCs w:val="11"/>
                <w:b w:val="1"/>
                <w:bCs w:val="1"/>
                <w:color w:val="auto"/>
                <w:w w:val="97"/>
              </w:rPr>
              <w:t>2017</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4"/>
          </w:tcPr>
          <w:p>
            <w:pPr>
              <w:jc w:val="center"/>
              <w:ind w:right="40"/>
              <w:spacing w:after="0" w:line="104" w:lineRule="exact"/>
              <w:rPr>
                <w:sz w:val="20"/>
                <w:szCs w:val="20"/>
                <w:color w:val="auto"/>
              </w:rPr>
            </w:pPr>
            <w:r>
              <w:rPr>
                <w:rFonts w:ascii="Arial" w:cs="Arial" w:eastAsia="Arial" w:hAnsi="Arial"/>
                <w:sz w:val="11"/>
                <w:szCs w:val="11"/>
                <w:i w:val="1"/>
                <w:iCs w:val="1"/>
                <w:color w:val="auto"/>
                <w:w w:val="92"/>
              </w:rPr>
              <w:t>(In millions)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36.1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9"/>
              <w:spacing w:after="0" w:line="115" w:lineRule="exact"/>
              <w:rPr>
                <w:sz w:val="20"/>
                <w:szCs w:val="20"/>
                <w:color w:val="auto"/>
              </w:rPr>
            </w:pPr>
            <w:r>
              <w:rPr>
                <w:rFonts w:ascii="Arial" w:cs="Arial" w:eastAsia="Arial" w:hAnsi="Arial"/>
                <w:sz w:val="12"/>
                <w:szCs w:val="12"/>
                <w:b w:val="1"/>
                <w:bCs w:val="1"/>
                <w:color w:val="auto"/>
                <w:w w:val="82"/>
              </w:rPr>
              <w:t>2015</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29"/>
              <w:spacing w:after="0" w:line="115"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4"/>
          </w:tcPr>
          <w:p>
            <w:pPr>
              <w:jc w:val="center"/>
              <w:ind w:right="40"/>
              <w:spacing w:after="0" w:line="115" w:lineRule="exact"/>
              <w:rPr>
                <w:sz w:val="20"/>
                <w:szCs w:val="20"/>
                <w:color w:val="auto"/>
              </w:rPr>
            </w:pPr>
            <w:r>
              <w:rPr>
                <w:rFonts w:ascii="Arial" w:cs="Arial" w:eastAsia="Arial" w:hAnsi="Arial"/>
                <w:sz w:val="12"/>
                <w:szCs w:val="12"/>
                <w:i w:val="1"/>
                <w:iCs w:val="1"/>
                <w:color w:val="auto"/>
                <w:w w:val="90"/>
              </w:rPr>
              <w:t>(As a % of revenue)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w:t>
            </w:r>
          </w:p>
        </w:tc>
        <w:tc>
          <w:tcPr>
            <w:tcW w:w="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right"/>
              <w:ind w:right="420"/>
              <w:spacing w:after="0"/>
              <w:rPr>
                <w:sz w:val="20"/>
                <w:szCs w:val="20"/>
                <w:color w:val="auto"/>
              </w:rPr>
            </w:pPr>
            <w:r>
              <w:rPr>
                <w:rFonts w:ascii="Arial" w:cs="Arial" w:eastAsia="Arial" w:hAnsi="Arial"/>
                <w:sz w:val="15"/>
                <w:szCs w:val="15"/>
                <w:color w:val="auto"/>
              </w:rPr>
              <w:t>100%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Operating expenses: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(23)</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Interest expense, net</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(54)%</w:t>
            </w:r>
          </w:p>
        </w:tc>
        <w:tc>
          <w:tcPr>
            <w:tcW w:w="1400" w:type="dxa"/>
            <w:vAlign w:val="bottom"/>
            <w:gridSpan w:val="4"/>
          </w:tcPr>
          <w:p>
            <w:pPr>
              <w:jc w:val="right"/>
              <w:ind w:right="380"/>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w w:val="99"/>
              </w:rPr>
              <w:t>Comparison of the year ended December 31, 2016 and 2017</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2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40" w:type="dxa"/>
            <w:vAlign w:val="bottom"/>
            <w:gridSpan w:val="2"/>
          </w:tcPr>
          <w:p>
            <w:pPr>
              <w:spacing w:after="0"/>
              <w:rPr>
                <w:sz w:val="20"/>
                <w:szCs w:val="20"/>
                <w:color w:val="auto"/>
              </w:rPr>
            </w:pPr>
            <w:r>
              <w:rPr>
                <w:rFonts w:ascii="Arial" w:cs="Arial" w:eastAsia="Arial" w:hAnsi="Arial"/>
                <w:sz w:val="15"/>
                <w:szCs w:val="15"/>
                <w:i w:val="1"/>
                <w:iCs w:val="1"/>
                <w:color w:val="auto"/>
              </w:rPr>
              <w:t>Revenue</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w w:val="90"/>
              </w:rPr>
              <w:t>Year Ended</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December 31,</w:t>
            </w:r>
          </w:p>
        </w:tc>
        <w:tc>
          <w:tcPr>
            <w:tcW w:w="480" w:type="dxa"/>
            <w:vAlign w:val="bottom"/>
          </w:tcPr>
          <w:p>
            <w:pPr>
              <w:spacing w:after="0"/>
              <w:rPr>
                <w:sz w:val="12"/>
                <w:szCs w:val="12"/>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2"/>
                <w:szCs w:val="12"/>
                <w:b w:val="1"/>
                <w:bCs w:val="1"/>
                <w:color w:val="auto"/>
                <w:w w:val="85"/>
              </w:rPr>
              <w:t>$ Change</w:t>
            </w:r>
          </w:p>
        </w:tc>
        <w:tc>
          <w:tcPr>
            <w:tcW w:w="780" w:type="dxa"/>
            <w:vAlign w:val="bottom"/>
            <w:gridSpan w:val="6"/>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right"/>
              <w:ind w:right="420"/>
              <w:spacing w:after="0" w:line="115" w:lineRule="exact"/>
              <w:rPr>
                <w:sz w:val="20"/>
                <w:szCs w:val="20"/>
                <w:color w:val="auto"/>
              </w:rPr>
            </w:pPr>
            <w:r>
              <w:rPr>
                <w:rFonts w:ascii="Arial" w:cs="Arial" w:eastAsia="Arial" w:hAnsi="Arial"/>
                <w:sz w:val="12"/>
                <w:szCs w:val="12"/>
                <w:i w:val="1"/>
                <w:iCs w:val="1"/>
                <w:color w:val="auto"/>
                <w:w w:val="97"/>
              </w:rPr>
              <w:t>(In millions)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$1,106.8</w:t>
            </w:r>
          </w:p>
        </w:tc>
        <w:tc>
          <w:tcPr>
            <w:tcW w:w="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$ 262.0</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Revenue increased $262.0 million or 31% during 2017, as compared to 2016. This increase was primarily due to a 25% increase in the number of paying users between periods. The average revenue per paying user also increased slightly between periods primarily due to an increased mix of sales towards our higher priced subscription plans, including our new Dropbox Business Advanced plan.</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Cost of revenue, gross profit, and gross margin</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9"/>
              </w:rPr>
              <w:t>December 31,</w:t>
            </w:r>
          </w:p>
        </w:tc>
        <w:tc>
          <w:tcPr>
            <w:tcW w:w="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86"/>
              </w:rPr>
              <w:t>Change</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60" w:type="dxa"/>
            <w:vAlign w:val="bottom"/>
            <w:tcBorders>
              <w:top w:val="single" w:sz="8" w:color="auto"/>
            </w:tcBorders>
          </w:tcPr>
          <w:p>
            <w:pPr>
              <w:jc w:val="right"/>
              <w:ind w:right="380"/>
              <w:spacing w:after="0" w:line="115" w:lineRule="exact"/>
              <w:rPr>
                <w:sz w:val="20"/>
                <w:szCs w:val="20"/>
                <w:color w:val="auto"/>
              </w:rPr>
            </w:pPr>
            <w:r>
              <w:rPr>
                <w:rFonts w:ascii="Arial" w:cs="Arial" w:eastAsia="Arial" w:hAnsi="Arial"/>
                <w:sz w:val="12"/>
                <w:szCs w:val="12"/>
                <w:b w:val="1"/>
                <w:bCs w:val="1"/>
                <w:color w:val="auto"/>
              </w:rPr>
              <w:t>2016</w:t>
            </w:r>
          </w:p>
        </w:tc>
        <w:tc>
          <w:tcPr>
            <w:tcW w:w="62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rPr>
              <w:t>2017</w:t>
            </w:r>
          </w:p>
        </w:tc>
        <w:tc>
          <w:tcPr>
            <w:tcW w:w="34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4"/>
              </w:rPr>
              <w:t>(In millions)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2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$390.6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$368.9</w:t>
            </w:r>
          </w:p>
        </w:tc>
        <w:tc>
          <w:tcPr>
            <w:tcW w:w="3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5"/>
                <w:szCs w:val="15"/>
                <w:color w:val="auto"/>
              </w:rPr>
              <w:t>Gross profit</w:t>
            </w:r>
          </w:p>
        </w:tc>
        <w:tc>
          <w:tcPr>
            <w:tcW w:w="3200" w:type="dxa"/>
            <w:vAlign w:val="bottom"/>
            <w:gridSpan w:val="2"/>
          </w:tcPr>
          <w:p>
            <w:pPr>
              <w:jc w:val="right"/>
              <w:ind w:right="280"/>
              <w:spacing w:after="0"/>
              <w:rPr>
                <w:sz w:val="20"/>
                <w:szCs w:val="20"/>
                <w:color w:val="auto"/>
              </w:rPr>
            </w:pPr>
            <w:r>
              <w:rPr>
                <w:rFonts w:ascii="Arial" w:cs="Arial" w:eastAsia="Arial" w:hAnsi="Arial"/>
                <w:sz w:val="15"/>
                <w:szCs w:val="15"/>
                <w:color w:val="auto"/>
              </w:rPr>
              <w:t>454.2</w:t>
            </w:r>
          </w:p>
        </w:tc>
        <w:tc>
          <w:tcPr>
            <w:tcW w:w="620" w:type="dxa"/>
            <w:vAlign w:val="bottom"/>
          </w:tcPr>
          <w:p>
            <w:pPr>
              <w:jc w:val="right"/>
              <w:spacing w:after="0"/>
              <w:rPr>
                <w:sz w:val="20"/>
                <w:szCs w:val="20"/>
                <w:color w:val="auto"/>
              </w:rPr>
            </w:pPr>
            <w:r>
              <w:rPr>
                <w:rFonts w:ascii="Arial" w:cs="Arial" w:eastAsia="Arial" w:hAnsi="Arial"/>
                <w:sz w:val="15"/>
                <w:szCs w:val="15"/>
                <w:color w:val="auto"/>
              </w:rPr>
              <w:t>737.9</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283.7</w:t>
            </w:r>
          </w:p>
        </w:tc>
        <w:tc>
          <w:tcPr>
            <w:tcW w:w="2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jc w:val="right"/>
              <w:ind w:right="625"/>
              <w:spacing w:after="0"/>
              <w:rPr>
                <w:sz w:val="20"/>
                <w:szCs w:val="20"/>
                <w:color w:val="auto"/>
              </w:rPr>
            </w:pPr>
            <w:r>
              <w:rPr>
                <w:rFonts w:ascii="Arial" w:cs="Arial" w:eastAsia="Arial" w:hAnsi="Arial"/>
                <w:sz w:val="15"/>
                <w:szCs w:val="15"/>
                <w:color w:val="auto"/>
              </w:rPr>
              <w:t>76</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407" w:right="14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Cost of revenue decreased $21.7 million or 6% during 2017, as compared to 2016, primarily due to a $35.1 million decrease in our infrastructure costs due to our Infrastructure Optimization. Further, the decrease in cost of revenue was due to a $5.9 million decrease in amortization of developed technologies, as certain intangible assets became fully amortized during 2016. These decreases were partially offset by an increase of $11.0 million in employee-related expenses, which was due to headcount growth, an increase of $5.3 million in credit card transaction fees due to higher sales and an increase of $3.0 million in professional fees for user support.</w:t>
      </w:r>
    </w:p>
    <w:p>
      <w:pPr>
        <w:spacing w:after="0" w:line="159"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Our gross margin increased from 54% during 2016 to 67% during 2017, primarily due to a 31% increase in our revenue during the period and our Infrastructure Optimization.</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Research and development</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$289.7</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Research and development expenses increased $90.6 million or 31% during 2017, as compared to 2016, primarily due to an increase of</w:t>
      </w:r>
    </w:p>
    <w:p>
      <w:pPr>
        <w:spacing w:after="0" w:line="29" w:lineRule="exact"/>
        <w:rPr>
          <w:sz w:val="20"/>
          <w:szCs w:val="20"/>
          <w:color w:val="auto"/>
        </w:rPr>
      </w:pPr>
    </w:p>
    <w:p>
      <w:pPr>
        <w:ind w:left="1120"/>
        <w:spacing w:after="0" w:line="339" w:lineRule="auto"/>
        <w:rPr>
          <w:sz w:val="20"/>
          <w:szCs w:val="20"/>
          <w:color w:val="auto"/>
        </w:rPr>
      </w:pPr>
      <w:r>
        <w:rPr>
          <w:rFonts w:ascii="Arial" w:cs="Arial" w:eastAsia="Arial" w:hAnsi="Arial"/>
          <w:sz w:val="13"/>
          <w:szCs w:val="13"/>
          <w:color w:val="auto"/>
        </w:rPr>
        <w:t>$64.7 million in employee-related expenses, which was due to headcount growth. Further, the increase in research and development expense was due to an increase of $14.1 million in overhead-related costs and an increase of $4.5 million in internal development-related third-party hosting fees.</w:t>
      </w:r>
    </w:p>
    <w:p>
      <w:pPr>
        <w:spacing w:after="0" w:line="20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$250.6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Sales and marketing expenses increased $63.4 million or 25% during 2017, as compared to 2016, primarily due to an increase of $40.9 million in variable spend related to brand campaign fees, lead generation fees, and third-party sales representative fees. In addition, sales and marketing expenses increased due to $17.8 million in employee-related expenses excluding stock-based compensation, which was due to headcount growth. Stock-based compensation decreased $10.9 million due to the modification of an executive stock grant during 2016, that resulted in a charge of $18.8 million in that prior period. Sales and marketing expenses also increased $8.4 million due to app store fees as a result of increased sales and $7.6 million due to overhead-related costs.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and administrative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4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80" w:firstLine="368"/>
        <w:spacing w:after="0" w:line="322" w:lineRule="auto"/>
        <w:rPr>
          <w:sz w:val="20"/>
          <w:szCs w:val="20"/>
          <w:color w:val="auto"/>
        </w:rPr>
      </w:pPr>
      <w:r>
        <w:rPr>
          <w:rFonts w:ascii="Arial" w:cs="Arial" w:eastAsia="Arial" w:hAnsi="Arial"/>
          <w:sz w:val="13"/>
          <w:szCs w:val="13"/>
          <w:color w:val="auto"/>
        </w:rPr>
        <w:t>General and administrative expenses increased $49.9 million or 46% during 2017, as compared to 2016, primarily due to an increase of $17.3 million in non-income based taxes as a result of the growth in our business. General and administrative expenses during 2016 included a $12.4 million benefit relating to a non-income based tax ruling. In addition, employee-related expenses increased $13.3 million during 2017, as compared to 2016,</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40"/>
          </w:cols>
          <w:pgMar w:left="240" w:top="407" w:right="14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63" w:lineRule="auto"/>
        <w:rPr>
          <w:sz w:val="20"/>
          <w:szCs w:val="20"/>
          <w:color w:val="auto"/>
        </w:rPr>
      </w:pPr>
      <w:r>
        <w:rPr>
          <w:rFonts w:ascii="Arial" w:cs="Arial" w:eastAsia="Arial" w:hAnsi="Arial"/>
          <w:sz w:val="15"/>
          <w:szCs w:val="15"/>
          <w:color w:val="auto"/>
        </w:rPr>
        <w:t>due to headcount growth, and other general and administrative expenses increased $11.3 million related to the funding of the Dropbox Charitable Foundation. Included in this amount was an equity-based charitable contribution of $9.4 million and cash contributions of $1.9 million. Further, general and administrative expenses increased $4.3 million due to legal-related expenses and accounting services.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 net</w:t>
      </w:r>
    </w:p>
    <w:p>
      <w:pPr>
        <w:spacing w:after="0" w:line="98" w:lineRule="exact"/>
        <w:rPr>
          <w:sz w:val="20"/>
          <w:szCs w:val="20"/>
          <w:color w:val="auto"/>
        </w:rPr>
      </w:pPr>
    </w:p>
    <w:p>
      <w:pPr>
        <w:ind w:left="1120" w:firstLine="368"/>
        <w:spacing w:after="0" w:line="312" w:lineRule="auto"/>
        <w:rPr>
          <w:sz w:val="20"/>
          <w:szCs w:val="20"/>
          <w:color w:val="auto"/>
        </w:rPr>
      </w:pPr>
      <w:r>
        <w:rPr>
          <w:rFonts w:ascii="Arial" w:cs="Arial" w:eastAsia="Arial" w:hAnsi="Arial"/>
          <w:sz w:val="14"/>
          <w:szCs w:val="14"/>
          <w:color w:val="auto"/>
        </w:rPr>
        <w:t>Interest expense, net decreased $5.4 million during 2017, as compared to 2016, primarily due to a decrease in interest expense of $3.3 million due to fewer assets acquired under capital leases. In addition, interest income from our money market funds increased by $2.1 million.</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income (expense), net</w:t>
      </w:r>
    </w:p>
    <w:p>
      <w:pPr>
        <w:spacing w:after="0" w:line="98"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Other income (expense), net increased $8.3 million during 2017, as compared to 2016, primarily due to an increase of $8.6 million in foreign currency gains related to monetary assets and liabilities denominated in euros and British pound sterling.</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Provision for income taxes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Provision for income taxes decreased by $5.0 million during 2017 as compared to 2016, primarily as a result of a change in our U.S. AMT position. We were subject to U.S. AMT during 2016, and we do not expect to be subject to U.S. AMT during 2017. In addition, as a result of the repeal of AMT as part of the Tax Reform Act, we recognized a benefit and established a receivable in 2017 to reflect anticipated refunds of our 2016 AMT credit carryforward.</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Comparison of the year ended December 31, 2015 and 2016</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Revenue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98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auto"/>
                <w:w w:val="88"/>
              </w:rPr>
              <w:t>$ Change</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rPr>
              <w:t>2016</w:t>
            </w:r>
          </w:p>
        </w:tc>
        <w:tc>
          <w:tcPr>
            <w:tcW w:w="98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3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$603.8</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95"/>
              </w:rPr>
              <w:t>$ 241.0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Revenue increased $241.0 million or 40% during 2016 as compared to 2015. This increase was primarily due to a 35% increase in the number of paying users between periods. The average revenue per paying user also decreased slightly between periods.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Cost of revenue, gross profit, and gross margin</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Year ended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0"/>
              </w:rPr>
              <w:t>Change</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Borders>
              <w:top w:val="single" w:sz="8" w:color="auto"/>
            </w:tcBorders>
          </w:tcPr>
          <w:p>
            <w:pPr>
              <w:jc w:val="right"/>
              <w:ind w:right="360"/>
              <w:spacing w:after="0" w:line="115" w:lineRule="exact"/>
              <w:rPr>
                <w:sz w:val="20"/>
                <w:szCs w:val="20"/>
                <w:color w:val="auto"/>
              </w:rPr>
            </w:pPr>
            <w:r>
              <w:rPr>
                <w:rFonts w:ascii="Arial" w:cs="Arial" w:eastAsia="Arial" w:hAnsi="Arial"/>
                <w:sz w:val="12"/>
                <w:szCs w:val="12"/>
                <w:b w:val="1"/>
                <w:bCs w:val="1"/>
                <w:color w:val="auto"/>
              </w:rPr>
              <w:t>2015</w:t>
            </w:r>
          </w:p>
        </w:tc>
        <w:tc>
          <w:tcPr>
            <w:tcW w:w="64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rPr>
              <w:t>2016</w:t>
            </w:r>
          </w:p>
        </w:tc>
        <w:tc>
          <w:tcPr>
            <w:tcW w:w="32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$407.4</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$390.6</w:t>
            </w:r>
          </w:p>
        </w:tc>
        <w:tc>
          <w:tcPr>
            <w:tcW w:w="3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5"/>
                <w:szCs w:val="15"/>
                <w:color w:val="auto"/>
              </w:rPr>
              <w:t>Gross profit</w:t>
            </w:r>
          </w:p>
        </w:tc>
        <w:tc>
          <w:tcPr>
            <w:tcW w:w="2760" w:type="dxa"/>
            <w:vAlign w:val="bottom"/>
            <w:gridSpan w:val="2"/>
          </w:tcPr>
          <w:p>
            <w:pPr>
              <w:jc w:val="right"/>
              <w:ind w:right="280"/>
              <w:spacing w:after="0"/>
              <w:rPr>
                <w:sz w:val="20"/>
                <w:szCs w:val="20"/>
                <w:color w:val="auto"/>
              </w:rPr>
            </w:pPr>
            <w:r>
              <w:rPr>
                <w:rFonts w:ascii="Arial" w:cs="Arial" w:eastAsia="Arial" w:hAnsi="Arial"/>
                <w:sz w:val="15"/>
                <w:szCs w:val="15"/>
                <w:color w:val="auto"/>
              </w:rPr>
              <w:t>196.4</w:t>
            </w:r>
          </w:p>
        </w:tc>
        <w:tc>
          <w:tcPr>
            <w:tcW w:w="640" w:type="dxa"/>
            <w:vAlign w:val="bottom"/>
          </w:tcPr>
          <w:p>
            <w:pPr>
              <w:jc w:val="right"/>
              <w:spacing w:after="0"/>
              <w:rPr>
                <w:sz w:val="20"/>
                <w:szCs w:val="20"/>
                <w:color w:val="auto"/>
              </w:rPr>
            </w:pPr>
            <w:r>
              <w:rPr>
                <w:rFonts w:ascii="Arial" w:cs="Arial" w:eastAsia="Arial" w:hAnsi="Arial"/>
                <w:sz w:val="15"/>
                <w:szCs w:val="15"/>
                <w:color w:val="auto"/>
              </w:rPr>
              <w:t>454.2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257.8</w:t>
            </w:r>
          </w:p>
        </w:tc>
        <w:tc>
          <w:tcPr>
            <w:tcW w:w="2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Cost of revenue decreased $16.8 million or 4% during 2016, as compared to 2015, primarily due to a net decrease of $39.5 million in our infrastructure costs due to our Infrastructure Optimization. The net decrease of $39.5 million included a $92.5 million decrease in expense related to our third-party datacenter service provider, offset by a $53.0 million increase in depreciation, facilities, and support expense related to our infrastructure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60"/>
          </w:cols>
          <w:pgMar w:left="240" w:top="407" w:right="139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79" w:lineRule="auto"/>
        <w:rPr>
          <w:sz w:val="20"/>
          <w:szCs w:val="20"/>
          <w:color w:val="auto"/>
        </w:rPr>
      </w:pPr>
      <w:r>
        <w:rPr>
          <w:rFonts w:ascii="Arial" w:cs="Arial" w:eastAsia="Arial" w:hAnsi="Arial"/>
          <w:sz w:val="14"/>
          <w:szCs w:val="14"/>
          <w:color w:val="auto"/>
        </w:rPr>
        <w:t>equipment in co-location facilities that we directly lease and operate. Further, the decrease in cost of revenue was due to a $5.2 million decrease in amortization of developed technologies, as certain intangible assets became fully amortized during 2016. These decreases in cost of revenue were also partially offset by an increase of $13.8 million in employee-related expenses due to headcount growth, an increase of $5.5 million in credit card transaction fees due to higher sales, an increase of $9.9 million related to property taxes for our co-location facilities, professional fees for user support, and overhead-related costs primarily due to the completion of construction on our new corporate headquarters.</w:t>
      </w:r>
    </w:p>
    <w:p>
      <w:pPr>
        <w:spacing w:after="0" w:line="147"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Our gross margin increased from 33% during 2015 to 54% during 2016 primarily due to our Infrastructure Optimization and a 40% increase in our revenue during the period.</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Research and development</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2015</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2016</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Research and development expenses increased $88.1 million or 44% during 2016, as compared to 2015, primarily due to an increase of</w:t>
      </w:r>
    </w:p>
    <w:p>
      <w:pPr>
        <w:spacing w:after="0" w:line="29" w:lineRule="exact"/>
        <w:rPr>
          <w:sz w:val="20"/>
          <w:szCs w:val="20"/>
          <w:color w:val="auto"/>
        </w:rPr>
      </w:pPr>
    </w:p>
    <w:p>
      <w:pPr>
        <w:ind w:left="1120" w:right="60"/>
        <w:spacing w:after="0" w:line="256" w:lineRule="auto"/>
        <w:rPr>
          <w:sz w:val="20"/>
          <w:szCs w:val="20"/>
          <w:color w:val="auto"/>
        </w:rPr>
      </w:pPr>
      <w:r>
        <w:rPr>
          <w:rFonts w:ascii="Arial" w:cs="Arial" w:eastAsia="Arial" w:hAnsi="Arial"/>
          <w:sz w:val="15"/>
          <w:szCs w:val="15"/>
          <w:color w:val="auto"/>
        </w:rPr>
        <w:t>$66.9 million in employee-related expenses due to headcount growth. Further, the increase in research and development expense was due to an increase of $17.7 million in overhead-related costs primarily due to the completion of construction on our new corporate headquarters, and an increase of $5.3 million in internal development-related third-party hosting fees.</w:t>
      </w: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2015</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2016</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$193.1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$250.6</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60" w:firstLine="368"/>
        <w:spacing w:after="0" w:line="277" w:lineRule="auto"/>
        <w:rPr>
          <w:sz w:val="20"/>
          <w:szCs w:val="20"/>
          <w:color w:val="auto"/>
        </w:rPr>
      </w:pPr>
      <w:r>
        <w:rPr>
          <w:rFonts w:ascii="Arial" w:cs="Arial" w:eastAsia="Arial" w:hAnsi="Arial"/>
          <w:sz w:val="14"/>
          <w:szCs w:val="14"/>
          <w:color w:val="auto"/>
        </w:rPr>
        <w:t>Sales and marketing expenses increased $57.5 million or 30% during 2016, as compared to 2015, primarily due to an increase of $53.4 million in employee-related expenses. This increase in employee-related expenses was primarily due to an increase in stock-based compensation of $24.8 million, which included a charge of $18.8 million due to the modification of an executive stock grant, headcount growth, and an increase in commission and bonus expense. In addition, the increase in sales and marketing expense was due to an increase of $10.1 million in overhead-related costs primarily due to the completion of construction on our new corporate headquarters. The increase in sales and marketing expense was partially offset by a decrease of $11.8 million in marketing expenses primarily due to a reduction in brand campaign fees.</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and administrative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6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86"/>
              </w:rPr>
              <w:t>Change</w:t>
            </w:r>
          </w:p>
        </w:tc>
        <w:tc>
          <w:tcPr>
            <w:tcW w:w="92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4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rPr>
              <w:t>2016</w:t>
            </w: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4"/>
              </w:rPr>
              <w:t>(In millions)</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$107.9</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(0.5)</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1120" w:right="400" w:firstLine="368"/>
        <w:spacing w:after="0" w:line="275" w:lineRule="auto"/>
        <w:rPr>
          <w:sz w:val="20"/>
          <w:szCs w:val="20"/>
          <w:color w:val="auto"/>
        </w:rPr>
      </w:pPr>
      <w:r>
        <w:rPr>
          <w:rFonts w:ascii="Arial" w:cs="Arial" w:eastAsia="Arial" w:hAnsi="Arial"/>
          <w:sz w:val="15"/>
          <w:szCs w:val="15"/>
          <w:color w:val="auto"/>
        </w:rPr>
        <w:t>General and administrative expenses decreased $0.5 million during 2016, as compared to 2015, primarily due to a decrease of $12.4 million resulting from a non-income based tax ruling and a decrease of $7.3 million in</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300"/>
          </w:cols>
          <w:pgMar w:left="240" w:top="407"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59" w:lineRule="auto"/>
        <w:rPr>
          <w:sz w:val="20"/>
          <w:szCs w:val="20"/>
          <w:color w:val="auto"/>
        </w:rPr>
      </w:pPr>
      <w:r>
        <w:rPr>
          <w:rFonts w:ascii="Arial" w:cs="Arial" w:eastAsia="Arial" w:hAnsi="Arial"/>
          <w:sz w:val="15"/>
          <w:szCs w:val="15"/>
          <w:color w:val="auto"/>
        </w:rPr>
        <w:t>other non-income based taxes in 2016. These decreases were offset by an increase of $7.3 million in employee-related expenses, which was due to headcount growth. Further, the decrease in general and administrative expense was offset by an increase of $8.0 million in overhead-related costs primarily due to the completion of construction on our new corporate headquarters, and an increase of $3.4 million in professional fees for increased legal and accounting services.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 net</w:t>
      </w:r>
    </w:p>
    <w:p>
      <w:pPr>
        <w:spacing w:after="0" w:line="98" w:lineRule="exact"/>
        <w:rPr>
          <w:sz w:val="20"/>
          <w:szCs w:val="20"/>
          <w:color w:val="auto"/>
        </w:rPr>
      </w:pPr>
    </w:p>
    <w:p>
      <w:pPr>
        <w:ind w:left="1120" w:right="300" w:firstLine="368"/>
        <w:spacing w:after="0" w:line="312" w:lineRule="auto"/>
        <w:rPr>
          <w:sz w:val="20"/>
          <w:szCs w:val="20"/>
          <w:color w:val="auto"/>
        </w:rPr>
      </w:pPr>
      <w:r>
        <w:rPr>
          <w:rFonts w:ascii="Arial" w:cs="Arial" w:eastAsia="Arial" w:hAnsi="Arial"/>
          <w:sz w:val="14"/>
          <w:szCs w:val="14"/>
          <w:color w:val="auto"/>
        </w:rPr>
        <w:t>Interest expense, net increased $1.2 million during 2016, as compared to 2015, primarily due to an increase of $1.9 million in interest expense primarily due to assets acquired under capital leases, offset by $0.7 million of interest income from our money market funds.</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income (expense), net</w:t>
      </w:r>
    </w:p>
    <w:p>
      <w:pPr>
        <w:spacing w:after="0" w:line="9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Other income (expense), net increased $9.1 million during 2016, as compared to 2015, primarily due to the commencement of sublease income of $7.0 million and a net gain of $1.6 million related to fixed asset disposals.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Provision for income taxes</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Provision for income taxes increased by $4.9 million during 2016, as compared to 2015, primarily due to an increase in taxes as a result of being subject to the U.S. alternative minimum tax and foreign taxes related to our foreign operations.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Quarterly Results of Operations</w:t>
      </w:r>
    </w:p>
    <w:p>
      <w:pPr>
        <w:spacing w:after="0" w:line="102" w:lineRule="exact"/>
        <w:rPr>
          <w:sz w:val="20"/>
          <w:szCs w:val="20"/>
          <w:color w:val="auto"/>
        </w:rPr>
      </w:pPr>
    </w:p>
    <w:p>
      <w:pPr>
        <w:ind w:left="1120" w:right="160" w:firstLine="368"/>
        <w:spacing w:after="0" w:line="277" w:lineRule="auto"/>
        <w:rPr>
          <w:sz w:val="20"/>
          <w:szCs w:val="20"/>
          <w:color w:val="auto"/>
        </w:rPr>
      </w:pPr>
      <w:r>
        <w:rPr>
          <w:rFonts w:ascii="Arial" w:cs="Arial" w:eastAsia="Arial" w:hAnsi="Arial"/>
          <w:sz w:val="14"/>
          <w:szCs w:val="14"/>
          <w:color w:val="auto"/>
        </w:rPr>
        <w:t>The following table sets forth our unaudited quarterly statements of operations data for each of the last eight quarters ended December 31, 2017. The information for each of these quarters has been prepared on the same basis as the audited annual financial statements included elsewhere in this prospectus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prospectus. These quarterly results of operations are not necessarily indicative of our future results of operations that may be expected for any future period.</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2"/>
                <w:szCs w:val="12"/>
                <w:b w:val="1"/>
                <w:bCs w:val="1"/>
                <w:color w:val="auto"/>
                <w:w w:val="99"/>
              </w:rPr>
              <w:t>Three months ended</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March 31,</w:t>
            </w:r>
          </w:p>
        </w:tc>
        <w:tc>
          <w:tcPr>
            <w:tcW w:w="640" w:type="dxa"/>
            <w:vAlign w:val="bottom"/>
            <w:gridSpan w:val="3"/>
          </w:tcPr>
          <w:p>
            <w:pPr>
              <w:jc w:val="right"/>
              <w:ind w:right="140"/>
              <w:spacing w:after="0" w:line="96" w:lineRule="exact"/>
              <w:rPr>
                <w:sz w:val="20"/>
                <w:szCs w:val="20"/>
                <w:color w:val="auto"/>
              </w:rPr>
            </w:pPr>
            <w:r>
              <w:rPr>
                <w:rFonts w:ascii="Arial" w:cs="Arial" w:eastAsia="Arial" w:hAnsi="Arial"/>
                <w:sz w:val="11"/>
                <w:szCs w:val="11"/>
                <w:b w:val="1"/>
                <w:bCs w:val="1"/>
                <w:color w:val="auto"/>
              </w:rPr>
              <w:t>June 30,</w:t>
            </w:r>
          </w:p>
        </w:tc>
        <w:tc>
          <w:tcPr>
            <w:tcW w:w="96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September 30,</w:t>
            </w:r>
          </w:p>
        </w:tc>
        <w:tc>
          <w:tcPr>
            <w:tcW w:w="92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December 31,</w:t>
            </w:r>
          </w:p>
        </w:tc>
        <w:tc>
          <w:tcPr>
            <w:tcW w:w="76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March 31,</w:t>
            </w:r>
          </w:p>
        </w:tc>
        <w:tc>
          <w:tcPr>
            <w:tcW w:w="660" w:type="dxa"/>
            <w:vAlign w:val="bottom"/>
            <w:gridSpan w:val="3"/>
          </w:tcPr>
          <w:p>
            <w:pPr>
              <w:jc w:val="right"/>
              <w:ind w:right="140"/>
              <w:spacing w:after="0" w:line="96" w:lineRule="exact"/>
              <w:rPr>
                <w:sz w:val="20"/>
                <w:szCs w:val="20"/>
                <w:color w:val="auto"/>
              </w:rPr>
            </w:pPr>
            <w:r>
              <w:rPr>
                <w:rFonts w:ascii="Arial" w:cs="Arial" w:eastAsia="Arial" w:hAnsi="Arial"/>
                <w:sz w:val="11"/>
                <w:szCs w:val="11"/>
                <w:b w:val="1"/>
                <w:bCs w:val="1"/>
                <w:color w:val="auto"/>
              </w:rPr>
              <w:t>June 30,</w:t>
            </w:r>
          </w:p>
        </w:tc>
        <w:tc>
          <w:tcPr>
            <w:tcW w:w="960" w:type="dxa"/>
            <w:vAlign w:val="bottom"/>
            <w:gridSpan w:val="4"/>
          </w:tcPr>
          <w:p>
            <w:pPr>
              <w:ind w:left="80"/>
              <w:spacing w:after="0" w:line="96" w:lineRule="exact"/>
              <w:rPr>
                <w:sz w:val="20"/>
                <w:szCs w:val="20"/>
                <w:color w:val="auto"/>
              </w:rPr>
            </w:pPr>
            <w:r>
              <w:rPr>
                <w:rFonts w:ascii="Arial" w:cs="Arial" w:eastAsia="Arial" w:hAnsi="Arial"/>
                <w:sz w:val="11"/>
                <w:szCs w:val="11"/>
                <w:b w:val="1"/>
                <w:bCs w:val="1"/>
                <w:color w:val="auto"/>
              </w:rPr>
              <w:t>September 30,</w:t>
            </w:r>
          </w:p>
        </w:tc>
        <w:tc>
          <w:tcPr>
            <w:tcW w:w="800" w:type="dxa"/>
            <w:vAlign w:val="bottom"/>
            <w:gridSpan w:val="3"/>
          </w:tcPr>
          <w:p>
            <w:pPr>
              <w:ind w:left="80"/>
              <w:spacing w:after="0" w:line="96" w:lineRule="exact"/>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right"/>
              <w:ind w:right="180"/>
              <w:spacing w:after="0" w:line="115" w:lineRule="exact"/>
              <w:rPr>
                <w:sz w:val="20"/>
                <w:szCs w:val="20"/>
                <w:color w:val="auto"/>
              </w:rPr>
            </w:pPr>
            <w:r>
              <w:rPr>
                <w:rFonts w:ascii="Arial" w:cs="Arial" w:eastAsia="Arial" w:hAnsi="Arial"/>
                <w:sz w:val="12"/>
                <w:szCs w:val="12"/>
                <w:i w:val="1"/>
                <w:iCs w:val="1"/>
                <w:color w:val="auto"/>
              </w:rPr>
              <w:t>(In millions)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$ 200.8</w:t>
            </w: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221.0</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238.0</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247.9</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$ 266.7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305.5</w:t>
            </w:r>
          </w:p>
        </w:tc>
        <w:tc>
          <w:tcPr>
            <w:tcW w:w="8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3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154.4</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213.8</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73.8</w:t>
            </w: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57.5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67.2</w:t>
            </w: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69.2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102.9</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80" w:type="dxa"/>
            <w:vAlign w:val="bottom"/>
            <w:shd w:val="clear" w:color="auto" w:fill="CCEEFF"/>
          </w:tcPr>
          <w:p>
            <w:pPr>
              <w:spacing w:after="0"/>
              <w:rPr>
                <w:sz w:val="15"/>
                <w:szCs w:val="15"/>
                <w:color w:val="auto"/>
              </w:rPr>
            </w:pP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251.1</w:t>
            </w: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(81.8)</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(50.4)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(26.7)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166"/>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320"/>
          </w:cols>
          <w:pgMar w:left="240" w:top="407" w:right="13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380" w:hanging="268"/>
        <w:spacing w:after="0"/>
        <w:tabs>
          <w:tab w:leader="none" w:pos="1380" w:val="left"/>
        </w:tabs>
        <w:numPr>
          <w:ilvl w:val="0"/>
          <w:numId w:val="37"/>
        </w:numPr>
        <w:rPr>
          <w:rFonts w:ascii="Arial" w:cs="Arial" w:eastAsia="Arial" w:hAnsi="Arial"/>
          <w:sz w:val="10"/>
          <w:szCs w:val="10"/>
          <w:color w:val="auto"/>
        </w:rPr>
      </w:pPr>
      <w:r>
        <w:rPr>
          <w:rFonts w:ascii="Arial" w:cs="Arial" w:eastAsia="Arial" w:hAnsi="Arial"/>
          <w:sz w:val="12"/>
          <w:szCs w:val="12"/>
          <w:color w:val="auto"/>
        </w:rPr>
        <w:t>Includes stock-based compensation as follows: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2"/>
                <w:szCs w:val="12"/>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rPr>
              <w:t>March 31,</w:t>
            </w:r>
          </w:p>
        </w:tc>
        <w:tc>
          <w:tcPr>
            <w:tcW w:w="6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0"/>
              </w:rPr>
              <w:t>June 30,</w:t>
            </w:r>
          </w:p>
        </w:tc>
        <w:tc>
          <w:tcPr>
            <w:tcW w:w="100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5"/>
              </w:rPr>
              <w:t>September 30,</w:t>
            </w:r>
          </w:p>
        </w:tc>
        <w:tc>
          <w:tcPr>
            <w:tcW w:w="96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4"/>
              </w:rPr>
              <w:t>December 31,</w:t>
            </w:r>
          </w:p>
        </w:tc>
        <w:tc>
          <w:tcPr>
            <w:tcW w:w="7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8"/>
              </w:rPr>
              <w:t>March 31,</w:t>
            </w:r>
          </w:p>
        </w:tc>
        <w:tc>
          <w:tcPr>
            <w:tcW w:w="70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5"/>
              </w:rPr>
              <w:t>June 30,</w:t>
            </w:r>
          </w:p>
        </w:tc>
        <w:tc>
          <w:tcPr>
            <w:tcW w:w="9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3"/>
              </w:rPr>
              <w:t>September 30,</w:t>
            </w:r>
          </w:p>
        </w:tc>
        <w:tc>
          <w:tcPr>
            <w:tcW w:w="96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4"/>
              </w:rPr>
              <w:t>December 31,</w:t>
            </w:r>
          </w:p>
        </w:tc>
        <w:tc>
          <w:tcPr>
            <w:tcW w:w="4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82"/>
              </w:rPr>
              <w:t>2016</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w w:val="97"/>
              </w:rPr>
              <w:t>2017</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i w:val="1"/>
                <w:iCs w:val="1"/>
                <w:color w:val="auto"/>
              </w:rPr>
              <w:t>(In millions)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 of revenue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26.7</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ind w:left="240"/>
              <w:spacing w:after="0" w:line="169"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9"/>
                <w:szCs w:val="19"/>
                <w:color w:val="auto"/>
                <w:vertAlign w:val="superscript"/>
              </w:rPr>
              <w:t>(a)</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ind w:left="1380" w:right="280" w:hanging="268"/>
        <w:spacing w:after="0" w:line="242" w:lineRule="auto"/>
        <w:tabs>
          <w:tab w:leader="none" w:pos="1380" w:val="left"/>
        </w:tabs>
        <w:numPr>
          <w:ilvl w:val="0"/>
          <w:numId w:val="38"/>
        </w:numPr>
        <w:rPr>
          <w:rFonts w:ascii="Arial" w:cs="Arial" w:eastAsia="Arial" w:hAnsi="Arial"/>
          <w:sz w:val="10"/>
          <w:szCs w:val="10"/>
          <w:color w:val="auto"/>
        </w:rPr>
      </w:pPr>
      <w:r>
        <w:rPr>
          <w:rFonts w:ascii="Arial" w:cs="Arial" w:eastAsia="Arial" w:hAnsi="Arial"/>
          <w:sz w:val="12"/>
          <w:szCs w:val="12"/>
          <w:color w:val="auto"/>
        </w:rPr>
        <w:t>Stock-based compensation included in sales and marketing expenses for the three months ended March 31, 2016 includes $18.8 million related to a stock option modification for an executive officer.</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right"/>
              <w:ind w:right="260"/>
              <w:spacing w:after="0" w:line="96" w:lineRule="exact"/>
              <w:rPr>
                <w:sz w:val="20"/>
                <w:szCs w:val="20"/>
                <w:color w:val="auto"/>
              </w:rPr>
            </w:pPr>
            <w:r>
              <w:rPr>
                <w:rFonts w:ascii="Arial" w:cs="Arial" w:eastAsia="Arial" w:hAnsi="Arial"/>
                <w:sz w:val="11"/>
                <w:szCs w:val="11"/>
                <w:b w:val="1"/>
                <w:bCs w:val="1"/>
                <w:color w:val="auto"/>
                <w:w w:val="98"/>
              </w:rPr>
              <w:t>March 31,</w:t>
            </w:r>
          </w:p>
        </w:tc>
        <w:tc>
          <w:tcPr>
            <w:tcW w:w="780" w:type="dxa"/>
            <w:vAlign w:val="bottom"/>
            <w:gridSpan w:val="3"/>
          </w:tcPr>
          <w:p>
            <w:pPr>
              <w:jc w:val="right"/>
              <w:ind w:right="260"/>
              <w:spacing w:after="0" w:line="96" w:lineRule="exact"/>
              <w:rPr>
                <w:sz w:val="20"/>
                <w:szCs w:val="20"/>
                <w:color w:val="auto"/>
              </w:rPr>
            </w:pPr>
            <w:r>
              <w:rPr>
                <w:rFonts w:ascii="Arial" w:cs="Arial" w:eastAsia="Arial" w:hAnsi="Arial"/>
                <w:sz w:val="11"/>
                <w:szCs w:val="11"/>
                <w:b w:val="1"/>
                <w:bCs w:val="1"/>
                <w:color w:val="auto"/>
              </w:rPr>
              <w:t>June 30,</w:t>
            </w:r>
          </w:p>
        </w:tc>
        <w:tc>
          <w:tcPr>
            <w:tcW w:w="1020" w:type="dxa"/>
            <w:vAlign w:val="bottom"/>
            <w:gridSpan w:val="3"/>
          </w:tcPr>
          <w:p>
            <w:pPr>
              <w:jc w:val="right"/>
              <w:ind w:right="200"/>
              <w:spacing w:after="0" w:line="96" w:lineRule="exact"/>
              <w:rPr>
                <w:sz w:val="20"/>
                <w:szCs w:val="20"/>
                <w:color w:val="auto"/>
              </w:rPr>
            </w:pPr>
            <w:r>
              <w:rPr>
                <w:rFonts w:ascii="Arial" w:cs="Arial" w:eastAsia="Arial" w:hAnsi="Arial"/>
                <w:sz w:val="11"/>
                <w:szCs w:val="11"/>
                <w:b w:val="1"/>
                <w:bCs w:val="1"/>
                <w:color w:val="auto"/>
              </w:rPr>
              <w:t>September 30,</w:t>
            </w:r>
          </w:p>
        </w:tc>
        <w:tc>
          <w:tcPr>
            <w:tcW w:w="1120" w:type="dxa"/>
            <w:vAlign w:val="bottom"/>
            <w:gridSpan w:val="3"/>
          </w:tcPr>
          <w:p>
            <w:pPr>
              <w:jc w:val="center"/>
              <w:ind w:right="100"/>
              <w:spacing w:after="0" w:line="96" w:lineRule="exact"/>
              <w:rPr>
                <w:sz w:val="20"/>
                <w:szCs w:val="20"/>
                <w:color w:val="auto"/>
              </w:rPr>
            </w:pPr>
            <w:r>
              <w:rPr>
                <w:rFonts w:ascii="Arial" w:cs="Arial" w:eastAsia="Arial" w:hAnsi="Arial"/>
                <w:sz w:val="11"/>
                <w:szCs w:val="11"/>
                <w:b w:val="1"/>
                <w:bCs w:val="1"/>
                <w:color w:val="auto"/>
                <w:w w:val="97"/>
              </w:rPr>
              <w:t>December 31,</w:t>
            </w:r>
          </w:p>
        </w:tc>
        <w:tc>
          <w:tcPr>
            <w:tcW w:w="880" w:type="dxa"/>
            <w:vAlign w:val="bottom"/>
            <w:gridSpan w:val="3"/>
          </w:tcPr>
          <w:p>
            <w:pPr>
              <w:jc w:val="right"/>
              <w:ind w:right="280"/>
              <w:spacing w:after="0" w:line="96" w:lineRule="exact"/>
              <w:rPr>
                <w:sz w:val="20"/>
                <w:szCs w:val="20"/>
                <w:color w:val="auto"/>
              </w:rPr>
            </w:pPr>
            <w:r>
              <w:rPr>
                <w:rFonts w:ascii="Arial" w:cs="Arial" w:eastAsia="Arial" w:hAnsi="Arial"/>
                <w:sz w:val="11"/>
                <w:szCs w:val="11"/>
                <w:b w:val="1"/>
                <w:bCs w:val="1"/>
                <w:color w:val="auto"/>
              </w:rPr>
              <w:t>March 31,</w:t>
            </w:r>
          </w:p>
        </w:tc>
        <w:tc>
          <w:tcPr>
            <w:tcW w:w="780" w:type="dxa"/>
            <w:vAlign w:val="bottom"/>
            <w:gridSpan w:val="3"/>
          </w:tcPr>
          <w:p>
            <w:pPr>
              <w:jc w:val="right"/>
              <w:ind w:right="280"/>
              <w:spacing w:after="0" w:line="96" w:lineRule="exact"/>
              <w:rPr>
                <w:sz w:val="20"/>
                <w:szCs w:val="20"/>
                <w:color w:val="auto"/>
              </w:rPr>
            </w:pPr>
            <w:r>
              <w:rPr>
                <w:rFonts w:ascii="Arial" w:cs="Arial" w:eastAsia="Arial" w:hAnsi="Arial"/>
                <w:sz w:val="11"/>
                <w:szCs w:val="11"/>
                <w:b w:val="1"/>
                <w:bCs w:val="1"/>
                <w:color w:val="auto"/>
              </w:rPr>
              <w:t>June 30,</w:t>
            </w:r>
          </w:p>
        </w:tc>
        <w:tc>
          <w:tcPr>
            <w:tcW w:w="1080" w:type="dxa"/>
            <w:vAlign w:val="bottom"/>
            <w:gridSpan w:val="3"/>
          </w:tcPr>
          <w:p>
            <w:pPr>
              <w:jc w:val="right"/>
              <w:ind w:right="260"/>
              <w:spacing w:after="0" w:line="96" w:lineRule="exact"/>
              <w:rPr>
                <w:sz w:val="20"/>
                <w:szCs w:val="20"/>
                <w:color w:val="auto"/>
              </w:rPr>
            </w:pPr>
            <w:r>
              <w:rPr>
                <w:rFonts w:ascii="Arial" w:cs="Arial" w:eastAsia="Arial" w:hAnsi="Arial"/>
                <w:sz w:val="11"/>
                <w:szCs w:val="11"/>
                <w:b w:val="1"/>
                <w:bCs w:val="1"/>
                <w:color w:val="auto"/>
              </w:rPr>
              <w:t>September 30,</w:t>
            </w:r>
          </w:p>
        </w:tc>
        <w:tc>
          <w:tcPr>
            <w:tcW w:w="780" w:type="dxa"/>
            <w:vAlign w:val="bottom"/>
            <w:gridSpan w:val="2"/>
          </w:tcPr>
          <w:p>
            <w:pPr>
              <w:jc w:val="right"/>
              <w:spacing w:after="0" w:line="96"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2016</w:t>
            </w:r>
          </w:p>
        </w:tc>
        <w:tc>
          <w:tcPr>
            <w:tcW w:w="260" w:type="dxa"/>
            <w:vAlign w:val="bottom"/>
          </w:tcPr>
          <w:p>
            <w:pPr>
              <w:spacing w:after="0"/>
              <w:rPr>
                <w:sz w:val="12"/>
                <w:szCs w:val="12"/>
                <w:color w:val="auto"/>
              </w:rPr>
            </w:pPr>
          </w:p>
        </w:tc>
        <w:tc>
          <w:tcPr>
            <w:tcW w:w="52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260" w:type="dxa"/>
            <w:vAlign w:val="bottom"/>
          </w:tcPr>
          <w:p>
            <w:pPr>
              <w:spacing w:after="0"/>
              <w:rPr>
                <w:sz w:val="12"/>
                <w:szCs w:val="12"/>
                <w:color w:val="auto"/>
              </w:rPr>
            </w:pPr>
          </w:p>
        </w:tc>
        <w:tc>
          <w:tcPr>
            <w:tcW w:w="82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2"/>
                <w:szCs w:val="12"/>
                <w:color w:val="auto"/>
              </w:rPr>
            </w:pPr>
          </w:p>
        </w:tc>
        <w:tc>
          <w:tcPr>
            <w:tcW w:w="86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Pr>
          <w:p>
            <w:pPr>
              <w:spacing w:after="0"/>
              <w:rPr>
                <w:sz w:val="12"/>
                <w:szCs w:val="12"/>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52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820" w:type="dxa"/>
            <w:vAlign w:val="bottom"/>
            <w:gridSpan w:val="2"/>
          </w:tcPr>
          <w:p>
            <w:pPr>
              <w:jc w:val="right"/>
              <w:ind w:right="18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780" w:type="dxa"/>
            <w:vAlign w:val="bottom"/>
            <w:gridSpan w:val="2"/>
          </w:tcPr>
          <w:p>
            <w:pPr>
              <w:jc w:val="right"/>
              <w:ind w:right="145"/>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20"/>
              <w:spacing w:after="0" w:line="115" w:lineRule="exact"/>
              <w:rPr>
                <w:sz w:val="20"/>
                <w:szCs w:val="20"/>
                <w:color w:val="auto"/>
              </w:rPr>
            </w:pPr>
            <w:r>
              <w:rPr>
                <w:rFonts w:ascii="Arial" w:cs="Arial" w:eastAsia="Arial" w:hAnsi="Arial"/>
                <w:sz w:val="12"/>
                <w:szCs w:val="12"/>
                <w:color w:val="auto"/>
                <w:w w:val="90"/>
              </w:rPr>
              <w:t>(</w:t>
            </w:r>
            <w:r>
              <w:rPr>
                <w:rFonts w:ascii="Arial" w:cs="Arial" w:eastAsia="Arial" w:hAnsi="Arial"/>
                <w:sz w:val="12"/>
                <w:szCs w:val="12"/>
                <w:i w:val="1"/>
                <w:iCs w:val="1"/>
                <w:color w:val="auto"/>
                <w:w w:val="90"/>
              </w:rPr>
              <w:t>As a % of revenue</w:t>
            </w:r>
            <w:r>
              <w:rPr>
                <w:rFonts w:ascii="Arial" w:cs="Arial" w:eastAsia="Arial" w:hAnsi="Arial"/>
                <w:sz w:val="12"/>
                <w:szCs w:val="12"/>
                <w:color w:val="auto"/>
                <w:w w:val="90"/>
              </w:rPr>
              <w:t>)</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r>
      <w:tr>
        <w:trPr>
          <w:trHeight w:val="183"/>
        </w:trPr>
        <w:tc>
          <w:tcPr>
            <w:tcW w:w="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Research and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development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2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5"/>
                <w:szCs w:val="15"/>
                <w:color w:val="auto"/>
                <w:w w:val="96"/>
              </w:rPr>
              <w:t>Sales and marketing</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2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General and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administrative</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20" w:type="dxa"/>
            <w:vAlign w:val="bottom"/>
            <w:shd w:val="clear" w:color="auto" w:fill="CCEEFF"/>
          </w:tcPr>
          <w:p>
            <w:pPr>
              <w:spacing w:after="0"/>
              <w:rPr>
                <w:sz w:val="16"/>
                <w:szCs w:val="16"/>
                <w:color w:val="auto"/>
              </w:rPr>
            </w:pPr>
          </w:p>
        </w:tc>
      </w:tr>
      <w:tr>
        <w:trPr>
          <w:trHeight w:val="186"/>
        </w:trPr>
        <w:tc>
          <w:tcPr>
            <w:tcW w:w="1640" w:type="dxa"/>
            <w:vAlign w:val="bottom"/>
            <w:gridSpan w:val="2"/>
          </w:tcPr>
          <w:p>
            <w:pPr>
              <w:spacing w:after="0"/>
              <w:rPr>
                <w:sz w:val="20"/>
                <w:szCs w:val="20"/>
                <w:color w:val="auto"/>
              </w:rPr>
            </w:pPr>
            <w:r>
              <w:rPr>
                <w:rFonts w:ascii="Arial" w:cs="Arial" w:eastAsia="Arial" w:hAnsi="Arial"/>
                <w:sz w:val="15"/>
                <w:szCs w:val="15"/>
                <w:color w:val="auto"/>
                <w:w w:val="96"/>
              </w:rPr>
              <w:t>Total operating expenses</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2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7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revenue trends</w:t>
      </w:r>
    </w:p>
    <w:p>
      <w:pPr>
        <w:spacing w:after="0" w:line="9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Our revenue increased sequentially in each of the quarters presented primarily due to increases in the number of paying users. Seasonality in our revenue is not material.</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cost of revenue and gross margin trends</w:t>
      </w:r>
    </w:p>
    <w:p>
      <w:pPr>
        <w:spacing w:after="0" w:line="9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Our cost of revenue fluctuated in each of the quarters presented primarily due to the timing of our Infrastructure Optimization, which combined with increases in our revenue caused our gross margins to increase or remain constant.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operating expense trends</w:t>
      </w:r>
    </w:p>
    <w:p>
      <w:pPr>
        <w:spacing w:after="0" w:line="98"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Except for the three months ended June 30, 2016, our total quarterly operating expenses increased sequentially in the quarters presented primarily due to headcount growth in connection with the expansion of our business and other events that are discussed herein.</w:t>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320"/>
          </w:cols>
          <w:pgMar w:left="240" w:top="407" w:right="13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9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Our research and development expenses increased at a faster rate during the three months ended March 31, 2017, comparatively to other quarters, primarily due to headcount growth and employee-related costs.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98"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Our sales and marketing expenses generally increased in the quarters presented primarily due to employee-related expenses and brand advertising campaigns. The timing of brand advertising campaigns can impact the trends in sales and marketing expenses. The sequential decline in our sales and marketing expenses during the three months ended June 30, 2016 was due to a stock-based compensation charge of $18.8 million related to the modification of an executive stock grant recorded in the three months ended March 31, 2016. Our sales and marketing expenses increased at a faster rate during the three months ended December 31, 2017, as we accelerated our investment in our global brand advertising campaign.</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8" w:lineRule="exact"/>
        <w:rPr>
          <w:sz w:val="20"/>
          <w:szCs w:val="20"/>
          <w:color w:val="auto"/>
        </w:rPr>
      </w:pPr>
    </w:p>
    <w:p>
      <w:pPr>
        <w:ind w:left="1120" w:right="160" w:firstLine="368"/>
        <w:spacing w:after="0" w:line="257" w:lineRule="auto"/>
        <w:rPr>
          <w:sz w:val="20"/>
          <w:szCs w:val="20"/>
          <w:color w:val="auto"/>
        </w:rPr>
      </w:pPr>
      <w:r>
        <w:rPr>
          <w:rFonts w:ascii="Arial" w:cs="Arial" w:eastAsia="Arial" w:hAnsi="Arial"/>
          <w:sz w:val="15"/>
          <w:szCs w:val="15"/>
          <w:color w:val="auto"/>
        </w:rPr>
        <w:t>Our general and administrative expenses fluctuated in the quarters presented, primarily due to increases in employee-related expenses and legal, accounting, and other professional fees. Our general and administrative expenses for certain quarters included certain charges and benefits as follows: the three months ended June 30, 2016 included a benefit of $12.4 million resulting from a non-income based tax ruling, and the three months ended June 30, 2017 included expense of $9.4 million for a non-cash charitable donation of shares of our common stock as initial funding for the Dropbox Charitable Foundation.</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Liquidity and Capital Resources</w:t>
      </w:r>
    </w:p>
    <w:p>
      <w:pPr>
        <w:spacing w:after="0" w:line="102" w:lineRule="exact"/>
        <w:rPr>
          <w:sz w:val="20"/>
          <w:szCs w:val="20"/>
          <w:color w:val="auto"/>
        </w:rPr>
      </w:pPr>
    </w:p>
    <w:p>
      <w:pPr>
        <w:jc w:val="both"/>
        <w:ind w:left="1120" w:right="360" w:firstLine="368"/>
        <w:spacing w:after="0" w:line="263" w:lineRule="auto"/>
        <w:rPr>
          <w:sz w:val="20"/>
          <w:szCs w:val="20"/>
          <w:color w:val="auto"/>
        </w:rPr>
      </w:pPr>
      <w:r>
        <w:rPr>
          <w:rFonts w:ascii="Arial" w:cs="Arial" w:eastAsia="Arial" w:hAnsi="Arial"/>
          <w:sz w:val="15"/>
          <w:szCs w:val="15"/>
          <w:color w:val="auto"/>
        </w:rPr>
        <w:t>As of December 31, 2017, we had cash and cash equivalents of $430.0 million. Our cash and cash equivalents consist primarily of cash and money market funds. As of December 31, 2017, we had $86.3 million of our cash and cash equivalents held by our foreign subsidiaries. We do not expect to incur material taxes in the event we repatriate any of these amounts.</w:t>
      </w:r>
    </w:p>
    <w:p>
      <w:pPr>
        <w:spacing w:after="0" w:line="155"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expect to increase our use of capital leases to finance infrastructure equipment as certain assets reach the end of their useful lives in future periods.</w:t>
      </w:r>
    </w:p>
    <w:p>
      <w:pPr>
        <w:spacing w:after="0" w:line="164" w:lineRule="exact"/>
        <w:rPr>
          <w:sz w:val="20"/>
          <w:szCs w:val="20"/>
          <w:color w:val="auto"/>
        </w:rPr>
      </w:pPr>
    </w:p>
    <w:p>
      <w:pPr>
        <w:ind w:left="1120" w:right="280" w:firstLine="368"/>
        <w:spacing w:after="0" w:line="312" w:lineRule="auto"/>
        <w:rPr>
          <w:sz w:val="20"/>
          <w:szCs w:val="20"/>
          <w:color w:val="auto"/>
        </w:rPr>
      </w:pPr>
      <w:r>
        <w:rPr>
          <w:rFonts w:ascii="Arial" w:cs="Arial" w:eastAsia="Arial" w:hAnsi="Arial"/>
          <w:sz w:val="14"/>
          <w:szCs w:val="14"/>
          <w:color w:val="auto"/>
        </w:rPr>
        <w:t>Our principal uses of cash in recent periods have been funding our operations, making principal payments on our capital lease obligations, the satisfaction of tax withholdings in connection with the settlement of restricted stock units, and making capital expenditures.</w:t>
      </w:r>
    </w:p>
    <w:p>
      <w:pPr>
        <w:spacing w:after="0" w:line="123" w:lineRule="exact"/>
        <w:rPr>
          <w:sz w:val="20"/>
          <w:szCs w:val="20"/>
          <w:color w:val="auto"/>
        </w:rPr>
      </w:pPr>
    </w:p>
    <w:p>
      <w:pPr>
        <w:ind w:left="1120" w:right="160" w:firstLine="368"/>
        <w:spacing w:after="0" w:line="257" w:lineRule="auto"/>
        <w:rPr>
          <w:sz w:val="20"/>
          <w:szCs w:val="20"/>
          <w:color w:val="auto"/>
        </w:rPr>
      </w:pPr>
      <w:r>
        <w:rPr>
          <w:rFonts w:ascii="Arial" w:cs="Arial" w:eastAsia="Arial" w:hAnsi="Arial"/>
          <w:sz w:val="15"/>
          <w:szCs w:val="15"/>
          <w:color w:val="auto"/>
        </w:rPr>
        <w:t>In April 2017, we entered into a $600.0 million credit facility with a syndicate of financial institutions. The revolving credit facility has an accordion option, which, if exercised, would allow us to increase the aggregate commitments by up to $150.0 million, subject to obtaining additional lender commitments and satisfying certain conditions. Pursuant to the terms of the revolving credit facility, we may issue letters of credit under the revolving credit facility, which reduce the total amount available for borrowing under such facility. The revolving credit facility terminates on April 4, 2022.</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300"/>
          </w:cols>
          <w:pgMar w:left="24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9" w:lineRule="auto"/>
        <w:rPr>
          <w:sz w:val="20"/>
          <w:szCs w:val="20"/>
          <w:color w:val="auto"/>
        </w:rPr>
      </w:pPr>
      <w:r>
        <w:rPr>
          <w:rFonts w:ascii="Arial" w:cs="Arial" w:eastAsia="Arial" w:hAnsi="Arial"/>
          <w:sz w:val="15"/>
          <w:szCs w:val="15"/>
          <w:color w:val="auto"/>
        </w:rPr>
        <w:t>unused portion of the borrowing commitments under the revolving credit facility. In addition, we are required to pay a fee in connection with letters of credit issued under the revolving credit facility that accrues at a rate of 1.5% per annum on the amount to be drawn under such letters of credit outstanding. There is an additional fronting fee of 0.125% per annum multiplied by the average aggregate daily maximum amount available to be drawn under all letters of credit.</w:t>
      </w:r>
    </w:p>
    <w:p>
      <w:pPr>
        <w:spacing w:after="0" w:line="15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December 31, 2017.</w:t>
      </w:r>
    </w:p>
    <w:p>
      <w:pPr>
        <w:spacing w:after="0" w:line="14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As of December 31, 2017, we had no amounts outstanding under the revolving credit facility and an aggregate of $82.6 million in letters of credit outstanding under the revolving credit facility. Our total available borrowing capacity under the revolving credit facility was $517.4 million as of December 31, 2017.</w:t>
      </w:r>
    </w:p>
    <w:p>
      <w:pPr>
        <w:spacing w:after="0" w:line="155"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our borrowing capacity under our revolving credit facility of up to $275.0 million, provided no event of default has occurred or is continuing or would result from such increase.</w:t>
      </w:r>
    </w:p>
    <w:p>
      <w:pPr>
        <w:spacing w:after="0" w:line="127"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We believe our existing cash and cash equivalents, together with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cash flow activities were as follows for the periods presented:</w:t>
      </w:r>
    </w:p>
    <w:p>
      <w:pPr>
        <w:sectPr>
          <w:pgSz w:w="11900" w:h="16838" w:orient="portrait"/>
          <w:cols w:equalWidth="0" w:num="1">
            <w:col w:w="10300"/>
          </w:cols>
          <w:pgMar w:left="240" w:top="40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5"/>
          <w:szCs w:val="15"/>
          <w:color w:val="auto"/>
        </w:rPr>
        <w:t>Net cash used in investing activities</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65"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spacing w:after="0" w:line="31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36080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60805" cy="6985"/>
                    </a:xfrm>
                    <a:prstGeom prst="rect">
                      <a:avLst/>
                    </a:prstGeom>
                    <a:noFill/>
                  </pic:spPr>
                </pic:pic>
              </a:graphicData>
            </a:graphic>
          </wp:anchor>
        </w:drawing>
      </w:r>
    </w:p>
    <w:p>
      <w:pPr>
        <w:ind w:left="120"/>
        <w:spacing w:after="0"/>
        <w:tabs>
          <w:tab w:leader="none" w:pos="940" w:val="left"/>
          <w:tab w:leader="none" w:pos="17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080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0805" cy="698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2"/>
          <w:szCs w:val="12"/>
          <w:i w:val="1"/>
          <w:iCs w:val="1"/>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14.8</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252.6</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5"/>
              </w:rPr>
              <w:t>330.3</w:t>
            </w:r>
          </w:p>
        </w:tc>
        <w:tc>
          <w:tcPr>
            <w:tcW w:w="40" w:type="dxa"/>
            <w:vAlign w:val="bottom"/>
          </w:tcPr>
          <w:p>
            <w:pPr>
              <w:spacing w:after="0"/>
              <w:rPr>
                <w:sz w:val="15"/>
                <w:szCs w:val="15"/>
                <w:color w:val="auto"/>
              </w:rPr>
            </w:pPr>
          </w:p>
        </w:tc>
      </w:tr>
      <w:tr>
        <w:trPr>
          <w:trHeight w:val="190"/>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(85.6)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(118.0)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(23.9)</w:t>
            </w:r>
          </w:p>
        </w:tc>
      </w:tr>
      <w:tr>
        <w:trPr>
          <w:trHeight w:val="192"/>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(134.5)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w w:val="88"/>
              </w:rPr>
              <w:t>(231.7)</w:t>
            </w:r>
          </w:p>
        </w:tc>
      </w:tr>
      <w:tr>
        <w:trPr>
          <w:trHeight w:val="192"/>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6"/>
                <w:szCs w:val="16"/>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(161.3)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(4.2)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77.3</w:t>
            </w:r>
          </w:p>
        </w:tc>
        <w:tc>
          <w:tcPr>
            <w:tcW w:w="40" w:type="dxa"/>
            <w:vAlign w:val="bottom"/>
          </w:tcPr>
          <w:p>
            <w:pPr>
              <w:spacing w:after="0"/>
              <w:rPr>
                <w:sz w:val="16"/>
                <w:szCs w:val="16"/>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41" w:lineRule="exact"/>
        <w:rPr>
          <w:sz w:val="20"/>
          <w:szCs w:val="20"/>
          <w:color w:val="auto"/>
        </w:rPr>
      </w:pPr>
    </w:p>
    <w:p>
      <w:pPr>
        <w:sectPr>
          <w:pgSz w:w="11900" w:h="16838" w:orient="portrait"/>
          <w:cols w:equalWidth="0" w:num="2">
            <w:col w:w="7360" w:space="720"/>
            <w:col w:w="2220"/>
          </w:cols>
          <w:pgMar w:left="240" w:top="407" w:right="1359" w:bottom="1440" w:gutter="0" w:footer="0" w:header="0"/>
          <w:type w:val="continuous"/>
        </w:sectPr>
      </w:pPr>
    </w:p>
    <w:p>
      <w:pPr>
        <w:ind w:left="1120" w:right="240" w:firstLine="368"/>
        <w:spacing w:after="0" w:line="275" w:lineRule="auto"/>
        <w:rPr>
          <w:sz w:val="20"/>
          <w:szCs w:val="20"/>
          <w:color w:val="auto"/>
        </w:rPr>
      </w:pPr>
      <w:r>
        <w:rPr>
          <w:rFonts w:ascii="Arial" w:cs="Arial" w:eastAsia="Arial" w:hAnsi="Arial"/>
          <w:sz w:val="15"/>
          <w:szCs w:val="15"/>
          <w:color w:val="auto"/>
        </w:rPr>
        <w:t>Our largest source of operating cash is cash collections from our paying users for subscriptions to our platform. Our primary uses of cash from operating activities are for employee-related expenditures,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300"/>
          </w:cols>
          <w:pgMar w:left="240" w:top="407" w:right="1359" w:bottom="1440" w:gutter="0" w:footer="0" w:header="0"/>
          <w:type w:val="continuous"/>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spacing w:after="0" w:line="263" w:lineRule="auto"/>
        <w:rPr>
          <w:sz w:val="20"/>
          <w:szCs w:val="20"/>
          <w:color w:val="auto"/>
        </w:rPr>
      </w:pPr>
      <w:r>
        <w:rPr>
          <w:rFonts w:ascii="Arial" w:cs="Arial" w:eastAsia="Arial" w:hAnsi="Arial"/>
          <w:sz w:val="15"/>
          <w:szCs w:val="15"/>
          <w:color w:val="auto"/>
        </w:rPr>
        <w:t>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For the year ended December 31, 2017, net cash provided by operating activities was $330.3 million, which mostly consisted of our net loss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$111.7 million, adjusted for depreciation and amortization expenses of $181.8 million and stock-based compensation expense of $164.6 million, and net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cash inflow of $81.3 million from operating assets and liabilities. The inflow from operating assets and liabilities was primarily due to an increase of</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$64.3 million in deferred revenue from increased subscription sales, as a majority of our paying users are invoiced in advance. The increase in net cash</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provided by operating activities during the year ended December 31, 2017, compared to the year ended December 31, 2016, was primarily due to a</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reduction of our net loss, as adjusted for stock-based compensation and depreciation and amortization expenses, as well as cash inflow from changes in</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operating assets and liabilities.</w:t>
      </w:r>
    </w:p>
    <w:p>
      <w:pPr>
        <w:spacing w:after="0" w:line="179"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For the year ended December 31, 2016, net cash provided by operating activities was $252.6 million, which primarily consisted of our net loss of $210.2 million, adjusted for depreciation and amortization expenses of $191.6 million and stock-based compensation expense of $147.6 million, as well as a net cash inflow of $118.8 million from operating assets and liabilities. The inflow from operating assets and liabilities was primarily due to an increase of $87.6 million in deferred revenue from increased subscription sales, as a majority of our paying users are invoiced in advance, and an increase of $35.6 million in accrued compensation and benefits due to the introduction of our annual bonus plan. The increase in net cash from operating activities during 2016 compared to 2015 was primarily due to a reduction of our net loss, as adjusted for stock-based compensation and depreciation and amortization expenses, as well as cash inflow from changes in operating assets and liabilities.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For the year ended December 31, 2015, net cash provided by operating activities was $14.8 million, which mostly consisted of our net loss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$325.9 million, adjusted for depreciation and amortization expenses of $149.6 million and stock-based compensation expense of $66.1 million, as well</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as a net cash inflow of $123.6 million from operating assets and liabilities. The inflow from operating assets and liabilities was primarily due to an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increase of $82.0 million in deferred revenue from increased subscription sales, as a majority of our paying users are invoiced in advance, and an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increase of $50.6 million in current and non-current liabilities.</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98" w:lineRule="exact"/>
        <w:rPr>
          <w:sz w:val="20"/>
          <w:szCs w:val="20"/>
          <w:color w:val="auto"/>
        </w:rPr>
      </w:pPr>
    </w:p>
    <w:p>
      <w:pPr>
        <w:ind w:left="1120" w:right="360" w:firstLine="368"/>
        <w:spacing w:after="0" w:line="354" w:lineRule="auto"/>
        <w:rPr>
          <w:sz w:val="20"/>
          <w:szCs w:val="20"/>
          <w:color w:val="auto"/>
        </w:rPr>
      </w:pPr>
      <w:r>
        <w:rPr>
          <w:rFonts w:ascii="Arial" w:cs="Arial" w:eastAsia="Arial" w:hAnsi="Arial"/>
          <w:sz w:val="13"/>
          <w:szCs w:val="13"/>
          <w:color w:val="auto"/>
        </w:rPr>
        <w:t>Net cash used in investing activities is primarily impacted by purchases of property and equipment, particularly for purchasing infrastructure equipment in co-location facilities that we directly lease and operate, and for making improvements to existing and new office spaces.</w:t>
      </w:r>
    </w:p>
    <w:p>
      <w:pPr>
        <w:spacing w:after="0" w:line="100"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For the year ended December 31, 2017, net cash used in investing activities was $23.9 million, which mostly consisted of capital expenditures related to our infrastructure equipment and office build-outs. The decrease in cash used in investing activities during the year ended December 31, 2017, compared to the year ended December 31, 2016, was primarily due to decreases in capital expenditures for infrastructure equipment and leasehold improvements related to our current corporate headquarters.</w:t>
      </w:r>
    </w:p>
    <w:p>
      <w:pPr>
        <w:spacing w:after="0" w:line="158"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For the year ended December 31, 2016, net cash used in investing activities was $118.0 million, which mostly consisted of capital expenditures related to our infrastructure and office build-outs. The increase in cash used in investing activities during 2016 compared to 2015 was primarily due to increases in capital expenditures and patent purchases.</w:t>
      </w:r>
    </w:p>
    <w:p>
      <w:pPr>
        <w:spacing w:after="0" w:line="155"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For the year ended December 31, 2015, net cash used in investing activities was $85.6 million, which mostly consisted of capital expenditures related to our infrastructure equipment and office build-outs.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300"/>
          </w:cols>
          <w:pgMar w:left="24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98"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Net cash used in financing activities is primarily impacted by capital lease obligations for our infrastructure equipment and repurchases of common stock to satisfy the tax withholding obligation for the release of restricted stock units (“RSUs”). In 2017, we began releasing shares of common stock underlying vested one-tier RSUs, which generally have a service-based vesting condition over a four-year period and resulted in cash outflows to satisfy the employee tax withholding obligation for those employees who elected to net share settle their awards. See “—Significant Impacts of Stock-Based Compensation” for additional information.</w:t>
      </w:r>
    </w:p>
    <w:p>
      <w:pPr>
        <w:spacing w:after="0" w:line="159"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For the year ended December 31, 2017, net cash used in financing activities was $231.7 million, which primarily consisted of $133.0 million in principal payments against capital lease obligations and $87.9 million for the satisfaction of tax withholding obligations for the release of restricted stock units. The increase in cash used by financing activities during the year ended December 31, 2017, compared to the year ended December 31, 2016, was primarily due to the increase of $87.9 million related to the satisfaction of tax withholding obligations for the release of restricted stock units.</w:t>
      </w:r>
    </w:p>
    <w:p>
      <w:pPr>
        <w:spacing w:after="0" w:line="127" w:lineRule="exact"/>
        <w:rPr>
          <w:sz w:val="20"/>
          <w:szCs w:val="20"/>
          <w:color w:val="auto"/>
        </w:rPr>
      </w:pPr>
    </w:p>
    <w:p>
      <w:pPr>
        <w:ind w:left="1120" w:right="80" w:firstLine="368"/>
        <w:spacing w:after="0" w:line="277" w:lineRule="auto"/>
        <w:rPr>
          <w:sz w:val="20"/>
          <w:szCs w:val="20"/>
          <w:color w:val="auto"/>
        </w:rPr>
      </w:pPr>
      <w:r>
        <w:rPr>
          <w:rFonts w:ascii="Arial" w:cs="Arial" w:eastAsia="Arial" w:hAnsi="Arial"/>
          <w:sz w:val="14"/>
          <w:szCs w:val="14"/>
          <w:color w:val="auto"/>
        </w:rPr>
        <w:t>For the year ended December 31, 2016, net cash used in financing activities was $134.5 million, which primarily consisted of $137.9 million in principal payments against capital lease obligations and $3.8 million in principal payments against the note payable issued in 2015 as described below, offset by $8.8 million in proceeds received for a sale-leaseback agreement. The increase in cash used in financing activities during 2016 compared to 2015 was primarily due to an increase of $36.7 million in principal payments on capital leases for our infrastructure, a decrease of $11.9 million in cash received through the issuance of a note payable issued in 2015, as well as an increase of $3.8 million in payments against the note payable in 2016, partially offset by $8.8 million in cash received in a sale lease-back agreement.</w:t>
      </w:r>
    </w:p>
    <w:p>
      <w:pPr>
        <w:spacing w:after="0" w:line="148"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For the year ended December 31, 2015, net cash used in financing activities was $89.6 million, which primarily consisted of $101.2 million in principal payments against capital lease obligations, offset by $11.9 million in cash received through the issuance of a note payable to finance our infrastructure.</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Contractual Obligations</w:t>
      </w:r>
    </w:p>
    <w:p>
      <w:pPr>
        <w:spacing w:after="0" w:line="102" w:lineRule="exact"/>
        <w:rPr>
          <w:sz w:val="20"/>
          <w:szCs w:val="20"/>
          <w:color w:val="auto"/>
        </w:rPr>
      </w:pPr>
    </w:p>
    <w:p>
      <w:pPr>
        <w:ind w:left="1120" w:right="420" w:firstLine="368"/>
        <w:spacing w:after="0" w:line="263" w:lineRule="auto"/>
        <w:rPr>
          <w:sz w:val="20"/>
          <w:szCs w:val="20"/>
          <w:color w:val="auto"/>
        </w:rPr>
      </w:pPr>
      <w:r>
        <w:rPr>
          <w:rFonts w:ascii="Arial" w:cs="Arial" w:eastAsia="Arial" w:hAnsi="Arial"/>
          <w:sz w:val="15"/>
          <w:szCs w:val="15"/>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2017, for the periods presented below:</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540" w:type="dxa"/>
            <w:vAlign w:val="bottom"/>
            <w:vMerge w:val="restart"/>
          </w:tcPr>
          <w:p>
            <w:pPr>
              <w:jc w:val="right"/>
              <w:ind w:right="68"/>
              <w:spacing w:after="0"/>
              <w:rPr>
                <w:sz w:val="20"/>
                <w:szCs w:val="20"/>
                <w:color w:val="auto"/>
              </w:rPr>
            </w:pPr>
            <w:r>
              <w:rPr>
                <w:rFonts w:ascii="Arial" w:cs="Arial" w:eastAsia="Arial" w:hAnsi="Arial"/>
                <w:sz w:val="12"/>
                <w:szCs w:val="12"/>
                <w:b w:val="1"/>
                <w:bCs w:val="1"/>
                <w:color w:val="auto"/>
              </w:rPr>
              <w:t>Total</w:t>
            </w:r>
          </w:p>
        </w:tc>
        <w:tc>
          <w:tcPr>
            <w:tcW w:w="860" w:type="dxa"/>
            <w:vAlign w:val="bottom"/>
            <w:gridSpan w:val="3"/>
          </w:tcPr>
          <w:p>
            <w:pPr>
              <w:ind w:left="360"/>
              <w:spacing w:after="0"/>
              <w:rPr>
                <w:sz w:val="20"/>
                <w:szCs w:val="20"/>
                <w:color w:val="auto"/>
              </w:rPr>
            </w:pPr>
            <w:r>
              <w:rPr>
                <w:rFonts w:ascii="Arial" w:cs="Arial" w:eastAsia="Arial" w:hAnsi="Arial"/>
                <w:sz w:val="12"/>
                <w:szCs w:val="12"/>
                <w:b w:val="1"/>
                <w:bCs w:val="1"/>
                <w:color w:val="auto"/>
                <w:w w:val="85"/>
              </w:rPr>
              <w:t>Less than</w:t>
            </w:r>
          </w:p>
        </w:tc>
        <w:tc>
          <w:tcPr>
            <w:tcW w:w="1120" w:type="dxa"/>
            <w:vAlign w:val="bottom"/>
            <w:gridSpan w:val="4"/>
            <w:vMerge w:val="restart"/>
          </w:tcPr>
          <w:p>
            <w:pPr>
              <w:ind w:left="380"/>
              <w:spacing w:after="0"/>
              <w:rPr>
                <w:sz w:val="20"/>
                <w:szCs w:val="20"/>
                <w:color w:val="auto"/>
              </w:rPr>
            </w:pPr>
            <w:r>
              <w:rPr>
                <w:rFonts w:ascii="Arial" w:cs="Arial" w:eastAsia="Arial" w:hAnsi="Arial"/>
                <w:sz w:val="12"/>
                <w:szCs w:val="12"/>
                <w:b w:val="1"/>
                <w:bCs w:val="1"/>
                <w:color w:val="auto"/>
              </w:rPr>
              <w:t>1 - 3 years</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w w:val="88"/>
              </w:rPr>
              <w:t>3 - 5 years</w:t>
            </w:r>
          </w:p>
        </w:tc>
        <w:tc>
          <w:tcPr>
            <w:tcW w:w="960" w:type="dxa"/>
            <w:vAlign w:val="bottom"/>
            <w:gridSpan w:val="4"/>
          </w:tcPr>
          <w:p>
            <w:pPr>
              <w:ind w:left="36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2"/>
                <w:szCs w:val="12"/>
                <w:b w:val="1"/>
                <w:bCs w:val="1"/>
                <w:color w:val="auto"/>
                <w:w w:val="92"/>
              </w:rPr>
              <w:t>1 year</w:t>
            </w:r>
          </w:p>
        </w:tc>
        <w:tc>
          <w:tcPr>
            <w:tcW w:w="1120" w:type="dxa"/>
            <w:vAlign w:val="bottom"/>
            <w:gridSpan w:val="4"/>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15"/>
        </w:trPr>
        <w:tc>
          <w:tcPr>
            <w:tcW w:w="50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ind w:left="360"/>
              <w:spacing w:after="0" w:line="115" w:lineRule="exact"/>
              <w:rPr>
                <w:sz w:val="20"/>
                <w:szCs w:val="20"/>
                <w:color w:val="auto"/>
              </w:rPr>
            </w:pPr>
            <w:r>
              <w:rPr>
                <w:rFonts w:ascii="Arial" w:cs="Arial" w:eastAsia="Arial" w:hAnsi="Arial"/>
                <w:sz w:val="12"/>
                <w:szCs w:val="12"/>
                <w:i w:val="1"/>
                <w:iCs w:val="1"/>
                <w:color w:val="auto"/>
              </w:rPr>
              <w:t>(In millions)</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commitments</w:t>
            </w:r>
            <w:r>
              <w:rPr>
                <w:rFonts w:ascii="Arial" w:cs="Arial" w:eastAsia="Arial" w:hAnsi="Arial"/>
                <w:sz w:val="12"/>
                <w:szCs w:val="12"/>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$1,349.9</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336.8</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5"/>
                <w:szCs w:val="15"/>
                <w:color w:val="auto"/>
              </w:rPr>
              <w:t>Capital lease commitments</w:t>
            </w:r>
            <w:r>
              <w:rPr>
                <w:rFonts w:ascii="Arial" w:cs="Arial" w:eastAsia="Arial" w:hAnsi="Arial"/>
                <w:sz w:val="12"/>
                <w:szCs w:val="12"/>
                <w:color w:val="auto"/>
              </w:rPr>
              <w:t>(2)</w:t>
            </w:r>
          </w:p>
        </w:tc>
        <w:tc>
          <w:tcPr>
            <w:tcW w:w="540" w:type="dxa"/>
            <w:vAlign w:val="bottom"/>
          </w:tcPr>
          <w:p>
            <w:pPr>
              <w:jc w:val="right"/>
              <w:spacing w:after="0"/>
              <w:rPr>
                <w:sz w:val="20"/>
                <w:szCs w:val="20"/>
                <w:color w:val="auto"/>
              </w:rPr>
            </w:pPr>
            <w:r>
              <w:rPr>
                <w:rFonts w:ascii="Arial" w:cs="Arial" w:eastAsia="Arial" w:hAnsi="Arial"/>
                <w:sz w:val="15"/>
                <w:szCs w:val="15"/>
                <w:color w:val="auto"/>
              </w:rPr>
              <w:t>182.0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108.3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73.7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Other commitments</w:t>
            </w:r>
            <w:r>
              <w:rPr>
                <w:rFonts w:ascii="Arial" w:cs="Arial" w:eastAsia="Arial" w:hAnsi="Arial"/>
                <w:sz w:val="12"/>
                <w:szCs w:val="12"/>
                <w:color w:val="auto"/>
              </w:rPr>
              <w:t>(3)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3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5"/>
                <w:szCs w:val="15"/>
                <w:color w:val="auto"/>
              </w:rPr>
              <w:t>Total contractual obligations</w:t>
            </w:r>
          </w:p>
        </w:tc>
        <w:tc>
          <w:tcPr>
            <w:tcW w:w="54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1,687.0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263.8</w:t>
            </w:r>
          </w:p>
        </w:tc>
        <w:tc>
          <w:tcPr>
            <w:tcW w:w="50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496.8</w:t>
            </w:r>
          </w:p>
        </w:tc>
        <w:tc>
          <w:tcPr>
            <w:tcW w:w="220" w:type="dxa"/>
            <w:vAlign w:val="bottom"/>
          </w:tcPr>
          <w:p>
            <w:pPr>
              <w:spacing w:after="0"/>
              <w:rPr>
                <w:sz w:val="15"/>
                <w:szCs w:val="15"/>
                <w:color w:val="auto"/>
              </w:rPr>
            </w:pPr>
          </w:p>
        </w:tc>
        <w:tc>
          <w:tcPr>
            <w:tcW w:w="2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202.4</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724.0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380" w:right="180" w:hanging="268"/>
        <w:spacing w:after="0" w:line="209" w:lineRule="auto"/>
        <w:tabs>
          <w:tab w:leader="none" w:pos="13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future non-cancelable minimum rental payments under operating leases for our offices and datacenters, excluding rent payments from our sub-tenants and variable operating expenses. Non-cancelable rent payments from our sub-tenants as of December 31, 2017, for the next six years are expected to be $72.1 million.</w:t>
      </w:r>
    </w:p>
    <w:p>
      <w:pPr>
        <w:ind w:left="1380" w:hanging="268"/>
        <w:spacing w:after="0" w:line="185" w:lineRule="auto"/>
        <w:tabs>
          <w:tab w:leader="none" w:pos="1380" w:val="left"/>
        </w:tabs>
        <w:numPr>
          <w:ilvl w:val="0"/>
          <w:numId w:val="39"/>
        </w:numPr>
        <w:rPr>
          <w:rFonts w:ascii="Arial" w:cs="Arial" w:eastAsia="Arial" w:hAnsi="Arial"/>
          <w:sz w:val="19"/>
          <w:szCs w:val="19"/>
          <w:color w:val="auto"/>
          <w:vertAlign w:val="superscript"/>
        </w:rPr>
      </w:pPr>
      <w:r>
        <w:rPr>
          <w:rFonts w:ascii="Arial" w:cs="Arial" w:eastAsia="Arial" w:hAnsi="Arial"/>
          <w:sz w:val="12"/>
          <w:szCs w:val="12"/>
          <w:color w:val="auto"/>
        </w:rPr>
        <w:t>Consists of future non-cancelable minimum rental payments under capital leases primarily for our infrastructure.</w:t>
      </w:r>
    </w:p>
    <w:p>
      <w:pPr>
        <w:spacing w:after="0" w:line="9" w:lineRule="exact"/>
        <w:rPr>
          <w:rFonts w:ascii="Arial" w:cs="Arial" w:eastAsia="Arial" w:hAnsi="Arial"/>
          <w:sz w:val="19"/>
          <w:szCs w:val="19"/>
          <w:color w:val="auto"/>
          <w:vertAlign w:val="superscript"/>
        </w:rPr>
      </w:pPr>
    </w:p>
    <w:p>
      <w:pPr>
        <w:ind w:left="1380" w:right="20" w:hanging="268"/>
        <w:spacing w:after="0" w:line="215" w:lineRule="auto"/>
        <w:tabs>
          <w:tab w:leader="none" w:pos="1380" w:val="left"/>
        </w:tabs>
        <w:numPr>
          <w:ilvl w:val="0"/>
          <w:numId w:val="39"/>
        </w:numPr>
        <w:rPr>
          <w:rFonts w:ascii="Arial" w:cs="Arial" w:eastAsia="Arial" w:hAnsi="Arial"/>
          <w:sz w:val="20"/>
          <w:szCs w:val="20"/>
          <w:color w:val="auto"/>
          <w:vertAlign w:val="superscript"/>
        </w:rPr>
      </w:pPr>
      <w:r>
        <w:rPr>
          <w:rFonts w:ascii="Arial" w:cs="Arial" w:eastAsia="Arial" w:hAnsi="Arial"/>
          <w:sz w:val="12"/>
          <w:szCs w:val="12"/>
          <w:color w:val="auto"/>
        </w:rPr>
        <w:t>Consists of commitments to third-party vendors for services related to our infrastructure, infrastructure warranty contracts, payments related to the imputed financing obligation for our previous headquarters, asset retirement obligations for office modifications, and a note payable related to financing of our infrastructure.</w:t>
      </w:r>
    </w:p>
    <w:p>
      <w:pPr>
        <w:spacing w:after="0" w:line="175" w:lineRule="exact"/>
        <w:rPr>
          <w:sz w:val="20"/>
          <w:szCs w:val="20"/>
          <w:color w:val="auto"/>
        </w:rPr>
      </w:pPr>
    </w:p>
    <w:p>
      <w:pPr>
        <w:ind w:left="1120" w:right="460" w:firstLine="368"/>
        <w:spacing w:after="0" w:line="275" w:lineRule="auto"/>
        <w:rPr>
          <w:sz w:val="20"/>
          <w:szCs w:val="20"/>
          <w:color w:val="auto"/>
        </w:rPr>
      </w:pPr>
      <w:r>
        <w:rPr>
          <w:rFonts w:ascii="Arial" w:cs="Arial" w:eastAsia="Arial" w:hAnsi="Arial"/>
          <w:sz w:val="15"/>
          <w:szCs w:val="15"/>
          <w:color w:val="auto"/>
        </w:rPr>
        <w:t>In addition to the contractual obligations set forth above, as of December 31, 2017, we had an aggregate of $82.6 million in letters of credit outstanding under our revolving credit facility.</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320"/>
          </w:cols>
          <w:pgMar w:left="240" w:top="407" w:right="133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In October 2017, we entered into a new lease agreement for office space in San Francisco, California, to serve as our new corporate headquarters. We expect to start making recurring rental payments under the lease in the third quarter of 2019. Included in the operating lease commitments above are our total expected minimum obligations under the lease agreement of $827.0 million, which exclude expected tenant improvement reimbursements from the landlord of approximately $73.6 million and variable operating expenses. Our obligations under the lease are supported by a $34.2 million letter of credit, which reduced the borrowing capacity under our revolving credit facility.</w:t>
      </w:r>
    </w:p>
    <w:p>
      <w:pPr>
        <w:spacing w:after="0" w:line="147" w:lineRule="exact"/>
        <w:rPr>
          <w:sz w:val="20"/>
          <w:szCs w:val="20"/>
          <w:color w:val="auto"/>
        </w:rPr>
      </w:pPr>
    </w:p>
    <w:p>
      <w:pPr>
        <w:ind w:left="1120" w:right="20" w:firstLine="368"/>
        <w:spacing w:after="0" w:line="302" w:lineRule="auto"/>
        <w:rPr>
          <w:sz w:val="20"/>
          <w:szCs w:val="20"/>
          <w:color w:val="auto"/>
        </w:rPr>
      </w:pPr>
      <w:r>
        <w:rPr>
          <w:rFonts w:ascii="Arial" w:cs="Arial" w:eastAsia="Arial" w:hAnsi="Arial"/>
          <w:sz w:val="13"/>
          <w:szCs w:val="13"/>
          <w:color w:val="auto"/>
        </w:rPr>
        <w:t>We plan to take possession of our new corporate headquarters over several phases. We expect to take initial possession in mid-2018, after which time we plan to incur capital expenditures on leasehold improvements and to begin recording rent expense for the portion of the new corporate headquarters that we have the right to use. Capital expenditures will continue to increase as we take possession of the remaining space over the next few years. We will continue to operate in our current corporate headquarters until the new corporate headquarters is ready for occupancy, which is expected to be in 2019. We intend to sublease our current corporate headquarters once we occupy the new corporate headquarters. However, unless we transfer our contractual obligation, we will continue to include the committed lease payments for our current corporate headquarters in the table above.</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Off-Balance Sheet Arrangements</w:t>
      </w:r>
    </w:p>
    <w:p>
      <w:pPr>
        <w:spacing w:after="0" w:line="102"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As of December 31, 2017,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Significant Impacts of Stock-Based Compensation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98" w:lineRule="exact"/>
        <w:rPr>
          <w:sz w:val="20"/>
          <w:szCs w:val="20"/>
          <w:color w:val="auto"/>
        </w:rPr>
      </w:pPr>
    </w:p>
    <w:p>
      <w:pPr>
        <w:jc w:val="both"/>
        <w:ind w:left="1120" w:right="100" w:firstLine="368"/>
        <w:spacing w:after="0" w:line="312" w:lineRule="auto"/>
        <w:rPr>
          <w:sz w:val="20"/>
          <w:szCs w:val="20"/>
          <w:color w:val="auto"/>
        </w:rPr>
      </w:pPr>
      <w:r>
        <w:rPr>
          <w:rFonts w:ascii="Arial" w:cs="Arial" w:eastAsia="Arial" w:hAnsi="Arial"/>
          <w:sz w:val="14"/>
          <w:szCs w:val="14"/>
          <w:color w:val="auto"/>
        </w:rPr>
        <w:t>We have granted restricted stock units, or RSUs, to our employees and members of our Board of Directors under our 2008 Equity Incentive Plan, or 2008 Plan, and our 2017 Equity Incentive Plan, or 2017 Plan. We have two types of RSUs outstanding as of December 31, 2017:</w:t>
      </w:r>
    </w:p>
    <w:p>
      <w:pPr>
        <w:spacing w:after="0" w:line="44" w:lineRule="exact"/>
        <w:rPr>
          <w:sz w:val="20"/>
          <w:szCs w:val="20"/>
          <w:color w:val="auto"/>
        </w:rPr>
      </w:pPr>
    </w:p>
    <w:p>
      <w:pPr>
        <w:jc w:val="both"/>
        <w:ind w:left="1840" w:right="100" w:hanging="276"/>
        <w:spacing w:after="0" w:line="263" w:lineRule="auto"/>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75" w:lineRule="exact"/>
        <w:rPr>
          <w:rFonts w:ascii="Arial" w:cs="Arial" w:eastAsia="Arial" w:hAnsi="Arial"/>
          <w:sz w:val="15"/>
          <w:szCs w:val="15"/>
          <w:color w:val="auto"/>
        </w:rPr>
      </w:pPr>
    </w:p>
    <w:p>
      <w:pPr>
        <w:ind w:left="1840" w:right="80" w:hanging="276"/>
        <w:spacing w:after="0" w:line="300" w:lineRule="auto"/>
        <w:tabs>
          <w:tab w:leader="none" w:pos="18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Our Board of Directors has approved the acceleration of the Performance Vesting Condition for two-tier RSUs for which the service condition was satisfied as of December 31, 2017, to occur upon the effectiveness of our registration statement related to this offering. Our last grant date for two-tier RSUs was May 2015.</w:t>
      </w:r>
    </w:p>
    <w:p>
      <w:pPr>
        <w:spacing w:after="0" w:line="136"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color w:val="auto"/>
        </w:rPr>
        <w:t>As of December 31, 2017, all compensation expense related to two-tier RSUs remained unrecognized because the Performance Vesting Condition was not satisfied. At the time the Performance Vesting Condition becomes probable, we will recognize the cumulative stock-based compensation expense for the two-tier RSUs that have met their service-based vesting condition using the accelerated attribution method. If the Performance Vesting Condition had occurred on December 31, 2017, we would have recorded $415.6 million of stock-based</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300"/>
          </w:cols>
          <w:pgMar w:left="240" w:top="407"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322" w:lineRule="auto"/>
        <w:rPr>
          <w:sz w:val="20"/>
          <w:szCs w:val="20"/>
          <w:color w:val="auto"/>
        </w:rPr>
      </w:pPr>
      <w:r>
        <w:rPr>
          <w:rFonts w:ascii="Arial" w:cs="Arial" w:eastAsia="Arial" w:hAnsi="Arial"/>
          <w:sz w:val="13"/>
          <w:szCs w:val="13"/>
          <w:color w:val="auto"/>
        </w:rPr>
        <w:t>compensation expense. As of December 31, 2017, 28.2 million two-tier RSUs were outstanding, of which 26.1 million had met their service condition. If the Performance Vesting Condition had been satisfied on these two-tier RSUs as of December 31, 2017, we would recognize unamortized stock-based compensation expense of $5.6 million over a weighted-average period of approximately one year if the requisite service is provided.</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Co-Founder Grants</w:t>
      </w:r>
    </w:p>
    <w:p>
      <w:pPr>
        <w:spacing w:after="0" w:line="98" w:lineRule="exact"/>
        <w:rPr>
          <w:sz w:val="20"/>
          <w:szCs w:val="20"/>
          <w:color w:val="auto"/>
        </w:rPr>
      </w:pPr>
    </w:p>
    <w:p>
      <w:pPr>
        <w:ind w:left="1120" w:right="180" w:firstLine="368"/>
        <w:spacing w:after="0" w:line="279" w:lineRule="auto"/>
        <w:rPr>
          <w:sz w:val="20"/>
          <w:szCs w:val="20"/>
          <w:color w:val="auto"/>
        </w:rPr>
      </w:pPr>
      <w:r>
        <w:rPr>
          <w:rFonts w:ascii="Arial" w:cs="Arial" w:eastAsia="Arial" w:hAnsi="Arial"/>
          <w:sz w:val="14"/>
          <w:szCs w:val="14"/>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These Co-Founder Grants have certain stockholder rights, such as the right to vote the shares immediately upon grant and prior to their vesting.</w:t>
      </w:r>
    </w:p>
    <w:p>
      <w:pPr>
        <w:spacing w:after="0" w:line="147"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The Co-Founder Grants are eligible to vest over the ten-year period following the closing of this offering. The Co-Founder Grants comprise nine tranches that are eligible to vest based on the achievement of stock price goals, or, each, a Stock Price Target, measured over a consecutive thirty-day trading period during the Performance Period, as follows:</w:t>
      </w:r>
    </w:p>
    <w:p>
      <w:pPr>
        <w:spacing w:after="0" w:line="154" w:lineRule="exact"/>
        <w:rPr>
          <w:sz w:val="20"/>
          <w:szCs w:val="20"/>
          <w:color w:val="auto"/>
        </w:rPr>
      </w:pPr>
    </w:p>
    <w:tbl>
      <w:tblPr>
        <w:tblLayout w:type="fixed"/>
        <w:tblInd w:w="1860" w:type="dxa"/>
        <w:tblCellMar>
          <w:top w:w="0" w:type="dxa"/>
          <w:left w:w="0" w:type="dxa"/>
          <w:bottom w:w="0" w:type="dxa"/>
          <w:right w:w="0" w:type="dxa"/>
        </w:tblCellMar>
      </w:tblPr>
      <w:tr>
        <w:trPr>
          <w:trHeight w:val="138"/>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Company Stock Price</w:t>
            </w:r>
          </w:p>
        </w:tc>
        <w:tc>
          <w:tcPr>
            <w:tcW w:w="3380" w:type="dxa"/>
            <w:vAlign w:val="bottom"/>
            <w:gridSpan w:val="2"/>
          </w:tcPr>
          <w:p>
            <w:pPr>
              <w:jc w:val="right"/>
              <w:ind w:right="2040"/>
              <w:spacing w:after="0"/>
              <w:rPr>
                <w:sz w:val="20"/>
                <w:szCs w:val="20"/>
                <w:color w:val="auto"/>
              </w:rPr>
            </w:pPr>
            <w:r>
              <w:rPr>
                <w:rFonts w:ascii="Arial" w:cs="Arial" w:eastAsia="Arial" w:hAnsi="Arial"/>
                <w:sz w:val="12"/>
                <w:szCs w:val="12"/>
                <w:b w:val="1"/>
                <w:bCs w:val="1"/>
                <w:color w:val="auto"/>
                <w:w w:val="88"/>
              </w:rPr>
              <w:t>Shares Eligible to Vest for</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6"/>
              </w:rPr>
              <w:t>Shares Eligible to Vest</w:t>
            </w:r>
          </w:p>
        </w:tc>
      </w:tr>
      <w:tr>
        <w:trPr>
          <w:trHeight w:val="144"/>
        </w:trPr>
        <w:tc>
          <w:tcPr>
            <w:tcW w:w="3140" w:type="dxa"/>
            <w:vAlign w:val="bottom"/>
            <w:gridSpan w:val="2"/>
          </w:tcPr>
          <w:p>
            <w:pPr>
              <w:ind w:left="380"/>
              <w:spacing w:after="0"/>
              <w:rPr>
                <w:sz w:val="20"/>
                <w:szCs w:val="20"/>
                <w:color w:val="auto"/>
              </w:rPr>
            </w:pPr>
            <w:r>
              <w:rPr>
                <w:rFonts w:ascii="Arial" w:cs="Arial" w:eastAsia="Arial" w:hAnsi="Arial"/>
                <w:sz w:val="12"/>
                <w:szCs w:val="12"/>
                <w:b w:val="1"/>
                <w:bCs w:val="1"/>
                <w:color w:val="auto"/>
              </w:rPr>
              <w:t>Target</w:t>
            </w:r>
          </w:p>
        </w:tc>
        <w:tc>
          <w:tcPr>
            <w:tcW w:w="3380" w:type="dxa"/>
            <w:vAlign w:val="bottom"/>
            <w:gridSpan w:val="2"/>
          </w:tcPr>
          <w:p>
            <w:pPr>
              <w:jc w:val="right"/>
              <w:ind w:right="2380"/>
              <w:spacing w:after="0"/>
              <w:rPr>
                <w:sz w:val="20"/>
                <w:szCs w:val="20"/>
                <w:color w:val="auto"/>
              </w:rPr>
            </w:pPr>
            <w:r>
              <w:rPr>
                <w:rFonts w:ascii="Arial" w:cs="Arial" w:eastAsia="Arial" w:hAnsi="Arial"/>
                <w:sz w:val="12"/>
                <w:szCs w:val="12"/>
                <w:b w:val="1"/>
                <w:bCs w:val="1"/>
                <w:color w:val="auto"/>
              </w:rPr>
              <w:t>Mr. Houston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Mr. Ferdowsi</w:t>
            </w:r>
          </w:p>
        </w:tc>
      </w:tr>
      <w:tr>
        <w:trPr>
          <w:trHeight w:val="172"/>
        </w:trPr>
        <w:tc>
          <w:tcPr>
            <w:tcW w:w="11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82"/>
              </w:rPr>
              <w:t>$30.00</w:t>
            </w:r>
          </w:p>
        </w:tc>
        <w:tc>
          <w:tcPr>
            <w:tcW w:w="20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2,066,667</w:t>
            </w:r>
          </w:p>
        </w:tc>
        <w:tc>
          <w:tcPr>
            <w:tcW w:w="20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$37.50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$45.00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$52.50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$60.00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$67.50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$75.00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$82.50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$90.00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bl>
    <w:p>
      <w:pPr>
        <w:spacing w:after="0" w:line="170"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The Performance Period begins on the first trading day following the later of (a) the expiration of the lock-up period following the first date the Company’s shares are traded on an established national securities exchange or automated quotation system, or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159"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w:t>
      </w:r>
    </w:p>
    <w:p>
      <w:pPr>
        <w:spacing w:after="0" w:line="123" w:lineRule="exact"/>
        <w:rPr>
          <w:sz w:val="20"/>
          <w:szCs w:val="20"/>
          <w:color w:val="auto"/>
        </w:rPr>
      </w:pPr>
    </w:p>
    <w:p>
      <w:pPr>
        <w:jc w:val="both"/>
        <w:ind w:left="1120" w:firstLine="368"/>
        <w:spacing w:after="0" w:line="290" w:lineRule="auto"/>
        <w:rPr>
          <w:sz w:val="20"/>
          <w:szCs w:val="20"/>
          <w:color w:val="auto"/>
        </w:rPr>
      </w:pPr>
      <w:r>
        <w:rPr>
          <w:rFonts w:ascii="Arial" w:cs="Arial" w:eastAsia="Arial" w:hAnsi="Arial"/>
          <w:sz w:val="14"/>
          <w:szCs w:val="14"/>
          <w:color w:val="auto"/>
        </w:rPr>
        <w:t>The Co-Founder Grants contain an implied performance-based vesting condition satisfied upon the IPO Date, because no shares subject to the Co-Founder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38" w:lineRule="exact"/>
        <w:rPr>
          <w:sz w:val="20"/>
          <w:szCs w:val="20"/>
          <w:color w:val="auto"/>
        </w:rPr>
      </w:pPr>
    </w:p>
    <w:p>
      <w:pPr>
        <w:jc w:val="both"/>
        <w:ind w:left="1120" w:right="60" w:firstLine="368"/>
        <w:spacing w:after="0" w:line="283" w:lineRule="auto"/>
        <w:rPr>
          <w:sz w:val="20"/>
          <w:szCs w:val="20"/>
          <w:color w:val="auto"/>
        </w:rPr>
      </w:pPr>
      <w:r>
        <w:rPr>
          <w:rFonts w:ascii="Arial" w:cs="Arial" w:eastAsia="Arial" w:hAnsi="Arial"/>
          <w:sz w:val="14"/>
          <w:szCs w:val="14"/>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320"/>
          </w:cols>
          <w:pgMar w:left="240" w:top="407" w:right="133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55"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In the period the relevant performance vesting condition becomes probable, we will recognize the cumulative unrecognized expense of our two-tier RSUs and Co-Founder Grants, which will increase our cost of revenue and operating expenses with respect to our two-tier RSUs, and will increase our general and administrative expenses with respect to our Co-Founder Grants, for the quarter and year of our initial public offering. We expect that our research and development expenses will be the line item most significantly impacted by the cumulative expense to be recognized.</w:t>
      </w:r>
    </w:p>
    <w:p>
      <w:pPr>
        <w:spacing w:after="0" w:line="143" w:lineRule="exact"/>
        <w:rPr>
          <w:sz w:val="20"/>
          <w:szCs w:val="20"/>
          <w:color w:val="auto"/>
        </w:rPr>
      </w:pPr>
    </w:p>
    <w:p>
      <w:pPr>
        <w:ind w:left="1120" w:right="680" w:firstLine="368"/>
        <w:spacing w:after="0" w:line="275" w:lineRule="auto"/>
        <w:rPr>
          <w:sz w:val="20"/>
          <w:szCs w:val="20"/>
          <w:color w:val="auto"/>
        </w:rPr>
      </w:pPr>
      <w:r>
        <w:rPr>
          <w:rFonts w:ascii="Arial" w:cs="Arial" w:eastAsia="Arial" w:hAnsi="Arial"/>
          <w:sz w:val="15"/>
          <w:szCs w:val="15"/>
          <w:color w:val="auto"/>
        </w:rPr>
        <w:t>See Note 1, “Description of the Business and Summary of Significant Accounting Policies” and Note 11, “Stockholders’ Equity” to our consolidated financial statements included elsewhere in this prospectus for more information.</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Critical Accounting Policies and Judgments</w:t>
      </w:r>
    </w:p>
    <w:p>
      <w:pPr>
        <w:spacing w:after="0" w:line="102"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Our consolidated financial statements and the related notes thereto included elsewhere in this prospectus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23" w:lineRule="exact"/>
        <w:rPr>
          <w:sz w:val="20"/>
          <w:szCs w:val="20"/>
          <w:color w:val="auto"/>
        </w:rPr>
      </w:pPr>
    </w:p>
    <w:p>
      <w:pPr>
        <w:ind w:left="1120" w:right="60" w:firstLine="368"/>
        <w:spacing w:after="0" w:line="293" w:lineRule="auto"/>
        <w:rPr>
          <w:sz w:val="20"/>
          <w:szCs w:val="20"/>
          <w:color w:val="auto"/>
        </w:rPr>
      </w:pPr>
      <w:r>
        <w:rPr>
          <w:rFonts w:ascii="Arial" w:cs="Arial" w:eastAsia="Arial" w:hAnsi="Arial"/>
          <w:sz w:val="13"/>
          <w:szCs w:val="13"/>
          <w:color w:val="auto"/>
        </w:rPr>
        <w:t xml:space="preserve">In May 2014, the Financial Accounting Standards Board, or FASB, issued Accounting Standards Update, or ASU, No. 2014-09 </w:t>
      </w:r>
      <w:r>
        <w:rPr>
          <w:rFonts w:ascii="Arial" w:cs="Arial" w:eastAsia="Arial" w:hAnsi="Arial"/>
          <w:sz w:val="13"/>
          <w:szCs w:val="13"/>
          <w:i w:val="1"/>
          <w:iCs w:val="1"/>
          <w:color w:val="auto"/>
        </w:rPr>
        <w:t>Revenue from</w:t>
      </w:r>
      <w:r>
        <w:rPr>
          <w:rFonts w:ascii="Arial" w:cs="Arial" w:eastAsia="Arial" w:hAnsi="Arial"/>
          <w:sz w:val="13"/>
          <w:szCs w:val="13"/>
          <w:color w:val="auto"/>
        </w:rPr>
        <w:t xml:space="preserve"> </w:t>
      </w:r>
      <w:r>
        <w:rPr>
          <w:rFonts w:ascii="Arial" w:cs="Arial" w:eastAsia="Arial" w:hAnsi="Arial"/>
          <w:sz w:val="13"/>
          <w:szCs w:val="13"/>
          <w:i w:val="1"/>
          <w:iCs w:val="1"/>
          <w:color w:val="auto"/>
        </w:rPr>
        <w:t>Contracts with Customers (Topic 606)</w:t>
      </w:r>
      <w:r>
        <w:rPr>
          <w:rFonts w:ascii="Arial" w:cs="Arial" w:eastAsia="Arial" w:hAnsi="Arial"/>
          <w:sz w:val="13"/>
          <w:szCs w:val="13"/>
          <w:color w:val="auto"/>
        </w:rPr>
        <w:t>, or Topic 606. Topic 606 supersedes the revenue recognition requirements in Accounting Standards Codification,</w:t>
      </w:r>
      <w:r>
        <w:rPr>
          <w:rFonts w:ascii="Arial" w:cs="Arial" w:eastAsia="Arial" w:hAnsi="Arial"/>
          <w:sz w:val="13"/>
          <w:szCs w:val="13"/>
          <w:i w:val="1"/>
          <w:iCs w:val="1"/>
          <w:color w:val="auto"/>
        </w:rPr>
        <w:t xml:space="preserve"> Revenue Recognition</w:t>
      </w:r>
      <w:r>
        <w:rPr>
          <w:rFonts w:ascii="Arial" w:cs="Arial" w:eastAsia="Arial" w:hAnsi="Arial"/>
          <w:sz w:val="13"/>
          <w:szCs w:val="13"/>
          <w:color w:val="auto"/>
        </w:rPr>
        <w:t>, or Topic 605, and requires the recognition of revenue when promised goods or services are transferred to customers in an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that reflects the consideration to which the entity expects to be entitled to in exchange for those goods or services. Topic 606 also includes Subtopic</w:t>
      </w:r>
    </w:p>
    <w:p>
      <w:pPr>
        <w:spacing w:after="0" w:line="1" w:lineRule="exact"/>
        <w:rPr>
          <w:sz w:val="20"/>
          <w:szCs w:val="20"/>
          <w:color w:val="auto"/>
        </w:rPr>
      </w:pPr>
    </w:p>
    <w:p>
      <w:pPr>
        <w:ind w:left="1120" w:right="260"/>
        <w:spacing w:after="0" w:line="262" w:lineRule="auto"/>
        <w:rPr>
          <w:sz w:val="20"/>
          <w:szCs w:val="20"/>
          <w:color w:val="auto"/>
        </w:rPr>
      </w:pPr>
      <w:r>
        <w:rPr>
          <w:rFonts w:ascii="Arial" w:cs="Arial" w:eastAsia="Arial" w:hAnsi="Arial"/>
          <w:sz w:val="15"/>
          <w:szCs w:val="15"/>
          <w:color w:val="auto"/>
        </w:rPr>
        <w:t xml:space="preserve">340-40, </w:t>
      </w:r>
      <w:r>
        <w:rPr>
          <w:rFonts w:ascii="Arial" w:cs="Arial" w:eastAsia="Arial" w:hAnsi="Arial"/>
          <w:sz w:val="15"/>
          <w:szCs w:val="15"/>
          <w:i w:val="1"/>
          <w:iCs w:val="1"/>
          <w:color w:val="auto"/>
        </w:rPr>
        <w:t>Other Assets and Deferred Costs—Contracts with Customers</w:t>
      </w:r>
      <w:r>
        <w:rPr>
          <w:rFonts w:ascii="Arial" w:cs="Arial" w:eastAsia="Arial" w:hAnsi="Arial"/>
          <w:sz w:val="15"/>
          <w:szCs w:val="15"/>
          <w:color w:val="auto"/>
        </w:rPr>
        <w:t>, which requires the deferral of incremental costs of obtaining a contract with a customer.</w:t>
      </w:r>
    </w:p>
    <w:p>
      <w:pPr>
        <w:spacing w:after="0" w:line="155"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We adopted the requirements of Topic 606 as of January 1, 2017, utilizing the full retrospective method of transition. As such, Topic 606 is reflected in our financial results for all periods presented in this prospectus. The adoption of Topic 606 resulted in changes to our accounting policies for revenue recognition and deferred commissions.</w:t>
      </w:r>
    </w:p>
    <w:p>
      <w:pPr>
        <w:spacing w:after="0" w:line="155" w:lineRule="exact"/>
        <w:rPr>
          <w:sz w:val="20"/>
          <w:szCs w:val="20"/>
          <w:color w:val="auto"/>
        </w:rPr>
      </w:pPr>
    </w:p>
    <w:p>
      <w:pPr>
        <w:ind w:left="1120" w:right="280" w:firstLine="368"/>
        <w:spacing w:after="0" w:line="354" w:lineRule="auto"/>
        <w:rPr>
          <w:sz w:val="20"/>
          <w:szCs w:val="20"/>
          <w:color w:val="auto"/>
        </w:rPr>
      </w:pPr>
      <w:r>
        <w:rPr>
          <w:rFonts w:ascii="Arial" w:cs="Arial" w:eastAsia="Arial" w:hAnsi="Arial"/>
          <w:sz w:val="13"/>
          <w:szCs w:val="13"/>
          <w:color w:val="auto"/>
        </w:rPr>
        <w:t>The impact of adopting Topic 606 on our revenue was not material to any of the periods presented. The primary impact of adopting Topic 606 relates to the deferral of incremental costs of obtaining customer contracts and the amortization of those costs over a longer period of benefit.</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We generate revenue from sales of subscriptions to our platform. Subscription fees exclude sales and other indirect taxes. We determine revenue recognition through the following steps:</w:t>
      </w:r>
    </w:p>
    <w:p>
      <w:pPr>
        <w:spacing w:after="0" w:line="67" w:lineRule="exact"/>
        <w:rPr>
          <w:sz w:val="20"/>
          <w:szCs w:val="20"/>
          <w:color w:val="auto"/>
        </w:rPr>
      </w:pPr>
    </w:p>
    <w:p>
      <w:pPr>
        <w:ind w:left="1840" w:hanging="276"/>
        <w:spacing w:after="0"/>
        <w:tabs>
          <w:tab w:leader="none" w:pos="1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300"/>
          </w:cols>
          <w:pgMar w:left="24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Recognition of revenue when, or as, we satisfy a performance obligation</w:t>
      </w:r>
    </w:p>
    <w:p>
      <w:pPr>
        <w:spacing w:after="0" w:line="188"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commissions</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Sales commissions and the related payroll taxes earned by our outbound sales team, as well as commissions earned by third-party resellers, are considered to be incremental and recoverable costs of obtaining a contract with a customer.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 Changing the period of benefit by one year would result in a change to expense of approximately $1.0 million or less in each of the periods presented. Amortization of deferred commissions is included in sales and marketing expenses.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98"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Since August 2015, we have granted RSUs as the only stock-based payment awards to our employees, excluding the Co-Founder Grants. While we stopped granting stock options in August 2015, we currently have stock options outstanding that will continue to vest through 2019 if the requisite service is provided.</w:t>
      </w:r>
    </w:p>
    <w:p>
      <w:pPr>
        <w:spacing w:after="0" w:line="155" w:lineRule="exact"/>
        <w:rPr>
          <w:sz w:val="20"/>
          <w:szCs w:val="20"/>
          <w:color w:val="auto"/>
        </w:rPr>
      </w:pPr>
    </w:p>
    <w:p>
      <w:pPr>
        <w:ind w:left="1120" w:right="340" w:firstLine="368"/>
        <w:spacing w:after="0" w:line="283" w:lineRule="auto"/>
        <w:rPr>
          <w:sz w:val="20"/>
          <w:szCs w:val="20"/>
          <w:color w:val="auto"/>
        </w:rPr>
      </w:pPr>
      <w:r>
        <w:rPr>
          <w:rFonts w:ascii="Arial" w:cs="Arial" w:eastAsia="Arial" w:hAnsi="Arial"/>
          <w:sz w:val="14"/>
          <w:szCs w:val="14"/>
          <w:color w:val="auto"/>
        </w:rPr>
        <w:t>The fair values of the common stock underlying the RSUs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43"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 xml:space="preserve">Given the absence of a public trading market for our common stock, and in accordance with the American Institute of Certified Public Accountants Practice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xml:space="preserve"> or AICPA Guide, our Board of Directors exercised reasonable judgment and considered numerous objective and subjective factors to determine the best estimate of the fair value of our common stock including:</w:t>
      </w:r>
    </w:p>
    <w:p>
      <w:pPr>
        <w:spacing w:after="0" w:line="79" w:lineRule="exact"/>
        <w:rPr>
          <w:sz w:val="20"/>
          <w:szCs w:val="20"/>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results of contemporaneous valuations of our common stock by unrelated third parties;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rights, preferences, and privileges of our convertible preferred stock relative to those of our common stock;</w:t>
      </w:r>
    </w:p>
    <w:p>
      <w:pPr>
        <w:spacing w:after="0" w:line="109"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Market multiples of comparable public companies in our industry as indicated by their market capitalization and guideline merger and acquisition transactions;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performance and market position relative to our competitors, who may change from time to time;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historical financial results and estimated trends and prospects for our future 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Valuations published by institutional investors that hold investments in our capital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economic and competitive environment;</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80"/>
          </w:cols>
          <w:pgMar w:left="240" w:top="407" w:right="137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likelihood and timeline of achieving a liquidity event, such as an initial public offering or sale, given prevailing market conditions;</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adjustments necessary to recognize a lack of marketability for our common stock;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Precedent sales of or offers to purchase our capital stock.</w:t>
      </w:r>
    </w:p>
    <w:p>
      <w:pPr>
        <w:spacing w:after="0" w:line="188"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48" w:lineRule="exact"/>
        <w:rPr>
          <w:sz w:val="20"/>
          <w:szCs w:val="20"/>
          <w:color w:val="auto"/>
        </w:rPr>
      </w:pPr>
    </w:p>
    <w:p>
      <w:pPr>
        <w:jc w:val="both"/>
        <w:ind w:left="1120" w:right="480" w:firstLine="368"/>
        <w:spacing w:after="0" w:line="263" w:lineRule="auto"/>
        <w:rPr>
          <w:sz w:val="20"/>
          <w:szCs w:val="20"/>
          <w:color w:val="auto"/>
        </w:rPr>
      </w:pPr>
      <w:r>
        <w:rPr>
          <w:rFonts w:ascii="Arial" w:cs="Arial" w:eastAsia="Arial" w:hAnsi="Arial"/>
          <w:sz w:val="15"/>
          <w:szCs w:val="15"/>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55"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 included the use of initial public offering scenarios, a scenario assuming continued operation as a private entity, and a scenario assuming an acquisition of the company.</w:t>
      </w:r>
    </w:p>
    <w:p>
      <w:pPr>
        <w:spacing w:after="0" w:line="15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3"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For valuations after the completion of this initial public offering, our Board of Directors will determine the fair value of each share of underlying common stock based on the closing price of our Class A common stock as reported on the date of the grant.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of market condition awards</w:t>
      </w:r>
    </w:p>
    <w:p>
      <w:pPr>
        <w:spacing w:after="0" w:line="9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The Co-Founder Grants contain market-based vesting conditions. The market-based vesting condition is considered when calculating the grant date fair value of these awards, which requires the use of various estimates and assumptions. The grant date fair value of the Co-Founder Grants was estimated using a model based on multiple stock price paths developed through the use of a Monte Carlo simulation that incorporates into the valuation the possibility that the market condition may not be satisfied. A Monte Carlo simulation requires the use of various assumptions, including our underlying stock price, volatility, and the risk-free interest rate as of the valuation date, corresponding to the length of time remaining in the performance period, and expected dividend yield. A Monte Carlo simulation also calculates a derived service period for each of the nine vesting tranches, which is the measure of the expected time to achieve the market conditions. Expense associated with market-based awards is recognized over the requisite service period of each tranche using the accelerated attribution method, regardless of whether the market conditions are achieved.</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 combinations and valuation of goodwill and other acquired intangible assets</w:t>
      </w:r>
    </w:p>
    <w:p>
      <w:pPr>
        <w:spacing w:after="0" w:line="98" w:lineRule="exact"/>
        <w:rPr>
          <w:sz w:val="20"/>
          <w:szCs w:val="20"/>
          <w:color w:val="auto"/>
        </w:rPr>
      </w:pPr>
    </w:p>
    <w:p>
      <w:pPr>
        <w:ind w:left="1120" w:right="440" w:firstLine="368"/>
        <w:spacing w:after="0" w:line="275" w:lineRule="auto"/>
        <w:rPr>
          <w:sz w:val="20"/>
          <w:szCs w:val="20"/>
          <w:color w:val="auto"/>
        </w:rPr>
      </w:pPr>
      <w:r>
        <w:rPr>
          <w:rFonts w:ascii="Arial" w:cs="Arial" w:eastAsia="Arial" w:hAnsi="Arial"/>
          <w:sz w:val="15"/>
          <w:szCs w:val="15"/>
          <w:color w:val="auto"/>
        </w:rPr>
        <w:t>When we acquire a business, we allocate the purchase price to the net tangible and identifiable intangible assets acquired based on their fair values. Any residual purchase price is recorded as goodwill. The estimation of</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320"/>
          </w:cols>
          <w:pgMar w:left="240" w:top="407" w:right="133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75" w:lineRule="auto"/>
        <w:rPr>
          <w:sz w:val="20"/>
          <w:szCs w:val="20"/>
          <w:color w:val="auto"/>
        </w:rPr>
      </w:pPr>
      <w:r>
        <w:rPr>
          <w:rFonts w:ascii="Arial" w:cs="Arial" w:eastAsia="Arial" w:hAnsi="Arial"/>
          <w:sz w:val="15"/>
          <w:szCs w:val="15"/>
          <w:color w:val="auto"/>
        </w:rPr>
        <w:t>the fair value of acquired assets and assumed liabilities requires management to apply significant judgment, especially with respect to intangible assets, which consist primarily of developed technologies.</w:t>
      </w:r>
    </w:p>
    <w:p>
      <w:pPr>
        <w:spacing w:after="0" w:line="14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These estimates are based upon a number of factors, including historical experience, market conditions, and information obtained from the management of acquired companies. To determine the fair value of acquired intangible assets, we make estimates that can include, but are not limited to, the cash flows that an asset is expected to generate in the future, the appropriate weighted-average cost of capital to utilize, the cost savings expected to be derived from acquiring an asset, and the expected use of the asset. These same factors are also considered in determining the useful life of acquired intangible assets, which impacts the timing of future amortization expense.</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Recent Accounting Pronouncements</w:t>
      </w:r>
    </w:p>
    <w:p>
      <w:pPr>
        <w:spacing w:after="0" w:line="102" w:lineRule="exact"/>
        <w:rPr>
          <w:sz w:val="20"/>
          <w:szCs w:val="20"/>
          <w:color w:val="auto"/>
        </w:rPr>
      </w:pPr>
    </w:p>
    <w:p>
      <w:pPr>
        <w:ind w:left="1120" w:right="40" w:firstLine="368"/>
        <w:spacing w:after="0" w:line="27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We are in the initial stage of our assessment of the new standard and are currently evaluating the timing of adoption, the quantitative impact of adoption, and the related disclosure requirements. We anticipate the adoption of this standard will result in a substantial increase in our non-current assets and liabilities recorded on the consolidated balance sheets. The adoption of the standard is not expected to have a material impact on the consolidated statement of operations. While we are assessing all potential impacts of the adoption of the standard, we currently expect the most significant impact to be the capitalization of right-to-use assets and lease liabilities for our office space and datacenter operating leases. We expect our accounting for capital leases related to infrastructure equipment to remain substantially unchanged under the new standard.</w:t>
      </w:r>
    </w:p>
    <w:p>
      <w:pPr>
        <w:spacing w:after="0" w:line="156"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See Note 1, “Description of the Business and Summary of Significant Accounting Policies” to our consolidated financial statements included elsewhere in this prospectus for more information about other recent accounting pronouncements.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are exposed to market risks in the ordinary course of our business, including interest rate, foreign currency exchange, and inflation risks.</w:t>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98" w:lineRule="exact"/>
        <w:rPr>
          <w:sz w:val="20"/>
          <w:szCs w:val="20"/>
          <w:color w:val="auto"/>
        </w:rPr>
      </w:pPr>
    </w:p>
    <w:p>
      <w:pPr>
        <w:ind w:left="1120" w:right="140" w:firstLine="368"/>
        <w:spacing w:after="0" w:line="305" w:lineRule="auto"/>
        <w:rPr>
          <w:sz w:val="20"/>
          <w:szCs w:val="20"/>
          <w:color w:val="auto"/>
        </w:rPr>
      </w:pPr>
      <w:r>
        <w:rPr>
          <w:rFonts w:ascii="Arial" w:cs="Arial" w:eastAsia="Arial" w:hAnsi="Arial"/>
          <w:sz w:val="13"/>
          <w:szCs w:val="13"/>
          <w:color w:val="auto"/>
        </w:rPr>
        <w:t>We had cash and cash equivalents of $430.0 million as of December 31, 2017. We hold our cash and cash equivalents for working capital purposes. Our cash and cash equivalents are held in cash deposits and money market funds.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33"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Any borrowings under the revolving credit facility bear interest at a variable rate tied to the prime rate or the LIBOR rate. As of December 31, 2017, we had no amounts outstanding under the revolving credit facility. We do not have any other long-term debt or financial liabilities with floating interest rates that would subject us to interest rate fluctuations.</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300"/>
          </w:cols>
          <w:pgMar w:left="240" w:top="407"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 hypothetical 10% change in interest rates during any of the periods presented would not have had a material impact on our financial statements.</w:t>
      </w:r>
    </w:p>
    <w:p>
      <w:pPr>
        <w:spacing w:after="0" w:line="3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98" w:lineRule="exact"/>
        <w:rPr>
          <w:sz w:val="20"/>
          <w:szCs w:val="20"/>
          <w:color w:val="auto"/>
        </w:rPr>
      </w:pPr>
    </w:p>
    <w:p>
      <w:pPr>
        <w:ind w:left="1120" w:right="60" w:firstLine="368"/>
        <w:spacing w:after="0" w:line="272" w:lineRule="auto"/>
        <w:rPr>
          <w:sz w:val="20"/>
          <w:szCs w:val="20"/>
          <w:color w:val="auto"/>
        </w:rPr>
      </w:pPr>
      <w:r>
        <w:rPr>
          <w:rFonts w:ascii="Arial" w:cs="Arial" w:eastAsia="Arial" w:hAnsi="Arial"/>
          <w:sz w:val="14"/>
          <w:szCs w:val="14"/>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w:t>
      </w:r>
    </w:p>
    <w:p>
      <w:pPr>
        <w:spacing w:after="0" w:line="156"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We recorded $4.6 million and $3.6 million in net foreign currency transaction losses in the years ended December 31, 2015 and 2016, respectively, and $5.0 million in net foreign currency transaction gains in the year ended December 31, 2017. A hypothetical 10% change in foreign currency rates would not have resulted in material gains or losses for the years ended December 31, 2015, 2016, and 2017.</w:t>
      </w:r>
    </w:p>
    <w:p>
      <w:pPr>
        <w:spacing w:after="0" w:line="138" w:lineRule="exact"/>
        <w:rPr>
          <w:sz w:val="20"/>
          <w:szCs w:val="20"/>
          <w:color w:val="auto"/>
        </w:rPr>
      </w:pPr>
    </w:p>
    <w:p>
      <w:pPr>
        <w:ind w:left="1120" w:right="540" w:firstLine="368"/>
        <w:spacing w:after="0" w:line="275" w:lineRule="auto"/>
        <w:rPr>
          <w:sz w:val="20"/>
          <w:szCs w:val="20"/>
          <w:color w:val="auto"/>
        </w:rPr>
      </w:pPr>
      <w:r>
        <w:rPr>
          <w:rFonts w:ascii="Arial" w:cs="Arial" w:eastAsia="Arial" w:hAnsi="Arial"/>
          <w:sz w:val="15"/>
          <w:szCs w:val="15"/>
          <w:color w:val="auto"/>
        </w:rPr>
        <w:t>To date, we have not engaged in any hedging activities. As our international operations grow, we will continue to reassess our approach to managing risks relating to fluctuations in currency rates.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Inflation risk</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320"/>
          </w:cols>
          <w:pgMar w:left="240" w:top="407" w:right="133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[THIS PAGE INTENTIONALLY LEFT BLANK]</w:t>
      </w:r>
    </w:p>
    <w:p>
      <w:pPr>
        <w:sectPr>
          <w:pgSz w:w="11900" w:h="16838" w:orient="portrait"/>
          <w:cols w:equalWidth="0" w:num="1">
            <w:col w:w="10219"/>
          </w:cols>
          <w:pgMar w:left="240" w:top="407" w:right="1440"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[THIS PAGE INTENTIONALLY LEFT BLANK]</w:t>
      </w:r>
    </w:p>
    <w:p>
      <w:pPr>
        <w:sectPr>
          <w:pgSz w:w="11900" w:h="16838" w:orient="portrait"/>
          <w:cols w:equalWidth="0" w:num="1">
            <w:col w:w="10219"/>
          </w:cols>
          <w:pgMar w:left="240" w:top="407" w:right="1440"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BUSINESS</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jc w:val="both"/>
        <w:ind w:left="1120" w:right="160" w:firstLine="368"/>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55"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want to free up our users to spend more of their time on the work that truly matters. Our mission is to unleash the world’s creative energy by designing a more enlightened way of working.</w:t>
      </w:r>
    </w:p>
    <w:p>
      <w:pPr>
        <w:spacing w:after="0" w:line="146"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5"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over 11 million paying users.</w:t>
      </w:r>
    </w:p>
    <w:p>
      <w:pPr>
        <w:spacing w:after="0" w:line="146"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Users</w:t>
      </w:r>
    </w:p>
    <w:p>
      <w:pPr>
        <w:spacing w:after="0" w:line="102"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We’re constantly inspired by the diverse ways people use Dropbox to bring their ideas to life and achieve their missions faster. Here are just a few examples:</w:t>
      </w:r>
    </w:p>
    <w:p>
      <w:pPr>
        <w:spacing w:after="0" w:line="67" w:lineRule="exact"/>
        <w:rPr>
          <w:sz w:val="20"/>
          <w:szCs w:val="20"/>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Nobel Prize-winning researchers sync data with collaborators to speed development of new scientific breakthroughs.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Designers for a sustainable apparel company iterate on new designs and coordinate store openings.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commercial construction company shares blueprints with subcontractors on job sites and sends bids to prospective clients.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Fortune 500 online travel company keeps its global workforce connected with business partners around the world.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Pro bono lawyers at a refugee assistance organization collect and share information across continents to save lives.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320"/>
          </w:cols>
          <w:pgMar w:left="240" w:top="407" w:right="133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What Sets Us Apart</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Since the beginning, we’ve focused on simplifying the lives of our users. In a world where business software can be frustrating to use, challenging to integrate, and expensive to sell, we take a different approach.</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Simple and intuitive design</w:t>
      </w:r>
    </w:p>
    <w:p>
      <w:pPr>
        <w:spacing w:after="0" w:line="98" w:lineRule="exact"/>
        <w:rPr>
          <w:sz w:val="20"/>
          <w:szCs w:val="20"/>
          <w:color w:val="auto"/>
        </w:rPr>
      </w:pPr>
    </w:p>
    <w:p>
      <w:pPr>
        <w:jc w:val="both"/>
        <w:ind w:left="1120" w:right="60" w:firstLine="368"/>
        <w:spacing w:after="0" w:line="290" w:lineRule="auto"/>
        <w:rPr>
          <w:sz w:val="20"/>
          <w:szCs w:val="20"/>
          <w:color w:val="auto"/>
        </w:rPr>
      </w:pPr>
      <w:r>
        <w:rPr>
          <w:rFonts w:ascii="Arial" w:cs="Arial" w:eastAsia="Arial" w:hAnsi="Arial"/>
          <w:sz w:val="14"/>
          <w:szCs w:val="14"/>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Open ecosystem</w:t>
      </w:r>
    </w:p>
    <w:p>
      <w:pPr>
        <w:spacing w:after="0" w:line="9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Viral, bottom-up adoption</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Performance and security</w:t>
      </w:r>
    </w:p>
    <w:p>
      <w:pPr>
        <w:spacing w:after="0" w:line="98"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Industry Trends in Our Favor</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Content is increasingly scattered</w:t>
      </w:r>
    </w:p>
    <w:p>
      <w:pPr>
        <w:spacing w:after="0" w:line="98" w:lineRule="exact"/>
        <w:rPr>
          <w:sz w:val="20"/>
          <w:szCs w:val="20"/>
          <w:color w:val="auto"/>
        </w:rPr>
      </w:pPr>
    </w:p>
    <w:p>
      <w:pPr>
        <w:ind w:left="1120" w:right="380" w:firstLine="368"/>
        <w:spacing w:after="0" w:line="290" w:lineRule="auto"/>
        <w:rPr>
          <w:sz w:val="20"/>
          <w:szCs w:val="20"/>
          <w:color w:val="auto"/>
        </w:rPr>
      </w:pPr>
      <w:r>
        <w:rPr>
          <w:rFonts w:ascii="Arial" w:cs="Arial" w:eastAsia="Arial" w:hAnsi="Arial"/>
          <w:sz w:val="14"/>
          <w:szCs w:val="14"/>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tools people use are fragmented</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80"/>
          </w:cols>
          <w:pgMar w:left="240" w:top="407" w:right="137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Teams have become more fluid and global</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“Work about work” is wasteful and stifles creativity</w:t>
      </w:r>
    </w:p>
    <w:p>
      <w:pPr>
        <w:spacing w:after="0" w:line="98"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Individual users are changing the way software is adopted and purchased</w:t>
      </w:r>
    </w:p>
    <w:p>
      <w:pPr>
        <w:spacing w:after="0" w:line="98" w:lineRule="exact"/>
        <w:rPr>
          <w:sz w:val="20"/>
          <w:szCs w:val="20"/>
          <w:color w:val="auto"/>
        </w:rPr>
      </w:pPr>
    </w:p>
    <w:p>
      <w:pPr>
        <w:ind w:left="1120" w:right="200" w:firstLine="368"/>
        <w:spacing w:after="0" w:line="322" w:lineRule="auto"/>
        <w:rPr>
          <w:sz w:val="20"/>
          <w:szCs w:val="20"/>
          <w:color w:val="auto"/>
        </w:rPr>
      </w:pPr>
      <w:r>
        <w:rPr>
          <w:rFonts w:ascii="Arial" w:cs="Arial" w:eastAsia="Arial" w:hAnsi="Arial"/>
          <w:sz w:val="13"/>
          <w:szCs w:val="13"/>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Solution</w:t>
      </w:r>
    </w:p>
    <w:p>
      <w:pPr>
        <w:spacing w:after="0" w:line="102" w:lineRule="exact"/>
        <w:rPr>
          <w:sz w:val="20"/>
          <w:szCs w:val="20"/>
          <w:color w:val="auto"/>
        </w:rPr>
      </w:pPr>
    </w:p>
    <w:p>
      <w:pPr>
        <w:ind w:left="1120" w:right="20" w:firstLine="368"/>
        <w:spacing w:after="0" w:line="312" w:lineRule="auto"/>
        <w:rPr>
          <w:sz w:val="20"/>
          <w:szCs w:val="20"/>
          <w:color w:val="auto"/>
        </w:rPr>
      </w:pPr>
      <w:r>
        <w:rPr>
          <w:rFonts w:ascii="Arial" w:cs="Arial" w:eastAsia="Arial" w:hAnsi="Arial"/>
          <w:sz w:val="14"/>
          <w:szCs w:val="14"/>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Key elements of our platform</w:t>
      </w:r>
    </w:p>
    <w:p>
      <w:pPr>
        <w:spacing w:after="0" w:line="109" w:lineRule="exact"/>
        <w:rPr>
          <w:sz w:val="20"/>
          <w:szCs w:val="20"/>
          <w:color w:val="auto"/>
        </w:rPr>
      </w:pPr>
    </w:p>
    <w:p>
      <w:pPr>
        <w:ind w:left="1840" w:right="340" w:hanging="276"/>
        <w:spacing w:after="0" w:line="283" w:lineRule="auto"/>
        <w:tabs>
          <w:tab w:leader="none" w:pos="184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Unified home for content. </w:t>
      </w:r>
      <w:r>
        <w:rPr>
          <w:rFonts w:ascii="Arial" w:cs="Arial" w:eastAsia="Arial" w:hAnsi="Arial"/>
          <w:sz w:val="14"/>
          <w:szCs w:val="14"/>
          <w:color w:val="auto"/>
        </w:rPr>
        <w:t>We provide a unified home for the world’s content and the relevant context around it. To date, our users have</w:t>
      </w:r>
      <w:r>
        <w:rPr>
          <w:rFonts w:ascii="Arial" w:cs="Arial" w:eastAsia="Arial" w:hAnsi="Arial"/>
          <w:sz w:val="14"/>
          <w:szCs w:val="14"/>
          <w:i w:val="1"/>
          <w:iCs w:val="1"/>
          <w:color w:val="auto"/>
        </w:rPr>
        <w:t xml:space="preserve"> </w:t>
      </w:r>
      <w:r>
        <w:rPr>
          <w:rFonts w:ascii="Arial" w:cs="Arial" w:eastAsia="Arial" w:hAnsi="Arial"/>
          <w:sz w:val="14"/>
          <w:szCs w:val="14"/>
          <w:color w:val="auto"/>
        </w:rPr>
        <w:t>added more than 400 billion pieces of content to Dropbox, totaling over an exabyte (more than 1,000,000,000 gigabytes)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63" w:lineRule="exact"/>
        <w:rPr>
          <w:rFonts w:ascii="Arial" w:cs="Arial" w:eastAsia="Arial" w:hAnsi="Arial"/>
          <w:sz w:val="14"/>
          <w:szCs w:val="14"/>
          <w:color w:val="auto"/>
        </w:rPr>
      </w:pPr>
    </w:p>
    <w:p>
      <w:pPr>
        <w:ind w:left="1840" w:hanging="276"/>
        <w:spacing w:after="0" w:line="259" w:lineRule="auto"/>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Global sharing network. </w:t>
      </w:r>
      <w:r>
        <w:rPr>
          <w:rFonts w:ascii="Arial" w:cs="Arial" w:eastAsia="Arial" w:hAnsi="Arial"/>
          <w:sz w:val="15"/>
          <w:szCs w:val="15"/>
          <w:color w:val="auto"/>
        </w:rPr>
        <w:t>We’ve built one of the largest collaboration platforms in the world, with more than 4.5 billion connections to shared</w:t>
      </w:r>
      <w:r>
        <w:rPr>
          <w:rFonts w:ascii="Arial" w:cs="Arial" w:eastAsia="Arial" w:hAnsi="Arial"/>
          <w:sz w:val="15"/>
          <w:szCs w:val="15"/>
          <w:i w:val="1"/>
          <w:iCs w:val="1"/>
          <w:color w:val="auto"/>
        </w:rPr>
        <w:t xml:space="preserve"> </w:t>
      </w:r>
      <w:r>
        <w:rPr>
          <w:rFonts w:ascii="Arial" w:cs="Arial" w:eastAsia="Arial" w:hAnsi="Arial"/>
          <w:sz w:val="15"/>
          <w:szCs w:val="15"/>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78" w:lineRule="exact"/>
        <w:rPr>
          <w:rFonts w:ascii="Arial" w:cs="Arial" w:eastAsia="Arial" w:hAnsi="Arial"/>
          <w:sz w:val="15"/>
          <w:szCs w:val="15"/>
          <w:color w:val="auto"/>
        </w:rPr>
      </w:pPr>
    </w:p>
    <w:p>
      <w:pPr>
        <w:jc w:val="both"/>
        <w:ind w:left="1840" w:right="20" w:hanging="276"/>
        <w:spacing w:after="0" w:line="290" w:lineRule="auto"/>
        <w:tabs>
          <w:tab w:leader="none" w:pos="184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New product experiences. </w:t>
      </w:r>
      <w:r>
        <w:rPr>
          <w:rFonts w:ascii="Arial" w:cs="Arial" w:eastAsia="Arial" w:hAnsi="Arial"/>
          <w:sz w:val="14"/>
          <w:szCs w:val="14"/>
          <w:color w:val="auto"/>
        </w:rPr>
        <w:t>The insights we glean from our community of users lead us to develop new product experiences, like Paper, Smart</w:t>
      </w:r>
      <w:r>
        <w:rPr>
          <w:rFonts w:ascii="Arial" w:cs="Arial" w:eastAsia="Arial" w:hAnsi="Arial"/>
          <w:sz w:val="14"/>
          <w:szCs w:val="14"/>
          <w:i w:val="1"/>
          <w:iCs w:val="1"/>
          <w:color w:val="auto"/>
        </w:rPr>
        <w:t xml:space="preserve"> </w:t>
      </w:r>
      <w:r>
        <w:rPr>
          <w:rFonts w:ascii="Arial" w:cs="Arial" w:eastAsia="Arial" w:hAnsi="Arial"/>
          <w:sz w:val="14"/>
          <w:szCs w:val="14"/>
          <w:color w:val="auto"/>
        </w:rPr>
        <w:t>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38" w:lineRule="exact"/>
        <w:rPr>
          <w:sz w:val="20"/>
          <w:szCs w:val="20"/>
          <w:color w:val="auto"/>
        </w:rPr>
      </w:pPr>
    </w:p>
    <w:p>
      <w:pPr>
        <w:ind w:left="1120" w:right="200" w:firstLine="368"/>
        <w:spacing w:after="0" w:line="259" w:lineRule="auto"/>
        <w:rPr>
          <w:sz w:val="20"/>
          <w:szCs w:val="20"/>
          <w:color w:val="auto"/>
        </w:rPr>
      </w:pPr>
      <w:r>
        <w:rPr>
          <w:rFonts w:ascii="Arial" w:cs="Arial" w:eastAsia="Arial" w:hAnsi="Arial"/>
          <w:sz w:val="15"/>
          <w:szCs w:val="15"/>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320"/>
          </w:cols>
          <w:pgMar w:left="240" w:top="407" w:right="133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Growth Strategy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Increase adoption and paid conversion</w:t>
      </w:r>
    </w:p>
    <w:p>
      <w:pPr>
        <w:spacing w:after="0" w:line="98" w:lineRule="exact"/>
        <w:rPr>
          <w:sz w:val="20"/>
          <w:szCs w:val="20"/>
          <w:color w:val="auto"/>
        </w:rPr>
      </w:pPr>
    </w:p>
    <w:p>
      <w:pPr>
        <w:jc w:val="both"/>
        <w:ind w:left="1120" w:firstLine="368"/>
        <w:spacing w:after="0" w:line="294" w:lineRule="auto"/>
        <w:rPr>
          <w:sz w:val="20"/>
          <w:szCs w:val="20"/>
          <w:color w:val="auto"/>
        </w:rPr>
      </w:pPr>
      <w:r>
        <w:rPr>
          <w:rFonts w:ascii="Arial" w:cs="Arial" w:eastAsia="Arial" w:hAnsi="Arial"/>
          <w:sz w:val="13"/>
          <w:szCs w:val="13"/>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w:t>
      </w:r>
    </w:p>
    <w:p>
      <w:pPr>
        <w:spacing w:after="0" w:line="1" w:lineRule="exact"/>
        <w:rPr>
          <w:sz w:val="20"/>
          <w:szCs w:val="20"/>
          <w:color w:val="auto"/>
        </w:rPr>
      </w:pPr>
    </w:p>
    <w:p>
      <w:pPr>
        <w:ind w:left="1120" w:right="80"/>
        <w:spacing w:after="0" w:line="254" w:lineRule="auto"/>
        <w:rPr>
          <w:sz w:val="20"/>
          <w:szCs w:val="20"/>
          <w:color w:val="auto"/>
        </w:rPr>
      </w:pPr>
      <w:r>
        <w:rPr>
          <w:rFonts w:ascii="Arial" w:cs="Arial" w:eastAsia="Arial" w:hAnsi="Arial"/>
          <w:sz w:val="15"/>
          <w:szCs w:val="15"/>
          <w:color w:val="auto"/>
        </w:rPr>
        <w:t>Substantially all of our paying users share at least one of these characteristics. We reach our users through in-product notifications on our website and across hundreds of millions of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Upgrade our paying users</w:t>
      </w:r>
    </w:p>
    <w:p>
      <w:pPr>
        <w:spacing w:after="0" w:line="9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2017, over 40% of new Dropbox Business teams included a member who was previously a subscriber to one of our individual paid plans. We believe that a large majority of individual customers use Dropbox for work, which creates an opportunity to significantly increase conversion to Dropbox Business team offerings over time.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Apply insights to build new product experiences</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Expand our ecosystem</w:t>
      </w:r>
    </w:p>
    <w:p>
      <w:pPr>
        <w:spacing w:after="0" w:line="9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Our open and thriving ecosystem fosters deeper relationships with our users and makes Dropbox more valuable to them over time. The scale and reach of our platform is enhanced by a number of third-party applications, developers, and technology partners. As of December 31, 2017, Dropbox was receiving over 50 billion API calls per month, and more than 500,000 developers had registered and built applications on our platform.</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Market Opportunity</w:t>
      </w:r>
    </w:p>
    <w:p>
      <w:pPr>
        <w:spacing w:after="0" w:line="102"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Our addressable market includes collaborative applications, content management, project and portfolio management, and public cloud storage.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IDC estimates that investment in these categories will total more than $50 billion in 2019.</w:t>
      </w:r>
    </w:p>
    <w:p>
      <w:pPr>
        <w:spacing w:after="0" w:line="179" w:lineRule="exact"/>
        <w:rPr>
          <w:sz w:val="20"/>
          <w:szCs w:val="20"/>
          <w:color w:val="auto"/>
        </w:rPr>
      </w:pPr>
    </w:p>
    <w:p>
      <w:pPr>
        <w:ind w:left="1120" w:firstLine="368"/>
        <w:spacing w:after="0" w:line="312" w:lineRule="auto"/>
        <w:rPr>
          <w:sz w:val="20"/>
          <w:szCs w:val="20"/>
          <w:color w:val="auto"/>
        </w:rPr>
      </w:pPr>
      <w:r>
        <w:rPr>
          <w:rFonts w:ascii="Arial" w:cs="Arial" w:eastAsia="Arial" w:hAnsi="Arial"/>
          <w:sz w:val="14"/>
          <w:szCs w:val="14"/>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300"/>
          </w:cols>
          <w:pgMar w:left="240" w:top="407"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Capabilities</w:t>
      </w:r>
    </w:p>
    <w:p>
      <w:pPr>
        <w:spacing w:after="0" w:line="10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183515</wp:posOffset>
            </wp:positionV>
            <wp:extent cx="4332605" cy="46621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32605" cy="466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240" w:top="407" w:right="14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Create</w:t>
      </w:r>
    </w:p>
    <w:p>
      <w:pPr>
        <w:spacing w:after="0" w:line="9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i w:val="1"/>
          <w:iCs w:val="1"/>
          <w:color w:val="auto"/>
        </w:rPr>
        <w:t>Paper</w:t>
      </w:r>
      <w:r>
        <w:rPr>
          <w:rFonts w:ascii="Arial" w:cs="Arial" w:eastAsia="Arial" w:hAnsi="Arial"/>
          <w:sz w:val="15"/>
          <w:szCs w:val="15"/>
          <w:color w:val="auto"/>
        </w:rPr>
        <w:t>. We introduced Paper in January 2017 as a collaborative surface to bring people and ideas together. With Paper, users can co-author content,</w:t>
      </w:r>
      <w:r>
        <w:rPr>
          <w:rFonts w:ascii="Arial" w:cs="Arial" w:eastAsia="Arial" w:hAnsi="Arial"/>
          <w:sz w:val="15"/>
          <w:szCs w:val="15"/>
          <w:i w:val="1"/>
          <w:iCs w:val="1"/>
          <w:color w:val="auto"/>
        </w:rPr>
        <w:t xml:space="preserve"> </w:t>
      </w:r>
      <w:r>
        <w:rPr>
          <w:rFonts w:ascii="Arial" w:cs="Arial" w:eastAsia="Arial" w:hAnsi="Arial"/>
          <w:sz w:val="15"/>
          <w:szCs w:val="15"/>
          <w:color w:val="auto"/>
        </w:rPr>
        <w:t>tag others, assign tasks with due dates, embed and comment on files, tables, checklists, code snippets, and rich media—all in real-time. We designed Paper to be simple and beautiful so users can focus on the most important ideas and tasks at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-8890</wp:posOffset>
            </wp:positionV>
            <wp:extent cx="3888740" cy="50349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88740" cy="503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320"/>
          </w:cols>
          <w:pgMar w:left="240" w:top="407" w:right="133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i w:val="1"/>
          <w:iCs w:val="1"/>
          <w:color w:val="auto"/>
        </w:rPr>
        <w:t>Doc scanner</w:t>
      </w:r>
      <w:r>
        <w:rPr>
          <w:rFonts w:ascii="Arial" w:cs="Arial" w:eastAsia="Arial" w:hAnsi="Arial"/>
          <w:sz w:val="15"/>
          <w:szCs w:val="15"/>
          <w:color w:val="auto"/>
        </w:rPr>
        <w:t>. The doc scanner in our mobile app lets users create content in Dropbox from hard copies. This includes transforming everything</w:t>
      </w:r>
      <w:r>
        <w:rPr>
          <w:rFonts w:ascii="Arial" w:cs="Arial" w:eastAsia="Arial" w:hAnsi="Arial"/>
          <w:sz w:val="15"/>
          <w:szCs w:val="15"/>
          <w:i w:val="1"/>
          <w:iCs w:val="1"/>
          <w:color w:val="auto"/>
        </w:rPr>
        <w:t xml:space="preserve"> </w:t>
      </w:r>
      <w:r>
        <w:rPr>
          <w:rFonts w:ascii="Arial" w:cs="Arial" w:eastAsia="Arial" w:hAnsi="Arial"/>
          <w:sz w:val="15"/>
          <w:szCs w:val="15"/>
          <w:color w:val="auto"/>
        </w:rPr>
        <w:t>from 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121920</wp:posOffset>
            </wp:positionV>
            <wp:extent cx="4332605" cy="32873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32605" cy="328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80"/>
          </w:cols>
          <w:pgMar w:left="240" w:top="407" w:right="13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Access and organize</w:t>
      </w:r>
    </w:p>
    <w:p>
      <w:pPr>
        <w:spacing w:after="0" w:line="98" w:lineRule="exact"/>
        <w:rPr>
          <w:sz w:val="20"/>
          <w:szCs w:val="20"/>
          <w:color w:val="auto"/>
        </w:rPr>
      </w:pPr>
    </w:p>
    <w:p>
      <w:pPr>
        <w:jc w:val="both"/>
        <w:ind w:left="1120" w:right="119" w:firstLine="368"/>
        <w:spacing w:after="0" w:line="263" w:lineRule="auto"/>
        <w:rPr>
          <w:sz w:val="20"/>
          <w:szCs w:val="20"/>
          <w:color w:val="auto"/>
        </w:rPr>
      </w:pPr>
      <w:r>
        <w:rPr>
          <w:rFonts w:ascii="Arial" w:cs="Arial" w:eastAsia="Arial" w:hAnsi="Arial"/>
          <w:sz w:val="15"/>
          <w:szCs w:val="15"/>
          <w:i w:val="1"/>
          <w:iCs w:val="1"/>
          <w:color w:val="auto"/>
        </w:rPr>
        <w:t>Search</w:t>
      </w:r>
      <w:r>
        <w:rPr>
          <w:rFonts w:ascii="Arial" w:cs="Arial" w:eastAsia="Arial" w:hAnsi="Arial"/>
          <w:sz w:val="15"/>
          <w:szCs w:val="15"/>
          <w:color w:val="auto"/>
        </w:rPr>
        <w:t>. Dropbox has powerful search capabilities that allow users to quickly find the files and folders they need. Our autocomplete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surfaces and prioritizes content based on users’ previous activity. For Dropbox Professional subscribers and Dropbox Business teams, full text search allows users to scan the entire content of their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119380</wp:posOffset>
            </wp:positionV>
            <wp:extent cx="4332605" cy="2341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32605" cy="234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120" w:right="79" w:firstLine="368"/>
        <w:spacing w:after="0" w:line="263" w:lineRule="auto"/>
        <w:rPr>
          <w:sz w:val="20"/>
          <w:szCs w:val="20"/>
          <w:color w:val="auto"/>
        </w:rPr>
      </w:pPr>
      <w:r>
        <w:rPr>
          <w:rFonts w:ascii="Arial" w:cs="Arial" w:eastAsia="Arial" w:hAnsi="Arial"/>
          <w:sz w:val="15"/>
          <w:szCs w:val="15"/>
          <w:i w:val="1"/>
          <w:iCs w:val="1"/>
          <w:color w:val="auto"/>
        </w:rPr>
        <w:t>Rich previews</w:t>
      </w:r>
      <w:r>
        <w:rPr>
          <w:rFonts w:ascii="Arial" w:cs="Arial" w:eastAsia="Arial" w:hAnsi="Arial"/>
          <w:sz w:val="15"/>
          <w:szCs w:val="15"/>
          <w:color w:val="auto"/>
        </w:rPr>
        <w:t>. Rich previews allow users to easily interact with files across any device without having to open different applications. Users can</w:t>
      </w:r>
      <w:r>
        <w:rPr>
          <w:rFonts w:ascii="Arial" w:cs="Arial" w:eastAsia="Arial" w:hAnsi="Arial"/>
          <w:sz w:val="15"/>
          <w:szCs w:val="15"/>
          <w:i w:val="1"/>
          <w:iCs w:val="1"/>
          <w:color w:val="auto"/>
        </w:rPr>
        <w:t xml:space="preserve"> </w:t>
      </w:r>
      <w:r>
        <w:rPr>
          <w:rFonts w:ascii="Arial" w:cs="Arial" w:eastAsia="Arial" w:hAnsi="Arial"/>
          <w:sz w:val="15"/>
          <w:szCs w:val="15"/>
          <w:color w:val="auto"/>
        </w:rPr>
        <w:t>comment on, annotate, review, and present files, and see who viewed and edited them. We support previews of over 280 file types, and Dropbox users currently preview files tens of millions of times every day.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19"/>
          </w:cols>
          <w:pgMar w:left="240" w:top="407" w:right="1440"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i w:val="1"/>
          <w:iCs w:val="1"/>
          <w:color w:val="auto"/>
        </w:rPr>
        <w:t>Smart Sync</w:t>
      </w:r>
      <w:r>
        <w:rPr>
          <w:rFonts w:ascii="Arial" w:cs="Arial" w:eastAsia="Arial" w:hAnsi="Arial"/>
          <w:sz w:val="13"/>
          <w:szCs w:val="13"/>
          <w:color w:val="auto"/>
        </w:rPr>
        <w:t>. With Smart Sync, users can access all of their content natively on their computers without taking up storage space on their local hard</w:t>
      </w:r>
      <w:r>
        <w:rPr>
          <w:rFonts w:ascii="Arial" w:cs="Arial" w:eastAsia="Arial" w:hAnsi="Arial"/>
          <w:sz w:val="13"/>
          <w:szCs w:val="13"/>
          <w:i w:val="1"/>
          <w:iCs w:val="1"/>
          <w:color w:val="auto"/>
        </w:rPr>
        <w:t xml:space="preserve"> </w:t>
      </w:r>
      <w:r>
        <w:rPr>
          <w:rFonts w:ascii="Arial" w:cs="Arial" w:eastAsia="Arial" w:hAnsi="Arial"/>
          <w:sz w:val="13"/>
          <w:szCs w:val="13"/>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Professional subscribers and Dropbox Business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-26035</wp:posOffset>
            </wp:positionV>
            <wp:extent cx="4332605" cy="2936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32605"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120" w:right="120" w:firstLine="368"/>
        <w:spacing w:after="0" w:line="263" w:lineRule="auto"/>
        <w:rPr>
          <w:sz w:val="20"/>
          <w:szCs w:val="20"/>
          <w:color w:val="auto"/>
        </w:rPr>
      </w:pPr>
      <w:r>
        <w:rPr>
          <w:rFonts w:ascii="Arial" w:cs="Arial" w:eastAsia="Arial" w:hAnsi="Arial"/>
          <w:sz w:val="15"/>
          <w:szCs w:val="15"/>
          <w:i w:val="1"/>
          <w:iCs w:val="1"/>
          <w:color w:val="auto"/>
        </w:rPr>
        <w:t>Version history</w:t>
      </w:r>
      <w:r>
        <w:rPr>
          <w:rFonts w:ascii="Arial" w:cs="Arial" w:eastAsia="Arial" w:hAnsi="Arial"/>
          <w:sz w:val="15"/>
          <w:szCs w:val="15"/>
          <w:color w:val="auto"/>
        </w:rPr>
        <w:t>. As paying users work on files, our servers keep snapshots of all their changes. Users can see a file’s complete version history so</w:t>
      </w:r>
      <w:r>
        <w:rPr>
          <w:rFonts w:ascii="Arial" w:cs="Arial" w:eastAsia="Arial" w:hAnsi="Arial"/>
          <w:sz w:val="15"/>
          <w:szCs w:val="15"/>
          <w:i w:val="1"/>
          <w:iCs w:val="1"/>
          <w:color w:val="auto"/>
        </w:rPr>
        <w:t xml:space="preserve"> </w:t>
      </w:r>
      <w:r>
        <w:rPr>
          <w:rFonts w:ascii="Arial" w:cs="Arial" w:eastAsia="Arial" w:hAnsi="Arial"/>
          <w:sz w:val="15"/>
          <w:szCs w:val="15"/>
          <w:color w:val="auto"/>
        </w:rPr>
        <w:t>they can reference and retrieve older versions if needed. Version histories are kept between 30 to 120 days for paying users, depending on subscription plan.</w:t>
      </w:r>
    </w:p>
    <w:p>
      <w:pPr>
        <w:spacing w:after="0" w:line="155" w:lineRule="exact"/>
        <w:rPr>
          <w:sz w:val="20"/>
          <w:szCs w:val="20"/>
          <w:color w:val="auto"/>
        </w:rPr>
      </w:pPr>
    </w:p>
    <w:p>
      <w:pPr>
        <w:ind w:left="1120" w:right="280" w:firstLine="368"/>
        <w:spacing w:after="0" w:line="279" w:lineRule="auto"/>
        <w:rPr>
          <w:sz w:val="20"/>
          <w:szCs w:val="20"/>
          <w:color w:val="auto"/>
        </w:rPr>
      </w:pPr>
      <w:r>
        <w:rPr>
          <w:rFonts w:ascii="Arial" w:cs="Arial" w:eastAsia="Arial" w:hAnsi="Arial"/>
          <w:sz w:val="14"/>
          <w:szCs w:val="14"/>
          <w:i w:val="1"/>
          <w:iCs w:val="1"/>
          <w:color w:val="auto"/>
        </w:rPr>
        <w:t>Third-party ecosystem</w:t>
      </w:r>
      <w:r>
        <w:rPr>
          <w:rFonts w:ascii="Arial" w:cs="Arial" w:eastAsia="Arial" w:hAnsi="Arial"/>
          <w:sz w:val="14"/>
          <w:szCs w:val="14"/>
          <w:color w:val="auto"/>
        </w:rPr>
        <w:t>. Our open and thriving ecosystem fosters deeper relationships with our users and developers. Developers can build</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applications that connect to Dropbox through our DBX Developer Platform. For example, email apps can plug into Dropbox to send attachments or shared links, and note-taking apps can allow users to save to Dropbox so they can open their notes on another device. As of December 31, 2017, Dropbox was receiving over 50 billion API calls per month and over 500,000 developers had registered and built applications on our platform. In addition, more than 75% of Dropbox Business teams have linked to one or more third-party applications.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w:t>
      </w:r>
    </w:p>
    <w:p>
      <w:pPr>
        <w:spacing w:after="0" w:line="9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i w:val="1"/>
          <w:iCs w:val="1"/>
          <w:color w:val="auto"/>
        </w:rPr>
        <w:t>Folders</w:t>
      </w:r>
      <w:r>
        <w:rPr>
          <w:rFonts w:ascii="Arial" w:cs="Arial" w:eastAsia="Arial" w:hAnsi="Arial"/>
          <w:sz w:val="14"/>
          <w:szCs w:val="14"/>
          <w:color w:val="auto"/>
        </w:rPr>
        <w:t>. There are three types of folders in Dropbox: private, shared, and team folders. A private folder allows an individual to sync files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80"/>
          </w:cols>
          <w:pgMar w:left="240" w:top="407" w:right="137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i w:val="1"/>
          <w:iCs w:val="1"/>
          <w:color w:val="auto"/>
        </w:rPr>
        <w:t>Shared links</w:t>
      </w:r>
      <w:r>
        <w:rPr>
          <w:rFonts w:ascii="Arial" w:cs="Arial" w:eastAsia="Arial" w:hAnsi="Arial"/>
          <w:sz w:val="15"/>
          <w:szCs w:val="15"/>
          <w:color w:val="auto"/>
        </w:rPr>
        <w:t>. Users can share files and folders with anyone, including non-Dropbox users, by creating a Dropbox link. Once created, the link can</w:t>
      </w:r>
      <w:r>
        <w:rPr>
          <w:rFonts w:ascii="Arial" w:cs="Arial" w:eastAsia="Arial" w:hAnsi="Arial"/>
          <w:sz w:val="15"/>
          <w:szCs w:val="15"/>
          <w:i w:val="1"/>
          <w:iCs w:val="1"/>
          <w:color w:val="auto"/>
        </w:rPr>
        <w:t xml:space="preserve"> </w:t>
      </w:r>
      <w:r>
        <w:rPr>
          <w:rFonts w:ascii="Arial" w:cs="Arial" w:eastAsia="Arial" w:hAnsi="Arial"/>
          <w:sz w:val="15"/>
          <w:szCs w:val="15"/>
          <w:color w:val="auto"/>
        </w:rPr>
        <w:t>be 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58" w:lineRule="exact"/>
        <w:rPr>
          <w:sz w:val="20"/>
          <w:szCs w:val="20"/>
          <w:color w:val="auto"/>
        </w:rPr>
      </w:pPr>
    </w:p>
    <w:p>
      <w:pPr>
        <w:ind w:left="1120" w:right="360" w:firstLine="368"/>
        <w:spacing w:after="0" w:line="259" w:lineRule="auto"/>
        <w:rPr>
          <w:sz w:val="20"/>
          <w:szCs w:val="20"/>
          <w:color w:val="auto"/>
        </w:rPr>
      </w:pPr>
      <w:r>
        <w:rPr>
          <w:rFonts w:ascii="Arial" w:cs="Arial" w:eastAsia="Arial" w:hAnsi="Arial"/>
          <w:sz w:val="15"/>
          <w:szCs w:val="15"/>
          <w:i w:val="1"/>
          <w:iCs w:val="1"/>
          <w:color w:val="auto"/>
        </w:rPr>
        <w:t>Showcase</w:t>
      </w:r>
      <w:r>
        <w:rPr>
          <w:rFonts w:ascii="Arial" w:cs="Arial" w:eastAsia="Arial" w:hAnsi="Arial"/>
          <w:sz w:val="15"/>
          <w:szCs w:val="15"/>
          <w:color w:val="auto"/>
        </w:rPr>
        <w:t>. Showcase gives users a way to present their work to clients and business partners through a customizable, professionally branded</w:t>
      </w:r>
      <w:r>
        <w:rPr>
          <w:rFonts w:ascii="Arial" w:cs="Arial" w:eastAsia="Arial" w:hAnsi="Arial"/>
          <w:sz w:val="15"/>
          <w:szCs w:val="15"/>
          <w:i w:val="1"/>
          <w:iCs w:val="1"/>
          <w:color w:val="auto"/>
        </w:rPr>
        <w:t xml:space="preserve"> </w:t>
      </w:r>
      <w:r>
        <w:rPr>
          <w:rFonts w:ascii="Arial" w:cs="Arial" w:eastAsia="Arial" w:hAnsi="Arial"/>
          <w:sz w:val="15"/>
          <w:szCs w:val="15"/>
          <w:color w:val="auto"/>
        </w:rPr>
        <w:t>webpage. Users can display visual previews of multiple files on the same page and add relevant context with introductory text and captions and an introduction. Showcase also lets users track how recipients engage with their content, including analytics on who has viewed, commented, or downloaded content on a per-person and per-file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121285</wp:posOffset>
            </wp:positionV>
            <wp:extent cx="4332605" cy="42754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32605" cy="427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80"/>
          </w:cols>
          <w:pgMar w:left="240" w:top="407" w:right="137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171450</wp:posOffset>
            </wp:positionV>
            <wp:extent cx="4332605" cy="3881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32605" cy="388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0" w:right="119" w:firstLine="368"/>
        <w:spacing w:after="0" w:line="290" w:lineRule="auto"/>
        <w:rPr>
          <w:sz w:val="20"/>
          <w:szCs w:val="20"/>
          <w:color w:val="auto"/>
        </w:rPr>
      </w:pPr>
      <w:r>
        <w:rPr>
          <w:rFonts w:ascii="Arial" w:cs="Arial" w:eastAsia="Arial" w:hAnsi="Arial"/>
          <w:sz w:val="14"/>
          <w:szCs w:val="14"/>
          <w:i w:val="1"/>
          <w:iCs w:val="1"/>
          <w:color w:val="auto"/>
        </w:rPr>
        <w:t>File requests</w:t>
      </w:r>
      <w:r>
        <w:rPr>
          <w:rFonts w:ascii="Arial" w:cs="Arial" w:eastAsia="Arial" w:hAnsi="Arial"/>
          <w:sz w:val="14"/>
          <w:szCs w:val="14"/>
          <w:color w:val="auto"/>
        </w:rPr>
        <w:t>. With file requests, users can invite anyone to submit files into a specified Dropbox folder through a simple link—regardless of</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19"/>
          </w:cols>
          <w:pgMar w:left="240" w:top="407" w:right="1440"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Collaborate</w:t>
      </w:r>
    </w:p>
    <w:p>
      <w:pPr>
        <w:spacing w:after="0" w:line="98" w:lineRule="exact"/>
        <w:rPr>
          <w:sz w:val="20"/>
          <w:szCs w:val="20"/>
          <w:color w:val="auto"/>
        </w:rPr>
      </w:pPr>
    </w:p>
    <w:p>
      <w:pPr>
        <w:ind w:left="1120" w:right="79" w:firstLine="368"/>
        <w:spacing w:after="0" w:line="263" w:lineRule="auto"/>
        <w:rPr>
          <w:sz w:val="20"/>
          <w:szCs w:val="20"/>
          <w:color w:val="auto"/>
        </w:rPr>
      </w:pPr>
      <w:r>
        <w:rPr>
          <w:rFonts w:ascii="Arial" w:cs="Arial" w:eastAsia="Arial" w:hAnsi="Arial"/>
          <w:sz w:val="15"/>
          <w:szCs w:val="15"/>
          <w:i w:val="1"/>
          <w:iCs w:val="1"/>
          <w:color w:val="auto"/>
        </w:rPr>
        <w:t>Comments and annotations</w:t>
      </w:r>
      <w:r>
        <w:rPr>
          <w:rFonts w:ascii="Arial" w:cs="Arial" w:eastAsia="Arial" w:hAnsi="Arial"/>
          <w:sz w:val="15"/>
          <w:szCs w:val="15"/>
          <w:color w:val="auto"/>
        </w:rPr>
        <w:t>. Dropbox comments and annotations marry content with the conversations and relevant context around it. Instead of</w:t>
      </w:r>
      <w:r>
        <w:rPr>
          <w:rFonts w:ascii="Arial" w:cs="Arial" w:eastAsia="Arial" w:hAnsi="Arial"/>
          <w:sz w:val="15"/>
          <w:szCs w:val="15"/>
          <w:i w:val="1"/>
          <w:iCs w:val="1"/>
          <w:color w:val="auto"/>
        </w:rPr>
        <w:t xml:space="preserve"> </w:t>
      </w:r>
      <w:r>
        <w:rPr>
          <w:rFonts w:ascii="Arial" w:cs="Arial" w:eastAsia="Arial" w:hAnsi="Arial"/>
          <w:sz w:val="15"/>
          <w:szCs w:val="15"/>
          <w:color w:val="auto"/>
        </w:rPr>
        <w:t>being scattered across separate silos, such as email and chat, the editing and development of content are tied to a file. Users can give feedback on specific parts of files through a rich, innovative overlay on our web and mobile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119380</wp:posOffset>
            </wp:positionV>
            <wp:extent cx="4332605" cy="28930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32605" cy="289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i w:val="1"/>
          <w:iCs w:val="1"/>
          <w:color w:val="auto"/>
        </w:rPr>
        <w:t xml:space="preserve">File activity stream. </w:t>
      </w:r>
      <w:r>
        <w:rPr>
          <w:rFonts w:ascii="Arial" w:cs="Arial" w:eastAsia="Arial" w:hAnsi="Arial"/>
          <w:sz w:val="15"/>
          <w:szCs w:val="15"/>
          <w:color w:val="auto"/>
        </w:rPr>
        <w:t>An activity feed lives next to every file preview on our web interface, telling users what’s happening with a file. The feed</w:t>
      </w:r>
      <w:r>
        <w:rPr>
          <w:rFonts w:ascii="Arial" w:cs="Arial" w:eastAsia="Arial" w:hAnsi="Arial"/>
          <w:sz w:val="15"/>
          <w:szCs w:val="15"/>
          <w:i w:val="1"/>
          <w:iCs w:val="1"/>
          <w:color w:val="auto"/>
        </w:rPr>
        <w:t xml:space="preserve"> </w:t>
      </w:r>
      <w:r>
        <w:rPr>
          <w:rFonts w:ascii="Arial" w:cs="Arial" w:eastAsia="Arial" w:hAnsi="Arial"/>
          <w:sz w:val="15"/>
          <w:szCs w:val="15"/>
          <w:color w:val="auto"/>
        </w:rPr>
        <w:t>shows when someone opens a file, edits a file, or shares a file.</w:t>
      </w:r>
    </w:p>
    <w:p>
      <w:pPr>
        <w:spacing w:after="0" w:line="146" w:lineRule="exact"/>
        <w:rPr>
          <w:sz w:val="20"/>
          <w:szCs w:val="20"/>
          <w:color w:val="auto"/>
        </w:rPr>
      </w:pPr>
    </w:p>
    <w:p>
      <w:pPr>
        <w:ind w:left="1120" w:right="279" w:firstLine="368"/>
        <w:spacing w:after="0" w:line="263" w:lineRule="auto"/>
        <w:rPr>
          <w:sz w:val="20"/>
          <w:szCs w:val="20"/>
          <w:color w:val="auto"/>
        </w:rPr>
      </w:pPr>
      <w:r>
        <w:rPr>
          <w:rFonts w:ascii="Arial" w:cs="Arial" w:eastAsia="Arial" w:hAnsi="Arial"/>
          <w:sz w:val="15"/>
          <w:szCs w:val="15"/>
          <w:i w:val="1"/>
          <w:iCs w:val="1"/>
          <w:color w:val="auto"/>
        </w:rPr>
        <w:t>Notifications</w:t>
      </w:r>
      <w:r>
        <w:rPr>
          <w:rFonts w:ascii="Arial" w:cs="Arial" w:eastAsia="Arial" w:hAnsi="Arial"/>
          <w:sz w:val="15"/>
          <w:szCs w:val="15"/>
          <w:color w:val="auto"/>
        </w:rPr>
        <w:t>. We use real-time notifications across all our channels—web, desktop, email, and mobile—to keep users up-to-date on what’s</w:t>
      </w:r>
      <w:r>
        <w:rPr>
          <w:rFonts w:ascii="Arial" w:cs="Arial" w:eastAsia="Arial" w:hAnsi="Arial"/>
          <w:sz w:val="15"/>
          <w:szCs w:val="15"/>
          <w:i w:val="1"/>
          <w:iCs w:val="1"/>
          <w:color w:val="auto"/>
        </w:rPr>
        <w:t xml:space="preserve"> </w:t>
      </w:r>
      <w:r>
        <w:rPr>
          <w:rFonts w:ascii="Arial" w:cs="Arial" w:eastAsia="Arial" w:hAnsi="Arial"/>
          <w:sz w:val="15"/>
          <w:szCs w:val="15"/>
          <w:color w:val="auto"/>
        </w:rPr>
        <w:t>happening with their work. Users can choose to be notified when someone opens, edits, shares, or comments on a file, or adds a file to their shared folders. These notifications keep collaborators in sync without having to open the file or doc.</w:t>
      </w:r>
    </w:p>
    <w:p>
      <w:pPr>
        <w:spacing w:after="0" w:line="155" w:lineRule="exact"/>
        <w:rPr>
          <w:sz w:val="20"/>
          <w:szCs w:val="20"/>
          <w:color w:val="auto"/>
        </w:rPr>
      </w:pPr>
    </w:p>
    <w:p>
      <w:pPr>
        <w:ind w:left="1120" w:right="59" w:firstLine="368"/>
        <w:spacing w:after="0" w:line="283" w:lineRule="auto"/>
        <w:rPr>
          <w:sz w:val="20"/>
          <w:szCs w:val="20"/>
          <w:color w:val="auto"/>
        </w:rPr>
      </w:pPr>
      <w:r>
        <w:rPr>
          <w:rFonts w:ascii="Arial" w:cs="Arial" w:eastAsia="Arial" w:hAnsi="Arial"/>
          <w:sz w:val="14"/>
          <w:szCs w:val="14"/>
          <w:i w:val="1"/>
          <w:iCs w:val="1"/>
          <w:color w:val="auto"/>
        </w:rPr>
        <w:t>Viewer information and presence</w:t>
      </w:r>
      <w:r>
        <w:rPr>
          <w:rFonts w:ascii="Arial" w:cs="Arial" w:eastAsia="Arial" w:hAnsi="Arial"/>
          <w:sz w:val="14"/>
          <w:szCs w:val="14"/>
          <w:color w:val="auto"/>
        </w:rPr>
        <w:t>. On both file previews and Paper docs, Dropbox shows users in real-time who’s viewing a doc and when a doc</w:t>
      </w:r>
      <w:r>
        <w:rPr>
          <w:rFonts w:ascii="Arial" w:cs="Arial" w:eastAsia="Arial" w:hAnsi="Arial"/>
          <w:sz w:val="14"/>
          <w:szCs w:val="14"/>
          <w:i w:val="1"/>
          <w:iCs w:val="1"/>
          <w:color w:val="auto"/>
        </w:rPr>
        <w:t xml:space="preserve"> </w:t>
      </w:r>
      <w:r>
        <w:rPr>
          <w:rFonts w:ascii="Arial" w:cs="Arial" w:eastAsia="Arial" w:hAnsi="Arial"/>
          <w:sz w:val="14"/>
          <w:szCs w:val="14"/>
          <w:color w:val="auto"/>
        </w:rPr>
        <w:t>was 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Secure</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 xml:space="preserve">Security protections. </w:t>
      </w:r>
      <w:r>
        <w:rPr>
          <w:rFonts w:ascii="Arial" w:cs="Arial" w:eastAsia="Arial" w:hAnsi="Arial"/>
          <w:sz w:val="15"/>
          <w:szCs w:val="15"/>
          <w:color w:val="auto"/>
        </w:rPr>
        <w:t>We employ strong protections for all of the data on our platform.</w:t>
      </w:r>
    </w:p>
    <w:p>
      <w:pPr>
        <w:spacing w:after="0" w:line="109" w:lineRule="exact"/>
        <w:rPr>
          <w:sz w:val="20"/>
          <w:szCs w:val="20"/>
          <w:color w:val="auto"/>
        </w:rPr>
      </w:pPr>
    </w:p>
    <w:p>
      <w:pPr>
        <w:ind w:left="1840" w:right="59" w:hanging="276"/>
        <w:spacing w:after="0" w:line="275" w:lineRule="auto"/>
        <w:tabs>
          <w:tab w:leader="none" w:pos="184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Encryption</w:t>
      </w:r>
      <w:r>
        <w:rPr>
          <w:rFonts w:ascii="Arial" w:cs="Arial" w:eastAsia="Arial" w:hAnsi="Arial"/>
          <w:sz w:val="15"/>
          <w:szCs w:val="15"/>
          <w:color w:val="auto"/>
        </w:rPr>
        <w:t>. Dropbox file data at rest is encrypted using 256-bit Advanced Encryption Standard, or AES. To protect data in transit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Dropbox apps such as desktop, mobile, API, or web and our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19"/>
          </w:cols>
          <w:pgMar w:left="240" w:top="407" w:right="1440"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420"/>
        <w:spacing w:after="0" w:line="275" w:lineRule="auto"/>
        <w:rPr>
          <w:sz w:val="20"/>
          <w:szCs w:val="20"/>
          <w:color w:val="auto"/>
        </w:rPr>
      </w:pPr>
      <w:r>
        <w:rPr>
          <w:rFonts w:ascii="Arial" w:cs="Arial" w:eastAsia="Arial" w:hAnsi="Arial"/>
          <w:sz w:val="15"/>
          <w:szCs w:val="15"/>
          <w:color w:val="auto"/>
        </w:rPr>
        <w:t>servers, Dropbox uses Secure Sockets Layer, or SSL, and Transport Layer Security, or TLS, for data transfer, creating a secure tunnel protected by 128-bit or higher AES encryption.</w:t>
      </w:r>
    </w:p>
    <w:p>
      <w:pPr>
        <w:spacing w:after="0" w:line="67" w:lineRule="exact"/>
        <w:rPr>
          <w:sz w:val="20"/>
          <w:szCs w:val="20"/>
          <w:color w:val="auto"/>
        </w:rPr>
      </w:pPr>
    </w:p>
    <w:p>
      <w:pPr>
        <w:ind w:left="1840" w:right="80" w:hanging="276"/>
        <w:spacing w:after="0" w:line="263"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File recovery</w:t>
      </w:r>
      <w:r>
        <w:rPr>
          <w:rFonts w:ascii="Arial" w:cs="Arial" w:eastAsia="Arial" w:hAnsi="Arial"/>
          <w:sz w:val="15"/>
          <w:szCs w:val="15"/>
          <w:color w:val="auto"/>
        </w:rPr>
        <w:t>. Every deletion event in Dropbox is recorded, including when groups of files are deleted. Users can easily recover files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our web interface. Dropbox Plus subscribers may recover prior versions for up to 30 days after deletion, and Dropbox Professional and Dropbox Business subscribers may recover prior versions for up to 120 days after deletion.</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Administrator controls</w:t>
      </w:r>
      <w:r>
        <w:rPr>
          <w:rFonts w:ascii="Arial" w:cs="Arial" w:eastAsia="Arial" w:hAnsi="Arial"/>
          <w:sz w:val="13"/>
          <w:szCs w:val="13"/>
          <w:color w:val="auto"/>
        </w:rPr>
        <w:t>. Dropbox Business team administrators have many ways to customize security settings in both global and granular ways.</w:t>
      </w:r>
    </w:p>
    <w:p>
      <w:pPr>
        <w:spacing w:after="0" w:line="132" w:lineRule="exact"/>
        <w:rPr>
          <w:sz w:val="20"/>
          <w:szCs w:val="20"/>
          <w:color w:val="auto"/>
        </w:rPr>
      </w:pPr>
    </w:p>
    <w:p>
      <w:pPr>
        <w:ind w:left="184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Sharing permissions</w:t>
      </w:r>
      <w:r>
        <w:rPr>
          <w:rFonts w:ascii="Arial" w:cs="Arial" w:eastAsia="Arial" w:hAnsi="Arial"/>
          <w:sz w:val="15"/>
          <w:szCs w:val="15"/>
          <w:color w:val="auto"/>
        </w:rPr>
        <w:t>: Team administrators can set up and monitor how their members share team folders, and can set sharing permissions on</w:t>
      </w:r>
      <w:r>
        <w:rPr>
          <w:rFonts w:ascii="Arial" w:cs="Arial" w:eastAsia="Arial" w:hAnsi="Arial"/>
          <w:sz w:val="15"/>
          <w:szCs w:val="15"/>
          <w:i w:val="1"/>
          <w:iCs w:val="1"/>
          <w:color w:val="auto"/>
        </w:rPr>
        <w:t xml:space="preserve"> </w:t>
      </w:r>
      <w:r>
        <w:rPr>
          <w:rFonts w:ascii="Arial" w:cs="Arial" w:eastAsia="Arial" w:hAnsi="Arial"/>
          <w:sz w:val="15"/>
          <w:szCs w:val="15"/>
          <w:color w:val="auto"/>
        </w:rPr>
        <w:t>all folders, sub-folders, and links through the sharing tab.</w:t>
      </w:r>
    </w:p>
    <w:p>
      <w:pPr>
        <w:spacing w:after="0" w:line="67" w:lineRule="exact"/>
        <w:rPr>
          <w:rFonts w:ascii="Arial" w:cs="Arial" w:eastAsia="Arial" w:hAnsi="Arial"/>
          <w:sz w:val="15"/>
          <w:szCs w:val="15"/>
          <w:color w:val="auto"/>
        </w:rPr>
      </w:pPr>
    </w:p>
    <w:p>
      <w:pPr>
        <w:ind w:left="1840" w:right="50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Remote device wipe</w:t>
      </w:r>
      <w:r>
        <w:rPr>
          <w:rFonts w:ascii="Arial" w:cs="Arial" w:eastAsia="Arial" w:hAnsi="Arial"/>
          <w:sz w:val="15"/>
          <w:szCs w:val="15"/>
          <w:color w:val="auto"/>
        </w:rPr>
        <w:t>: Team administrators can delete their organization’s Dropbox content from a member’s linked devices,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especially useful should someone lose a device or leave the team.</w:t>
      </w:r>
    </w:p>
    <w:p>
      <w:pPr>
        <w:spacing w:after="0" w:line="67" w:lineRule="exact"/>
        <w:rPr>
          <w:rFonts w:ascii="Arial" w:cs="Arial" w:eastAsia="Arial" w:hAnsi="Arial"/>
          <w:sz w:val="15"/>
          <w:szCs w:val="15"/>
          <w:color w:val="auto"/>
        </w:rPr>
      </w:pPr>
    </w:p>
    <w:p>
      <w:pPr>
        <w:ind w:left="1840" w:right="280" w:hanging="276"/>
        <w:spacing w:after="0" w:line="263"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Audit log</w:t>
      </w:r>
      <w:r>
        <w:rPr>
          <w:rFonts w:ascii="Arial" w:cs="Arial" w:eastAsia="Arial" w:hAnsi="Arial"/>
          <w:sz w:val="15"/>
          <w:szCs w:val="15"/>
          <w:color w:val="auto"/>
        </w:rPr>
        <w:t>: Team administrators can monitor which members are sharing files and logging into Dropbox, among other events. They can</w:t>
      </w:r>
      <w:r>
        <w:rPr>
          <w:rFonts w:ascii="Arial" w:cs="Arial" w:eastAsia="Arial" w:hAnsi="Arial"/>
          <w:sz w:val="15"/>
          <w:szCs w:val="15"/>
          <w:i w:val="1"/>
          <w:iCs w:val="1"/>
          <w:color w:val="auto"/>
        </w:rPr>
        <w:t xml:space="preserve"> </w:t>
      </w:r>
      <w:r>
        <w:rPr>
          <w:rFonts w:ascii="Arial" w:cs="Arial" w:eastAsia="Arial" w:hAnsi="Arial"/>
          <w:sz w:val="15"/>
          <w:szCs w:val="15"/>
          <w:color w:val="auto"/>
        </w:rPr>
        <w:t>review activity logs, create full reports for specific time ranges, and pull activity reports on specific members. Advanced and Enterprise team administrators have access to audit logs with file-event tracking.</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Device approvals</w:t>
      </w:r>
      <w:r>
        <w:rPr>
          <w:rFonts w:ascii="Arial" w:cs="Arial" w:eastAsia="Arial" w:hAnsi="Arial"/>
          <w:sz w:val="15"/>
          <w:szCs w:val="15"/>
          <w:color w:val="auto"/>
        </w:rPr>
        <w:t>: Advanced and Enterprise team administrators can manage how members access Dropbox on their devices.</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Tiered administrator roles</w:t>
      </w:r>
      <w:r>
        <w:rPr>
          <w:rFonts w:ascii="Arial" w:cs="Arial" w:eastAsia="Arial" w:hAnsi="Arial"/>
          <w:sz w:val="15"/>
          <w:szCs w:val="15"/>
          <w:color w:val="auto"/>
        </w:rPr>
        <w:t>: Advanced and Enterprise teams have the ability to set multiple administrator roles, each with a different set of</w:t>
      </w:r>
      <w:r>
        <w:rPr>
          <w:rFonts w:ascii="Arial" w:cs="Arial" w:eastAsia="Arial" w:hAnsi="Arial"/>
          <w:sz w:val="15"/>
          <w:szCs w:val="15"/>
          <w:i w:val="1"/>
          <w:iCs w:val="1"/>
          <w:color w:val="auto"/>
        </w:rPr>
        <w:t xml:space="preserve"> </w:t>
      </w:r>
      <w:r>
        <w:rPr>
          <w:rFonts w:ascii="Arial" w:cs="Arial" w:eastAsia="Arial" w:hAnsi="Arial"/>
          <w:sz w:val="15"/>
          <w:szCs w:val="15"/>
          <w:color w:val="auto"/>
        </w:rPr>
        <w:t>permissions.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Network control</w:t>
      </w:r>
      <w:r>
        <w:rPr>
          <w:rFonts w:ascii="Arial" w:cs="Arial" w:eastAsia="Arial" w:hAnsi="Arial"/>
          <w:sz w:val="15"/>
          <w:szCs w:val="15"/>
          <w:color w:val="auto"/>
        </w:rPr>
        <w:t>: Enterprise team administrators can restrict personal Dropbox usage on their organization’s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12065</wp:posOffset>
            </wp:positionV>
            <wp:extent cx="4332605" cy="2313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3260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i w:val="1"/>
          <w:iCs w:val="1"/>
          <w:color w:val="auto"/>
        </w:rPr>
        <w:t>Third-party security integrations</w:t>
      </w:r>
      <w:r>
        <w:rPr>
          <w:rFonts w:ascii="Arial" w:cs="Arial" w:eastAsia="Arial" w:hAnsi="Arial"/>
          <w:sz w:val="15"/>
          <w:szCs w:val="15"/>
          <w:color w:val="auto"/>
        </w:rPr>
        <w:t>. We’ve partnered with industry-leading third parties to enable us to provide a wide range of IT processes and</w:t>
      </w:r>
      <w:r>
        <w:rPr>
          <w:rFonts w:ascii="Arial" w:cs="Arial" w:eastAsia="Arial" w:hAnsi="Arial"/>
          <w:sz w:val="15"/>
          <w:szCs w:val="15"/>
          <w:i w:val="1"/>
          <w:iCs w:val="1"/>
          <w:color w:val="auto"/>
        </w:rPr>
        <w:t xml:space="preserve"> </w:t>
      </w:r>
      <w:r>
        <w:rPr>
          <w:rFonts w:ascii="Arial" w:cs="Arial" w:eastAsia="Arial" w:hAnsi="Arial"/>
          <w:sz w:val="15"/>
          <w:szCs w:val="15"/>
          <w:color w:val="auto"/>
        </w:rPr>
        <w:t>satisfy industry compliance standards, including:</w:t>
      </w:r>
    </w:p>
    <w:p>
      <w:pPr>
        <w:spacing w:after="0" w:line="67" w:lineRule="exact"/>
        <w:rPr>
          <w:sz w:val="20"/>
          <w:szCs w:val="20"/>
          <w:color w:val="auto"/>
        </w:rPr>
      </w:pPr>
    </w:p>
    <w:p>
      <w:pPr>
        <w:ind w:left="1840" w:hanging="276"/>
        <w:spacing w:after="0" w:line="275" w:lineRule="auto"/>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Security information and event management</w:t>
      </w:r>
      <w:r>
        <w:rPr>
          <w:rFonts w:ascii="Arial" w:cs="Arial" w:eastAsia="Arial" w:hAnsi="Arial"/>
          <w:sz w:val="15"/>
          <w:szCs w:val="15"/>
          <w:color w:val="auto"/>
        </w:rPr>
        <w:t>: Allows Dropbox Business administrators to oversee and manage employee activity, and access</w:t>
      </w:r>
      <w:r>
        <w:rPr>
          <w:rFonts w:ascii="Arial" w:cs="Arial" w:eastAsia="Arial" w:hAnsi="Arial"/>
          <w:sz w:val="15"/>
          <w:szCs w:val="15"/>
          <w:i w:val="1"/>
          <w:iCs w:val="1"/>
          <w:color w:val="auto"/>
        </w:rPr>
        <w:t xml:space="preserve"> </w:t>
      </w:r>
      <w:r>
        <w:rPr>
          <w:rFonts w:ascii="Arial" w:cs="Arial" w:eastAsia="Arial" w:hAnsi="Arial"/>
          <w:sz w:val="15"/>
          <w:szCs w:val="15"/>
          <w:color w:val="auto"/>
        </w:rPr>
        <w:t>sensitive data through the administrator page.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80"/>
          </w:cols>
          <w:pgMar w:left="240" w:top="407" w:right="137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28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Data loss prevention</w:t>
      </w:r>
      <w:r>
        <w:rPr>
          <w:rFonts w:ascii="Arial" w:cs="Arial" w:eastAsia="Arial" w:hAnsi="Arial"/>
          <w:sz w:val="15"/>
          <w:szCs w:val="15"/>
          <w:color w:val="auto"/>
        </w:rPr>
        <w:t>: Protects sensitive data like personally identifiable information and payment card industry data stored in Dropbox</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accounts.</w:t>
      </w:r>
    </w:p>
    <w:p>
      <w:pPr>
        <w:spacing w:after="0" w:line="67"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eDiscovery and legal hold</w:t>
      </w:r>
      <w:r>
        <w:rPr>
          <w:rFonts w:ascii="Arial" w:cs="Arial" w:eastAsia="Arial" w:hAnsi="Arial"/>
          <w:sz w:val="15"/>
          <w:szCs w:val="15"/>
          <w:color w:val="auto"/>
        </w:rPr>
        <w:t>: Enables secure search and the ability to collect and preserve electronically stored information in Dropbox</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accounts.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Digital rights management</w:t>
      </w:r>
      <w:r>
        <w:rPr>
          <w:rFonts w:ascii="Arial" w:cs="Arial" w:eastAsia="Arial" w:hAnsi="Arial"/>
          <w:sz w:val="15"/>
          <w:szCs w:val="15"/>
          <w:color w:val="auto"/>
        </w:rPr>
        <w:t>: Provides third-party encryption for company data stored in Dropbox Business accounts.</w:t>
      </w:r>
    </w:p>
    <w:p>
      <w:pPr>
        <w:spacing w:after="0" w:line="109"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Data migration and on-premises backup</w:t>
      </w:r>
      <w:r>
        <w:rPr>
          <w:rFonts w:ascii="Arial" w:cs="Arial" w:eastAsia="Arial" w:hAnsi="Arial"/>
          <w:sz w:val="15"/>
          <w:szCs w:val="15"/>
          <w:color w:val="auto"/>
        </w:rPr>
        <w:t>: Assists in transferring large amounts of data between locations and securing sensitive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 on-site data backup.</w:t>
      </w:r>
    </w:p>
    <w:p>
      <w:pPr>
        <w:spacing w:after="0" w:line="67" w:lineRule="exact"/>
        <w:rPr>
          <w:rFonts w:ascii="Arial" w:cs="Arial" w:eastAsia="Arial" w:hAnsi="Arial"/>
          <w:sz w:val="15"/>
          <w:szCs w:val="15"/>
          <w:color w:val="auto"/>
        </w:rPr>
      </w:pPr>
    </w:p>
    <w:p>
      <w:pPr>
        <w:ind w:left="1840" w:right="8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Identity management</w:t>
      </w:r>
      <w:r>
        <w:rPr>
          <w:rFonts w:ascii="Arial" w:cs="Arial" w:eastAsia="Arial" w:hAnsi="Arial"/>
          <w:sz w:val="15"/>
          <w:szCs w:val="15"/>
          <w:color w:val="auto"/>
        </w:rPr>
        <w:t>: Allows companies to keep their Dropbox Business team authenticated with an external identity provider like Active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240" w:top="407" w:right="143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Subscription Plans</w:t>
      </w:r>
    </w:p>
    <w:p>
      <w:pPr>
        <w:spacing w:after="0" w:line="102" w:lineRule="exact"/>
        <w:rPr>
          <w:sz w:val="20"/>
          <w:szCs w:val="20"/>
          <w:color w:val="auto"/>
        </w:rPr>
      </w:pPr>
    </w:p>
    <w:p>
      <w:pPr>
        <w:jc w:val="right"/>
        <w:ind w:right="119"/>
        <w:spacing w:after="0"/>
        <w:rPr>
          <w:sz w:val="20"/>
          <w:szCs w:val="20"/>
          <w:color w:val="auto"/>
        </w:rPr>
      </w:pPr>
      <w:r>
        <w:rPr>
          <w:rFonts w:ascii="Arial" w:cs="Arial" w:eastAsia="Arial" w:hAnsi="Arial"/>
          <w:sz w:val="15"/>
          <w:szCs w:val="15"/>
          <w:color w:val="auto"/>
        </w:rPr>
        <w:t>We offer subscription plans to serve the varying needs of our diverse customer base, which includes individuals, teams, and organizations of all</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134620</wp:posOffset>
            </wp:positionV>
            <wp:extent cx="4203700" cy="4841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03700" cy="484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Customers</w:t>
      </w:r>
    </w:p>
    <w:p>
      <w:pPr>
        <w:spacing w:after="0" w:line="102"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color w:val="auto"/>
        </w:rPr>
        <w:t>We’ve built a thriving global business with over 11 million paying users. Of these subscribers, approximately 30% use Dropbox for work on a Dropbox Business team plan, and we estimate that an additional</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19"/>
          </w:cols>
          <w:pgMar w:left="240" w:top="407" w:right="1440"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5" w:lineRule="auto"/>
        <w:rPr>
          <w:sz w:val="20"/>
          <w:szCs w:val="20"/>
          <w:color w:val="auto"/>
        </w:rPr>
      </w:pPr>
      <w:r>
        <w:rPr>
          <w:rFonts w:ascii="Arial" w:cs="Arial" w:eastAsia="Arial" w:hAnsi="Arial"/>
          <w:sz w:val="15"/>
          <w:szCs w:val="15"/>
          <w:color w:val="auto"/>
        </w:rPr>
        <w:t>50% use Dropbox for work on an individual plan, collectively totaling approximately 80% of paying subscribers. As of December 31, 2017, we had more than 300,000 paying Dropbox Business teams, and approximately 56% of Fortune 500 companies had at least one Dropbox Business team within their organization. Our customer base is highly diversified, and in 2015, 2016, and 2017,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How we support our customers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All of our users can access support through the following resources:</w:t>
      </w:r>
    </w:p>
    <w:p>
      <w:pPr>
        <w:spacing w:after="0" w:line="109" w:lineRule="exact"/>
        <w:rPr>
          <w:sz w:val="20"/>
          <w:szCs w:val="20"/>
          <w:color w:val="auto"/>
        </w:rPr>
      </w:pPr>
    </w:p>
    <w:p>
      <w:pPr>
        <w:ind w:left="1840" w:right="320" w:hanging="276"/>
        <w:spacing w:after="0" w:line="275"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Help center</w:t>
      </w:r>
      <w:r>
        <w:rPr>
          <w:rFonts w:ascii="Arial" w:cs="Arial" w:eastAsia="Arial" w:hAnsi="Arial"/>
          <w:sz w:val="15"/>
          <w:szCs w:val="15"/>
          <w:color w:val="auto"/>
        </w:rPr>
        <w:t>: Provides an online repository of helpful information about our platform, responses to frequently asked questions, and best</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practices for use.</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Community support</w:t>
      </w:r>
      <w:r>
        <w:rPr>
          <w:rFonts w:ascii="Arial" w:cs="Arial" w:eastAsia="Arial" w:hAnsi="Arial"/>
          <w:sz w:val="13"/>
          <w:szCs w:val="13"/>
          <w:color w:val="auto"/>
        </w:rPr>
        <w:t>: Facilitates collaboration between users on answers, solutions, and ideas about our platform in an online community.</w:t>
      </w:r>
    </w:p>
    <w:p>
      <w:pPr>
        <w:spacing w:after="0" w:line="132" w:lineRule="exact"/>
        <w:rPr>
          <w:rFonts w:ascii="Arial" w:cs="Arial" w:eastAsia="Arial" w:hAnsi="Arial"/>
          <w:sz w:val="13"/>
          <w:szCs w:val="13"/>
          <w:color w:val="auto"/>
        </w:rPr>
      </w:pPr>
    </w:p>
    <w:p>
      <w:pPr>
        <w:ind w:left="1840" w:hanging="276"/>
        <w:spacing w:after="0"/>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Twitter support</w:t>
      </w:r>
      <w:r>
        <w:rPr>
          <w:rFonts w:ascii="Arial" w:cs="Arial" w:eastAsia="Arial" w:hAnsi="Arial"/>
          <w:sz w:val="15"/>
          <w:szCs w:val="15"/>
          <w:color w:val="auto"/>
        </w:rPr>
        <w:t>: Provides users real-time product and service updates, and offers tips and troubleshooting information.</w:t>
      </w:r>
    </w:p>
    <w:p>
      <w:pPr>
        <w:spacing w:after="0" w:line="109" w:lineRule="exact"/>
        <w:rPr>
          <w:rFonts w:ascii="Arial" w:cs="Arial" w:eastAsia="Arial" w:hAnsi="Arial"/>
          <w:sz w:val="15"/>
          <w:szCs w:val="15"/>
          <w:color w:val="auto"/>
        </w:rPr>
      </w:pPr>
    </w:p>
    <w:p>
      <w:pPr>
        <w:ind w:left="1840" w:right="280" w:hanging="276"/>
        <w:spacing w:after="0" w:line="275"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Guided troubleshooting</w:t>
      </w:r>
      <w:r>
        <w:rPr>
          <w:rFonts w:ascii="Arial" w:cs="Arial" w:eastAsia="Arial" w:hAnsi="Arial"/>
          <w:sz w:val="15"/>
          <w:szCs w:val="15"/>
          <w:color w:val="auto"/>
        </w:rPr>
        <w:t>: Offers step-by-step instructions to resolve common questions and provides a portal to submit help requests for</w:t>
      </w:r>
      <w:r>
        <w:rPr>
          <w:rFonts w:ascii="Arial" w:cs="Arial" w:eastAsia="Arial" w:hAnsi="Arial"/>
          <w:sz w:val="15"/>
          <w:szCs w:val="15"/>
          <w:i w:val="1"/>
          <w:iCs w:val="1"/>
          <w:color w:val="auto"/>
        </w:rPr>
        <w:t xml:space="preserve"> </w:t>
      </w:r>
      <w:r>
        <w:rPr>
          <w:rFonts w:ascii="Arial" w:cs="Arial" w:eastAsia="Arial" w:hAnsi="Arial"/>
          <w:sz w:val="15"/>
          <w:szCs w:val="15"/>
          <w:color w:val="auto"/>
        </w:rPr>
        <w:t>questions that aren’t otherwise available.</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also offer additional support for our paying users as described above in “Our Subscription Plans.”</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Case Studies</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customer examples below illustrate how businesses from different industries benefit from our platform.</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60"/>
          </w:cols>
          <w:pgMar w:left="240" w:top="407" w:right="139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0219"/>
          </w:cols>
          <w:pgMar w:left="240" w:top="407" w:right="1440"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Sales and Marketing Approach</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users share content and collaborate on our platform, they introduce and invite new users, driving viral growth. We generate 90% of our revenue from self-serve channels, which reduces customer acquisition costs.</w:t>
      </w:r>
    </w:p>
    <w:p>
      <w:pPr>
        <w:spacing w:after="0" w:line="14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During the fourth quarter of 2017, hundreds of millions of devices—including computers, phones, and tablets—were actively connected to the Dropbox platform, representing a large number of touchpoints to communicate with our users.</w:t>
      </w:r>
    </w:p>
    <w:p>
      <w:pPr>
        <w:spacing w:after="0" w:line="159"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Technology Infrastructure and Operations</w:t>
      </w:r>
    </w:p>
    <w:p>
      <w:pPr>
        <w:spacing w:after="0" w:line="102" w:lineRule="exact"/>
        <w:rPr>
          <w:sz w:val="20"/>
          <w:szCs w:val="20"/>
          <w:color w:val="auto"/>
        </w:rPr>
      </w:pPr>
    </w:p>
    <w:p>
      <w:pPr>
        <w:jc w:val="both"/>
        <w:ind w:left="1120" w:right="160" w:firstLine="368"/>
        <w:spacing w:after="0" w:line="290" w:lineRule="auto"/>
        <w:rPr>
          <w:sz w:val="20"/>
          <w:szCs w:val="20"/>
          <w:color w:val="auto"/>
        </w:rPr>
      </w:pPr>
      <w:r>
        <w:rPr>
          <w:rFonts w:ascii="Arial" w:cs="Arial" w:eastAsia="Arial" w:hAnsi="Arial"/>
          <w:sz w:val="14"/>
          <w:szCs w:val="14"/>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138" w:lineRule="exact"/>
        <w:rPr>
          <w:sz w:val="20"/>
          <w:szCs w:val="20"/>
          <w:color w:val="auto"/>
        </w:rPr>
      </w:pPr>
    </w:p>
    <w:p>
      <w:pPr>
        <w:ind w:left="1120" w:right="220" w:firstLine="368"/>
        <w:spacing w:after="0" w:line="290" w:lineRule="auto"/>
        <w:rPr>
          <w:sz w:val="20"/>
          <w:szCs w:val="20"/>
          <w:color w:val="auto"/>
        </w:rPr>
      </w:pPr>
      <w:r>
        <w:rPr>
          <w:rFonts w:ascii="Arial" w:cs="Arial" w:eastAsia="Arial" w:hAnsi="Arial"/>
          <w:sz w:val="14"/>
          <w:szCs w:val="14"/>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38" w:lineRule="exact"/>
        <w:rPr>
          <w:sz w:val="20"/>
          <w:szCs w:val="20"/>
          <w:color w:val="auto"/>
        </w:rPr>
      </w:pPr>
    </w:p>
    <w:p>
      <w:pPr>
        <w:jc w:val="both"/>
        <w:ind w:left="1120" w:right="260" w:firstLine="368"/>
        <w:spacing w:after="0" w:line="263" w:lineRule="auto"/>
        <w:rPr>
          <w:sz w:val="20"/>
          <w:szCs w:val="20"/>
          <w:color w:val="auto"/>
        </w:rPr>
      </w:pPr>
      <w:r>
        <w:rPr>
          <w:rFonts w:ascii="Arial" w:cs="Arial" w:eastAsia="Arial" w:hAnsi="Arial"/>
          <w:sz w:val="15"/>
          <w:szCs w:val="15"/>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Research and Development Approach</w:t>
      </w:r>
    </w:p>
    <w:p>
      <w:pPr>
        <w:spacing w:after="0" w:line="102"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We invest substantial resources in research and development to enhance our platform, develop new products and features, and improve our infrastructure.</w:t>
      </w:r>
    </w:p>
    <w:p>
      <w:pPr>
        <w:spacing w:after="0" w:line="146" w:lineRule="exact"/>
        <w:rPr>
          <w:sz w:val="20"/>
          <w:szCs w:val="20"/>
          <w:color w:val="auto"/>
        </w:rPr>
      </w:pPr>
    </w:p>
    <w:p>
      <w:pPr>
        <w:ind w:left="1120" w:right="260" w:firstLine="368"/>
        <w:spacing w:after="0" w:line="290" w:lineRule="auto"/>
        <w:rPr>
          <w:sz w:val="20"/>
          <w:szCs w:val="20"/>
          <w:color w:val="auto"/>
        </w:rPr>
      </w:pPr>
      <w:r>
        <w:rPr>
          <w:rFonts w:ascii="Arial" w:cs="Arial" w:eastAsia="Arial" w:hAnsi="Arial"/>
          <w:sz w:val="14"/>
          <w:szCs w:val="14"/>
          <w:color w:val="auto"/>
        </w:rPr>
        <w:t>Our research and development organization consists of world-class engineering, product, and design teams. As of December 31, 2017, we had more than 870 professionals across these teams, representing approximately 47% of our full-time employees. They have a diverse set of skills and industry experience, including expertise in massively distributed systems and user-centric application engineering.</w:t>
      </w:r>
    </w:p>
    <w:p>
      <w:pPr>
        <w:spacing w:after="0" w:line="138"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Our engineering, product, and design teams work together to bring our products to life, from conception and validation to implementation. We continually improve our existing products, update them to work with the latest platforms and technologies, and launch new and innovative products and features.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300"/>
          </w:cols>
          <w:pgMar w:left="240" w:top="407" w:right="135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Values</w:t>
      </w:r>
    </w:p>
    <w:p>
      <w:pPr>
        <w:spacing w:after="0" w:line="102" w:lineRule="exact"/>
        <w:rPr>
          <w:sz w:val="20"/>
          <w:szCs w:val="20"/>
          <w:color w:val="auto"/>
        </w:rPr>
      </w:pPr>
    </w:p>
    <w:p>
      <w:pPr>
        <w:jc w:val="both"/>
        <w:ind w:left="1120" w:right="140" w:firstLine="368"/>
        <w:spacing w:after="0" w:line="354" w:lineRule="auto"/>
        <w:rPr>
          <w:sz w:val="20"/>
          <w:szCs w:val="20"/>
          <w:color w:val="auto"/>
        </w:rPr>
      </w:pPr>
      <w:r>
        <w:rPr>
          <w:rFonts w:ascii="Arial" w:cs="Arial" w:eastAsia="Arial" w:hAnsi="Arial"/>
          <w:sz w:val="13"/>
          <w:szCs w:val="13"/>
          <w:color w:val="auto"/>
        </w:rPr>
        <w:t>Since our founding, we’ve focused on building a culture of innovation and teamwork. As our company grew, we developed five core values that are critical to our success. Our values are a compass and part of everyday life for Dropboxers. Each one guides how we treat each other and our users.</w:t>
      </w:r>
    </w:p>
    <w:p>
      <w:pPr>
        <w:spacing w:after="0" w:line="21" w:lineRule="exact"/>
        <w:rPr>
          <w:sz w:val="20"/>
          <w:szCs w:val="20"/>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Be worthy of trust</w:t>
      </w:r>
    </w:p>
    <w:p>
      <w:pPr>
        <w:spacing w:after="0" w:line="98" w:lineRule="exact"/>
        <w:rPr>
          <w:rFonts w:ascii="Arial" w:cs="Arial" w:eastAsia="Arial" w:hAnsi="Arial"/>
          <w:sz w:val="15"/>
          <w:szCs w:val="15"/>
          <w:color w:val="auto"/>
        </w:rPr>
      </w:pPr>
    </w:p>
    <w:p>
      <w:pPr>
        <w:ind w:left="1840" w:right="240"/>
        <w:spacing w:after="0" w:line="275" w:lineRule="auto"/>
        <w:rPr>
          <w:rFonts w:ascii="Arial" w:cs="Arial" w:eastAsia="Arial" w:hAnsi="Arial"/>
          <w:sz w:val="15"/>
          <w:szCs w:val="15"/>
          <w:color w:val="auto"/>
        </w:rPr>
      </w:pPr>
      <w:r>
        <w:rPr>
          <w:rFonts w:ascii="Arial" w:cs="Arial" w:eastAsia="Arial" w:hAnsi="Arial"/>
          <w:sz w:val="15"/>
          <w:szCs w:val="15"/>
          <w:i w:val="1"/>
          <w:iCs w:val="1"/>
          <w:color w:val="auto"/>
        </w:rPr>
        <w:t xml:space="preserve">Take care of each other and our users, and keep their best interests at heart. </w:t>
      </w:r>
      <w:r>
        <w:rPr>
          <w:rFonts w:ascii="Arial" w:cs="Arial" w:eastAsia="Arial" w:hAnsi="Arial"/>
          <w:sz w:val="15"/>
          <w:szCs w:val="15"/>
          <w:color w:val="auto"/>
        </w:rPr>
        <w:t>Millions of people and businesses trust us to safeguard their</w:t>
      </w:r>
      <w:r>
        <w:rPr>
          <w:rFonts w:ascii="Arial" w:cs="Arial" w:eastAsia="Arial" w:hAnsi="Arial"/>
          <w:sz w:val="15"/>
          <w:szCs w:val="15"/>
          <w:i w:val="1"/>
          <w:iCs w:val="1"/>
          <w:color w:val="auto"/>
        </w:rPr>
        <w:t xml:space="preserve"> </w:t>
      </w:r>
      <w:r>
        <w:rPr>
          <w:rFonts w:ascii="Arial" w:cs="Arial" w:eastAsia="Arial" w:hAnsi="Arial"/>
          <w:sz w:val="15"/>
          <w:szCs w:val="15"/>
          <w:color w:val="auto"/>
        </w:rPr>
        <w:t>most important information. We strive to be as transparent as possible with them and each other.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Sweat the details</w:t>
      </w:r>
    </w:p>
    <w:p>
      <w:pPr>
        <w:spacing w:after="0" w:line="98" w:lineRule="exact"/>
        <w:rPr>
          <w:rFonts w:ascii="Arial" w:cs="Arial" w:eastAsia="Arial" w:hAnsi="Arial"/>
          <w:sz w:val="15"/>
          <w:szCs w:val="15"/>
          <w:color w:val="auto"/>
        </w:rPr>
      </w:pPr>
    </w:p>
    <w:p>
      <w:pPr>
        <w:ind w:left="184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Obsess over quality and strive to master your craft. </w:t>
      </w:r>
      <w:r>
        <w:rPr>
          <w:rFonts w:ascii="Arial" w:cs="Arial" w:eastAsia="Arial" w:hAnsi="Arial"/>
          <w:sz w:val="15"/>
          <w:szCs w:val="15"/>
          <w:color w:val="auto"/>
        </w:rPr>
        <w:t>We believe that truly insightful solutions emerge from a deep understanding of problems</w:t>
      </w:r>
      <w:r>
        <w:rPr>
          <w:rFonts w:ascii="Arial" w:cs="Arial" w:eastAsia="Arial" w:hAnsi="Arial"/>
          <w:sz w:val="15"/>
          <w:szCs w:val="15"/>
          <w:i w:val="1"/>
          <w:iCs w:val="1"/>
          <w:color w:val="auto"/>
        </w:rPr>
        <w:t xml:space="preserve"> </w:t>
      </w:r>
      <w:r>
        <w:rPr>
          <w:rFonts w:ascii="Arial" w:cs="Arial" w:eastAsia="Arial" w:hAnsi="Arial"/>
          <w:sz w:val="15"/>
          <w:szCs w:val="15"/>
          <w:color w:val="auto"/>
        </w:rPr>
        <w:t>and a dedication to iteration. We push ourselves (and each other) to get to the root of problems, and we don’t accept sloppy solutions or band-aids.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Aim higher</w:t>
      </w:r>
    </w:p>
    <w:p>
      <w:pPr>
        <w:spacing w:after="0" w:line="98" w:lineRule="exact"/>
        <w:rPr>
          <w:rFonts w:ascii="Arial" w:cs="Arial" w:eastAsia="Arial" w:hAnsi="Arial"/>
          <w:sz w:val="15"/>
          <w:szCs w:val="15"/>
          <w:color w:val="auto"/>
        </w:rPr>
      </w:pPr>
    </w:p>
    <w:p>
      <w:pPr>
        <w:ind w:left="1840" w:right="28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Set audacious goals. </w:t>
      </w:r>
      <w:r>
        <w:rPr>
          <w:rFonts w:ascii="Arial" w:cs="Arial" w:eastAsia="Arial" w:hAnsi="Arial"/>
          <w:sz w:val="15"/>
          <w:szCs w:val="15"/>
          <w:color w:val="auto"/>
        </w:rPr>
        <w:t>We believe in taking risks and being willing to disrupt ourselves, so we don’t squander an opportunity to build</w:t>
      </w:r>
      <w:r>
        <w:rPr>
          <w:rFonts w:ascii="Arial" w:cs="Arial" w:eastAsia="Arial" w:hAnsi="Arial"/>
          <w:sz w:val="15"/>
          <w:szCs w:val="15"/>
          <w:i w:val="1"/>
          <w:iCs w:val="1"/>
          <w:color w:val="auto"/>
        </w:rPr>
        <w:t xml:space="preserve"> </w:t>
      </w:r>
      <w:r>
        <w:rPr>
          <w:rFonts w:ascii="Arial" w:cs="Arial" w:eastAsia="Arial" w:hAnsi="Arial"/>
          <w:sz w:val="15"/>
          <w:szCs w:val="15"/>
          <w:color w:val="auto"/>
        </w:rPr>
        <w:t>something much bigger. With the density of incredible talent at Dropbox and the size of the opportunity in front of us, we owe it to each other to push limits.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We, not I</w:t>
      </w:r>
    </w:p>
    <w:p>
      <w:pPr>
        <w:spacing w:after="0" w:line="98" w:lineRule="exact"/>
        <w:rPr>
          <w:rFonts w:ascii="Arial" w:cs="Arial" w:eastAsia="Arial" w:hAnsi="Arial"/>
          <w:sz w:val="15"/>
          <w:szCs w:val="15"/>
          <w:color w:val="auto"/>
        </w:rPr>
      </w:pPr>
    </w:p>
    <w:p>
      <w:pPr>
        <w:jc w:val="both"/>
        <w:ind w:left="1840" w:right="10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We’re a village, and as members, we each need to do our part for the village to thrive. </w:t>
      </w:r>
      <w:r>
        <w:rPr>
          <w:rFonts w:ascii="Arial" w:cs="Arial" w:eastAsia="Arial" w:hAnsi="Arial"/>
          <w:sz w:val="15"/>
          <w:szCs w:val="15"/>
          <w:color w:val="auto"/>
        </w:rPr>
        <w:t>We tackle a never-ending stream of people,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challenges, many of which are far too hard to be solved by a single person or team. We believe in people really knowing each other and in putting the welfare of the company and our users before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54610</wp:posOffset>
            </wp:positionV>
            <wp:extent cx="307975" cy="3721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7975" cy="372110"/>
                    </a:xfrm>
                    <a:prstGeom prst="rect">
                      <a:avLst/>
                    </a:prstGeom>
                    <a:noFill/>
                  </pic:spPr>
                </pic:pic>
              </a:graphicData>
            </a:graphic>
          </wp:anchor>
        </w:drawing>
      </w:r>
    </w:p>
    <w:p>
      <w:pPr>
        <w:spacing w:after="0" w:line="259"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w:t>
      </w:r>
    </w:p>
    <w:p>
      <w:pPr>
        <w:spacing w:after="0" w:line="301" w:lineRule="exact"/>
        <w:rPr>
          <w:sz w:val="20"/>
          <w:szCs w:val="20"/>
          <w:color w:val="auto"/>
        </w:rPr>
      </w:pPr>
    </w:p>
    <w:p>
      <w:pPr>
        <w:ind w:left="1840" w:right="40"/>
        <w:spacing w:after="0" w:line="259" w:lineRule="auto"/>
        <w:rPr>
          <w:sz w:val="20"/>
          <w:szCs w:val="20"/>
          <w:color w:val="auto"/>
        </w:rPr>
      </w:pPr>
      <w:r>
        <w:rPr>
          <w:rFonts w:ascii="Arial" w:cs="Arial" w:eastAsia="Arial" w:hAnsi="Arial"/>
          <w:sz w:val="15"/>
          <w:szCs w:val="15"/>
          <w:i w:val="1"/>
          <w:iCs w:val="1"/>
          <w:color w:val="auto"/>
        </w:rPr>
        <w:t xml:space="preserve">Surprise and delight each other and our users. </w:t>
      </w:r>
      <w:r>
        <w:rPr>
          <w:rFonts w:ascii="Arial" w:cs="Arial" w:eastAsia="Arial" w:hAnsi="Arial"/>
          <w:sz w:val="15"/>
          <w:szCs w:val="15"/>
          <w:color w:val="auto"/>
        </w:rPr>
        <w:t>Cupcake is about adding an authentic, human touch to everything we do. But more than that,</w:t>
      </w:r>
      <w:r>
        <w:rPr>
          <w:rFonts w:ascii="Arial" w:cs="Arial" w:eastAsia="Arial" w:hAnsi="Arial"/>
          <w:sz w:val="15"/>
          <w:szCs w:val="15"/>
          <w:i w:val="1"/>
          <w:iCs w:val="1"/>
          <w:color w:val="auto"/>
        </w:rPr>
        <w:t xml:space="preserve"> </w:t>
      </w:r>
      <w:r>
        <w:rPr>
          <w:rFonts w:ascii="Arial" w:cs="Arial" w:eastAsia="Arial" w:hAnsi="Arial"/>
          <w:sz w:val="15"/>
          <w:szCs w:val="15"/>
          <w:color w:val="auto"/>
        </w:rPr>
        <w:t>it’s about finding creative ways to make our users (and each other) smile—whether it’s our quirky illustrations, or bringing a roving ice cream cart to the office to celebrate a product launch. We believe that the magic we create together as Dropboxers translates into magic for our users.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Employees</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As of December 31, 2017, we had 1,858 full-time employees. We also engage contractors and consultants. None of our employees are represented by a labor union. We have not experienced any work stoppages, and we believe that our employee relations are strong.</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Commitment to Security and Privacy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Trust is the foundation of our relationship with our users, and we take significant measures every day to protect their privacy and security.</w:t>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Security</w:t>
      </w:r>
    </w:p>
    <w:p>
      <w:pPr>
        <w:spacing w:after="0" w:line="98"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300"/>
          </w:cols>
          <w:pgMar w:left="240" w:top="407" w:right="135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w:t>
      </w:r>
    </w:p>
    <w:p>
      <w:pPr>
        <w:spacing w:after="0" w:line="155"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voluntarily engage third-party security auditors to test our systems and controls at least annually against the most widely recognized security standards and regulations. Our Dropbox Trust Program consists of key infrastructure processes such as change management, access control, security management, and human resource management. Our program also serves as an Information Security Management System, or ISMS, as prescribed by the International Organization for Standardization, or ISO, and the International Electrotechnical Commission 27001:2013 international information security standard. It also qualifies as a Business Continuity Management System, or BCMS, as prescribed by the ISO 22301:2012 international business continuity standard.</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ISO has developed a series of standards for information security and related areas. We’ve received the following ISO certifications:</w:t>
      </w:r>
    </w:p>
    <w:p>
      <w:pPr>
        <w:spacing w:after="0" w:line="121" w:lineRule="exact"/>
        <w:rPr>
          <w:sz w:val="20"/>
          <w:szCs w:val="20"/>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27001 (Information Security Management)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27017 (Cloud Security)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27018 (Cloud Privacy and Data Protection)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22301 (Business Continuity Management)</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We’ve also completed a SOC 1, SOC 2, and SOC 3 examination. Service Organization Controls, or SOC, are standards established by the American Institute of Certified Public Accountants for reporting on internal control environments implemented within an organization. Our datacenter facilities and services providers also regularly undergo ISO 27001, SOC 1, and/or SOC 2 audits to verify their security practices. The ISO 27001 security standard specifies the requirements for establishing, implementing, operating, monitoring, reviewing, maintaining, and improving a documented Information Security Management System within the context of the organization’s overall business risks. This standard addresses confidentiality, access control, vulnerability, and risk assessment.</w:t>
      </w:r>
    </w:p>
    <w:p>
      <w:pPr>
        <w:spacing w:after="0" w:line="164"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4"/>
          <w:szCs w:val="14"/>
          <w:color w:val="auto"/>
        </w:rPr>
        <w:t>In addition, we have CSA STAR Level 1 and Level 2 certifications from the Cloud Security Alliance, or CSA, a security assurance program for cloud services. CSA Security, Trust &amp; Assurance Registry, or STAR, is a free, publicly-accessible registry that offers a security assurance program for cloud services, helping users assess the security posture of cloud providers they currently use or are considering contracting with. CSA STAR Level 2 Certification requires a third-party independent assessment of our security controls based on the requirements of ISO 27001 and the CSA Cloud Controls Matrix, or CCM, v.3.0.1, a set of criteria that measures the capability levels of cloud services. The CSA STAR Level 1 Self-Assessment is a rigorous survey based on CSA’s Consensus Assessments Initiative Questionnaire, which aligns with the CCM, and provides answers to almost 300 questions a cloud customer or a cloud security auditor may ask. We’re also listed in the UK Digital Marketplace for government cloud services procurement under the current framework, known as G-Cloud 9.</w:t>
      </w:r>
    </w:p>
    <w:p>
      <w:pPr>
        <w:spacing w:after="0" w:line="148" w:lineRule="exact"/>
        <w:rPr>
          <w:sz w:val="20"/>
          <w:szCs w:val="20"/>
          <w:color w:val="auto"/>
        </w:rPr>
      </w:pPr>
    </w:p>
    <w:p>
      <w:pPr>
        <w:jc w:val="both"/>
        <w:ind w:left="1120" w:right="280" w:firstLine="368"/>
        <w:spacing w:after="0" w:line="263" w:lineRule="auto"/>
        <w:rPr>
          <w:sz w:val="20"/>
          <w:szCs w:val="20"/>
          <w:color w:val="auto"/>
        </w:rPr>
      </w:pPr>
      <w:r>
        <w:rPr>
          <w:rFonts w:ascii="Arial" w:cs="Arial" w:eastAsia="Arial" w:hAnsi="Arial"/>
          <w:sz w:val="15"/>
          <w:szCs w:val="15"/>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Privacy</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is working towards compliance with the EU General Data Protection Regulation, or GDPR, framework.</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300"/>
          </w:cols>
          <w:pgMar w:left="240" w:top="407" w:right="135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0" w:firstLine="368"/>
        <w:spacing w:after="0" w:line="275" w:lineRule="auto"/>
        <w:rPr>
          <w:sz w:val="20"/>
          <w:szCs w:val="20"/>
          <w:color w:val="auto"/>
        </w:rPr>
      </w:pPr>
      <w:r>
        <w:rPr>
          <w:rFonts w:ascii="Arial" w:cs="Arial" w:eastAsia="Arial" w:hAnsi="Arial"/>
          <w:sz w:val="15"/>
          <w:szCs w:val="15"/>
          <w:color w:val="auto"/>
        </w:rPr>
        <w:t>We believe in transparency with our users and have adopted guiding principles regarding how we handle requests from government and law enforcement agencies seeking information about our users and their content. These guiding principles are:</w:t>
      </w:r>
    </w:p>
    <w:p>
      <w:pPr>
        <w:spacing w:after="0" w:line="67" w:lineRule="exact"/>
        <w:rPr>
          <w:sz w:val="20"/>
          <w:szCs w:val="20"/>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Be transparent</w:t>
      </w:r>
    </w:p>
    <w:p>
      <w:pPr>
        <w:spacing w:after="0" w:line="109" w:lineRule="exact"/>
        <w:rPr>
          <w:rFonts w:ascii="Arial" w:cs="Arial" w:eastAsia="Arial" w:hAnsi="Arial"/>
          <w:sz w:val="15"/>
          <w:szCs w:val="15"/>
          <w:color w:val="auto"/>
        </w:rPr>
      </w:pPr>
    </w:p>
    <w:p>
      <w:pPr>
        <w:jc w:val="both"/>
        <w:ind w:left="2300" w:right="380" w:hanging="364"/>
        <w:spacing w:after="0" w:line="263" w:lineRule="auto"/>
        <w:tabs>
          <w:tab w:leader="none" w:pos="23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We believe that online services should be allowed to publish the number and types of government requests they receive, and to notify individuals when information about them has been requested. We’ll continue to publish detailed information about these requests and advocate for the right to provide more information.</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Fight overly broad requests</w:t>
      </w:r>
    </w:p>
    <w:p>
      <w:pPr>
        <w:spacing w:after="0" w:line="109" w:lineRule="exact"/>
        <w:rPr>
          <w:rFonts w:ascii="Arial" w:cs="Arial" w:eastAsia="Arial" w:hAnsi="Arial"/>
          <w:sz w:val="15"/>
          <w:szCs w:val="15"/>
          <w:color w:val="auto"/>
        </w:rPr>
      </w:pPr>
    </w:p>
    <w:p>
      <w:pPr>
        <w:ind w:left="2300" w:hanging="364"/>
        <w:spacing w:after="0" w:line="275" w:lineRule="auto"/>
        <w:tabs>
          <w:tab w:leader="none" w:pos="23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We believe that government data requests should be limited in the information they seek and narrowly tailored to specific people and legitimate investigations. We’ll resist blanket and overly broad requests.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Provide trusted services</w:t>
      </w:r>
    </w:p>
    <w:p>
      <w:pPr>
        <w:spacing w:after="0" w:line="109" w:lineRule="exact"/>
        <w:rPr>
          <w:rFonts w:ascii="Arial" w:cs="Arial" w:eastAsia="Arial" w:hAnsi="Arial"/>
          <w:sz w:val="15"/>
          <w:szCs w:val="15"/>
          <w:color w:val="auto"/>
        </w:rPr>
      </w:pPr>
    </w:p>
    <w:p>
      <w:pPr>
        <w:ind w:left="2300" w:right="200" w:hanging="364"/>
        <w:spacing w:after="0" w:line="312" w:lineRule="auto"/>
        <w:tabs>
          <w:tab w:leader="none" w:pos="2300" w:val="left"/>
        </w:tabs>
        <w:numPr>
          <w:ilvl w:val="1"/>
          <w:numId w:val="55"/>
        </w:numPr>
        <w:rPr>
          <w:rFonts w:ascii="Arial" w:cs="Arial" w:eastAsia="Arial" w:hAnsi="Arial"/>
          <w:sz w:val="14"/>
          <w:szCs w:val="14"/>
          <w:color w:val="auto"/>
        </w:rPr>
      </w:pPr>
      <w:r>
        <w:rPr>
          <w:rFonts w:ascii="Arial" w:cs="Arial" w:eastAsia="Arial" w:hAnsi="Arial"/>
          <w:sz w:val="14"/>
          <w:szCs w:val="14"/>
          <w:color w:val="auto"/>
        </w:rPr>
        <w:t>We believe that governments should never install backdoors into online services or compromise infrastructure to obtain user data. We’ll continue to work to protect our systems and to change laws to make it clear that this type of activity is illegal.</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Protect all users</w:t>
      </w:r>
    </w:p>
    <w:p>
      <w:pPr>
        <w:spacing w:after="0" w:line="109" w:lineRule="exact"/>
        <w:rPr>
          <w:rFonts w:ascii="Arial" w:cs="Arial" w:eastAsia="Arial" w:hAnsi="Arial"/>
          <w:sz w:val="15"/>
          <w:szCs w:val="15"/>
          <w:color w:val="auto"/>
        </w:rPr>
      </w:pPr>
    </w:p>
    <w:p>
      <w:pPr>
        <w:ind w:left="2300" w:hanging="364"/>
        <w:spacing w:after="0" w:line="290" w:lineRule="auto"/>
        <w:tabs>
          <w:tab w:leader="none" w:pos="2300" w:val="left"/>
        </w:tabs>
        <w:numPr>
          <w:ilvl w:val="1"/>
          <w:numId w:val="55"/>
        </w:numPr>
        <w:rPr>
          <w:rFonts w:ascii="Arial" w:cs="Arial" w:eastAsia="Arial" w:hAnsi="Arial"/>
          <w:sz w:val="14"/>
          <w:szCs w:val="14"/>
          <w:color w:val="auto"/>
        </w:rPr>
      </w:pPr>
      <w:r>
        <w:rPr>
          <w:rFonts w:ascii="Arial" w:cs="Arial" w:eastAsia="Arial" w:hAnsi="Arial"/>
          <w:sz w:val="14"/>
          <w:szCs w:val="14"/>
          <w:color w:val="auto"/>
        </w:rPr>
        <w:t>We believe that laws that give people different protections based on where they live or their citizenship are antiquated and don’t reflect the global nature of online services. We’re committed to providing the same level of protection to all of our users. That means that we use our guiding principles to scrutinize all the requests we receive, regardless of the origin of the request or user.</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Competition</w:t>
      </w:r>
    </w:p>
    <w:p>
      <w:pPr>
        <w:spacing w:after="0" w:line="102"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that the principal competitive factors in our markets include the following:</w:t>
      </w:r>
    </w:p>
    <w:p>
      <w:pPr>
        <w:spacing w:after="0" w:line="109" w:lineRule="exact"/>
        <w:rPr>
          <w:sz w:val="20"/>
          <w:szCs w:val="20"/>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systems, and applications;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300"/>
          </w:cols>
          <w:pgMar w:left="240" w:top="407" w:right="13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Intellectual Property</w:t>
      </w:r>
    </w:p>
    <w:p>
      <w:pPr>
        <w:spacing w:after="0" w:line="102" w:lineRule="exact"/>
        <w:rPr>
          <w:sz w:val="20"/>
          <w:szCs w:val="20"/>
          <w:color w:val="auto"/>
        </w:rPr>
      </w:pPr>
    </w:p>
    <w:p>
      <w:pPr>
        <w:ind w:left="1120" w:right="260" w:firstLine="368"/>
        <w:spacing w:after="0" w:line="283" w:lineRule="auto"/>
        <w:rPr>
          <w:sz w:val="20"/>
          <w:szCs w:val="20"/>
          <w:color w:val="auto"/>
        </w:rPr>
      </w:pPr>
      <w:r>
        <w:rPr>
          <w:rFonts w:ascii="Arial" w:cs="Arial" w:eastAsia="Arial" w:hAnsi="Arial"/>
          <w:sz w:val="14"/>
          <w:szCs w:val="14"/>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43"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have over 600 issued patents and more than 600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55"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55"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Legal Proceedings</w:t>
      </w:r>
    </w:p>
    <w:p>
      <w:pPr>
        <w:spacing w:after="0" w:line="102" w:lineRule="exact"/>
        <w:rPr>
          <w:sz w:val="20"/>
          <w:szCs w:val="20"/>
          <w:color w:val="auto"/>
        </w:rPr>
      </w:pPr>
    </w:p>
    <w:p>
      <w:pPr>
        <w:ind w:left="1120" w:firstLine="368"/>
        <w:spacing w:after="0" w:line="298" w:lineRule="auto"/>
        <w:rPr>
          <w:sz w:val="20"/>
          <w:szCs w:val="20"/>
          <w:color w:val="auto"/>
        </w:rPr>
      </w:pPr>
      <w:r>
        <w:rPr>
          <w:rFonts w:ascii="Arial" w:cs="Arial" w:eastAsia="Arial" w:hAnsi="Arial"/>
          <w:sz w:val="13"/>
          <w:szCs w:val="13"/>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and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139"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300"/>
          </w:cols>
          <w:pgMar w:left="240" w:top="407" w:right="135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Facilities</w:t>
      </w:r>
    </w:p>
    <w:p>
      <w:pPr>
        <w:spacing w:after="0" w:line="102"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color w:val="auto"/>
        </w:rPr>
        <w:t>Our corporate headquarters is located in San Francisco, California, pursuant to operating leases that expire in 2033. We lease additional offices in San Francisco and around the world, including in Austin, Texas; Seattle, Washington; New York, New York; Dublin, Ireland; London, United Kingdom; Tel Aviv, Israel; Sydney, Australia; and Tokyo, Japan. We have datacenter co-location facilities in California, Texas, and Virginia. We believe that these facilities are generally suitable to meet our needs.</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80"/>
          </w:cols>
          <w:pgMar w:left="240" w:top="407" w:right="137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MANAGEMENT</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Officers and Directors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information regarding our executive officers and directors as of March 8, 2018:</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23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020" w:type="dxa"/>
            <w:vAlign w:val="bottom"/>
            <w:gridSpan w:val="2"/>
          </w:tcPr>
          <w:p>
            <w:pPr>
              <w:jc w:val="center"/>
              <w:ind w:left="746"/>
              <w:spacing w:after="0"/>
              <w:rPr>
                <w:sz w:val="20"/>
                <w:szCs w:val="20"/>
                <w:color w:val="auto"/>
              </w:rPr>
            </w:pPr>
            <w:r>
              <w:rPr>
                <w:rFonts w:ascii="Arial" w:cs="Arial" w:eastAsia="Arial" w:hAnsi="Arial"/>
                <w:sz w:val="12"/>
                <w:szCs w:val="12"/>
                <w:b w:val="1"/>
                <w:bCs w:val="1"/>
                <w:color w:val="auto"/>
                <w:w w:val="88"/>
              </w:rPr>
              <w:t>Age</w:t>
            </w:r>
          </w:p>
        </w:tc>
        <w:tc>
          <w:tcPr>
            <w:tcW w:w="180" w:type="dxa"/>
            <w:vAlign w:val="bottom"/>
          </w:tcPr>
          <w:p>
            <w:pPr>
              <w:spacing w:after="0"/>
              <w:rPr>
                <w:sz w:val="13"/>
                <w:szCs w:val="13"/>
                <w:color w:val="auto"/>
              </w:rPr>
            </w:pPr>
          </w:p>
        </w:tc>
        <w:tc>
          <w:tcPr>
            <w:tcW w:w="5700" w:type="dxa"/>
            <w:vAlign w:val="bottom"/>
          </w:tcPr>
          <w:p>
            <w:pPr>
              <w:ind w:left="264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280" w:type="dxa"/>
            <w:vAlign w:val="bottom"/>
            <w:gridSpan w:val="2"/>
          </w:tcPr>
          <w:p>
            <w:pPr>
              <w:spacing w:after="0" w:line="147" w:lineRule="exact"/>
              <w:rPr>
                <w:sz w:val="20"/>
                <w:szCs w:val="20"/>
                <w:color w:val="auto"/>
              </w:rPr>
            </w:pPr>
            <w:r>
              <w:rPr>
                <w:rFonts w:ascii="Arial" w:cs="Arial" w:eastAsia="Arial" w:hAnsi="Arial"/>
                <w:sz w:val="15"/>
                <w:szCs w:val="15"/>
                <w:i w:val="1"/>
                <w:iCs w:val="1"/>
                <w:color w:val="auto"/>
              </w:rPr>
              <w:t>Executive officers: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Andrew W. Houston</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35</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Executive Officer, Co-Founder, and Chairman</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Arash Ferdowsi</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32</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Co-Founder and 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Quentin J. Clark</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46</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Senior Vice President of Engineering, Product, and Design</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Ajay V. Vashee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34</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Bart E. Volkmer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43</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General Counsel</w:t>
            </w:r>
          </w:p>
        </w:tc>
        <w:tc>
          <w:tcPr>
            <w:tcW w:w="0" w:type="dxa"/>
            <w:vAlign w:val="bottom"/>
          </w:tcPr>
          <w:p>
            <w:pPr>
              <w:spacing w:after="0"/>
              <w:rPr>
                <w:sz w:val="1"/>
                <w:szCs w:val="1"/>
                <w:color w:val="auto"/>
              </w:rPr>
            </w:pPr>
          </w:p>
        </w:tc>
      </w:tr>
      <w:tr>
        <w:trPr>
          <w:trHeight w:val="190"/>
        </w:trPr>
        <w:tc>
          <w:tcPr>
            <w:tcW w:w="2300" w:type="dxa"/>
            <w:vAlign w:val="bottom"/>
            <w:gridSpan w:val="3"/>
          </w:tcPr>
          <w:p>
            <w:pPr>
              <w:spacing w:after="0"/>
              <w:rPr>
                <w:sz w:val="20"/>
                <w:szCs w:val="20"/>
                <w:color w:val="auto"/>
              </w:rPr>
            </w:pPr>
            <w:r>
              <w:rPr>
                <w:rFonts w:ascii="Arial" w:cs="Arial" w:eastAsia="Arial" w:hAnsi="Arial"/>
                <w:sz w:val="15"/>
                <w:szCs w:val="15"/>
                <w:color w:val="auto"/>
              </w:rPr>
              <w:t>Dennis M. Woodside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Operating Officer</w:t>
            </w: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5"/>
                <w:szCs w:val="15"/>
                <w:i w:val="1"/>
                <w:iCs w:val="1"/>
                <w:color w:val="auto"/>
              </w:rPr>
              <w:t>Non-executive directors</w:t>
            </w:r>
            <w:r>
              <w:rPr>
                <w:rFonts w:ascii="Arial" w:cs="Arial" w:eastAsia="Arial" w:hAnsi="Arial"/>
                <w:sz w:val="15"/>
                <w:szCs w:val="15"/>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Donald W. Blair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Paul E. Jacobs</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55</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Robert J. Mylod, Jr.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51</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Condoleezza Rice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63</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R. Bryan Schreier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90"/>
        </w:trPr>
        <w:tc>
          <w:tcPr>
            <w:tcW w:w="2300" w:type="dxa"/>
            <w:vAlign w:val="bottom"/>
            <w:gridSpan w:val="3"/>
          </w:tcPr>
          <w:p>
            <w:pPr>
              <w:spacing w:after="0"/>
              <w:rPr>
                <w:sz w:val="20"/>
                <w:szCs w:val="20"/>
                <w:color w:val="auto"/>
              </w:rPr>
            </w:pPr>
            <w:r>
              <w:rPr>
                <w:rFonts w:ascii="Arial" w:cs="Arial" w:eastAsia="Arial" w:hAnsi="Arial"/>
                <w:sz w:val="15"/>
                <w:szCs w:val="15"/>
                <w:color w:val="auto"/>
              </w:rPr>
              <w:t>Margaret C. Whitman</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61</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98" w:lineRule="exact"/>
        <w:rPr>
          <w:sz w:val="20"/>
          <w:szCs w:val="20"/>
          <w:color w:val="auto"/>
        </w:rPr>
      </w:pPr>
    </w:p>
    <w:p>
      <w:pPr>
        <w:ind w:left="1120" w:right="480" w:firstLine="368"/>
        <w:spacing w:after="0" w:line="312" w:lineRule="auto"/>
        <w:rPr>
          <w:sz w:val="20"/>
          <w:szCs w:val="20"/>
          <w:color w:val="auto"/>
        </w:rPr>
      </w:pPr>
      <w:r>
        <w:rPr>
          <w:rFonts w:ascii="Arial" w:cs="Arial" w:eastAsia="Arial" w:hAnsi="Arial"/>
          <w:sz w:val="14"/>
          <w:szCs w:val="14"/>
          <w:i w:val="1"/>
          <w:iCs w:val="1"/>
          <w:color w:val="auto"/>
        </w:rPr>
        <w:t>Andrew W. Houston</w:t>
      </w:r>
      <w:r>
        <w:rPr>
          <w:rFonts w:ascii="Arial" w:cs="Arial" w:eastAsia="Arial" w:hAnsi="Arial"/>
          <w:sz w:val="14"/>
          <w:szCs w:val="14"/>
          <w:color w:val="auto"/>
        </w:rPr>
        <w:t>. Mr. Houston is one of our co-founders and has served as a member of our Board of Directors and our Chief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since June 2007. Mr. Houston holds a B.S. in Computer Science from the Massachusetts Institute of Technology.</w:t>
      </w:r>
    </w:p>
    <w:p>
      <w:pPr>
        <w:spacing w:after="0" w:line="123"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Mr. Houston was selected to serve on our Board of Directors because of the perspective and experience he brings as our Chief Executive Officer and as one of our co-founders.</w:t>
      </w:r>
    </w:p>
    <w:p>
      <w:pPr>
        <w:spacing w:after="0" w:line="146" w:lineRule="exact"/>
        <w:rPr>
          <w:sz w:val="20"/>
          <w:szCs w:val="20"/>
          <w:color w:val="auto"/>
        </w:rPr>
      </w:pPr>
    </w:p>
    <w:p>
      <w:pPr>
        <w:ind w:left="1120" w:right="120" w:firstLine="368"/>
        <w:spacing w:after="0" w:line="312" w:lineRule="auto"/>
        <w:rPr>
          <w:sz w:val="20"/>
          <w:szCs w:val="20"/>
          <w:color w:val="auto"/>
        </w:rPr>
      </w:pPr>
      <w:r>
        <w:rPr>
          <w:rFonts w:ascii="Arial" w:cs="Arial" w:eastAsia="Arial" w:hAnsi="Arial"/>
          <w:sz w:val="14"/>
          <w:szCs w:val="14"/>
          <w:i w:val="1"/>
          <w:iCs w:val="1"/>
          <w:color w:val="auto"/>
        </w:rPr>
        <w:t>Arash Ferdowsi</w:t>
      </w:r>
      <w:r>
        <w:rPr>
          <w:rFonts w:ascii="Arial" w:cs="Arial" w:eastAsia="Arial" w:hAnsi="Arial"/>
          <w:sz w:val="14"/>
          <w:szCs w:val="14"/>
          <w:color w:val="auto"/>
        </w:rPr>
        <w:t>. Mr. Ferdowsi is one of our co-founders and has served as a member of our Board of Directors since June 2007. From June 2007</w:t>
      </w:r>
      <w:r>
        <w:rPr>
          <w:rFonts w:ascii="Arial" w:cs="Arial" w:eastAsia="Arial" w:hAnsi="Arial"/>
          <w:sz w:val="14"/>
          <w:szCs w:val="14"/>
          <w:i w:val="1"/>
          <w:iCs w:val="1"/>
          <w:color w:val="auto"/>
        </w:rPr>
        <w:t xml:space="preserve"> </w:t>
      </w:r>
      <w:r>
        <w:rPr>
          <w:rFonts w:ascii="Arial" w:cs="Arial" w:eastAsia="Arial" w:hAnsi="Arial"/>
          <w:sz w:val="14"/>
          <w:szCs w:val="14"/>
          <w:color w:val="auto"/>
        </w:rPr>
        <w:t>to October 2016, Mr. Ferdowsi served as our Chief Technology Officer. Mr. Ferdowsi attended the Massachusetts Institute of Technology.</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Mr. Ferdowsi was selected to serve on our Board of Directors because of the perspective and experience he brings as one of our co-founders.</w:t>
      </w:r>
    </w:p>
    <w:p>
      <w:pPr>
        <w:spacing w:after="0" w:line="200"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i w:val="1"/>
          <w:iCs w:val="1"/>
          <w:color w:val="auto"/>
        </w:rPr>
        <w:t>Quentin J. Clark</w:t>
      </w:r>
      <w:r>
        <w:rPr>
          <w:rFonts w:ascii="Arial" w:cs="Arial" w:eastAsia="Arial" w:hAnsi="Arial"/>
          <w:sz w:val="15"/>
          <w:szCs w:val="15"/>
          <w:color w:val="auto"/>
        </w:rPr>
        <w:t>. Mr. Clark has served as our Senior Vice President of Engineering, Product, and Design since September 2017. From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2014 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Corporation,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64"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i w:val="1"/>
          <w:iCs w:val="1"/>
          <w:color w:val="auto"/>
        </w:rPr>
        <w:t>Ajay V. Vashee</w:t>
      </w:r>
      <w:r>
        <w:rPr>
          <w:rFonts w:ascii="Arial" w:cs="Arial" w:eastAsia="Arial" w:hAnsi="Arial"/>
          <w:sz w:val="15"/>
          <w:szCs w:val="15"/>
          <w:color w:val="auto"/>
        </w:rPr>
        <w:t>. Mr. Vashee has served as our Chief Financial Officer since September 2016. From February 2015 to September 2016, Mr. Vashee</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our Head of Corporate Development. From April 2012 to February 2015, Mr. Vashee served as our Head of Finance. Mr. Vashee holds a B.A. in Economics-Political Science from Columbia University.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320"/>
          </w:cols>
          <w:pgMar w:left="240" w:top="407" w:right="133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i w:val="1"/>
          <w:iCs w:val="1"/>
          <w:color w:val="auto"/>
        </w:rPr>
        <w:t>Bart E. Volkmer</w:t>
      </w:r>
      <w:r>
        <w:rPr>
          <w:rFonts w:ascii="Arial" w:cs="Arial" w:eastAsia="Arial" w:hAnsi="Arial"/>
          <w:sz w:val="15"/>
          <w:szCs w:val="15"/>
          <w:color w:val="auto"/>
        </w:rPr>
        <w:t>. Mr. Volkmer has served as our General Counsel since June 2016. From August 2011 to June 2016, Mr. Volkmer served as our</w:t>
      </w:r>
      <w:r>
        <w:rPr>
          <w:rFonts w:ascii="Arial" w:cs="Arial" w:eastAsia="Arial" w:hAnsi="Arial"/>
          <w:sz w:val="15"/>
          <w:szCs w:val="15"/>
          <w:i w:val="1"/>
          <w:iCs w:val="1"/>
          <w:color w:val="auto"/>
        </w:rPr>
        <w:t xml:space="preserve"> </w:t>
      </w:r>
      <w:r>
        <w:rPr>
          <w:rFonts w:ascii="Arial" w:cs="Arial" w:eastAsia="Arial" w:hAnsi="Arial"/>
          <w:sz w:val="15"/>
          <w:szCs w:val="15"/>
          <w:color w:val="auto"/>
        </w:rPr>
        <w:t>Head of Litigation &amp; Regulatory. Mr. Volkmer holds a J.D. from Santa Clara University School of Law and a B.A. in English from Creighton University.</w:t>
      </w:r>
    </w:p>
    <w:p>
      <w:pPr>
        <w:spacing w:after="0" w:line="155"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i w:val="1"/>
          <w:iCs w:val="1"/>
          <w:color w:val="auto"/>
        </w:rPr>
        <w:t>Dennis M. Woodside</w:t>
      </w:r>
      <w:r>
        <w:rPr>
          <w:rFonts w:ascii="Arial" w:cs="Arial" w:eastAsia="Arial" w:hAnsi="Arial"/>
          <w:sz w:val="14"/>
          <w:szCs w:val="14"/>
          <w:color w:val="auto"/>
        </w:rPr>
        <w:t>. Mr. Woodside has served as our Chief Operating Officer since April 2014. From May 2012 to April 2014, Mr. Woodside</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Chief Executive Officer for Motorola Mobility LLC, a consumer electronics and telecommunications company now owned by Lenovo Group Ltd. From March 2009 to September 2011, Mr. Woodside served as President, Americas &amp; Senior Vice President for Google Inc., a global technology company. Mr. Woodside holds a J.D. from Stanford Law School and a B.S. in Industrial Relations from Cornell University.</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Non-executive directors</w:t>
      </w:r>
    </w:p>
    <w:p>
      <w:pPr>
        <w:spacing w:after="0" w:line="98"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i w:val="1"/>
          <w:iCs w:val="1"/>
          <w:color w:val="auto"/>
        </w:rPr>
        <w:t xml:space="preserve">Donald W. Blair. </w:t>
      </w:r>
      <w:r>
        <w:rPr>
          <w:rFonts w:ascii="Arial" w:cs="Arial" w:eastAsia="Arial" w:hAnsi="Arial"/>
          <w:sz w:val="14"/>
          <w:szCs w:val="14"/>
          <w:color w:val="auto"/>
        </w:rPr>
        <w:t>Mr. Blair has served as a member of our Board of Directors since December 2017. From November 1999 to October 2015, Mr.</w:t>
      </w:r>
      <w:r>
        <w:rPr>
          <w:rFonts w:ascii="Arial" w:cs="Arial" w:eastAsia="Arial" w:hAnsi="Arial"/>
          <w:sz w:val="14"/>
          <w:szCs w:val="14"/>
          <w:i w:val="1"/>
          <w:iCs w:val="1"/>
          <w:color w:val="auto"/>
        </w:rPr>
        <w:t xml:space="preserve"> </w:t>
      </w:r>
      <w:r>
        <w:rPr>
          <w:rFonts w:ascii="Arial" w:cs="Arial" w:eastAsia="Arial" w:hAnsi="Arial"/>
          <w:sz w:val="14"/>
          <w:szCs w:val="14"/>
          <w:color w:val="auto"/>
        </w:rPr>
        <w:t>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w:t>
      </w:r>
    </w:p>
    <w:p>
      <w:pPr>
        <w:spacing w:after="0" w:line="14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Mr. Blair was selected to serve on our Board of Directors because of his extensive financial expertise, and business management and governance experience.</w:t>
      </w:r>
    </w:p>
    <w:p>
      <w:pPr>
        <w:spacing w:after="0" w:line="146"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i w:val="1"/>
          <w:iCs w:val="1"/>
          <w:color w:val="auto"/>
        </w:rPr>
        <w:t>Paul E. Jacobs, Ph.D</w:t>
      </w:r>
      <w:r>
        <w:rPr>
          <w:rFonts w:ascii="Arial" w:cs="Arial" w:eastAsia="Arial" w:hAnsi="Arial"/>
          <w:sz w:val="14"/>
          <w:szCs w:val="14"/>
          <w:color w:val="auto"/>
        </w:rPr>
        <w:t>. Dr. Jacobs has served as a member of our Board of Directors since April 2016. Dr. Jacobs currently serves as a member of</w:t>
      </w:r>
      <w:r>
        <w:rPr>
          <w:rFonts w:ascii="Arial" w:cs="Arial" w:eastAsia="Arial" w:hAnsi="Arial"/>
          <w:sz w:val="14"/>
          <w:szCs w:val="14"/>
          <w:i w:val="1"/>
          <w:iCs w:val="1"/>
          <w:color w:val="auto"/>
        </w:rPr>
        <w:t xml:space="preserve"> </w:t>
      </w:r>
      <w:r>
        <w:rPr>
          <w:rFonts w:ascii="Arial" w:cs="Arial" w:eastAsia="Arial" w:hAnsi="Arial"/>
          <w:sz w:val="14"/>
          <w:szCs w:val="14"/>
          <w:color w:val="auto"/>
        </w:rPr>
        <w:t>the board of directors of Qualcomm Inc., a semiconductor and telecommunications equipment company. From March 2014 to March 2018, Dr. Jacobs served as Executive Chairman for Qualcomm. From March 2009 to March 2014, Dr. Jacobs served as Chairman of the board of directors for Qualcomm. From July 2005 to March 2017, Dr. Jacobs served as Chief Executive Officer for Qualcomm Inc.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Dr. Jacobs was selected to serve on our Board of Directors because of his extensive business, operations, and management experience.</w:t>
      </w:r>
    </w:p>
    <w:p>
      <w:pPr>
        <w:spacing w:after="0" w:line="200"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Robert J. Mylod Jr</w:t>
      </w:r>
      <w:r>
        <w:rPr>
          <w:rFonts w:ascii="Arial" w:cs="Arial" w:eastAsia="Arial" w:hAnsi="Arial"/>
          <w:sz w:val="15"/>
          <w:szCs w:val="15"/>
          <w:color w:val="auto"/>
        </w:rPr>
        <w:t>. Mr. Mylod has served as a member of our Board of Directors since September 2014. Mr. Mylod has served as 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for Annox Capital Management, a venture capital firm that he founded, since January 2013. Mr. Mylod served as Head of Worldwide Strategy &amp; Planning and Vice Chairman for The Priceline Group Inc.,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The Priceline Group, Inc. and a number of private companies. Mr. Mylod holds an M.B.A. from the University of Chicago Booth School of Business and an A.B. in English from the University of Michigan.</w:t>
      </w:r>
    </w:p>
    <w:p>
      <w:pPr>
        <w:spacing w:after="0" w:line="161" w:lineRule="exact"/>
        <w:rPr>
          <w:sz w:val="20"/>
          <w:szCs w:val="20"/>
          <w:color w:val="auto"/>
        </w:rPr>
      </w:pPr>
    </w:p>
    <w:p>
      <w:pPr>
        <w:jc w:val="both"/>
        <w:ind w:left="1120" w:right="40" w:firstLine="368"/>
        <w:spacing w:after="0" w:line="275" w:lineRule="auto"/>
        <w:rPr>
          <w:sz w:val="20"/>
          <w:szCs w:val="20"/>
          <w:color w:val="auto"/>
        </w:rPr>
      </w:pPr>
      <w:r>
        <w:rPr>
          <w:rFonts w:ascii="Arial" w:cs="Arial" w:eastAsia="Arial" w:hAnsi="Arial"/>
          <w:sz w:val="15"/>
          <w:szCs w:val="15"/>
          <w:color w:val="auto"/>
        </w:rPr>
        <w:t>Mr. Mylod was selected to serve on our Board of Directors because of his financial expertise and extensive business, operations, and management experience.</w:t>
      </w:r>
    </w:p>
    <w:p>
      <w:pPr>
        <w:spacing w:after="0" w:line="146" w:lineRule="exact"/>
        <w:rPr>
          <w:sz w:val="20"/>
          <w:szCs w:val="20"/>
          <w:color w:val="auto"/>
        </w:rPr>
      </w:pPr>
    </w:p>
    <w:p>
      <w:pPr>
        <w:jc w:val="both"/>
        <w:ind w:left="1120" w:right="40" w:firstLine="368"/>
        <w:spacing w:after="0" w:line="263" w:lineRule="auto"/>
        <w:rPr>
          <w:sz w:val="20"/>
          <w:szCs w:val="20"/>
          <w:color w:val="auto"/>
        </w:rPr>
      </w:pPr>
      <w:r>
        <w:rPr>
          <w:rFonts w:ascii="Arial" w:cs="Arial" w:eastAsia="Arial" w:hAnsi="Arial"/>
          <w:sz w:val="15"/>
          <w:szCs w:val="15"/>
          <w:i w:val="1"/>
          <w:iCs w:val="1"/>
          <w:color w:val="auto"/>
        </w:rPr>
        <w:t xml:space="preserve">Condoleezza Rice, Ph.D. </w:t>
      </w:r>
      <w:r>
        <w:rPr>
          <w:rFonts w:ascii="Arial" w:cs="Arial" w:eastAsia="Arial" w:hAnsi="Arial"/>
          <w:sz w:val="15"/>
          <w:szCs w:val="15"/>
          <w:color w:val="auto"/>
        </w:rPr>
        <w:t>Dr. Rice has served as a member of our Board of Directors since April 2014. Since September 2010, Dr. Rice has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the Denning Professor of Global Business and the Economy for the Stanford Graduate School of Business. Since March 2009, Dr. Rice has served as a Senior Fellow of Public</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300"/>
          </w:cols>
          <w:pgMar w:left="240" w:top="407" w:right="135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w:t>
      </w:r>
    </w:p>
    <w:p>
      <w:pPr>
        <w:spacing w:after="0" w:line="154"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46"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i w:val="1"/>
          <w:iCs w:val="1"/>
          <w:color w:val="auto"/>
        </w:rPr>
        <w:t>R. Bryan Schreier</w:t>
      </w:r>
      <w:r>
        <w:rPr>
          <w:rFonts w:ascii="Arial" w:cs="Arial" w:eastAsia="Arial" w:hAnsi="Arial"/>
          <w:sz w:val="15"/>
          <w:szCs w:val="15"/>
          <w:color w:val="auto"/>
        </w:rPr>
        <w:t>. Mr. Schreier has served as a member of our Board of Directors since July 2009. Since March 2008, Mr. Schreier has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a partner at Sequoia Capital, a venture capital firm. Mr. Schreier currently serves as a member of the board of directors for a number of private companies. Mr. Schreier holds a B.A. in Computer Science from Princeton University.</w:t>
      </w:r>
    </w:p>
    <w:p>
      <w:pPr>
        <w:spacing w:after="0" w:line="155"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color w:val="auto"/>
        </w:rPr>
        <w:t>Mr. Schreier was selected to serve on our Board of Directors because of his financial and managerial experience and because he represents our largest stockholder.</w:t>
      </w:r>
    </w:p>
    <w:p>
      <w:pPr>
        <w:spacing w:after="0" w:line="146" w:lineRule="exact"/>
        <w:rPr>
          <w:sz w:val="20"/>
          <w:szCs w:val="20"/>
          <w:color w:val="auto"/>
        </w:rPr>
      </w:pPr>
    </w:p>
    <w:p>
      <w:pPr>
        <w:ind w:left="1120" w:right="20" w:firstLine="368"/>
        <w:spacing w:after="0" w:line="295" w:lineRule="auto"/>
        <w:rPr>
          <w:sz w:val="20"/>
          <w:szCs w:val="20"/>
          <w:color w:val="auto"/>
        </w:rPr>
      </w:pPr>
      <w:r>
        <w:rPr>
          <w:rFonts w:ascii="Arial" w:cs="Arial" w:eastAsia="Arial" w:hAnsi="Arial"/>
          <w:sz w:val="13"/>
          <w:szCs w:val="13"/>
          <w:i w:val="1"/>
          <w:iCs w:val="1"/>
          <w:color w:val="auto"/>
        </w:rPr>
        <w:t xml:space="preserve">Margaret C. Whitman. </w:t>
      </w:r>
      <w:r>
        <w:rPr>
          <w:rFonts w:ascii="Arial" w:cs="Arial" w:eastAsia="Arial" w:hAnsi="Arial"/>
          <w:sz w:val="13"/>
          <w:szCs w:val="13"/>
          <w:color w:val="auto"/>
        </w:rPr>
        <w:t>Ms. Whitman has served as a member of our Board of Directors since September 2017. Since February 2018, Ms.</w:t>
      </w:r>
      <w:r>
        <w:rPr>
          <w:rFonts w:ascii="Arial" w:cs="Arial" w:eastAsia="Arial" w:hAnsi="Arial"/>
          <w:sz w:val="13"/>
          <w:szCs w:val="13"/>
          <w:i w:val="1"/>
          <w:iCs w:val="1"/>
          <w:color w:val="auto"/>
        </w:rPr>
        <w:t xml:space="preserve"> </w:t>
      </w:r>
      <w:r>
        <w:rPr>
          <w:rFonts w:ascii="Arial" w:cs="Arial" w:eastAsia="Arial" w:hAnsi="Arial"/>
          <w:sz w:val="13"/>
          <w:szCs w:val="13"/>
          <w:color w:val="auto"/>
        </w:rPr>
        <w:t>Whitman has served as Chief Executive Officer for NewTV, a mobile media company. From June 2017 to January 2018, Ms. Whitman 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Hewlett Packard Enterprise Company, and DXC Technology Company, an information technology and consulting services company. Ms. Whitman previously served as a member of the board of directors for HP Inc. and for a number of private companies. Ms. Whitman holds an M.B.A from Harvard Business School and an A.B. in Economics from Princeton University.</w:t>
      </w:r>
    </w:p>
    <w:p>
      <w:pPr>
        <w:spacing w:after="0" w:line="141"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Ms. Whitman was selected to serve on our Board of Directors because of her extensive leadership, strategy, risk management, and consumer industry experience.</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02"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300"/>
          </w:cols>
          <w:pgMar w:left="240" w:top="407" w:right="135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40"/>
        <w:spacing w:after="0" w:line="275" w:lineRule="auto"/>
        <w:rPr>
          <w:sz w:val="20"/>
          <w:szCs w:val="20"/>
          <w:color w:val="auto"/>
        </w:rPr>
      </w:pPr>
      <w:r>
        <w:rPr>
          <w:rFonts w:ascii="Arial" w:cs="Arial" w:eastAsia="Arial" w:hAnsi="Arial"/>
          <w:sz w:val="15"/>
          <w:szCs w:val="15"/>
          <w:color w:val="auto"/>
        </w:rPr>
        <w:t>the investor relations page on our website. We intend to disclose any amendments to our code of business conduct and ethics, or waivers of its requirements, on our website or in filings under the Exchange Act.</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Board of Directors</w:t>
      </w:r>
    </w:p>
    <w:p>
      <w:pPr>
        <w:spacing w:after="0" w:line="102" w:lineRule="exact"/>
        <w:rPr>
          <w:sz w:val="20"/>
          <w:szCs w:val="20"/>
          <w:color w:val="auto"/>
        </w:rPr>
      </w:pPr>
    </w:p>
    <w:p>
      <w:pPr>
        <w:jc w:val="both"/>
        <w:ind w:left="1120" w:right="300" w:firstLine="368"/>
        <w:spacing w:after="0" w:line="263" w:lineRule="auto"/>
        <w:rPr>
          <w:sz w:val="20"/>
          <w:szCs w:val="20"/>
          <w:color w:val="auto"/>
        </w:rPr>
      </w:pPr>
      <w:r>
        <w:rPr>
          <w:rFonts w:ascii="Arial" w:cs="Arial" w:eastAsia="Arial" w:hAnsi="Arial"/>
          <w:sz w:val="15"/>
          <w:szCs w:val="15"/>
          <w:color w:val="auto"/>
        </w:rPr>
        <w:t>Our business and affairs are managed under the direction of our Board of Directors. Our Board of Directors consists of eight directors, six of whom qualify as “independent” under the listing standards of Nasdaq. Pursuant to our current certificate of incorporation and amended and restated voting agreement, our current directors were elected as follows:</w:t>
      </w:r>
    </w:p>
    <w:p>
      <w:pPr>
        <w:spacing w:after="0" w:line="76" w:lineRule="exact"/>
        <w:rPr>
          <w:sz w:val="20"/>
          <w:szCs w:val="20"/>
          <w:color w:val="auto"/>
        </w:rPr>
      </w:pPr>
    </w:p>
    <w:p>
      <w:pPr>
        <w:ind w:left="1840" w:right="40" w:hanging="276"/>
        <w:spacing w:after="0" w:line="312" w:lineRule="auto"/>
        <w:tabs>
          <w:tab w:leader="none" w:pos="18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Messrs. Ferdowsi, Houston, Blair, Jacobs, and Mylod, and Mmes. Rice and Whitman were elected as the designees nominated by holders of our common stock, excluding the common stock issued upon conversion of our convertible preferred stock; and</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Mr. Schreier was elected as the preferred stock designee nominated by entities affiliated with Sequoia Capital.</w:t>
      </w:r>
    </w:p>
    <w:p>
      <w:pPr>
        <w:spacing w:after="0" w:line="188"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Classified Board of Directors</w:t>
      </w:r>
    </w:p>
    <w:p>
      <w:pPr>
        <w:spacing w:after="0" w:line="102"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Until the outstanding shares of our Class B common stock represent less than a majority of the combined voting power of common stock, we will have a single class of directors who are each elected for one-year terms and until their successors are duly elected and qualified. When the outstanding shares of our Class B common stock represent less than a majority of the combined voting power of common stock, we will have a classified Board of Directors consisting of three classes of approximately equal size, each serving staggered three-year terms. Our directors will be assigned by the then-current Board of Directors to a class.</w:t>
      </w:r>
    </w:p>
    <w:p>
      <w:pPr>
        <w:spacing w:after="0" w:line="159"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At such times as we have a classified Board of Directors,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43"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Only our Board of Directors may fill vacancies on our board. At such times as our Board of Directors is classified, any additional directorships resulting from an increase in the number of directors will be distributed among the three classes so that, as nearly as possible, each class will consist of one-third of the total number of directors.</w:t>
      </w:r>
    </w:p>
    <w:p>
      <w:pPr>
        <w:spacing w:after="0" w:line="155" w:lineRule="exact"/>
        <w:rPr>
          <w:sz w:val="20"/>
          <w:szCs w:val="20"/>
          <w:color w:val="auto"/>
        </w:rPr>
      </w:pPr>
    </w:p>
    <w:p>
      <w:pPr>
        <w:ind w:left="1120" w:right="780" w:firstLine="368"/>
        <w:spacing w:after="0" w:line="312" w:lineRule="auto"/>
        <w:rPr>
          <w:sz w:val="20"/>
          <w:szCs w:val="20"/>
          <w:color w:val="auto"/>
        </w:rPr>
      </w:pPr>
      <w:r>
        <w:rPr>
          <w:rFonts w:ascii="Arial" w:cs="Arial" w:eastAsia="Arial" w:hAnsi="Arial"/>
          <w:sz w:val="14"/>
          <w:szCs w:val="14"/>
          <w:color w:val="auto"/>
        </w:rPr>
        <w:t>The classification of our Board of Directors may have the effect of delaying or preventing changes in our control or management. See “Description of Capital Stock—Anti-Takeover Provisions—Restated Certificate of Incorporation and Bylaw Provisions.”</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Director Independence</w:t>
      </w:r>
    </w:p>
    <w:p>
      <w:pPr>
        <w:spacing w:after="0" w:line="102"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 director concerning his or her background, employment and affiliations, our Board of Directors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300"/>
          </w:cols>
          <w:pgMar w:left="240" w:top="407"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7" w:lineRule="auto"/>
        <w:rPr>
          <w:sz w:val="20"/>
          <w:szCs w:val="20"/>
          <w:color w:val="auto"/>
        </w:rPr>
      </w:pPr>
      <w:r>
        <w:rPr>
          <w:rFonts w:ascii="Arial" w:cs="Arial" w:eastAsia="Arial" w:hAnsi="Arial"/>
          <w:sz w:val="14"/>
          <w:szCs w:val="14"/>
          <w:color w:val="auto"/>
        </w:rPr>
        <w:t>has determined that Mmes. Rice and Whitman and Messrs. Blair, Jacobs, Mylod, and Schreier do not have a relationship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02"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Audit committee</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Following the completion of this offering, our audit committee will consist of Ms. Whitman and Messrs. Blair and Mylod, with Mr. Mylod serving as Chairperson, each of whom will meet the requirements for independence under the listing standards of Nasdaq and SEC rules and regulations. Each member of our audit committee also meets the financial literacy and sophistication requirements of the listing standards of Nasdaq. In addition, our Board of Directors has determined that Ms. Whitman and Messrs. Blair and Mylod are audit committee financial experts within the meaning of Item 407(d) of Regulation S-K under the Securities Act. Following the completion of this offering, our audit committee will be responsible for, among other things:</w:t>
      </w:r>
    </w:p>
    <w:p>
      <w:pPr>
        <w:spacing w:after="0" w:line="85" w:lineRule="exact"/>
        <w:rPr>
          <w:sz w:val="20"/>
          <w:szCs w:val="20"/>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selecting a qualified firm to serve as the independent registered public accounting firm to audit our financial statements;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helping to ensure the independence and overseeing performance of the independent registered public accounting firm;</w:t>
      </w:r>
    </w:p>
    <w:p>
      <w:pPr>
        <w:spacing w:after="0" w:line="109" w:lineRule="exact"/>
        <w:rPr>
          <w:rFonts w:ascii="Arial" w:cs="Arial" w:eastAsia="Arial" w:hAnsi="Arial"/>
          <w:sz w:val="15"/>
          <w:szCs w:val="15"/>
          <w:color w:val="auto"/>
        </w:rPr>
      </w:pPr>
    </w:p>
    <w:p>
      <w:pPr>
        <w:ind w:left="1840" w:right="320" w:hanging="276"/>
        <w:spacing w:after="0" w:line="312" w:lineRule="auto"/>
        <w:tabs>
          <w:tab w:leader="none" w:pos="18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our financial statements and our critical accounting policies and estimates;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the adequacy and effectiveness of our internal controls;</w:t>
      </w:r>
    </w:p>
    <w:p>
      <w:pPr>
        <w:spacing w:after="0" w:line="109" w:lineRule="exact"/>
        <w:rPr>
          <w:rFonts w:ascii="Arial" w:cs="Arial" w:eastAsia="Arial" w:hAnsi="Arial"/>
          <w:sz w:val="15"/>
          <w:szCs w:val="15"/>
          <w:color w:val="auto"/>
        </w:rPr>
      </w:pPr>
    </w:p>
    <w:p>
      <w:pPr>
        <w:ind w:left="1840" w:right="20" w:hanging="276"/>
        <w:spacing w:after="0" w:line="275" w:lineRule="auto"/>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developing procedures for employees to submit concerns anonymously about questionable accounting, internal accounting controls, or audit matters;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overseeing our policies on risk assessment and risk management;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overseeing compliance with our code of business conduct and ethics;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related party transactions; and</w:t>
      </w:r>
    </w:p>
    <w:p>
      <w:pPr>
        <w:spacing w:after="0" w:line="109" w:lineRule="exact"/>
        <w:rPr>
          <w:rFonts w:ascii="Arial" w:cs="Arial" w:eastAsia="Arial" w:hAnsi="Arial"/>
          <w:sz w:val="15"/>
          <w:szCs w:val="15"/>
          <w:color w:val="auto"/>
        </w:rPr>
      </w:pPr>
    </w:p>
    <w:p>
      <w:pPr>
        <w:ind w:left="1840" w:right="40" w:hanging="276"/>
        <w:spacing w:after="0" w:line="275" w:lineRule="auto"/>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pre-approving all audit and all permissible non-audit services, other than de minimis non-audit services, to be performed by the independent registered public accounting firm.</w:t>
      </w:r>
    </w:p>
    <w:p>
      <w:pPr>
        <w:spacing w:after="0" w:line="146" w:lineRule="exact"/>
        <w:rPr>
          <w:sz w:val="20"/>
          <w:szCs w:val="20"/>
          <w:color w:val="auto"/>
        </w:rPr>
      </w:pPr>
    </w:p>
    <w:p>
      <w:pPr>
        <w:ind w:left="1120" w:right="220"/>
        <w:spacing w:after="0" w:line="275" w:lineRule="auto"/>
        <w:rPr>
          <w:sz w:val="20"/>
          <w:szCs w:val="20"/>
          <w:color w:val="auto"/>
        </w:rPr>
      </w:pPr>
      <w:r>
        <w:rPr>
          <w:rFonts w:ascii="Arial" w:cs="Arial" w:eastAsia="Arial" w:hAnsi="Arial"/>
          <w:sz w:val="15"/>
          <w:szCs w:val="15"/>
          <w:color w:val="auto"/>
        </w:rPr>
        <w:t>Our audit committee will operate under a written charter, to be effective prior to the completion of this offering, that satisfies the applicable rules and regulations of the SEC and the listing standards of Nasdaq.</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Following the completion of this offering, our compensation committee will consist of Ms. Rice and Messrs. Mylod and Schreier, with Ms. Rice serving as Chairperson, each of whom will meet the requirements for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300"/>
          </w:cols>
          <w:pgMar w:left="240" w:top="407" w:right="135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460"/>
        <w:spacing w:after="0" w:line="263" w:lineRule="auto"/>
        <w:rPr>
          <w:sz w:val="20"/>
          <w:szCs w:val="20"/>
          <w:color w:val="auto"/>
        </w:rPr>
      </w:pPr>
      <w:r>
        <w:rPr>
          <w:rFonts w:ascii="Arial" w:cs="Arial" w:eastAsia="Arial" w:hAnsi="Arial"/>
          <w:sz w:val="15"/>
          <w:szCs w:val="15"/>
          <w:color w:val="auto"/>
        </w:rPr>
        <w:t>independence under the listing standards of Nasdaq and SEC rules and regulations. Each member of our compensation committee will also be a non-employee director, as defined pursuant to Rule 16b-3 promulgated under the Exchange Act, or Rule 16b-3. Following the completion of this offering, our compensation committee will be responsible for, among other things:</w:t>
      </w:r>
    </w:p>
    <w:p>
      <w:pPr>
        <w:spacing w:after="0" w:line="76" w:lineRule="exact"/>
        <w:rPr>
          <w:sz w:val="20"/>
          <w:szCs w:val="20"/>
          <w:color w:val="auto"/>
        </w:rPr>
      </w:pPr>
    </w:p>
    <w:p>
      <w:pPr>
        <w:ind w:left="1840" w:hanging="276"/>
        <w:spacing w:after="0" w:line="275" w:lineRule="auto"/>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reviewing, approving, and determining, or making recommendations to our Board of Directors regarding, the compensation of our executive officers, including our CEO;</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administering our equity compensation plans;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reviewing, approving, and administering incentive compensation and equity compensation plans;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reviewing and approving our overall compensation philosophy;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making recommendations regarding non-employee director compensation to our full Board of Directors.</w:t>
      </w:r>
    </w:p>
    <w:p>
      <w:pPr>
        <w:spacing w:after="0" w:line="188" w:lineRule="exact"/>
        <w:rPr>
          <w:sz w:val="20"/>
          <w:szCs w:val="20"/>
          <w:color w:val="auto"/>
        </w:rPr>
      </w:pPr>
    </w:p>
    <w:p>
      <w:pPr>
        <w:ind w:left="1120" w:right="540" w:firstLine="368"/>
        <w:spacing w:after="0" w:line="275" w:lineRule="auto"/>
        <w:rPr>
          <w:sz w:val="20"/>
          <w:szCs w:val="20"/>
          <w:color w:val="auto"/>
        </w:rPr>
      </w:pPr>
      <w:r>
        <w:rPr>
          <w:rFonts w:ascii="Arial" w:cs="Arial" w:eastAsia="Arial" w:hAnsi="Arial"/>
          <w:sz w:val="15"/>
          <w:szCs w:val="15"/>
          <w:color w:val="auto"/>
        </w:rPr>
        <w:t>Our compensation committee will operate under a written charter, to be effective prior to the completion of this offering, that satisfies the applicable rules and regulations of the SEC and the listing standards of Nasdaq.</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9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Following the completion of this offering, our nominating and corporate governance committee will consist of Ms. Whitman and Mr. Jacobs, with Ms. Whitman serving as Chairperson, each of whom will meet the requirements for independence under the listing standards of Nasdaq and SEC rules and regulations. Following the completion of this offering, our nominating and corporate governance committee will be responsible for, among other things:</w:t>
      </w:r>
    </w:p>
    <w:p>
      <w:pPr>
        <w:spacing w:after="0" w:line="79" w:lineRule="exact"/>
        <w:rPr>
          <w:sz w:val="20"/>
          <w:szCs w:val="20"/>
          <w:color w:val="auto"/>
        </w:rPr>
      </w:pPr>
    </w:p>
    <w:p>
      <w:pPr>
        <w:ind w:left="1840" w:right="80" w:hanging="276"/>
        <w:spacing w:after="0" w:line="275" w:lineRule="auto"/>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identifying, evaluating, and selecting, or making recommendations to our Board of Directors regarding, nominees for election to our Board of Directors and its committees;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overseeing the evaluation the performance of our Board of Directors and of individual directors;</w:t>
      </w:r>
    </w:p>
    <w:p>
      <w:pPr>
        <w:spacing w:after="0" w:line="109" w:lineRule="exact"/>
        <w:rPr>
          <w:rFonts w:ascii="Arial" w:cs="Arial" w:eastAsia="Arial" w:hAnsi="Arial"/>
          <w:sz w:val="15"/>
          <w:szCs w:val="15"/>
          <w:color w:val="auto"/>
        </w:rPr>
      </w:pPr>
    </w:p>
    <w:p>
      <w:pPr>
        <w:ind w:left="1840" w:right="720" w:hanging="276"/>
        <w:spacing w:after="0" w:line="275" w:lineRule="auto"/>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of our Board of Directors and its committees;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overseeing our corporate governance practices;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contributing to succession planning;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w:t>
      </w:r>
    </w:p>
    <w:p>
      <w:pPr>
        <w:spacing w:after="0" w:line="18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nominating and corporate governance committee will operate under a written charter, to be effective prior to the completion of this offering, that satisfies the applicable listing standards of Nasdaq.</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02" w:lineRule="exact"/>
        <w:rPr>
          <w:sz w:val="20"/>
          <w:szCs w:val="20"/>
          <w:color w:val="auto"/>
        </w:rPr>
      </w:pPr>
    </w:p>
    <w:p>
      <w:pPr>
        <w:ind w:left="1120" w:right="40" w:firstLine="368"/>
        <w:spacing w:after="0" w:line="322" w:lineRule="auto"/>
        <w:rPr>
          <w:sz w:val="20"/>
          <w:szCs w:val="20"/>
          <w:color w:val="auto"/>
        </w:rPr>
      </w:pPr>
      <w:r>
        <w:rPr>
          <w:rFonts w:ascii="Arial" w:cs="Arial" w:eastAsia="Arial" w:hAnsi="Arial"/>
          <w:sz w:val="13"/>
          <w:szCs w:val="13"/>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Non-Employee Director Compensation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employee directors, Messrs. Houston and Ferdowsi, have not received any compensation as directors.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80"/>
          </w:cols>
          <w:pgMar w:left="240" w:top="407" w:right="137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The following table provides information regarding compensation of our non-employee directors for service as directors, for the year ended December 31, 2017. In 2017, we did not pay any compensation to any person who served as a non-employee member of our Board of Directors who is affiliated with our greater than 5% stockholders.</w:t>
      </w:r>
    </w:p>
    <w:p>
      <w:pPr>
        <w:spacing w:after="0" w:line="154"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12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Stock</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2980" w:type="dxa"/>
            <w:vAlign w:val="bottom"/>
            <w:gridSpan w:val="3"/>
          </w:tcPr>
          <w:p>
            <w:pPr>
              <w:jc w:val="right"/>
              <w:ind w:right="400"/>
              <w:spacing w:after="0"/>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000000"/>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2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Donald W. Blair</w:t>
            </w:r>
            <w:r>
              <w:rPr>
                <w:rFonts w:ascii="Arial" w:cs="Arial" w:eastAsia="Arial" w:hAnsi="Arial"/>
                <w:sz w:val="12"/>
                <w:szCs w:val="12"/>
                <w:color w:val="auto"/>
              </w:rPr>
              <w:t>(2)</w:t>
            </w:r>
          </w:p>
        </w:tc>
        <w:tc>
          <w:tcPr>
            <w:tcW w:w="19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gridSpan w:val="2"/>
          </w:tcPr>
          <w:p>
            <w:pPr>
              <w:spacing w:after="0"/>
              <w:rPr>
                <w:sz w:val="20"/>
                <w:szCs w:val="20"/>
                <w:color w:val="auto"/>
              </w:rPr>
            </w:pPr>
            <w:r>
              <w:rPr>
                <w:rFonts w:ascii="Arial" w:cs="Arial" w:eastAsia="Arial" w:hAnsi="Arial"/>
                <w:sz w:val="15"/>
                <w:szCs w:val="15"/>
                <w:color w:val="auto"/>
              </w:rPr>
              <w:t>Paul E. Jacobs</w:t>
            </w:r>
          </w:p>
        </w:tc>
        <w:tc>
          <w:tcPr>
            <w:tcW w:w="196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Mylod, Jr.</w:t>
            </w:r>
          </w:p>
        </w:tc>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tcPr>
          <w:p>
            <w:pPr>
              <w:spacing w:after="0"/>
              <w:rPr>
                <w:sz w:val="20"/>
                <w:szCs w:val="20"/>
                <w:color w:val="auto"/>
              </w:rPr>
            </w:pPr>
            <w:r>
              <w:rPr>
                <w:rFonts w:ascii="Arial" w:cs="Arial" w:eastAsia="Arial" w:hAnsi="Arial"/>
                <w:sz w:val="15"/>
                <w:szCs w:val="15"/>
                <w:color w:val="auto"/>
              </w:rPr>
              <w:t>Condoleezza Rice</w:t>
            </w:r>
          </w:p>
        </w:tc>
        <w:tc>
          <w:tcPr>
            <w:tcW w:w="196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Margaret C. Whitman</w:t>
            </w:r>
            <w:r>
              <w:rPr>
                <w:rFonts w:ascii="Arial" w:cs="Arial" w:eastAsia="Arial" w:hAnsi="Arial"/>
                <w:sz w:val="12"/>
                <w:szCs w:val="12"/>
                <w:color w:val="auto"/>
              </w:rPr>
              <w:t>(3)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908,800</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908,800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20" w:type="dxa"/>
            <w:vAlign w:val="bottom"/>
            <w:gridSpan w:val="2"/>
          </w:tcPr>
          <w:p>
            <w:pPr>
              <w:spacing w:after="0"/>
              <w:rPr>
                <w:sz w:val="20"/>
                <w:szCs w:val="20"/>
                <w:color w:val="auto"/>
              </w:rPr>
            </w:pPr>
            <w:r>
              <w:rPr>
                <w:rFonts w:ascii="Arial" w:cs="Arial" w:eastAsia="Arial" w:hAnsi="Arial"/>
                <w:sz w:val="15"/>
                <w:szCs w:val="15"/>
                <w:color w:val="auto"/>
              </w:rPr>
              <w:t>R. Bryan Schreier</w:t>
            </w:r>
          </w:p>
        </w:tc>
        <w:tc>
          <w:tcPr>
            <w:tcW w:w="196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62865</wp:posOffset>
            </wp:positionV>
            <wp:extent cx="58039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16" w:lineRule="exact"/>
        <w:rPr>
          <w:sz w:val="20"/>
          <w:szCs w:val="20"/>
          <w:color w:val="auto"/>
        </w:rPr>
      </w:pPr>
    </w:p>
    <w:p>
      <w:pPr>
        <w:ind w:left="1380" w:right="60" w:hanging="268"/>
        <w:spacing w:after="0" w:line="222" w:lineRule="auto"/>
        <w:tabs>
          <w:tab w:leader="none" w:pos="1380" w:val="left"/>
        </w:tabs>
        <w:numPr>
          <w:ilvl w:val="0"/>
          <w:numId w:val="62"/>
        </w:numPr>
        <w:rPr>
          <w:rFonts w:ascii="Arial" w:cs="Arial" w:eastAsia="Arial" w:hAnsi="Arial"/>
          <w:sz w:val="22"/>
          <w:szCs w:val="22"/>
          <w:color w:val="auto"/>
          <w:vertAlign w:val="superscript"/>
        </w:rPr>
      </w:pPr>
      <w:r>
        <w:rPr>
          <w:rFonts w:ascii="Arial" w:cs="Arial" w:eastAsia="Arial" w:hAnsi="Arial"/>
          <w:sz w:val="13"/>
          <w:szCs w:val="13"/>
          <w:color w:val="auto"/>
        </w:rPr>
        <w:t>The amounts reported represent the aggregate grant-date fair value of the RSUs awarded to the director in 2017,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ind w:left="1380" w:hanging="268"/>
        <w:spacing w:after="0" w:line="185" w:lineRule="auto"/>
        <w:tabs>
          <w:tab w:leader="none" w:pos="1380" w:val="left"/>
        </w:tabs>
        <w:numPr>
          <w:ilvl w:val="0"/>
          <w:numId w:val="62"/>
        </w:numPr>
        <w:rPr>
          <w:rFonts w:ascii="Arial" w:cs="Arial" w:eastAsia="Arial" w:hAnsi="Arial"/>
          <w:sz w:val="19"/>
          <w:szCs w:val="19"/>
          <w:color w:val="auto"/>
          <w:vertAlign w:val="superscript"/>
        </w:rPr>
      </w:pPr>
      <w:r>
        <w:rPr>
          <w:rFonts w:ascii="Arial" w:cs="Arial" w:eastAsia="Arial" w:hAnsi="Arial"/>
          <w:sz w:val="12"/>
          <w:szCs w:val="12"/>
          <w:color w:val="auto"/>
        </w:rPr>
        <w:t>Mr. Blair became a member of our Board of Directors in December 2017.</w:t>
      </w:r>
    </w:p>
    <w:p>
      <w:pPr>
        <w:spacing w:after="0" w:line="9" w:lineRule="exact"/>
        <w:rPr>
          <w:rFonts w:ascii="Arial" w:cs="Arial" w:eastAsia="Arial" w:hAnsi="Arial"/>
          <w:sz w:val="19"/>
          <w:szCs w:val="19"/>
          <w:color w:val="auto"/>
          <w:vertAlign w:val="superscript"/>
        </w:rPr>
      </w:pPr>
    </w:p>
    <w:p>
      <w:pPr>
        <w:ind w:left="1380" w:hanging="268"/>
        <w:spacing w:after="0" w:line="186" w:lineRule="auto"/>
        <w:tabs>
          <w:tab w:leader="none" w:pos="1380" w:val="left"/>
        </w:tabs>
        <w:numPr>
          <w:ilvl w:val="0"/>
          <w:numId w:val="62"/>
        </w:numPr>
        <w:rPr>
          <w:rFonts w:ascii="Arial" w:cs="Arial" w:eastAsia="Arial" w:hAnsi="Arial"/>
          <w:sz w:val="18"/>
          <w:szCs w:val="18"/>
          <w:color w:val="auto"/>
          <w:vertAlign w:val="superscript"/>
        </w:rPr>
      </w:pPr>
      <w:r>
        <w:rPr>
          <w:rFonts w:ascii="Arial" w:cs="Arial" w:eastAsia="Arial" w:hAnsi="Arial"/>
          <w:sz w:val="11"/>
          <w:szCs w:val="11"/>
          <w:color w:val="auto"/>
        </w:rPr>
        <w:t>Ms. Whitman became a member of our Board of Directors in September 2017.</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lists all outstanding equity awards held by non-employee directors as of December 31, 2017:</w:t>
      </w:r>
    </w:p>
    <w:p>
      <w:pPr>
        <w:spacing w:after="0" w:line="188"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540" w:type="dxa"/>
            <w:vAlign w:val="bottom"/>
            <w:vMerge w:val="restart"/>
          </w:tcPr>
          <w:p>
            <w:pPr>
              <w:spacing w:after="0"/>
              <w:rPr>
                <w:sz w:val="12"/>
                <w:szCs w:val="12"/>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8"/>
              </w:rPr>
              <w:t>Date of</w:t>
            </w:r>
          </w:p>
        </w:tc>
        <w:tc>
          <w:tcPr>
            <w:tcW w:w="20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Number of shares underlying</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vMerge w:val="continue"/>
          </w:tcPr>
          <w:p>
            <w:pPr>
              <w:spacing w:after="0"/>
              <w:rPr>
                <w:sz w:val="12"/>
                <w:szCs w:val="12"/>
                <w:color w:val="auto"/>
              </w:rPr>
            </w:pPr>
          </w:p>
        </w:tc>
        <w:tc>
          <w:tcPr>
            <w:tcW w:w="354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grant</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4"/>
              </w:rPr>
              <w:t>unvested stock awards</w:t>
            </w:r>
            <w:r>
              <w:rPr>
                <w:rFonts w:ascii="Arial" w:cs="Arial" w:eastAsia="Arial" w:hAnsi="Arial"/>
                <w:sz w:val="10"/>
                <w:szCs w:val="10"/>
                <w:b w:val="1"/>
                <w:bCs w:val="1"/>
                <w:color w:val="auto"/>
                <w:w w:val="94"/>
              </w:rPr>
              <w:t>(1)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Donald W. Blair</w:t>
            </w:r>
            <w:r>
              <w:rPr>
                <w:rFonts w:ascii="Arial" w:cs="Arial" w:eastAsia="Arial" w:hAnsi="Arial"/>
                <w:sz w:val="12"/>
                <w:szCs w:val="12"/>
                <w:color w:val="auto"/>
              </w:rPr>
              <w:t>(2)</w:t>
            </w:r>
          </w:p>
        </w:tc>
        <w:tc>
          <w:tcPr>
            <w:tcW w:w="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Arial" w:cs="Arial" w:eastAsia="Arial" w:hAnsi="Arial"/>
                <w:sz w:val="15"/>
                <w:szCs w:val="15"/>
                <w:color w:val="auto"/>
              </w:rPr>
              <w:t>Paul E. Jacobs</w:t>
            </w: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(3)</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26,667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Mylod, Jr.</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w w:val="98"/>
              </w:rPr>
              <w:t>10/27/14</w:t>
            </w:r>
            <w:r>
              <w:rPr>
                <w:rFonts w:ascii="Arial" w:cs="Arial" w:eastAsia="Arial" w:hAnsi="Arial"/>
                <w:sz w:val="12"/>
                <w:szCs w:val="12"/>
                <w:color w:val="auto"/>
                <w:w w:val="98"/>
              </w:rPr>
              <w:t>(4)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(5)</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53,333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Condoleezza Rice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7/29/14</w:t>
            </w:r>
            <w:r>
              <w:rPr>
                <w:rFonts w:ascii="Arial" w:cs="Arial" w:eastAsia="Arial" w:hAnsi="Arial"/>
                <w:sz w:val="12"/>
                <w:szCs w:val="12"/>
                <w:color w:val="auto"/>
              </w:rPr>
              <w:t>(6)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(7)</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53,333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Margaret C. Whitman</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9/8/17</w:t>
            </w:r>
            <w:r>
              <w:rPr>
                <w:rFonts w:ascii="Arial" w:cs="Arial" w:eastAsia="Arial" w:hAnsi="Arial"/>
                <w:sz w:val="12"/>
                <w:szCs w:val="12"/>
                <w:color w:val="auto"/>
              </w:rPr>
              <w:t>(8)</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53,333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gridSpan w:val="2"/>
          </w:tcPr>
          <w:p>
            <w:pPr>
              <w:spacing w:after="0"/>
              <w:rPr>
                <w:sz w:val="20"/>
                <w:szCs w:val="20"/>
                <w:color w:val="auto"/>
              </w:rPr>
            </w:pPr>
            <w:r>
              <w:rPr>
                <w:rFonts w:ascii="Arial" w:cs="Arial" w:eastAsia="Arial" w:hAnsi="Arial"/>
                <w:sz w:val="15"/>
                <w:szCs w:val="15"/>
                <w:color w:val="auto"/>
              </w:rPr>
              <w:t>R. Bryan Schreier</w:t>
            </w:r>
          </w:p>
        </w:tc>
        <w:tc>
          <w:tcPr>
            <w:tcW w:w="116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65405</wp:posOffset>
            </wp:positionV>
            <wp:extent cx="58039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0" w:lineRule="exact"/>
        <w:rPr>
          <w:sz w:val="20"/>
          <w:szCs w:val="20"/>
          <w:color w:val="auto"/>
        </w:rPr>
      </w:pPr>
    </w:p>
    <w:p>
      <w:pPr>
        <w:ind w:left="1380" w:right="60" w:hanging="268"/>
        <w:spacing w:after="0" w:line="224"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 Our Board of Directors has approved the acceleration of the Performance Vesting Condition such that it will occur upon the effectiveness of our registration statement of which this prospectus forms a part.</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Mr. Blair became a member of our Board of Directors in December 2017.</w:t>
      </w:r>
    </w:p>
    <w:p>
      <w:pPr>
        <w:spacing w:after="0" w:line="9" w:lineRule="exact"/>
        <w:rPr>
          <w:rFonts w:ascii="Arial" w:cs="Arial" w:eastAsia="Arial" w:hAnsi="Arial"/>
          <w:sz w:val="19"/>
          <w:szCs w:val="19"/>
          <w:color w:val="auto"/>
          <w:vertAlign w:val="superscript"/>
        </w:rPr>
      </w:pPr>
    </w:p>
    <w:p>
      <w:pPr>
        <w:ind w:left="1380" w:right="460" w:hanging="268"/>
        <w:spacing w:after="0" w:line="236" w:lineRule="auto"/>
        <w:tabs>
          <w:tab w:leader="none" w:pos="1380" w:val="left"/>
        </w:tabs>
        <w:numPr>
          <w:ilvl w:val="0"/>
          <w:numId w:val="63"/>
        </w:numPr>
        <w:rPr>
          <w:rFonts w:ascii="Arial" w:cs="Arial" w:eastAsia="Arial" w:hAnsi="Arial"/>
          <w:sz w:val="20"/>
          <w:szCs w:val="20"/>
          <w:color w:val="auto"/>
          <w:vertAlign w:val="superscript"/>
        </w:rPr>
      </w:pPr>
      <w:r>
        <w:rPr>
          <w:rFonts w:ascii="Arial" w:cs="Arial" w:eastAsia="Arial" w:hAnsi="Arial"/>
          <w:sz w:val="12"/>
          <w:szCs w:val="12"/>
          <w:color w:val="auto"/>
        </w:rPr>
        <w:t>50% of the shares of our Class B common stock underlying the RSUs vested on each of May 1, 2017 and the remainder will vest on May 1, 2018, subject to continued service through such vesting date; provided, however, that as a result of amendments approved by our Board of Directors on September 8, 2017 applicable to all RSUs, or the September 2017 RSU Amendment, the May 1, 2018 vesting date is being accelerated to February 15, 2018.</w:t>
      </w:r>
    </w:p>
    <w:p>
      <w:pPr>
        <w:spacing w:after="0" w:line="1" w:lineRule="exact"/>
        <w:rPr>
          <w:rFonts w:ascii="Arial" w:cs="Arial" w:eastAsia="Arial" w:hAnsi="Arial"/>
          <w:sz w:val="20"/>
          <w:szCs w:val="20"/>
          <w:color w:val="auto"/>
          <w:vertAlign w:val="superscript"/>
        </w:rPr>
      </w:pPr>
    </w:p>
    <w:p>
      <w:pPr>
        <w:ind w:left="1380" w:right="400" w:hanging="268"/>
        <w:spacing w:after="0" w:line="190"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The service condition was satisfied as to 100% of the shares of Class B common stock underlying the RSUs on September 1, 2016. The Performance Vesting Condition has not been satisfied.</w:t>
      </w:r>
    </w:p>
    <w:p>
      <w:pPr>
        <w:spacing w:after="0" w:line="1" w:lineRule="exact"/>
        <w:rPr>
          <w:rFonts w:ascii="Arial" w:cs="Arial" w:eastAsia="Arial" w:hAnsi="Arial"/>
          <w:sz w:val="23"/>
          <w:szCs w:val="23"/>
          <w:color w:val="auto"/>
          <w:vertAlign w:val="superscript"/>
        </w:rPr>
      </w:pPr>
    </w:p>
    <w:p>
      <w:pPr>
        <w:ind w:left="1380" w:right="20" w:hanging="268"/>
        <w:spacing w:after="0" w:line="220" w:lineRule="auto"/>
        <w:tabs>
          <w:tab w:leader="none" w:pos="1380" w:val="left"/>
        </w:tabs>
        <w:numPr>
          <w:ilvl w:val="0"/>
          <w:numId w:val="63"/>
        </w:numPr>
        <w:rPr>
          <w:rFonts w:ascii="Arial" w:cs="Arial" w:eastAsia="Arial" w:hAnsi="Arial"/>
          <w:sz w:val="20"/>
          <w:szCs w:val="20"/>
          <w:color w:val="auto"/>
          <w:vertAlign w:val="superscript"/>
        </w:rPr>
      </w:pPr>
      <w:r>
        <w:rPr>
          <w:rFonts w:ascii="Arial" w:cs="Arial" w:eastAsia="Arial" w:hAnsi="Arial"/>
          <w:sz w:val="12"/>
          <w:szCs w:val="12"/>
          <w:color w:val="auto"/>
        </w:rPr>
        <w:t>100% of the shares of our Class B common stock underlying the RSUs vest on September 1, 2018, subject to continued service through such vesting date; provided, however, that as a result of the September 2017 RSU Amendment, the September 1, 2018 vesting date is being accelerated to August 15, 2018.</w:t>
      </w:r>
    </w:p>
    <w:p>
      <w:pPr>
        <w:spacing w:after="0" w:line="1" w:lineRule="exact"/>
        <w:rPr>
          <w:rFonts w:ascii="Arial" w:cs="Arial" w:eastAsia="Arial" w:hAnsi="Arial"/>
          <w:sz w:val="20"/>
          <w:szCs w:val="20"/>
          <w:color w:val="auto"/>
          <w:vertAlign w:val="superscript"/>
        </w:rPr>
      </w:pPr>
    </w:p>
    <w:p>
      <w:pPr>
        <w:ind w:left="1380" w:right="100" w:hanging="268"/>
        <w:spacing w:after="0" w:line="190"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The service condition was satisfied as to 100% of the shares of Class B common stock underlying the RSUs on May 15, 2016. The Performance Vesting Condition has not been satisfied.</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100% of the shares of our Class B common stock underlying the RSUs vest on May 15, 2018, subject to continued service through such vesting date.</w:t>
      </w:r>
    </w:p>
    <w:p>
      <w:pPr>
        <w:spacing w:after="0" w:line="9" w:lineRule="exact"/>
        <w:rPr>
          <w:rFonts w:ascii="Arial" w:cs="Arial" w:eastAsia="Arial" w:hAnsi="Arial"/>
          <w:sz w:val="19"/>
          <w:szCs w:val="19"/>
          <w:color w:val="auto"/>
          <w:vertAlign w:val="superscript"/>
        </w:rPr>
      </w:pPr>
    </w:p>
    <w:p>
      <w:pPr>
        <w:ind w:left="1380" w:hanging="268"/>
        <w:spacing w:after="0" w:line="186"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Ms. Whitman became a member of our Board of Directors in September 2017. 50% of the shares of our Class A common stock underlying the RSUs vest on each of August 15, 2018 and August 15, 2019, subject to continued service through each such vesting date.</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300"/>
          </w:cols>
          <w:pgMar w:left="240" w:top="407" w:right="135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February 2018, our Board of Directors approved new awards of RSUs with a value of $300,000 to the non-employee directors listed below on the terms set forth below. In determining the size and terms of these awards, our Board of Directors considered such factors as it determined appropriate, including, the vested status of each of these non-employee director’s current company equity awards, the compensation level of directors at comparable companies, the expected timing of the issuance of future equity awards to them under the director compensation policy described below, and the past and expected future contributions of these directors to our company.</w:t>
      </w:r>
    </w:p>
    <w:p>
      <w:pPr>
        <w:spacing w:after="0" w:line="80" w:lineRule="exact"/>
        <w:rPr>
          <w:sz w:val="20"/>
          <w:szCs w:val="20"/>
          <w:color w:val="auto"/>
        </w:rPr>
      </w:pPr>
    </w:p>
    <w:p>
      <w:pPr>
        <w:ind w:left="1840" w:right="60" w:hanging="276"/>
        <w:spacing w:after="0" w:line="277" w:lineRule="auto"/>
        <w:tabs>
          <w:tab w:leader="none" w:pos="18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Rice and Messrs. Jacobs, Mylod, and Schreier: an award of RSUs with a value of $300,000 that vests on May 15, 2019 or the next annual meeting of our stockholders, if earlier, subject to the director’s continued service with us. The award will be subject to vesting acceleration on a “change in control”, as set forth in our director compensation policy described below. The award will be effective as of immediately prior to the effectiveness of our registration statement related to this offering, subject to their approval by our stockholders and the director’s continued service with us. The number of RSUs subject to the award shall equal $300,000 divided by the per share price of Class A common stock listed on the cover of the registration statement related to this offering.</w:t>
      </w:r>
    </w:p>
    <w:p>
      <w:pPr>
        <w:spacing w:after="0" w:line="69" w:lineRule="exact"/>
        <w:rPr>
          <w:rFonts w:ascii="Arial" w:cs="Arial" w:eastAsia="Arial" w:hAnsi="Arial"/>
          <w:sz w:val="14"/>
          <w:szCs w:val="14"/>
          <w:color w:val="auto"/>
        </w:rPr>
      </w:pPr>
    </w:p>
    <w:p>
      <w:pPr>
        <w:ind w:left="1840" w:right="360" w:hanging="276"/>
        <w:spacing w:after="0" w:line="290" w:lineRule="auto"/>
        <w:tabs>
          <w:tab w:leader="none" w:pos="18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Blair: an award of 53,333 RSUs that vests in two equal installments on November 15, 2018 and November 15, 2019, subject to his continued service with us. The award will be subject to vesting acceleration on a “change in control”, as set forth in our director compensation policy described below. This award was provided to Mr. Blair as part of his recruitment to join our Board of Directors.</w:t>
      </w:r>
    </w:p>
    <w:p>
      <w:pPr>
        <w:spacing w:after="0" w:line="138"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also have reimbursed our directors for expenses associated with attending meetings of our Board of Directors and committees of our Board of Directors. In February 2018, our Board of Directors adopted a new compensation policy for our non-employee directors that will be effective as of the date of the effectiveness of the registration statement related to this offering. This policy was developed, with input from our independent compensation consultant firm, Compensia, Inc., regarding practices and compensation level at comparable companies. It is designed to attract, retain, and reward non-employee directors.</w:t>
      </w:r>
    </w:p>
    <w:p>
      <w:pPr>
        <w:spacing w:after="0" w:line="148" w:lineRule="exact"/>
        <w:rPr>
          <w:sz w:val="20"/>
          <w:szCs w:val="20"/>
          <w:color w:val="auto"/>
        </w:rPr>
      </w:pPr>
    </w:p>
    <w:p>
      <w:pPr>
        <w:ind w:left="1120" w:right="120" w:firstLine="368"/>
        <w:spacing w:after="0" w:line="354" w:lineRule="auto"/>
        <w:rPr>
          <w:sz w:val="20"/>
          <w:szCs w:val="20"/>
          <w:color w:val="auto"/>
        </w:rPr>
      </w:pPr>
      <w:r>
        <w:rPr>
          <w:rFonts w:ascii="Arial" w:cs="Arial" w:eastAsia="Arial" w:hAnsi="Arial"/>
          <w:sz w:val="13"/>
          <w:szCs w:val="13"/>
          <w:color w:val="auto"/>
        </w:rPr>
        <w:t>Under this director compensation policy, each non-employee director will receive the cash and equity compensation for board services described below. We also will continue to reimburse our non-employee directors for reasonable, customary, and documented travel expenses to board meetings.</w:t>
      </w:r>
    </w:p>
    <w:p>
      <w:pPr>
        <w:spacing w:after="0" w:line="100"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The director compensation policy includes a maximum annual limit of $1,200,000 of cash compensation and equity awards that may be paid, issued, or granted to a non-employee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Following the completion of this offering, non-employee directors will be entitled to receive the following cash compensation for their services:</w:t>
      </w:r>
    </w:p>
    <w:p>
      <w:pPr>
        <w:spacing w:after="0" w:line="121" w:lineRule="exact"/>
        <w:rPr>
          <w:sz w:val="20"/>
          <w:szCs w:val="20"/>
          <w:color w:val="auto"/>
        </w:rPr>
      </w:pPr>
    </w:p>
    <w:p>
      <w:pPr>
        <w:ind w:left="1840" w:hanging="276"/>
        <w:spacing w:after="0"/>
        <w:tabs>
          <w:tab w:leader="none" w:pos="18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$50,000 per year for service as a board member;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$20,000 per year for service as a lead independent director;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$25,000 per year for service as chair of the audit committee;</w:t>
      </w:r>
    </w:p>
    <w:p>
      <w:pPr>
        <w:spacing w:after="0" w:line="109" w:lineRule="exact"/>
        <w:rPr>
          <w:rFonts w:ascii="Arial" w:cs="Arial" w:eastAsia="Arial" w:hAnsi="Arial"/>
          <w:sz w:val="15"/>
          <w:szCs w:val="15"/>
          <w:color w:val="auto"/>
        </w:rPr>
      </w:pPr>
    </w:p>
    <w:p>
      <w:pPr>
        <w:ind w:left="5600" w:right="4480" w:hanging="4036"/>
        <w:spacing w:after="0" w:line="553" w:lineRule="auto"/>
        <w:tabs>
          <w:tab w:leader="none" w:pos="1833" w:val="left"/>
        </w:tabs>
        <w:numPr>
          <w:ilvl w:val="0"/>
          <w:numId w:val="65"/>
        </w:numPr>
        <w:rPr>
          <w:rFonts w:ascii="Arial" w:cs="Arial" w:eastAsia="Arial" w:hAnsi="Arial"/>
          <w:sz w:val="13"/>
          <w:szCs w:val="13"/>
          <w:color w:val="auto"/>
        </w:rPr>
      </w:pPr>
      <w:r>
        <w:rPr>
          <w:rFonts w:ascii="Arial" w:cs="Arial" w:eastAsia="Arial" w:hAnsi="Arial"/>
          <w:sz w:val="13"/>
          <w:szCs w:val="13"/>
          <w:color w:val="auto"/>
        </w:rPr>
        <w:t>$12,500 per year for service as a member of the audit committee; 144</w:t>
      </w:r>
    </w:p>
    <w:p>
      <w:pPr>
        <w:sectPr>
          <w:pgSz w:w="11900" w:h="16838" w:orient="portrait"/>
          <w:cols w:equalWidth="0" w:num="1">
            <w:col w:w="10300"/>
          </w:cols>
          <w:pgMar w:left="240" w:top="407" w:right="135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$20,000 per year for service as chair of the compensation committee;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$10,000 per year for service as a member of the compensation committee;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$10,000 per year for service as chair of the nominating and governance committee;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$5,000 per year for service as a member of the nominating and governance committee.</w:t>
      </w:r>
    </w:p>
    <w:p>
      <w:pPr>
        <w:spacing w:after="0" w:line="188" w:lineRule="exact"/>
        <w:rPr>
          <w:sz w:val="20"/>
          <w:szCs w:val="20"/>
          <w:color w:val="auto"/>
        </w:rPr>
      </w:pPr>
    </w:p>
    <w:p>
      <w:pPr>
        <w:jc w:val="both"/>
        <w:ind w:left="1120" w:right="140" w:firstLine="368"/>
        <w:spacing w:after="0" w:line="354" w:lineRule="auto"/>
        <w:rPr>
          <w:sz w:val="20"/>
          <w:szCs w:val="20"/>
          <w:color w:val="auto"/>
        </w:rPr>
      </w:pPr>
      <w:r>
        <w:rPr>
          <w:rFonts w:ascii="Arial" w:cs="Arial" w:eastAsia="Arial" w:hAnsi="Arial"/>
          <w:sz w:val="13"/>
          <w:szCs w:val="13"/>
          <w:color w:val="auto"/>
        </w:rPr>
        <w:t>Each non-employee director who serves as the chair of a committee will receive both the additional annual fee as the chair of the committee and the additional annual fee as a member of the committee. All cash payments to non-employee directors are paid quarterly in arrears on a prorated basis.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i w:val="1"/>
          <w:iCs w:val="1"/>
          <w:color w:val="auto"/>
        </w:rPr>
        <w:t xml:space="preserve">Initial Award. </w:t>
      </w:r>
      <w:r>
        <w:rPr>
          <w:rFonts w:ascii="Arial" w:cs="Arial" w:eastAsia="Arial" w:hAnsi="Arial"/>
          <w:sz w:val="14"/>
          <w:szCs w:val="14"/>
          <w:color w:val="auto"/>
        </w:rPr>
        <w:t>Each person who first becomes a non-employee director will receive, on the first trading date on or after the date on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person first becomes an non-employee director, an initial award of RSUs, or the Initial Award, covering a number of shares of our Class A common stock having a grant date fair value (determined in accordance with GAAP) equal to $300,000 multiplied by the fraction obtained by dividing (1) the number of full months during the period beginning on the date the person first becomes a non-employee director and ending on the one-year anniversary of the date of the then-most recent annual meeting of the company’s stockholders, or the Initial Award Vesting Period by (2) 12, rounded to the nearest whole share. The Initial Award will vest on the last day of the Initial Award Vesting Period or, if earlier, on the day before the annual meeting of our stockholders that follows the grant date of the Initial Award, subject to the non-employee director continuing to provide services to us through the applicable vesting date. If the person was a member of the Board of Directors and also an employee, becoming a non-employee director due to termination of employment will not entitle the non-employee director to an Initial Award.</w:t>
      </w:r>
    </w:p>
    <w:p>
      <w:pPr>
        <w:spacing w:after="0" w:line="150"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i w:val="1"/>
          <w:iCs w:val="1"/>
          <w:color w:val="auto"/>
        </w:rPr>
        <w:t xml:space="preserve">Annual Award. </w:t>
      </w:r>
      <w:r>
        <w:rPr>
          <w:rFonts w:ascii="Arial" w:cs="Arial" w:eastAsia="Arial" w:hAnsi="Arial"/>
          <w:sz w:val="15"/>
          <w:szCs w:val="15"/>
          <w:color w:val="auto"/>
        </w:rPr>
        <w:t>Each non-employee director automatically will receive, on the date of each annual meeting of the Company’s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effective date of the policy, an annual award of RSUs, each of which we refer to as an Annual Award, covering a number of shares of our Class A common stock having a grant date fair value (determined in accordance with GAAP) of $300,000, rounded to the nearest whole share. The Annual Award will vest on the one-year anniversary of the grant date of the Annual Award or, if earlier, the day before our annual meeting of stockholders that follows the grant date of the Annual Award, subject to the non-employee director continuing to provide services to us through the applicable vesting date</w:t>
      </w:r>
    </w:p>
    <w:p>
      <w:pPr>
        <w:spacing w:after="0" w:line="164"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In the event of a “change in control” (as defined in our 2018 Plan), each non-employee director will fully vest in his or her outstanding company equity awards, including any Initial Award or Annual Award, provided that the non-employee director continues to be a non-employee director through such date.</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300"/>
          </w:cols>
          <w:pgMar w:left="240" w:top="407" w:right="135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EXECUTIVE COMPENSATION</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Summary Compensation Table</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Our named executive officers, consisting of our principal executive officer and the next two most highly compensated executive officers, as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December 31, 2017, were:</w:t>
      </w:r>
    </w:p>
    <w:p>
      <w:pPr>
        <w:spacing w:after="0" w:line="100" w:lineRule="exact"/>
        <w:rPr>
          <w:sz w:val="20"/>
          <w:szCs w:val="20"/>
          <w:color w:val="auto"/>
        </w:rPr>
      </w:pPr>
    </w:p>
    <w:p>
      <w:pPr>
        <w:ind w:left="1840" w:hanging="276"/>
        <w:spacing w:after="0"/>
        <w:tabs>
          <w:tab w:leader="none" w:pos="1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Andrew W. Houston, our Chief Executive Officer and co-founder;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Arash Ferdowsi, our co-founder;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Quentin J. Clark, our Senior Vice President of Engineering, Product, and Design.</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amounts below represent the compensation paid to our named executive officers for 2017.</w:t>
      </w:r>
    </w:p>
    <w:p>
      <w:pPr>
        <w:spacing w:after="0" w:line="275"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2017 Summary Compensation Table</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6"/>
              </w:rPr>
              <w:t>Non-equity</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3"/>
              </w:rPr>
              <w:t>incentive</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8"/>
              </w:rPr>
              <w:t>plan</w:t>
            </w:r>
          </w:p>
        </w:tc>
        <w:tc>
          <w:tcPr>
            <w:tcW w:w="120" w:type="dxa"/>
            <w:vAlign w:val="bottom"/>
          </w:tcPr>
          <w:p>
            <w:pPr>
              <w:spacing w:after="0"/>
              <w:rPr>
                <w:sz w:val="9"/>
                <w:szCs w:val="9"/>
                <w:color w:val="auto"/>
              </w:rPr>
            </w:pPr>
          </w:p>
        </w:tc>
        <w:tc>
          <w:tcPr>
            <w:tcW w:w="880" w:type="dxa"/>
            <w:vAlign w:val="bottom"/>
            <w:gridSpan w:val="2"/>
          </w:tcPr>
          <w:p>
            <w:pPr>
              <w:jc w:val="center"/>
              <w:ind w:right="240"/>
              <w:spacing w:after="0" w:line="113" w:lineRule="exact"/>
              <w:rPr>
                <w:sz w:val="20"/>
                <w:szCs w:val="20"/>
                <w:color w:val="auto"/>
              </w:rPr>
            </w:pPr>
            <w:r>
              <w:rPr>
                <w:rFonts w:ascii="Arial" w:cs="Arial" w:eastAsia="Arial" w:hAnsi="Arial"/>
                <w:sz w:val="11"/>
                <w:szCs w:val="11"/>
                <w:b w:val="1"/>
                <w:bCs w:val="1"/>
                <w:color w:val="auto"/>
                <w:w w:val="89"/>
              </w:rPr>
              <w:t>All other</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334"/>
              <w:spacing w:after="0" w:line="113" w:lineRule="exact"/>
              <w:rPr>
                <w:sz w:val="20"/>
                <w:szCs w:val="20"/>
                <w:color w:val="auto"/>
              </w:rPr>
            </w:pPr>
            <w:r>
              <w:rPr>
                <w:rFonts w:ascii="Arial" w:cs="Arial" w:eastAsia="Arial" w:hAnsi="Arial"/>
                <w:sz w:val="11"/>
                <w:szCs w:val="11"/>
                <w:b w:val="1"/>
                <w:bCs w:val="1"/>
                <w:color w:val="auto"/>
              </w:rPr>
              <w:t>Stock</w:t>
            </w:r>
          </w:p>
        </w:tc>
        <w:tc>
          <w:tcPr>
            <w:tcW w:w="680" w:type="dxa"/>
            <w:vAlign w:val="bottom"/>
            <w:gridSpan w:val="2"/>
          </w:tcPr>
          <w:p>
            <w:pPr>
              <w:jc w:val="center"/>
              <w:ind w:left="4"/>
              <w:spacing w:after="0" w:line="113" w:lineRule="exact"/>
              <w:rPr>
                <w:sz w:val="20"/>
                <w:szCs w:val="20"/>
                <w:color w:val="auto"/>
              </w:rPr>
            </w:pPr>
            <w:r>
              <w:rPr>
                <w:rFonts w:ascii="Arial" w:cs="Arial" w:eastAsia="Arial" w:hAnsi="Arial"/>
                <w:sz w:val="11"/>
                <w:szCs w:val="11"/>
                <w:b w:val="1"/>
                <w:bCs w:val="1"/>
                <w:color w:val="auto"/>
                <w:w w:val="83"/>
              </w:rPr>
              <w:t>compensation</w:t>
            </w:r>
          </w:p>
        </w:tc>
        <w:tc>
          <w:tcPr>
            <w:tcW w:w="1000" w:type="dxa"/>
            <w:vAlign w:val="bottom"/>
            <w:gridSpan w:val="3"/>
          </w:tcPr>
          <w:p>
            <w:pPr>
              <w:jc w:val="center"/>
              <w:ind w:right="140"/>
              <w:spacing w:after="0" w:line="113" w:lineRule="exact"/>
              <w:rPr>
                <w:sz w:val="20"/>
                <w:szCs w:val="20"/>
                <w:color w:val="auto"/>
              </w:rPr>
            </w:pPr>
            <w:r>
              <w:rPr>
                <w:rFonts w:ascii="Arial" w:cs="Arial" w:eastAsia="Arial" w:hAnsi="Arial"/>
                <w:sz w:val="11"/>
                <w:szCs w:val="11"/>
                <w:b w:val="1"/>
                <w:bCs w:val="1"/>
                <w:color w:val="auto"/>
                <w:w w:val="83"/>
              </w:rPr>
              <w:t>compensation</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20" w:type="dxa"/>
            <w:vAlign w:val="bottom"/>
            <w:gridSpan w:val="3"/>
          </w:tcPr>
          <w:p>
            <w:pPr>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rPr>
              <w:t>Year</w:t>
            </w:r>
          </w:p>
        </w:tc>
        <w:tc>
          <w:tcPr>
            <w:tcW w:w="5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Salary($</w:t>
            </w:r>
            <w:r>
              <w:rPr>
                <w:rFonts w:ascii="Arial" w:cs="Arial" w:eastAsia="Arial" w:hAnsi="Arial"/>
                <w:sz w:val="11"/>
                <w:szCs w:val="11"/>
                <w:b w:val="1"/>
                <w:bCs w:val="1"/>
                <w:color w:val="auto"/>
              </w:rPr>
              <w:t>)</w:t>
            </w:r>
          </w:p>
        </w:tc>
        <w:tc>
          <w:tcPr>
            <w:tcW w:w="62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Bonus($</w:t>
            </w:r>
            <w:r>
              <w:rPr>
                <w:rFonts w:ascii="Arial" w:cs="Arial" w:eastAsia="Arial" w:hAnsi="Arial"/>
                <w:sz w:val="11"/>
                <w:szCs w:val="11"/>
                <w:b w:val="1"/>
                <w:bCs w:val="1"/>
                <w:color w:val="auto"/>
              </w:rPr>
              <w:t>)</w:t>
            </w:r>
          </w:p>
        </w:tc>
        <w:tc>
          <w:tcPr>
            <w:tcW w:w="820" w:type="dxa"/>
            <w:vAlign w:val="bottom"/>
            <w:gridSpan w:val="2"/>
          </w:tcPr>
          <w:p>
            <w:pPr>
              <w:jc w:val="right"/>
              <w:ind w:right="234"/>
              <w:spacing w:after="0"/>
              <w:rPr>
                <w:sz w:val="20"/>
                <w:szCs w:val="20"/>
                <w:color w:val="auto"/>
              </w:rPr>
            </w:pPr>
            <w:r>
              <w:rPr>
                <w:rFonts w:ascii="Arial" w:cs="Arial" w:eastAsia="Arial" w:hAnsi="Arial"/>
                <w:sz w:val="11"/>
                <w:szCs w:val="11"/>
                <w:b w:val="1"/>
                <w:bCs w:val="1"/>
                <w:color w:val="auto"/>
              </w:rPr>
              <w:t>awards($)</w:t>
            </w:r>
          </w:p>
        </w:tc>
        <w:tc>
          <w:tcPr>
            <w:tcW w:w="680" w:type="dxa"/>
            <w:vAlign w:val="bottom"/>
            <w:gridSpan w:val="2"/>
          </w:tcPr>
          <w:p>
            <w:pPr>
              <w:jc w:val="center"/>
              <w:ind w:left="4"/>
              <w:spacing w:after="0"/>
              <w:rPr>
                <w:sz w:val="20"/>
                <w:szCs w:val="20"/>
                <w:color w:val="auto"/>
              </w:rPr>
            </w:pPr>
            <w:r>
              <w:rPr>
                <w:rFonts w:ascii="Arial" w:cs="Arial" w:eastAsia="Arial" w:hAnsi="Arial"/>
                <w:sz w:val="11"/>
                <w:szCs w:val="11"/>
                <w:b w:val="1"/>
                <w:bCs w:val="1"/>
                <w:color w:val="auto"/>
                <w:w w:val="94"/>
              </w:rPr>
              <w:t>($)</w:t>
            </w:r>
            <w:r>
              <w:rPr>
                <w:rFonts w:ascii="Arial" w:cs="Arial" w:eastAsia="Arial" w:hAnsi="Arial"/>
                <w:sz w:val="8"/>
                <w:szCs w:val="8"/>
                <w:b w:val="1"/>
                <w:bCs w:val="1"/>
                <w:color w:val="auto"/>
                <w:w w:val="94"/>
              </w:rPr>
              <w:t>(1)</w:t>
            </w:r>
          </w:p>
        </w:tc>
        <w:tc>
          <w:tcPr>
            <w:tcW w:w="740" w:type="dxa"/>
            <w:vAlign w:val="bottom"/>
            <w:gridSpan w:val="2"/>
          </w:tcPr>
          <w:p>
            <w:pPr>
              <w:jc w:val="center"/>
              <w:ind w:left="84"/>
              <w:spacing w:after="0"/>
              <w:rPr>
                <w:sz w:val="20"/>
                <w:szCs w:val="20"/>
                <w:color w:val="auto"/>
              </w:rPr>
            </w:pPr>
            <w:r>
              <w:rPr>
                <w:rFonts w:ascii="Arial" w:cs="Arial" w:eastAsia="Arial" w:hAnsi="Arial"/>
                <w:sz w:val="11"/>
                <w:szCs w:val="11"/>
                <w:b w:val="1"/>
                <w:bCs w:val="1"/>
                <w:color w:val="auto"/>
                <w:w w:val="88"/>
              </w:rPr>
              <w:t>($)</w:t>
            </w:r>
          </w:p>
        </w:tc>
        <w:tc>
          <w:tcPr>
            <w:tcW w:w="26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60" w:type="dxa"/>
            <w:vAlign w:val="bottom"/>
            <w:tcBorders>
              <w:top w:val="single" w:sz="8" w:color="auto"/>
            </w:tcBorders>
            <w:shd w:val="clear" w:color="auto" w:fill="CCEEFF"/>
          </w:tcPr>
          <w:p>
            <w:pPr>
              <w:spacing w:after="0" w:line="80" w:lineRule="exact"/>
              <w:rPr>
                <w:sz w:val="20"/>
                <w:szCs w:val="20"/>
                <w:color w:val="auto"/>
              </w:rPr>
            </w:pPr>
            <w:r>
              <w:rPr>
                <w:rFonts w:ascii="Arial" w:cs="Arial" w:eastAsia="Arial" w:hAnsi="Arial"/>
                <w:sz w:val="9"/>
                <w:szCs w:val="9"/>
                <w:color w:val="auto"/>
              </w:rPr>
              <w:t>Andrew W. Houston</w:t>
            </w:r>
          </w:p>
        </w:tc>
        <w:tc>
          <w:tcPr>
            <w:tcW w:w="3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ind w:left="40"/>
              <w:spacing w:after="0" w:line="80" w:lineRule="exact"/>
              <w:rPr>
                <w:sz w:val="20"/>
                <w:szCs w:val="20"/>
                <w:color w:val="auto"/>
              </w:rPr>
            </w:pPr>
            <w:r>
              <w:rPr>
                <w:rFonts w:ascii="Arial" w:cs="Arial" w:eastAsia="Arial" w:hAnsi="Arial"/>
                <w:sz w:val="9"/>
                <w:szCs w:val="9"/>
                <w:color w:val="auto"/>
              </w:rPr>
              <w:t>2017</w:t>
            </w: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400,000</w:t>
            </w: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ind w:left="240"/>
              <w:spacing w:after="0" w:line="80"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109,569,500</w:t>
            </w:r>
          </w:p>
        </w:tc>
        <w:tc>
          <w:tcPr>
            <w:tcW w:w="180" w:type="dxa"/>
            <w:vAlign w:val="bottom"/>
            <w:tcBorders>
              <w:top w:val="single" w:sz="8" w:color="CCEEFF"/>
            </w:tcBorders>
            <w:shd w:val="clear" w:color="auto" w:fill="CCEEFF"/>
          </w:tcPr>
          <w:p>
            <w:pPr>
              <w:jc w:val="right"/>
              <w:ind w:right="34"/>
              <w:spacing w:after="0" w:line="80" w:lineRule="exact"/>
              <w:rPr>
                <w:sz w:val="20"/>
                <w:szCs w:val="20"/>
                <w:color w:val="auto"/>
              </w:rPr>
            </w:pPr>
            <w:r>
              <w:rPr>
                <w:rFonts w:ascii="Arial" w:cs="Arial" w:eastAsia="Arial" w:hAnsi="Arial"/>
                <w:sz w:val="9"/>
                <w:szCs w:val="9"/>
                <w:color w:val="auto"/>
                <w:w w:val="72"/>
              </w:rPr>
              <w:t>(2)</w:t>
            </w: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260,000</w:t>
            </w:r>
          </w:p>
        </w:tc>
        <w:tc>
          <w:tcPr>
            <w:tcW w:w="1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3,000</w:t>
            </w:r>
          </w:p>
        </w:tc>
        <w:tc>
          <w:tcPr>
            <w:tcW w:w="2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110,232,500</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Chief Executive Officer and Co-Founder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420" w:type="dxa"/>
            <w:vAlign w:val="bottom"/>
            <w:gridSpan w:val="3"/>
          </w:tcPr>
          <w:p>
            <w:pPr>
              <w:spacing w:after="0"/>
              <w:rPr>
                <w:sz w:val="20"/>
                <w:szCs w:val="20"/>
                <w:color w:val="auto"/>
              </w:rPr>
            </w:pPr>
            <w:r>
              <w:rPr>
                <w:rFonts w:ascii="Arial" w:cs="Arial" w:eastAsia="Arial" w:hAnsi="Arial"/>
                <w:sz w:val="12"/>
                <w:szCs w:val="12"/>
                <w:color w:val="auto"/>
              </w:rPr>
              <w:t>Arash Ferdowsi</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w w:val="89"/>
              </w:rPr>
              <w:t>2017</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400,000</w:t>
            </w:r>
          </w:p>
        </w:tc>
        <w:tc>
          <w:tcPr>
            <w:tcW w:w="8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4"/>
              <w:spacing w:after="0"/>
              <w:rPr>
                <w:sz w:val="20"/>
                <w:szCs w:val="20"/>
                <w:color w:val="auto"/>
              </w:rPr>
            </w:pPr>
            <w:r>
              <w:rPr>
                <w:rFonts w:ascii="Arial" w:cs="Arial" w:eastAsia="Arial" w:hAnsi="Arial"/>
                <w:sz w:val="12"/>
                <w:szCs w:val="12"/>
                <w:color w:val="auto"/>
                <w:w w:val="99"/>
              </w:rPr>
              <w:t>46,655,400</w:t>
            </w:r>
            <w:r>
              <w:rPr>
                <w:rFonts w:ascii="Arial" w:cs="Arial" w:eastAsia="Arial" w:hAnsi="Arial"/>
                <w:sz w:val="10"/>
                <w:szCs w:val="10"/>
                <w:color w:val="auto"/>
                <w:w w:val="99"/>
              </w:rPr>
              <w:t>(2)</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3,000</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47,318,400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gridSpan w:val="2"/>
          </w:tcPr>
          <w:p>
            <w:pPr>
              <w:ind w:left="100"/>
              <w:spacing w:after="0"/>
              <w:rPr>
                <w:sz w:val="20"/>
                <w:szCs w:val="20"/>
                <w:color w:val="auto"/>
              </w:rPr>
            </w:pPr>
            <w:r>
              <w:rPr>
                <w:rFonts w:ascii="Arial" w:cs="Arial" w:eastAsia="Arial" w:hAnsi="Arial"/>
                <w:sz w:val="12"/>
                <w:szCs w:val="12"/>
                <w:i w:val="1"/>
                <w:iCs w:val="1"/>
                <w:color w:val="auto"/>
              </w:rPr>
              <w:t>Co-Founder</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12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40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Quentin J. Clark</w:t>
            </w:r>
            <w:r>
              <w:rPr>
                <w:rFonts w:ascii="Arial" w:cs="Arial" w:eastAsia="Arial" w:hAnsi="Arial"/>
                <w:sz w:val="10"/>
                <w:szCs w:val="10"/>
                <w:color w:val="auto"/>
              </w:rPr>
              <w:t>(3)</w:t>
            </w:r>
          </w:p>
        </w:tc>
        <w:tc>
          <w:tcPr>
            <w:tcW w:w="38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2"/>
                <w:szCs w:val="12"/>
                <w:color w:val="auto"/>
                <w:w w:val="89"/>
              </w:rPr>
              <w:t>2017</w:t>
            </w: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2"/>
              </w:rPr>
              <w:t>130,513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2"/>
                <w:szCs w:val="12"/>
                <w:color w:val="auto"/>
                <w:w w:val="93"/>
              </w:rPr>
              <w:t>340,000</w:t>
            </w:r>
            <w:r>
              <w:rPr>
                <w:rFonts w:ascii="Arial" w:cs="Arial" w:eastAsia="Arial" w:hAnsi="Arial"/>
                <w:sz w:val="10"/>
                <w:szCs w:val="10"/>
                <w:color w:val="auto"/>
                <w:w w:val="93"/>
              </w:rPr>
              <w:t>(4)</w:t>
            </w:r>
          </w:p>
        </w:tc>
        <w:tc>
          <w:tcPr>
            <w:tcW w:w="820" w:type="dxa"/>
            <w:vAlign w:val="bottom"/>
            <w:gridSpan w:val="2"/>
            <w:shd w:val="clear" w:color="auto" w:fill="CCEEFF"/>
          </w:tcPr>
          <w:p>
            <w:pPr>
              <w:jc w:val="right"/>
              <w:ind w:right="34"/>
              <w:spacing w:after="0" w:line="109" w:lineRule="exact"/>
              <w:rPr>
                <w:sz w:val="20"/>
                <w:szCs w:val="20"/>
                <w:color w:val="auto"/>
              </w:rPr>
            </w:pPr>
            <w:r>
              <w:rPr>
                <w:rFonts w:ascii="Arial" w:cs="Arial" w:eastAsia="Arial" w:hAnsi="Arial"/>
                <w:sz w:val="12"/>
                <w:szCs w:val="12"/>
                <w:color w:val="auto"/>
                <w:w w:val="99"/>
              </w:rPr>
              <w:t>34,080,000</w:t>
            </w:r>
            <w:r>
              <w:rPr>
                <w:rFonts w:ascii="Arial" w:cs="Arial" w:eastAsia="Arial" w:hAnsi="Arial"/>
                <w:sz w:val="10"/>
                <w:szCs w:val="10"/>
                <w:color w:val="auto"/>
                <w:w w:val="99"/>
              </w:rPr>
              <w:t>(5)</w:t>
            </w:r>
          </w:p>
        </w:tc>
        <w:tc>
          <w:tcPr>
            <w:tcW w:w="6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2"/>
                <w:szCs w:val="12"/>
                <w:color w:val="auto"/>
              </w:rPr>
              <w:t>84,055</w:t>
            </w:r>
          </w:p>
        </w:tc>
        <w:tc>
          <w:tcPr>
            <w:tcW w:w="1000" w:type="dxa"/>
            <w:vAlign w:val="bottom"/>
            <w:gridSpan w:val="3"/>
            <w:shd w:val="clear" w:color="auto" w:fill="CCEEFF"/>
          </w:tcPr>
          <w:p>
            <w:pPr>
              <w:jc w:val="right"/>
              <w:ind w:right="140"/>
              <w:spacing w:after="0" w:line="109" w:lineRule="exact"/>
              <w:rPr>
                <w:sz w:val="20"/>
                <w:szCs w:val="20"/>
                <w:color w:val="auto"/>
              </w:rPr>
            </w:pPr>
            <w:r>
              <w:rPr>
                <w:rFonts w:ascii="Arial" w:cs="Arial" w:eastAsia="Arial" w:hAnsi="Arial"/>
                <w:sz w:val="12"/>
                <w:szCs w:val="12"/>
                <w:color w:val="auto"/>
              </w:rPr>
              <w:t>16,136</w:t>
            </w:r>
            <w:r>
              <w:rPr>
                <w:rFonts w:ascii="Arial" w:cs="Arial" w:eastAsia="Arial" w:hAnsi="Arial"/>
                <w:sz w:val="10"/>
                <w:szCs w:val="10"/>
                <w:color w:val="auto"/>
              </w:rPr>
              <w:t>(6)</w:t>
            </w:r>
          </w:p>
        </w:tc>
        <w:tc>
          <w:tcPr>
            <w:tcW w:w="6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9"/>
              </w:rPr>
              <w:t>34,650,704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Senior Vice President of Engineering, Product, and Design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71755</wp:posOffset>
            </wp:positionV>
            <wp:extent cx="58039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9" w:lineRule="exact"/>
        <w:rPr>
          <w:sz w:val="20"/>
          <w:szCs w:val="20"/>
          <w:color w:val="auto"/>
        </w:rPr>
      </w:pPr>
    </w:p>
    <w:p>
      <w:pPr>
        <w:ind w:left="1380" w:right="180" w:hanging="268"/>
        <w:spacing w:after="0" w:line="192"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amounts payable in 2017 under our 2017 Cash Bonus Plan, as described in greater detail under “—Non-Equity Incentive Plan Compensation.”</w:t>
      </w:r>
    </w:p>
    <w:p>
      <w:pPr>
        <w:spacing w:after="0" w:line="1" w:lineRule="exact"/>
        <w:rPr>
          <w:rFonts w:ascii="Arial" w:cs="Arial" w:eastAsia="Arial" w:hAnsi="Arial"/>
          <w:sz w:val="23"/>
          <w:szCs w:val="23"/>
          <w:color w:val="auto"/>
          <w:vertAlign w:val="superscript"/>
        </w:rPr>
      </w:pPr>
    </w:p>
    <w:p>
      <w:pPr>
        <w:ind w:left="1380" w:hanging="268"/>
        <w:spacing w:after="0" w:line="227"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aggregate grant-date fair value of restricted stock awards, or RSAs, calculated in accordance with ASC Topic 718. The RSAs are eligible to vest over a period of up to ten years based on the achievement of certain stock price goals measured over a consecutive thirty-day trading period during a performance period. We calculated the grant date fair value based on multiple stock price paths developed through the use of a Monte Carlo simulation. The assumptions used in calculating the grant-date fair value of the RSAs reported in this column are set forth in the section titled “Management’s Discussion and Analysis of Financial Condition and Results of Operations—Critical Accounting Policies and Judgements”. See “—Co-Founder Restricted Stock Awards” for additional information.</w:t>
      </w:r>
    </w:p>
    <w:p>
      <w:pPr>
        <w:spacing w:after="0" w:line="3" w:lineRule="exact"/>
        <w:rPr>
          <w:rFonts w:ascii="Arial" w:cs="Arial" w:eastAsia="Arial" w:hAnsi="Arial"/>
          <w:sz w:val="23"/>
          <w:szCs w:val="23"/>
          <w:color w:val="auto"/>
          <w:vertAlign w:val="superscript"/>
        </w:rPr>
      </w:pPr>
    </w:p>
    <w:p>
      <w:pPr>
        <w:ind w:left="1380" w:right="20" w:hanging="268"/>
        <w:spacing w:after="0" w:line="190"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Mr. Clark joined us in September 2017 and therefore his salary and non-equity incentive plan compensation set forth in the table above were prorated for the portion of 2017 in which he was employed with us.</w:t>
      </w:r>
    </w:p>
    <w:p>
      <w:pPr>
        <w:spacing w:after="0" w:line="1" w:lineRule="exact"/>
        <w:rPr>
          <w:rFonts w:ascii="Arial" w:cs="Arial" w:eastAsia="Arial" w:hAnsi="Arial"/>
          <w:sz w:val="23"/>
          <w:szCs w:val="23"/>
          <w:color w:val="auto"/>
          <w:vertAlign w:val="superscript"/>
        </w:rPr>
      </w:pPr>
    </w:p>
    <w:p>
      <w:pPr>
        <w:ind w:left="1380" w:right="180" w:hanging="268"/>
        <w:spacing w:after="0" w:line="190"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Amount represents a one-time signing bonus paid in connection with Mr. Clark’s hiring in 2017. Mr. Clark must repay the bonus if, before the first anniversary of his employment start date, his employment ends voluntarily or involuntarily under certain specified circumstances.</w:t>
      </w:r>
    </w:p>
    <w:p>
      <w:pPr>
        <w:spacing w:after="0" w:line="1" w:lineRule="exact"/>
        <w:rPr>
          <w:rFonts w:ascii="Arial" w:cs="Arial" w:eastAsia="Arial" w:hAnsi="Arial"/>
          <w:sz w:val="23"/>
          <w:szCs w:val="23"/>
          <w:color w:val="auto"/>
          <w:vertAlign w:val="superscript"/>
        </w:rPr>
      </w:pPr>
    </w:p>
    <w:p>
      <w:pPr>
        <w:ind w:left="1380" w:right="100" w:hanging="268"/>
        <w:spacing w:after="0" w:line="207"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aggregate grant-date fair value of RSUs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Amounts represent matching 401(k) contributions of $3,000 and, in the case of Mr. Clark, transportation reimbursements (to and from work) of $13,136.</w:t>
      </w:r>
    </w:p>
    <w:p>
      <w:pPr>
        <w:spacing w:after="0" w:line="26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Non-Equity Incentive Plan Compensation</w:t>
      </w:r>
    </w:p>
    <w:p>
      <w:pPr>
        <w:spacing w:after="0" w:line="102"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Each of our named executive officers participated in our 2017 Cash Bonus Plan, or the 2017 Bonus Plan, which provides for cash bonus amounts based on our achievements of key company performance metrics.</w:t>
      </w:r>
    </w:p>
    <w:p>
      <w:pPr>
        <w:spacing w:after="0" w:line="146" w:lineRule="exact"/>
        <w:rPr>
          <w:sz w:val="20"/>
          <w:szCs w:val="20"/>
          <w:color w:val="auto"/>
        </w:rPr>
      </w:pPr>
    </w:p>
    <w:p>
      <w:pPr>
        <w:ind w:left="1120" w:right="100" w:firstLine="368"/>
        <w:spacing w:after="0" w:line="259" w:lineRule="auto"/>
        <w:rPr>
          <w:sz w:val="20"/>
          <w:szCs w:val="20"/>
          <w:color w:val="auto"/>
        </w:rPr>
      </w:pPr>
      <w:r>
        <w:rPr>
          <w:rFonts w:ascii="Arial" w:cs="Arial" w:eastAsia="Arial" w:hAnsi="Arial"/>
          <w:sz w:val="15"/>
          <w:szCs w:val="15"/>
          <w:color w:val="auto"/>
        </w:rPr>
        <w:t>Under the 2017 Bonus Plan, a cash bonus pool under our 2017 Bonus Plan is established if we achieve certain corporate financial performance measures based on revenue and free cash flow. Our Board of Directors retains the discretion to increase or decrease the cash bonus pool under the 2017 Bonus Plan based on our achievements of those corporate financial performance measures in 2017. In addition, the actual bonus amount payable under the 2017 Bonus Plan may be modified based on individual performance for 2017.</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320"/>
          </w:cols>
          <w:pgMar w:left="240" w:top="407" w:right="133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305" w:lineRule="auto"/>
        <w:rPr>
          <w:sz w:val="20"/>
          <w:szCs w:val="20"/>
          <w:color w:val="auto"/>
        </w:rPr>
      </w:pPr>
      <w:r>
        <w:rPr>
          <w:rFonts w:ascii="Arial" w:cs="Arial" w:eastAsia="Arial" w:hAnsi="Arial"/>
          <w:sz w:val="13"/>
          <w:szCs w:val="13"/>
          <w:color w:val="auto"/>
        </w:rPr>
        <w:t>Following the end of 2017, our compensation committee reviewed our achievements against the revenue and free cash flow corporate financial performance measures and determined that we exceeded target levels of achievement for each of these performance measures. Accordingly, the annual bonus payment for each of our named executive officers was calculated based on 100% of his target bonus amount, which is described under “— Executive Employment Arrangements.” Mr. Clark’s amount is pro-rated based on his length of service with us in 2017. The actual bonus amounts payable to our named executive officers under the 2017 Bonus Plan are set forth in the “2017 Summary Compensation Table.”</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Outstanding Equity Awards at 2017 Year-End</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 sets forth information regarding outstanding equity awards held by our named executive officers as of December 31, 2017.</w:t>
      </w:r>
    </w:p>
    <w:p>
      <w:pPr>
        <w:spacing w:after="0" w:line="213"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Borders>
              <w:top w:val="single" w:sz="8" w:color="auto"/>
            </w:tcBorders>
            <w:gridSpan w:val="2"/>
          </w:tcPr>
          <w:p>
            <w:pPr>
              <w:jc w:val="center"/>
              <w:ind w:right="340"/>
              <w:spacing w:after="0" w:line="96" w:lineRule="exact"/>
              <w:rPr>
                <w:sz w:val="20"/>
                <w:szCs w:val="20"/>
                <w:color w:val="auto"/>
              </w:rPr>
            </w:pPr>
            <w:r>
              <w:rPr>
                <w:rFonts w:ascii="Arial" w:cs="Arial" w:eastAsia="Arial" w:hAnsi="Arial"/>
                <w:sz w:val="11"/>
                <w:szCs w:val="11"/>
                <w:b w:val="1"/>
                <w:bCs w:val="1"/>
                <w:color w:val="auto"/>
              </w:rPr>
              <w:t>Number of</w:t>
            </w:r>
          </w:p>
        </w:tc>
        <w:tc>
          <w:tcPr>
            <w:tcW w:w="8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Market value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8"/>
              </w:rPr>
              <w:t>shares or</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7"/>
              </w:rPr>
              <w:t>of shares or</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20" w:type="dxa"/>
            <w:vAlign w:val="bottom"/>
            <w:gridSpan w:val="2"/>
            <w:vMerge w:val="restart"/>
          </w:tcPr>
          <w:p>
            <w:pPr>
              <w:jc w:val="right"/>
              <w:ind w:right="496"/>
              <w:spacing w:after="0"/>
              <w:rPr>
                <w:sz w:val="20"/>
                <w:szCs w:val="20"/>
                <w:color w:val="auto"/>
              </w:rPr>
            </w:pPr>
            <w:r>
              <w:rPr>
                <w:rFonts w:ascii="Arial" w:cs="Arial" w:eastAsia="Arial" w:hAnsi="Arial"/>
                <w:sz w:val="12"/>
                <w:szCs w:val="12"/>
                <w:b w:val="1"/>
                <w:bCs w:val="1"/>
                <w:color w:val="auto"/>
              </w:rPr>
              <w:t>Grant</w:t>
            </w: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7"/>
              </w:rPr>
              <w:t>units of stock</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7"/>
              </w:rPr>
              <w:t>units of stock</w:t>
            </w:r>
          </w:p>
        </w:tc>
        <w:tc>
          <w:tcPr>
            <w:tcW w:w="0" w:type="dxa"/>
            <w:vAlign w:val="bottom"/>
          </w:tcPr>
          <w:p>
            <w:pPr>
              <w:spacing w:after="0"/>
              <w:rPr>
                <w:sz w:val="1"/>
                <w:szCs w:val="1"/>
                <w:color w:val="auto"/>
              </w:rPr>
            </w:pPr>
          </w:p>
        </w:tc>
      </w:tr>
      <w:tr>
        <w:trPr>
          <w:trHeight w:val="124"/>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4400" w:type="dxa"/>
            <w:vAlign w:val="bottom"/>
            <w:vMerge w:val="restart"/>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90"/>
              </w:rPr>
              <w:t>that have not</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90"/>
              </w:rPr>
              <w:t>that have not</w:t>
            </w:r>
          </w:p>
        </w:tc>
        <w:tc>
          <w:tcPr>
            <w:tcW w:w="0" w:type="dxa"/>
            <w:vAlign w:val="bottom"/>
          </w:tcPr>
          <w:p>
            <w:pPr>
              <w:spacing w:after="0"/>
              <w:rPr>
                <w:sz w:val="1"/>
                <w:szCs w:val="1"/>
                <w:color w:val="auto"/>
              </w:rPr>
            </w:pPr>
          </w:p>
        </w:tc>
      </w:tr>
      <w:tr>
        <w:trPr>
          <w:trHeight w:val="164"/>
        </w:trPr>
        <w:tc>
          <w:tcPr>
            <w:tcW w:w="300" w:type="dxa"/>
            <w:vAlign w:val="bottom"/>
            <w:tcBorders>
              <w:bottom w:val="single" w:sz="8" w:color="auto"/>
            </w:tcBorders>
            <w:vMerge w:val="continue"/>
          </w:tcPr>
          <w:p>
            <w:pPr>
              <w:spacing w:after="0"/>
              <w:rPr>
                <w:sz w:val="14"/>
                <w:szCs w:val="14"/>
                <w:color w:val="auto"/>
              </w:rPr>
            </w:pPr>
          </w:p>
        </w:tc>
        <w:tc>
          <w:tcPr>
            <w:tcW w:w="440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date</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vested</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vested ($)</w:t>
            </w:r>
            <w:r>
              <w:rPr>
                <w:rFonts w:ascii="Arial" w:cs="Arial" w:eastAsia="Arial" w:hAnsi="Arial"/>
                <w:sz w:val="10"/>
                <w:szCs w:val="10"/>
                <w:b w:val="1"/>
                <w:bCs w:val="1"/>
                <w:color w:val="auto"/>
                <w:w w:val="87"/>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0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Andrew W. Houston</w:t>
            </w:r>
          </w:p>
        </w:tc>
        <w:tc>
          <w:tcPr>
            <w:tcW w:w="60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9"/>
              </w:rPr>
              <w:t>12/12/17</w:t>
            </w:r>
          </w:p>
        </w:tc>
        <w:tc>
          <w:tcPr>
            <w:tcW w:w="420" w:type="dxa"/>
            <w:vAlign w:val="bottom"/>
            <w:shd w:val="clear" w:color="auto" w:fill="CCEEFF"/>
          </w:tcPr>
          <w:p>
            <w:pPr>
              <w:jc w:val="right"/>
              <w:ind w:right="196"/>
              <w:spacing w:after="0" w:line="122" w:lineRule="exact"/>
              <w:rPr>
                <w:sz w:val="20"/>
                <w:szCs w:val="20"/>
                <w:color w:val="auto"/>
              </w:rPr>
            </w:pPr>
            <w:r>
              <w:rPr>
                <w:rFonts w:ascii="Arial" w:cs="Arial" w:eastAsia="Arial" w:hAnsi="Arial"/>
                <w:sz w:val="13"/>
                <w:szCs w:val="13"/>
                <w:color w:val="auto"/>
                <w:w w:val="87"/>
              </w:rPr>
              <w:t>(2)</w:t>
            </w: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8"/>
              </w:rPr>
              <w:t>10,333,333</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8"/>
              </w:rPr>
              <w:t>175,666,661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gridSpan w:val="2"/>
          </w:tcPr>
          <w:p>
            <w:pPr>
              <w:spacing w:after="0"/>
              <w:rPr>
                <w:sz w:val="20"/>
                <w:szCs w:val="20"/>
                <w:color w:val="auto"/>
              </w:rPr>
            </w:pPr>
            <w:r>
              <w:rPr>
                <w:rFonts w:ascii="Arial" w:cs="Arial" w:eastAsia="Arial" w:hAnsi="Arial"/>
                <w:sz w:val="15"/>
                <w:szCs w:val="15"/>
                <w:color w:val="auto"/>
              </w:rPr>
              <w:t>Arash Ferdowsi</w:t>
            </w:r>
          </w:p>
        </w:tc>
        <w:tc>
          <w:tcPr>
            <w:tcW w:w="1020" w:type="dxa"/>
            <w:vAlign w:val="bottom"/>
            <w:gridSpan w:val="2"/>
          </w:tcPr>
          <w:p>
            <w:pPr>
              <w:jc w:val="right"/>
              <w:ind w:right="196"/>
              <w:spacing w:after="0"/>
              <w:rPr>
                <w:sz w:val="20"/>
                <w:szCs w:val="20"/>
                <w:color w:val="auto"/>
              </w:rPr>
            </w:pPr>
            <w:r>
              <w:rPr>
                <w:rFonts w:ascii="Arial" w:cs="Arial" w:eastAsia="Arial" w:hAnsi="Arial"/>
                <w:sz w:val="15"/>
                <w:szCs w:val="15"/>
                <w:color w:val="auto"/>
              </w:rPr>
              <w:t>12/12/17</w:t>
            </w:r>
            <w:r>
              <w:rPr>
                <w:rFonts w:ascii="Arial" w:cs="Arial" w:eastAsia="Arial" w:hAnsi="Arial"/>
                <w:sz w:val="12"/>
                <w:szCs w:val="12"/>
                <w:color w:val="auto"/>
              </w:rPr>
              <w:t>(2)</w:t>
            </w:r>
          </w:p>
        </w:tc>
        <w:tc>
          <w:tcPr>
            <w:tcW w:w="760" w:type="dxa"/>
            <w:vAlign w:val="bottom"/>
          </w:tcPr>
          <w:p>
            <w:pPr>
              <w:jc w:val="right"/>
              <w:spacing w:after="0"/>
              <w:rPr>
                <w:sz w:val="20"/>
                <w:szCs w:val="20"/>
                <w:color w:val="auto"/>
              </w:rPr>
            </w:pPr>
            <w:r>
              <w:rPr>
                <w:rFonts w:ascii="Arial" w:cs="Arial" w:eastAsia="Arial" w:hAnsi="Arial"/>
                <w:sz w:val="15"/>
                <w:szCs w:val="15"/>
                <w:color w:val="auto"/>
              </w:rPr>
              <w:t>4,400,000</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74,800,000</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Quentin J. Clark</w:t>
            </w:r>
          </w:p>
        </w:tc>
        <w:tc>
          <w:tcPr>
            <w:tcW w:w="1020" w:type="dxa"/>
            <w:vAlign w:val="bottom"/>
            <w:gridSpan w:val="2"/>
            <w:shd w:val="clear" w:color="auto" w:fill="CCEEFF"/>
          </w:tcPr>
          <w:p>
            <w:pPr>
              <w:jc w:val="right"/>
              <w:ind w:right="196"/>
              <w:spacing w:after="0"/>
              <w:rPr>
                <w:sz w:val="20"/>
                <w:szCs w:val="20"/>
                <w:color w:val="auto"/>
              </w:rPr>
            </w:pPr>
            <w:r>
              <w:rPr>
                <w:rFonts w:ascii="Arial" w:cs="Arial" w:eastAsia="Arial" w:hAnsi="Arial"/>
                <w:sz w:val="15"/>
                <w:szCs w:val="15"/>
                <w:color w:val="auto"/>
              </w:rPr>
              <w:t>9/8/17</w:t>
            </w:r>
            <w:r>
              <w:rPr>
                <w:rFonts w:ascii="Arial" w:cs="Arial" w:eastAsia="Arial" w:hAnsi="Arial"/>
                <w:sz w:val="12"/>
                <w:szCs w:val="12"/>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71755</wp:posOffset>
            </wp:positionV>
            <wp:extent cx="58039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9" w:lineRule="exact"/>
        <w:rPr>
          <w:sz w:val="20"/>
          <w:szCs w:val="20"/>
          <w:color w:val="auto"/>
        </w:rPr>
      </w:pPr>
    </w:p>
    <w:p>
      <w:pPr>
        <w:ind w:left="1380" w:right="80" w:hanging="268"/>
        <w:spacing w:after="0" w:line="192" w:lineRule="auto"/>
        <w:tabs>
          <w:tab w:leader="none" w:pos="138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The market price for our Class A common stock is based upon the assumed initial public offering price of $17.00 per share, which is the midpoint of the estimated offering price range set forth on the cover page of this prospectus.</w:t>
      </w:r>
    </w:p>
    <w:p>
      <w:pPr>
        <w:spacing w:after="0" w:line="1" w:lineRule="exact"/>
        <w:rPr>
          <w:rFonts w:ascii="Arial" w:cs="Arial" w:eastAsia="Arial" w:hAnsi="Arial"/>
          <w:sz w:val="23"/>
          <w:szCs w:val="23"/>
          <w:color w:val="auto"/>
          <w:vertAlign w:val="superscript"/>
        </w:rPr>
      </w:pPr>
    </w:p>
    <w:p>
      <w:pPr>
        <w:ind w:left="1380" w:right="40" w:hanging="268"/>
        <w:spacing w:after="0" w:line="220" w:lineRule="auto"/>
        <w:tabs>
          <w:tab w:leader="none" w:pos="1380" w:val="left"/>
        </w:tabs>
        <w:numPr>
          <w:ilvl w:val="0"/>
          <w:numId w:val="69"/>
        </w:numPr>
        <w:rPr>
          <w:rFonts w:ascii="Arial" w:cs="Arial" w:eastAsia="Arial" w:hAnsi="Arial"/>
          <w:sz w:val="22"/>
          <w:szCs w:val="22"/>
          <w:color w:val="auto"/>
          <w:vertAlign w:val="superscript"/>
        </w:rPr>
      </w:pPr>
      <w:r>
        <w:rPr>
          <w:rFonts w:ascii="Arial" w:cs="Arial" w:eastAsia="Arial" w:hAnsi="Arial"/>
          <w:sz w:val="13"/>
          <w:szCs w:val="13"/>
          <w:color w:val="auto"/>
        </w:rPr>
        <w:t>This award represents RSAs granted to each of Messrs. Houston and Ferdowsi pursuant to a stand-alone restricted stock award agreement. The shares underlying the RSAs are Class A common stock. The RSAs vest over a period of up to ten years upon achievement of service-based, market-based, and liquidity event-related performance vesting conditions. See “—Co-Founder Restricted Stock Awards” for additional information.</w:t>
      </w:r>
    </w:p>
    <w:p>
      <w:pPr>
        <w:spacing w:after="0" w:line="1" w:lineRule="exact"/>
        <w:rPr>
          <w:rFonts w:ascii="Arial" w:cs="Arial" w:eastAsia="Arial" w:hAnsi="Arial"/>
          <w:sz w:val="22"/>
          <w:szCs w:val="22"/>
          <w:color w:val="auto"/>
          <w:vertAlign w:val="superscript"/>
        </w:rPr>
      </w:pPr>
    </w:p>
    <w:p>
      <w:pPr>
        <w:ind w:left="1380" w:right="200" w:hanging="268"/>
        <w:spacing w:after="0" w:line="185" w:lineRule="auto"/>
        <w:tabs>
          <w:tab w:leader="none" w:pos="1380" w:val="left"/>
        </w:tabs>
        <w:numPr>
          <w:ilvl w:val="0"/>
          <w:numId w:val="69"/>
        </w:numPr>
        <w:rPr>
          <w:rFonts w:ascii="Arial" w:cs="Arial" w:eastAsia="Arial" w:hAnsi="Arial"/>
          <w:sz w:val="22"/>
          <w:szCs w:val="22"/>
          <w:color w:val="auto"/>
          <w:vertAlign w:val="superscript"/>
        </w:rPr>
      </w:pPr>
      <w:r>
        <w:rPr>
          <w:rFonts w:ascii="Arial" w:cs="Arial" w:eastAsia="Arial" w:hAnsi="Arial"/>
          <w:sz w:val="13"/>
          <w:szCs w:val="13"/>
          <w:color w:val="auto"/>
        </w:rPr>
        <w:t>This award represents RSUs granted to Mr. Clark pursuant to our 2017 Plan. 25% of the shares of our Class A common stock underlying the RSUs vest on August 15, 2018, and an additional 3/48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total number of shares of our Class A common stock underlying the RSUs vests in equal quarterly installments, each subject to continued service through each such vesting date.</w:t>
      </w:r>
    </w:p>
    <w:p>
      <w:pPr>
        <w:spacing w:after="0" w:line="26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Co-Founder Restricted Stock Awards</w:t>
      </w:r>
    </w:p>
    <w:p>
      <w:pPr>
        <w:spacing w:after="0" w:line="102"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color w:val="auto"/>
        </w:rPr>
        <w:t>In December 2017, our Board of Directors approved a grant to our co-founders, Messrs. Houston and Ferdowsi, of RSAs with respect to 14.7 million shares of Class A common stock in the aggregate, or, collectively, the Co-Founder Grants, of which 10.3 million RSAs were granted to Mr. Houston, our co-founder and Chief Executive Officer, and 4.4 million RSAs were granted to Mr. Ferdowsi, our co-founder and Director. The Co-Founder Grants vest upon the satisfaction of the service condition and achievement of certain stock price goals, as described below. These Co-Founder Grants have certain stockholder rights, such as the right to vote the shares immediately upon grant and prior to their vesting.</w:t>
      </w:r>
    </w:p>
    <w:p>
      <w:pPr>
        <w:spacing w:after="0" w:line="147"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In determining the terms and conditions of these Co-Founder Grants, the Board of Directors considered that neither co-founder had received an equity award since founding the Company and wanted to provide a meaningful incentive to the co-founders to continue to drive the growth of the business following the completion of this offering. The Board of Directors thought it was important for the Co-Founder Grants to not simply vest based on the passage of time while our co-founders provide service to us. Rather, the Co-Founder Grants will vest only if we achieve certain stock price goals, which if achieved, would allow our other stockholders to benefit tremendously from such increases in our stock price.</w:t>
      </w:r>
    </w:p>
    <w:p>
      <w:pPr>
        <w:spacing w:after="0" w:line="147"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color w:val="auto"/>
        </w:rPr>
        <w:t>The Co-Founder Grants are eligible to vest over the ten-year period following the closing of this offering. The Co-Founder Grants comprise nine tranches that are eligible to vest based on the achievement of stock price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60"/>
          </w:cols>
          <w:pgMar w:left="240" w:top="407" w:right="139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goals, or each, a Stock Price Target, measured over a consecutive thirty-day trading period during the performance period as follows:</w:t>
      </w:r>
    </w:p>
    <w:p>
      <w:pPr>
        <w:spacing w:after="0" w:line="188" w:lineRule="exact"/>
        <w:rPr>
          <w:sz w:val="20"/>
          <w:szCs w:val="20"/>
          <w:color w:val="auto"/>
        </w:rPr>
      </w:pPr>
    </w:p>
    <w:tbl>
      <w:tblPr>
        <w:tblLayout w:type="fixed"/>
        <w:tblInd w:w="186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2440" w:type="dxa"/>
            <w:vAlign w:val="bottom"/>
            <w:gridSpan w:val="3"/>
          </w:tcPr>
          <w:p>
            <w:pPr>
              <w:spacing w:after="0"/>
              <w:rPr>
                <w:sz w:val="20"/>
                <w:szCs w:val="20"/>
                <w:color w:val="auto"/>
              </w:rPr>
            </w:pPr>
            <w:r>
              <w:rPr>
                <w:rFonts w:ascii="Arial" w:cs="Arial" w:eastAsia="Arial" w:hAnsi="Arial"/>
                <w:sz w:val="12"/>
                <w:szCs w:val="12"/>
                <w:b w:val="1"/>
                <w:bCs w:val="1"/>
                <w:color w:val="auto"/>
              </w:rPr>
              <w:t>Company Stock Price</w:t>
            </w:r>
          </w:p>
        </w:tc>
        <w:tc>
          <w:tcPr>
            <w:tcW w:w="2660" w:type="dxa"/>
            <w:vAlign w:val="bottom"/>
            <w:gridSpan w:val="2"/>
          </w:tcPr>
          <w:p>
            <w:pPr>
              <w:jc w:val="right"/>
              <w:ind w:right="1340"/>
              <w:spacing w:after="0"/>
              <w:rPr>
                <w:sz w:val="20"/>
                <w:szCs w:val="20"/>
                <w:color w:val="auto"/>
              </w:rPr>
            </w:pPr>
            <w:r>
              <w:rPr>
                <w:rFonts w:ascii="Arial" w:cs="Arial" w:eastAsia="Arial" w:hAnsi="Arial"/>
                <w:sz w:val="12"/>
                <w:szCs w:val="12"/>
                <w:b w:val="1"/>
                <w:bCs w:val="1"/>
                <w:color w:val="auto"/>
                <w:w w:val="87"/>
              </w:rPr>
              <w:t>Shares Eligible to Vest for</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6"/>
              </w:rPr>
              <w:t>Shares Eligible to Vest</w:t>
            </w:r>
          </w:p>
        </w:tc>
      </w:tr>
      <w:tr>
        <w:trPr>
          <w:trHeight w:val="144"/>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right"/>
              <w:ind w:right="1680"/>
              <w:spacing w:after="0"/>
              <w:rPr>
                <w:sz w:val="20"/>
                <w:szCs w:val="20"/>
                <w:color w:val="auto"/>
              </w:rPr>
            </w:pPr>
            <w:r>
              <w:rPr>
                <w:rFonts w:ascii="Arial" w:cs="Arial" w:eastAsia="Arial" w:hAnsi="Arial"/>
                <w:sz w:val="12"/>
                <w:szCs w:val="12"/>
                <w:b w:val="1"/>
                <w:bCs w:val="1"/>
                <w:color w:val="auto"/>
              </w:rPr>
              <w:t>Target*</w:t>
            </w:r>
          </w:p>
        </w:tc>
        <w:tc>
          <w:tcPr>
            <w:tcW w:w="2660" w:type="dxa"/>
            <w:vAlign w:val="bottom"/>
            <w:gridSpan w:val="2"/>
          </w:tcPr>
          <w:p>
            <w:pPr>
              <w:ind w:left="340"/>
              <w:spacing w:after="0"/>
              <w:rPr>
                <w:sz w:val="20"/>
                <w:szCs w:val="20"/>
                <w:color w:val="auto"/>
              </w:rPr>
            </w:pPr>
            <w:r>
              <w:rPr>
                <w:rFonts w:ascii="Arial" w:cs="Arial" w:eastAsia="Arial" w:hAnsi="Arial"/>
                <w:sz w:val="12"/>
                <w:szCs w:val="12"/>
                <w:b w:val="1"/>
                <w:bCs w:val="1"/>
                <w:color w:val="auto"/>
              </w:rPr>
              <w:t>Mr. Houston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Mr. Ferdowsi</w:t>
            </w:r>
          </w:p>
        </w:tc>
      </w:tr>
      <w:tr>
        <w:trPr>
          <w:trHeight w:val="172"/>
        </w:trPr>
        <w:tc>
          <w:tcPr>
            <w:tcW w:w="1420" w:type="dxa"/>
            <w:vAlign w:val="bottom"/>
            <w:tcBorders>
              <w:top w:val="single" w:sz="8" w:color="CCEEFF"/>
            </w:tcBorders>
            <w:shd w:val="clear" w:color="auto" w:fill="CCEEFF"/>
          </w:tcPr>
          <w:p>
            <w:pPr>
              <w:jc w:val="right"/>
              <w:ind w:right="1256"/>
              <w:spacing w:after="0"/>
              <w:rPr>
                <w:sz w:val="20"/>
                <w:szCs w:val="20"/>
                <w:color w:val="auto"/>
              </w:rPr>
            </w:pPr>
            <w:r>
              <w:rPr>
                <w:rFonts w:ascii="Arial" w:cs="Arial" w:eastAsia="Arial" w:hAnsi="Arial"/>
                <w:sz w:val="13"/>
                <w:szCs w:val="13"/>
                <w:color w:val="auto"/>
                <w:w w:val="73"/>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3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2,066,667</w:t>
            </w:r>
          </w:p>
        </w:tc>
        <w:tc>
          <w:tcPr>
            <w:tcW w:w="13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2.</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37.50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1,033,334</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3.</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45.00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1,033,334</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4.</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52.50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5.</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60.00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6.</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67.50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7.</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75.00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8.</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82.50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9.</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90.00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bl>
    <w:p>
      <w:pPr>
        <w:spacing w:after="0" w:line="170"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Measurement of our stock price for purposes of achievement of the Stock Price Targets will not commence until the later of the expiration of the lock-up period following the completion of this offering or January 1, 2019. In addition, the Stock Price Targets will be adjusted to reflect any stock splits, stock dividends, combinations, reorganizations, reclassifications, or similar event.</w:t>
      </w:r>
    </w:p>
    <w:p>
      <w:pPr>
        <w:spacing w:after="0" w:line="155" w:lineRule="exact"/>
        <w:rPr>
          <w:sz w:val="20"/>
          <w:szCs w:val="20"/>
          <w:color w:val="auto"/>
        </w:rPr>
      </w:pPr>
    </w:p>
    <w:p>
      <w:pPr>
        <w:ind w:left="1120" w:right="60" w:firstLine="368"/>
        <w:spacing w:after="0" w:line="290"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This ensures that to fully vest in the Co-Founder Grants, any increase in our stock price must be sustained over a long period of time and not allow any short-term, unsustained increases in our stock price to result in a vesting event for either co-founder.</w:t>
      </w:r>
    </w:p>
    <w:p>
      <w:pPr>
        <w:spacing w:after="0" w:line="13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Further, the co-founders will only vest in the awards if they continue as the Chief Executive Officer or Executive Chairman, with respect to Mr. Houston, and as a member of the senior management team, with respect to Mr. Ferdowsi, or the Executive Service Requirement, at the time a Stock Price Target is achieved. Upon a co-founder’s no longer satisfying the Executive Service Requirement, any portion of the Co-Founder Grant for which a Stock Price Target has not been achieved would terminate and be cancelled. By requiring that each continue in a senior executive role with us as a condition to vesting, the Board of Directors sought to ensure that each must be providing significant contributions to us that drive any future growth that would allow the Co-Founder Grants to vest.</w:t>
      </w:r>
    </w:p>
    <w:p>
      <w:pPr>
        <w:spacing w:after="0" w:line="164"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Lastly, the Board of Directors considered the impact these grants would have on the co-founders’ voting control of the Company. The Board of Directors determined that it was in our and our stockholders’ best interests to issue the Co-Founder Grants because the receipt of the Co-Founder Grants would not materially impact the voting control of the Company, but would still provide the co-founders with meaningful incentives as described above, and thereby align their interests with those of our other stockholders.</w:t>
      </w:r>
    </w:p>
    <w:p>
      <w:pPr>
        <w:spacing w:after="0" w:line="15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the event of an acquisition of the Company following the closing of this offering, but before the end of the performance period, the Co-Founder Grants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Employment Arrangements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Andrew W. Houston</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Prior to the completion of this offering, we intend to enter into an employment letter with Andrew W. Houston, our Chief Executive Officer and one of our co-founders. The employment letter is not expected to have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80"/>
          </w:cols>
          <w:pgMar w:left="240" w:top="408" w:right="137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spacing w:after="0" w:line="275" w:lineRule="auto"/>
        <w:rPr>
          <w:sz w:val="20"/>
          <w:szCs w:val="20"/>
          <w:color w:val="auto"/>
        </w:rPr>
      </w:pPr>
      <w:r>
        <w:rPr>
          <w:rFonts w:ascii="Arial" w:cs="Arial" w:eastAsia="Arial" w:hAnsi="Arial"/>
          <w:sz w:val="15"/>
          <w:szCs w:val="15"/>
          <w:color w:val="auto"/>
        </w:rPr>
        <w:t>a specific term and will provide that Mr. Houston is an at-will employee. Mr. Houston’s current annual base salary is $400,000, and he is eligible for an annual target cash incentive payment equal to 65% of his annual base salary.</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Arash Ferdowsi</w:t>
      </w:r>
    </w:p>
    <w:p>
      <w:pPr>
        <w:spacing w:after="0" w:line="98" w:lineRule="exact"/>
        <w:rPr>
          <w:sz w:val="20"/>
          <w:szCs w:val="20"/>
          <w:color w:val="auto"/>
        </w:rPr>
      </w:pPr>
    </w:p>
    <w:p>
      <w:pPr>
        <w:ind w:left="1120" w:right="80" w:firstLine="368"/>
        <w:spacing w:after="0" w:line="290" w:lineRule="auto"/>
        <w:rPr>
          <w:sz w:val="20"/>
          <w:szCs w:val="20"/>
          <w:color w:val="auto"/>
        </w:rPr>
      </w:pPr>
      <w:r>
        <w:rPr>
          <w:rFonts w:ascii="Arial" w:cs="Arial" w:eastAsia="Arial" w:hAnsi="Arial"/>
          <w:sz w:val="14"/>
          <w:szCs w:val="14"/>
          <w:color w:val="auto"/>
        </w:rPr>
        <w:t>Prior to the completion of this offering, we intend to enter into an employment letter with Arash Ferdowsi, one of our co-founders. The employment letter is not expected to have a specific term and will provide that Mr. Ferdowsi is an at-will employee. Mr. Ferdowsi’s current annual base salary is $400,000, and he is eligible for an annual target cash incentive payment equal to 65% of his annual base salary.</w:t>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Quentin J. Clark</w:t>
      </w:r>
    </w:p>
    <w:p>
      <w:pPr>
        <w:spacing w:after="0" w:line="98" w:lineRule="exact"/>
        <w:rPr>
          <w:sz w:val="20"/>
          <w:szCs w:val="20"/>
          <w:color w:val="auto"/>
        </w:rPr>
      </w:pPr>
    </w:p>
    <w:p>
      <w:pPr>
        <w:ind w:left="1120" w:right="60" w:firstLine="368"/>
        <w:spacing w:after="0" w:line="322" w:lineRule="auto"/>
        <w:rPr>
          <w:sz w:val="20"/>
          <w:szCs w:val="20"/>
          <w:color w:val="auto"/>
        </w:rPr>
      </w:pPr>
      <w:r>
        <w:rPr>
          <w:rFonts w:ascii="Arial" w:cs="Arial" w:eastAsia="Arial" w:hAnsi="Arial"/>
          <w:sz w:val="13"/>
          <w:szCs w:val="13"/>
          <w:color w:val="auto"/>
        </w:rPr>
        <w:t>Prior to the completion of this offering, we intend to enter into an employment letter with Quentin J. Clark, our Senior Vice President of Engineering, Product, and Design. The employment letter is not expected to have a specific term and will provide that Mr. Clark is an at-will employee. Mr. Clark’s current annual base salary is $400,000, and he is eligible for an annual target cash incentive payment equal to 65% of his annual base salary.</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02"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We expect to enter into a change in control and severance agreement with each of our named executive officers that provides for the severance and change in control benefits described below. Each change in control and severance agreement will supersede any existing agreement or arrangement the named executive officers may have with us that provides for severance and/or change in control payments or benefits, except that the change in control and severance agreements with Messrs. Houston and Ferdowsi will not have any effect on the Co-Founder Grants.</w:t>
      </w:r>
    </w:p>
    <w:p>
      <w:pPr>
        <w:spacing w:after="0" w:line="127"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If the named executive officer’s employment is terminated by us other than for “cause,” death, or “disability” or he resigns for “good reason” (as such terms are defined in his change in control and severance agreement), in either case, outside the Change in Control Period (as defined below), he will be eligible to receive the following payments and benefits:</w:t>
      </w:r>
    </w:p>
    <w:p>
      <w:pPr>
        <w:spacing w:after="0" w:line="76" w:lineRule="exact"/>
        <w:rPr>
          <w:sz w:val="20"/>
          <w:szCs w:val="20"/>
          <w:color w:val="auto"/>
        </w:rPr>
      </w:pPr>
    </w:p>
    <w:p>
      <w:pPr>
        <w:ind w:left="1840" w:right="660" w:hanging="276"/>
        <w:spacing w:after="0" w:line="354" w:lineRule="auto"/>
        <w:tabs>
          <w:tab w:leader="none" w:pos="18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 lump-sum payment equal to 50% of annual base salary as of immediately before his termination (or if the termination is due to a resignation for good reason based on a material reduction in base salary, then as of immediately before such reduction); and</w:t>
      </w:r>
    </w:p>
    <w:p>
      <w:pPr>
        <w:spacing w:after="0" w:line="21" w:lineRule="exact"/>
        <w:rPr>
          <w:rFonts w:ascii="Arial" w:cs="Arial" w:eastAsia="Arial" w:hAnsi="Arial"/>
          <w:sz w:val="13"/>
          <w:szCs w:val="13"/>
          <w:color w:val="auto"/>
        </w:rPr>
      </w:pPr>
    </w:p>
    <w:p>
      <w:pPr>
        <w:jc w:val="both"/>
        <w:ind w:left="1840" w:right="80" w:hanging="276"/>
        <w:spacing w:after="0" w:line="354" w:lineRule="auto"/>
        <w:tabs>
          <w:tab w:leader="none" w:pos="18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if he elects to continue health insurance coverage for him and his eligible dependents under COBRA, our payment of the monthly premium for such COBRA continuation coverage for up to 6 months (or monthly taxable payments to him in lieu of our payment of such premiums).</w:t>
      </w:r>
    </w:p>
    <w:p>
      <w:pPr>
        <w:spacing w:after="0" w:line="100"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If, within the three-month period before or after the 12-month period following a change in control (such period, the Change in Control Period), the named executive officer’s employment is terminated by us other than for cause, death, or disability or he resigns for “good reason” (as defined in his change in control and severance agreement), he will be entitled to the following benefits:</w:t>
      </w:r>
    </w:p>
    <w:p>
      <w:pPr>
        <w:spacing w:after="0" w:line="76" w:lineRule="exact"/>
        <w:rPr>
          <w:sz w:val="20"/>
          <w:szCs w:val="20"/>
          <w:color w:val="auto"/>
        </w:rPr>
      </w:pPr>
    </w:p>
    <w:p>
      <w:pPr>
        <w:ind w:left="1840" w:right="80" w:hanging="276"/>
        <w:spacing w:after="0" w:line="263" w:lineRule="auto"/>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lump-sum payment equal to 100% of his annual base salary as of immediately before his termination (or if the termination is due to a resignation for good reason based on a material reduction in base salary, then as of immediately before such reduction) or, if such amount is greater, as of immediately before the change in control;</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lump-sum payment equal to 100% of his target annual bonus (for the year of his termination);</w:t>
      </w:r>
    </w:p>
    <w:p>
      <w:pPr>
        <w:spacing w:after="0" w:line="109" w:lineRule="exact"/>
        <w:rPr>
          <w:rFonts w:ascii="Arial" w:cs="Arial" w:eastAsia="Arial" w:hAnsi="Arial"/>
          <w:sz w:val="15"/>
          <w:szCs w:val="15"/>
          <w:color w:val="auto"/>
        </w:rPr>
      </w:pPr>
    </w:p>
    <w:p>
      <w:pPr>
        <w:ind w:left="1840" w:hanging="276"/>
        <w:spacing w:after="0" w:line="263" w:lineRule="auto"/>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if he elects to continue health insurance coverage for him and his eligible dependents under COBRA, our payment of the monthly premium for such COBRA continuation coverage for up to 12 months (or monthly taxable payments to him in lieu of our payment of such premiums); and</w:t>
      </w:r>
    </w:p>
    <w:p>
      <w:pPr>
        <w:spacing w:after="0" w:line="75" w:lineRule="exact"/>
        <w:rPr>
          <w:rFonts w:ascii="Arial" w:cs="Arial" w:eastAsia="Arial" w:hAnsi="Arial"/>
          <w:sz w:val="15"/>
          <w:szCs w:val="15"/>
          <w:color w:val="auto"/>
        </w:rPr>
      </w:pPr>
    </w:p>
    <w:p>
      <w:pPr>
        <w:ind w:left="1840" w:right="440" w:hanging="276"/>
        <w:spacing w:after="0" w:line="275" w:lineRule="auto"/>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100% accelerated vesting of all outstanding equity awards, and, with respect to equity awards with performance-based vesting, unless otherwise specified in the award agreements governing such equity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320"/>
          </w:cols>
          <w:pgMar w:left="240" w:top="408" w:right="133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awards, all performance goals or other vesting criteria will be deemed achieved at 100% of target levels.</w:t>
      </w:r>
    </w:p>
    <w:p>
      <w:pPr>
        <w:spacing w:after="0" w:line="188"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6" w:lineRule="exact"/>
        <w:rPr>
          <w:sz w:val="20"/>
          <w:szCs w:val="20"/>
          <w:color w:val="auto"/>
        </w:rPr>
      </w:pPr>
    </w:p>
    <w:p>
      <w:pPr>
        <w:ind w:left="1120" w:right="40" w:firstLine="368"/>
        <w:spacing w:after="0" w:line="305" w:lineRule="auto"/>
        <w:rPr>
          <w:sz w:val="20"/>
          <w:szCs w:val="20"/>
          <w:color w:val="auto"/>
        </w:rPr>
      </w:pPr>
      <w:r>
        <w:rPr>
          <w:rFonts w:ascii="Arial" w:cs="Arial" w:eastAsia="Arial" w:hAnsi="Arial"/>
          <w:sz w:val="13"/>
          <w:szCs w:val="13"/>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him. The change in control and severance agreements do not require us to provide any tax gross-up payments to the named executive officers.</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Employee Benefits and Stock Plans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Equity Incentive Plan</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February 2018, our Board of Directors adopted, and we expect our stockholders will approve, our 2018 Plan. We expect that our 2018 Plan will be effective on the business day immediately prior to the effective date of our registration statement related to this offering. Our 2018 Plan will provide for the grant of incentive stock options, within the meaning of Section 422 of the Internal Revenue Code, or Code, to our employees, and for the grant of nonstatutory stock options, restricted stock, restricted stock units, stock appreciation rights, performance units, and performance shares to our employees, directors, and consultants.</w:t>
      </w:r>
    </w:p>
    <w:p>
      <w:pPr>
        <w:spacing w:after="0" w:line="159"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A total of 41,368,326 shares of our Class A common stock will be reserved for issuance pursuant to our 2018 Plan. In addition,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shares reserved for issuance under our 2018 Plan will also include (i) shares that, as of the effective date of the registration statement relating to the offering, were reserved but unissued under our 2017 Plan and are not subject to awards granted thereunder, plus (ii) Shares subject to stock options, restricted stock units, or similar awards granted under the 2017 Plan that, on or after the effective date of the registration statement relating to the offering, expire or otherwise terminate without having been exercised in full, are tendered to or withheld by us for payment of an exercise price or for tax withholding obligations, or are forfeited to or repurchased by us due to failure to vest, plus (iii) a number of shares equal to the shares of the Class B common stock subject to stock options, restricted stock units, or similar awards granted under the 2008 Plan that, on or after the effective date of the registration statement relating to the offering, expire or otherwise terminate without having been exercised in full, are tendered to or withheld by us for payment of an exercise price or for tax withholding obligations (including, for the avoidance of doubt, shares withheld on or after the effective date of the registration statement relating to the offering, to satisfy tax withholding obligations with respect to restricted stock units vesting on the effective date of the registration statement relating to the offering), or are forfeited to or repurchased by us due to failure to vest, (provided that the maximum number of shares that may be added to our 2018 Plan from the Prior Plans under clauses (i) through (iii) is 68,824,856 shares). The number of shares of our Class A common stock available for issuance under our 2018 Plan will also include an annual increase on the first day of each fiscal year beginning on January 1, 2019, equal to the least of:</w:t>
      </w:r>
    </w:p>
    <w:p>
      <w:pPr>
        <w:spacing w:after="0" w:line="73" w:lineRule="exact"/>
        <w:rPr>
          <w:sz w:val="20"/>
          <w:szCs w:val="20"/>
          <w:color w:val="auto"/>
        </w:rPr>
      </w:pPr>
    </w:p>
    <w:p>
      <w:pPr>
        <w:ind w:left="1840" w:hanging="276"/>
        <w:spacing w:after="0"/>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41,368,326 shares of our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five percent (5%) of the outstanding shares of our capital stock as of the last day of the immediately preceding fiscal year;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such other amount as our Board of Directors may determine.</w:t>
      </w:r>
    </w:p>
    <w:p>
      <w:pPr>
        <w:spacing w:after="0" w:line="188"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If an award expires or becomes unexercisable without having been exercised in full, is surrendered pursuant to an exchange program, or, with respect to restricted stock, restricted stock units, performance units, 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300"/>
          </w:cols>
          <w:pgMar w:left="240" w:top="407" w:right="135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4" w:lineRule="auto"/>
        <w:rPr>
          <w:sz w:val="20"/>
          <w:szCs w:val="20"/>
          <w:color w:val="auto"/>
        </w:rPr>
      </w:pPr>
      <w:r>
        <w:rPr>
          <w:rFonts w:ascii="Arial" w:cs="Arial" w:eastAsia="Arial" w:hAnsi="Arial"/>
          <w:sz w:val="14"/>
          <w:szCs w:val="14"/>
          <w:color w:val="auto"/>
        </w:rPr>
        <w:t>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restricted stock units,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50" w:lineRule="exact"/>
        <w:rPr>
          <w:sz w:val="20"/>
          <w:szCs w:val="20"/>
          <w:color w:val="auto"/>
        </w:rPr>
      </w:pPr>
    </w:p>
    <w:p>
      <w:pPr>
        <w:ind w:left="1120" w:firstLine="368"/>
        <w:spacing w:after="0" w:line="271"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one or more committees appointed by our Board of Directors will administer our 2018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is expected to administer our 2018 Plan.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Class A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58"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i w:val="1"/>
          <w:iCs w:val="1"/>
          <w:color w:val="auto"/>
        </w:rPr>
        <w:t>Stock options</w:t>
      </w:r>
      <w:r>
        <w:rPr>
          <w:rFonts w:ascii="Arial" w:cs="Arial" w:eastAsia="Arial" w:hAnsi="Arial"/>
          <w:sz w:val="13"/>
          <w:szCs w:val="13"/>
          <w:color w:val="auto"/>
        </w:rPr>
        <w:t>. Stock options may be granted under our 2018 Plan. The exercise price of options granted under our 2018 Plan must at least be equal</w:t>
      </w:r>
      <w:r>
        <w:rPr>
          <w:rFonts w:ascii="Arial" w:cs="Arial" w:eastAsia="Arial" w:hAnsi="Arial"/>
          <w:sz w:val="13"/>
          <w:szCs w:val="13"/>
          <w:i w:val="1"/>
          <w:iCs w:val="1"/>
          <w:color w:val="auto"/>
        </w:rPr>
        <w:t xml:space="preserve"> </w:t>
      </w:r>
      <w:r>
        <w:rPr>
          <w:rFonts w:ascii="Arial" w:cs="Arial" w:eastAsia="Arial" w:hAnsi="Arial"/>
          <w:sz w:val="13"/>
          <w:szCs w:val="13"/>
          <w:color w:val="auto"/>
        </w:rPr>
        <w:t>to the fair market value of our Class A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300"/>
          </w:cols>
          <w:pgMar w:left="240" w:top="408" w:right="135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i w:val="1"/>
          <w:iCs w:val="1"/>
          <w:color w:val="auto"/>
        </w:rPr>
        <w:t>Stock appreciation rights</w:t>
      </w:r>
      <w:r>
        <w:rPr>
          <w:rFonts w:ascii="Arial" w:cs="Arial" w:eastAsia="Arial" w:hAnsi="Arial"/>
          <w:sz w:val="13"/>
          <w:szCs w:val="13"/>
          <w:color w:val="auto"/>
        </w:rPr>
        <w:t>. Stock appreciation rights may be granted under our 2018 Plan. Stock appreciation rights allow the recipient to receive</w:t>
      </w:r>
      <w:r>
        <w:rPr>
          <w:rFonts w:ascii="Arial" w:cs="Arial" w:eastAsia="Arial" w:hAnsi="Arial"/>
          <w:sz w:val="13"/>
          <w:szCs w:val="13"/>
          <w:i w:val="1"/>
          <w:iCs w:val="1"/>
          <w:color w:val="auto"/>
        </w:rPr>
        <w:t xml:space="preserve"> </w:t>
      </w:r>
      <w:r>
        <w:rPr>
          <w:rFonts w:ascii="Arial" w:cs="Arial" w:eastAsia="Arial" w:hAnsi="Arial"/>
          <w:sz w:val="13"/>
          <w:szCs w:val="13"/>
          <w:color w:val="auto"/>
        </w:rPr>
        <w:t>the appreciation in the fair market value of our Class A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Class A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41"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4"/>
          <w:szCs w:val="14"/>
          <w:i w:val="1"/>
          <w:iCs w:val="1"/>
          <w:color w:val="auto"/>
        </w:rPr>
        <w:t>Restricted stock</w:t>
      </w:r>
      <w:r>
        <w:rPr>
          <w:rFonts w:ascii="Arial" w:cs="Arial" w:eastAsia="Arial" w:hAnsi="Arial"/>
          <w:sz w:val="14"/>
          <w:szCs w:val="14"/>
          <w:color w:val="auto"/>
        </w:rPr>
        <w:t>. Restricted stock may be granted under our 2018 Plan. Restricted stock awards are grants of shares of our Class A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that vest 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48" w:lineRule="exact"/>
        <w:rPr>
          <w:sz w:val="20"/>
          <w:szCs w:val="20"/>
          <w:color w:val="auto"/>
        </w:rPr>
      </w:pPr>
    </w:p>
    <w:p>
      <w:pPr>
        <w:ind w:left="1120" w:right="60" w:firstLine="368"/>
        <w:spacing w:after="0" w:line="255" w:lineRule="auto"/>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RSUs may be granted under our 2018 Plan. Each RSU represents an amount equal to the fair market value of one share of our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61"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i w:val="1"/>
          <w:iCs w:val="1"/>
          <w:color w:val="auto"/>
        </w:rPr>
        <w:t>Performance units and performance shares</w:t>
      </w:r>
      <w:r>
        <w:rPr>
          <w:rFonts w:ascii="Arial" w:cs="Arial" w:eastAsia="Arial" w:hAnsi="Arial"/>
          <w:sz w:val="14"/>
          <w:szCs w:val="14"/>
          <w:color w:val="auto"/>
        </w:rPr>
        <w:t>. Performance units and performance shares may be granted under our 2018 Plan. Performance units</w:t>
      </w:r>
      <w:r>
        <w:rPr>
          <w:rFonts w:ascii="Arial" w:cs="Arial" w:eastAsia="Arial" w:hAnsi="Arial"/>
          <w:sz w:val="14"/>
          <w:szCs w:val="14"/>
          <w:i w:val="1"/>
          <w:iCs w:val="1"/>
          <w:color w:val="auto"/>
        </w:rPr>
        <w:t xml:space="preserve"> </w:t>
      </w:r>
      <w:r>
        <w:rPr>
          <w:rFonts w:ascii="Arial" w:cs="Arial" w:eastAsia="Arial" w:hAnsi="Arial"/>
          <w:sz w:val="14"/>
          <w:szCs w:val="14"/>
          <w:color w:val="auto"/>
        </w:rPr>
        <w:t>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Class A common stock on the grant date. The administrator, in its sole discretion, may pay earned performance units or performance shares in the form of cash, in shares, or in some combination thereof.</w:t>
      </w:r>
    </w:p>
    <w:p>
      <w:pPr>
        <w:spacing w:after="0" w:line="9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320"/>
          </w:cols>
          <w:pgMar w:left="240" w:top="407" w:right="133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i w:val="1"/>
          <w:iCs w:val="1"/>
          <w:color w:val="auto"/>
        </w:rPr>
        <w:t xml:space="preserve">Outside Directors. </w:t>
      </w:r>
      <w:r>
        <w:rPr>
          <w:rFonts w:ascii="Arial" w:cs="Arial" w:eastAsia="Arial" w:hAnsi="Arial"/>
          <w:sz w:val="13"/>
          <w:szCs w:val="13"/>
          <w:color w:val="auto"/>
        </w:rPr>
        <w:t>Our 2018 Plan includes a maximum annual limit of $1,200,000 of cash compensation and equity awards that may be paid,</w:t>
      </w:r>
      <w:r>
        <w:rPr>
          <w:rFonts w:ascii="Arial" w:cs="Arial" w:eastAsia="Arial" w:hAnsi="Arial"/>
          <w:sz w:val="13"/>
          <w:szCs w:val="13"/>
          <w:i w:val="1"/>
          <w:iCs w:val="1"/>
          <w:color w:val="auto"/>
        </w:rPr>
        <w:t xml:space="preserve"> </w:t>
      </w:r>
      <w:r>
        <w:rPr>
          <w:rFonts w:ascii="Arial" w:cs="Arial" w:eastAsia="Arial" w:hAnsi="Arial"/>
          <w:sz w:val="13"/>
          <w:szCs w:val="13"/>
          <w:color w:val="auto"/>
        </w:rPr>
        <w:t>issued, or granted to an outside (non-employee)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w:t>
      </w:r>
    </w:p>
    <w:p>
      <w:pPr>
        <w:spacing w:after="0" w:line="13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i w:val="1"/>
          <w:iCs w:val="1"/>
          <w:color w:val="auto"/>
        </w:rPr>
        <w:t>Non-transferability of awards</w:t>
      </w:r>
      <w:r>
        <w:rPr>
          <w:rFonts w:ascii="Arial" w:cs="Arial" w:eastAsia="Arial" w:hAnsi="Arial"/>
          <w:sz w:val="15"/>
          <w:szCs w:val="15"/>
          <w:color w:val="auto"/>
        </w:rPr>
        <w:t>. Unless the administrator provides otherwise, our 2018 Plan generally does not allow for the transfer of awards and</w:t>
      </w:r>
      <w:r>
        <w:rPr>
          <w:rFonts w:ascii="Arial" w:cs="Arial" w:eastAsia="Arial" w:hAnsi="Arial"/>
          <w:sz w:val="15"/>
          <w:szCs w:val="15"/>
          <w:i w:val="1"/>
          <w:iCs w:val="1"/>
          <w:color w:val="auto"/>
        </w:rPr>
        <w:t xml:space="preserve"> </w:t>
      </w:r>
      <w:r>
        <w:rPr>
          <w:rFonts w:ascii="Arial" w:cs="Arial" w:eastAsia="Arial" w:hAnsi="Arial"/>
          <w:sz w:val="15"/>
          <w:szCs w:val="15"/>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55"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i w:val="1"/>
          <w:iCs w:val="1"/>
          <w:color w:val="auto"/>
        </w:rPr>
        <w:t>Certain adjustments</w:t>
      </w:r>
      <w:r>
        <w:rPr>
          <w:rFonts w:ascii="Arial" w:cs="Arial" w:eastAsia="Arial" w:hAnsi="Arial"/>
          <w:sz w:val="14"/>
          <w:szCs w:val="14"/>
          <w:color w:val="auto"/>
        </w:rPr>
        <w:t>. In the event of certain changes in our capitalization, to prevent diminution or enlargement of the benefits or potential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38"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i w:val="1"/>
          <w:iCs w:val="1"/>
          <w:color w:val="auto"/>
        </w:rPr>
        <w:t>Dissolution or liquidation</w:t>
      </w:r>
      <w:r>
        <w:rPr>
          <w:rFonts w:ascii="Arial" w:cs="Arial" w:eastAsia="Arial" w:hAnsi="Arial"/>
          <w:sz w:val="15"/>
          <w:szCs w:val="15"/>
          <w:color w:val="auto"/>
        </w:rPr>
        <w:t>. In the event of our proposed liquidation or dissolution, the administrator will notify participants as soon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and all awards will terminate immediately prior to the consummation of such proposed transaction.</w:t>
      </w:r>
    </w:p>
    <w:p>
      <w:pPr>
        <w:spacing w:after="0" w:line="146" w:lineRule="exact"/>
        <w:rPr>
          <w:sz w:val="20"/>
          <w:szCs w:val="20"/>
          <w:color w:val="auto"/>
        </w:rPr>
      </w:pPr>
    </w:p>
    <w:p>
      <w:pPr>
        <w:jc w:val="both"/>
        <w:ind w:left="1120" w:right="340" w:firstLine="368"/>
        <w:spacing w:after="0" w:line="290" w:lineRule="auto"/>
        <w:rPr>
          <w:sz w:val="20"/>
          <w:szCs w:val="20"/>
          <w:color w:val="auto"/>
        </w:rPr>
      </w:pPr>
      <w:r>
        <w:rPr>
          <w:rFonts w:ascii="Arial" w:cs="Arial" w:eastAsia="Arial" w:hAnsi="Arial"/>
          <w:sz w:val="14"/>
          <w:szCs w:val="14"/>
          <w:i w:val="1"/>
          <w:iCs w:val="1"/>
          <w:color w:val="auto"/>
        </w:rPr>
        <w:t>Merger or change in control</w:t>
      </w:r>
      <w:r>
        <w:rPr>
          <w:rFonts w:ascii="Arial" w:cs="Arial" w:eastAsia="Arial" w:hAnsi="Arial"/>
          <w:sz w:val="14"/>
          <w:szCs w:val="14"/>
          <w:color w:val="auto"/>
        </w:rPr>
        <w:t>. Our 2018 Plan provides that in the event of a merger or change in control, as defined under our 2018 Plan, each</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 will be treated as the administrator determines, without a requirement to obtain a participant’s consent. The administrator is not required to treat all awards, all awards held by a participant, or all awards of the same type, similarly.</w:t>
      </w:r>
    </w:p>
    <w:p>
      <w:pPr>
        <w:spacing w:after="0" w:line="138"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3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If an outside director’s awards are assumed or substituted for in a merger or change in control and the service of such outside director is terminated on or following a change in control, other than pursuant to a voluntary resignation,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59"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will be subject to any clawback policy of ours, and the administrator also may specify in an award agreement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r>
        <w:rPr>
          <w:rFonts w:ascii="Arial" w:cs="Arial" w:eastAsia="Arial" w:hAnsi="Arial"/>
          <w:sz w:val="14"/>
          <w:szCs w:val="14"/>
          <w:i w:val="1"/>
          <w:iCs w:val="1"/>
          <w:color w:val="auto"/>
        </w:rPr>
        <w:t>.</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300"/>
          </w:cols>
          <w:pgMar w:left="240" w:top="408" w:right="135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administrator has the authority to amend, suspend, or terminate our 2018 Plan provided such action does not impair</w:t>
      </w:r>
      <w:r>
        <w:rPr>
          <w:rFonts w:ascii="Arial" w:cs="Arial" w:eastAsia="Arial" w:hAnsi="Arial"/>
          <w:sz w:val="15"/>
          <w:szCs w:val="15"/>
          <w:i w:val="1"/>
          <w:iCs w:val="1"/>
          <w:color w:val="auto"/>
        </w:rPr>
        <w:t xml:space="preserve"> </w:t>
      </w:r>
      <w:r>
        <w:rPr>
          <w:rFonts w:ascii="Arial" w:cs="Arial" w:eastAsia="Arial" w:hAnsi="Arial"/>
          <w:sz w:val="15"/>
          <w:szCs w:val="15"/>
          <w:color w:val="auto"/>
        </w:rPr>
        <w:t>the existing rights of any participant. Our 2018 Plan automatically will terminate in 2028, unless we terminate it sooner.</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Class C Stock Incentive Plan</w:t>
      </w:r>
    </w:p>
    <w:p>
      <w:pPr>
        <w:spacing w:after="0" w:line="98" w:lineRule="exact"/>
        <w:rPr>
          <w:sz w:val="20"/>
          <w:szCs w:val="20"/>
          <w:color w:val="auto"/>
        </w:rPr>
      </w:pPr>
    </w:p>
    <w:p>
      <w:pPr>
        <w:ind w:left="1120" w:right="20" w:firstLine="368"/>
        <w:spacing w:after="0" w:line="292" w:lineRule="auto"/>
        <w:rPr>
          <w:sz w:val="20"/>
          <w:szCs w:val="20"/>
          <w:color w:val="auto"/>
        </w:rPr>
      </w:pPr>
      <w:r>
        <w:rPr>
          <w:rFonts w:ascii="Arial" w:cs="Arial" w:eastAsia="Arial" w:hAnsi="Arial"/>
          <w:sz w:val="13"/>
          <w:szCs w:val="13"/>
          <w:color w:val="auto"/>
        </w:rPr>
        <w:t>In February 2018, our Board of Directors adopted, and we expect our stockholders will approve, our 2018 Class C Plan. Our 2018 Class C Plan will be effective on the business day immediately prior to the effective date of our registration statement related to this offering and is not expected to be used immediately. A total of 41,368,326 shares of our Class C common stock will be reserved for issuance pursuant to our 2018 Class C Plan. If and when authorized by our Board of Directors, the number of shares available for issuance under our 2018 Class C Plan will be increased on the first day of each fiscal year following the year of such authorization, in an amount equal to the least of (i) 41,368,326 shares of our Class C common stock, (ii) five percent (5%) of the outstanding shares of all classes of the Company’s common stock on the last day of the immediately preceding fiscal year, or</w:t>
      </w:r>
    </w:p>
    <w:p>
      <w:pPr>
        <w:spacing w:after="0" w:line="1" w:lineRule="exact"/>
        <w:rPr>
          <w:sz w:val="20"/>
          <w:szCs w:val="20"/>
          <w:color w:val="auto"/>
        </w:rPr>
      </w:pPr>
    </w:p>
    <w:p>
      <w:pPr>
        <w:ind w:left="1120" w:right="120" w:hanging="8"/>
        <w:spacing w:after="0" w:line="262" w:lineRule="auto"/>
        <w:tabs>
          <w:tab w:leader="none" w:pos="1383" w:val="left"/>
        </w:tabs>
        <w:numPr>
          <w:ilvl w:val="0"/>
          <w:numId w:val="73"/>
        </w:numPr>
        <w:rPr>
          <w:rFonts w:ascii="Arial" w:cs="Arial" w:eastAsia="Arial" w:hAnsi="Arial"/>
          <w:sz w:val="15"/>
          <w:szCs w:val="15"/>
          <w:color w:val="auto"/>
        </w:rPr>
      </w:pPr>
      <w:r>
        <w:rPr>
          <w:rFonts w:ascii="Arial" w:cs="Arial" w:eastAsia="Arial" w:hAnsi="Arial"/>
          <w:sz w:val="15"/>
          <w:szCs w:val="15"/>
          <w:color w:val="auto"/>
        </w:rPr>
        <w:t>such number of shares of our Class C common stock determined by our Board of Directors. Our 2018 Class C Plan will provide for the same types of grants and will include the same terms and conditions as those described above for our 2018 Plan.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Employee Stock Purchase Plan</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In February 2018, our Board of Directors adopted, and we expect our stockholders will approve, our Employee Stock Purchase Plan, or the ESPP.</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Our ESPP will be effective on the business day immediately prior to the effective date of the registration statement of which this prospectus forms a part.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However, no offering period or purchase period under the ESPP will begin unless and until determined by our Board of Directors.</w:t>
      </w:r>
    </w:p>
    <w:p>
      <w:pPr>
        <w:spacing w:after="0" w:line="179" w:lineRule="exact"/>
        <w:rPr>
          <w:sz w:val="20"/>
          <w:szCs w:val="20"/>
          <w:color w:val="auto"/>
        </w:rPr>
      </w:pPr>
    </w:p>
    <w:p>
      <w:pPr>
        <w:jc w:val="both"/>
        <w:ind w:left="1120" w:right="120" w:firstLine="368"/>
        <w:spacing w:after="0" w:line="290"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A total of 4,136,832 shares of our Class A common stock will be available for sale under our ESPP. The number of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our Class A common stock that will be available for sale under our ESPP also includes an annual increase on the first day of each fiscal year beginning for the fiscal year following the fiscal year in which the first offering period enrollment date (if any) occurs, equal to the least of:</w:t>
      </w:r>
    </w:p>
    <w:p>
      <w:pPr>
        <w:spacing w:after="0" w:line="59" w:lineRule="exact"/>
        <w:rPr>
          <w:sz w:val="20"/>
          <w:szCs w:val="20"/>
          <w:color w:val="auto"/>
        </w:rPr>
      </w:pPr>
    </w:p>
    <w:p>
      <w:pPr>
        <w:ind w:left="1840" w:hanging="276"/>
        <w:spacing w:after="0"/>
        <w:tabs>
          <w:tab w:leader="none" w:pos="1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4,136,832 shares of our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one and a half percent (1.5%) of the outstanding shares of our capital stock as of the last day of the immediately preceding fiscal year; or</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such other amount as the administrator may determine.</w:t>
      </w:r>
    </w:p>
    <w:p>
      <w:pPr>
        <w:spacing w:after="0" w:line="188" w:lineRule="exact"/>
        <w:rPr>
          <w:sz w:val="20"/>
          <w:szCs w:val="20"/>
          <w:color w:val="auto"/>
        </w:rPr>
      </w:pPr>
    </w:p>
    <w:p>
      <w:pPr>
        <w:ind w:left="1120" w:right="220" w:firstLine="368"/>
        <w:spacing w:after="0" w:line="274"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a committee appointed by our Board of Directors will administer our ESPP, and have full but</w:t>
      </w:r>
      <w:r>
        <w:rPr>
          <w:rFonts w:ascii="Arial" w:cs="Arial" w:eastAsia="Arial" w:hAnsi="Arial"/>
          <w:sz w:val="14"/>
          <w:szCs w:val="14"/>
          <w:i w:val="1"/>
          <w:iCs w:val="1"/>
          <w:color w:val="auto"/>
        </w:rPr>
        <w:t xml:space="preserve"> </w:t>
      </w:r>
      <w:r>
        <w:rPr>
          <w:rFonts w:ascii="Arial" w:cs="Arial" w:eastAsia="Arial" w:hAnsi="Arial"/>
          <w:sz w:val="14"/>
          <w:szCs w:val="14"/>
          <w:color w:val="auto"/>
        </w:rPr>
        <w:t>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foreign nationals or employed outside the U.S. The administrator’s findings, decisions, and determinations are final and binding on all participants to the full extent permitted by law.</w:t>
      </w:r>
    </w:p>
    <w:p>
      <w:pPr>
        <w:spacing w:after="0" w:line="150"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Generally, all of our employees will be eligible to participate if they are customarily employed by us, or any participating 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for at least 20 hours per week and more than five months in any calendar year. The administrator, in its discretion, may, prior to an enrollment date for all options granted on such</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320"/>
          </w:cols>
          <w:pgMar w:left="240" w:top="407" w:right="133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55" w:lineRule="auto"/>
        <w:rPr>
          <w:sz w:val="20"/>
          <w:szCs w:val="20"/>
          <w:color w:val="auto"/>
        </w:rPr>
      </w:pPr>
      <w:r>
        <w:rPr>
          <w:rFonts w:ascii="Arial" w:cs="Arial" w:eastAsia="Arial" w:hAnsi="Arial"/>
          <w:sz w:val="15"/>
          <w:szCs w:val="15"/>
          <w:color w:val="auto"/>
        </w:rPr>
        <w:t>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and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However, an employee may not be granted rights to purchase shares of our Class A common stock under our ESPP if such employee:</w:t>
      </w:r>
    </w:p>
    <w:p>
      <w:pPr>
        <w:spacing w:after="0" w:line="121" w:lineRule="exact"/>
        <w:rPr>
          <w:sz w:val="20"/>
          <w:szCs w:val="20"/>
          <w:color w:val="auto"/>
        </w:rPr>
      </w:pPr>
    </w:p>
    <w:p>
      <w:pPr>
        <w:ind w:left="1840" w:right="20" w:hanging="276"/>
        <w:spacing w:after="0" w:line="275" w:lineRule="auto"/>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immediately after the grant would own capital stock possessing 5% or more of the total combined voting power or value of all classes of our capital stock; or</w:t>
      </w:r>
    </w:p>
    <w:p>
      <w:pPr>
        <w:spacing w:after="0" w:line="67"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hold rights to purchase shares of our Class A common stock under all of our employee stock purchase plans that accrue at a rate that exceeds $25,000 worth of shares of our Class A common stock for each calendar year.</w:t>
      </w:r>
    </w:p>
    <w:p>
      <w:pPr>
        <w:spacing w:after="0" w:line="146"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i w:val="1"/>
          <w:iCs w:val="1"/>
          <w:color w:val="auto"/>
        </w:rPr>
        <w:t>Offering periods; purchase periods</w:t>
      </w:r>
      <w:r>
        <w:rPr>
          <w:rFonts w:ascii="Arial" w:cs="Arial" w:eastAsia="Arial" w:hAnsi="Arial"/>
          <w:sz w:val="14"/>
          <w:szCs w:val="14"/>
          <w:color w:val="auto"/>
        </w:rPr>
        <w:t>. Our ESPP includes a component that allows us to make offerings intended to qualify under Section 423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Code and a component that allows us to make offerings not intended to qualify under Section 423 of the Code to designated companies, as described in our ESPP. No offerings have been authorized to date by our Board of Directors under the ESPP. If our Board of Directors authorizes an offering period under the ESPP, our Board of Directors is authorized to establish the duration of offering periods and purchase periods, including the starting and ending dates of offering periods and purchase periods, provided that no offering period may have a duration exceeding 27 months.</w:t>
      </w:r>
    </w:p>
    <w:p>
      <w:pPr>
        <w:spacing w:after="0" w:line="147" w:lineRule="exact"/>
        <w:rPr>
          <w:sz w:val="20"/>
          <w:szCs w:val="20"/>
          <w:color w:val="auto"/>
        </w:rPr>
      </w:pPr>
    </w:p>
    <w:p>
      <w:pPr>
        <w:ind w:left="1120" w:right="400" w:firstLine="368"/>
        <w:spacing w:after="0" w:line="263" w:lineRule="auto"/>
        <w:rPr>
          <w:sz w:val="20"/>
          <w:szCs w:val="20"/>
          <w:color w:val="auto"/>
        </w:rPr>
      </w:pPr>
      <w:r>
        <w:rPr>
          <w:rFonts w:ascii="Arial" w:cs="Arial" w:eastAsia="Arial" w:hAnsi="Arial"/>
          <w:sz w:val="15"/>
          <w:szCs w:val="15"/>
          <w:i w:val="1"/>
          <w:iCs w:val="1"/>
          <w:color w:val="auto"/>
        </w:rPr>
        <w:t>Contributions</w:t>
      </w:r>
      <w:r>
        <w:rPr>
          <w:rFonts w:ascii="Arial" w:cs="Arial" w:eastAsia="Arial" w:hAnsi="Arial"/>
          <w:sz w:val="15"/>
          <w:szCs w:val="15"/>
          <w:color w:val="auto"/>
        </w:rPr>
        <w:t>. Our ESPP permits participants to purchase shares of our Class A common stock through contributions (in the form of payroll</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deductions or otherwise to the extent permitted by the administrator) of up to 15% of their eligible compensation. A participant may purchase a maximum of 2,500 shares of our Class A common stock during a purchase period.</w:t>
      </w:r>
    </w:p>
    <w:p>
      <w:pPr>
        <w:spacing w:after="0" w:line="155"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i w:val="1"/>
          <w:iCs w:val="1"/>
          <w:color w:val="auto"/>
        </w:rPr>
        <w:t>Exercise of purchase right</w:t>
      </w:r>
      <w:r>
        <w:rPr>
          <w:rFonts w:ascii="Arial" w:cs="Arial" w:eastAsia="Arial" w:hAnsi="Arial"/>
          <w:sz w:val="15"/>
          <w:szCs w:val="15"/>
          <w:color w:val="auto"/>
        </w:rPr>
        <w:t>. If our Board of Directors authorizes an offering and purchase period under the ESPP, amounts contributed and</w:t>
      </w:r>
      <w:r>
        <w:rPr>
          <w:rFonts w:ascii="Arial" w:cs="Arial" w:eastAsia="Arial" w:hAnsi="Arial"/>
          <w:sz w:val="15"/>
          <w:szCs w:val="15"/>
          <w:i w:val="1"/>
          <w:iCs w:val="1"/>
          <w:color w:val="auto"/>
        </w:rPr>
        <w:t xml:space="preserve"> </w:t>
      </w:r>
      <w:r>
        <w:rPr>
          <w:rFonts w:ascii="Arial" w:cs="Arial" w:eastAsia="Arial" w:hAnsi="Arial"/>
          <w:sz w:val="15"/>
          <w:szCs w:val="15"/>
          <w:color w:val="auto"/>
        </w:rPr>
        <w:t>accumulated by the participant during any offering period will be used to purchase shares of our Class A common stock at the end of each purchase period established by our Board of Directors. The purchase price of the shares will be 85% of the lower of the fair market value of our Class A common stock on the first trading day of each offering period or on the exercise date.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64"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i w:val="1"/>
          <w:iCs w:val="1"/>
          <w:color w:val="auto"/>
        </w:rPr>
        <w:t>Non-transferability</w:t>
      </w:r>
      <w:r>
        <w:rPr>
          <w:rFonts w:ascii="Arial" w:cs="Arial" w:eastAsia="Arial" w:hAnsi="Arial"/>
          <w:sz w:val="15"/>
          <w:szCs w:val="15"/>
          <w:color w:val="auto"/>
        </w:rPr>
        <w:t>. A participant may not transfer rights granted under our ESPP. If our compensation committee permits the transfer of rights, it</w:t>
      </w:r>
      <w:r>
        <w:rPr>
          <w:rFonts w:ascii="Arial" w:cs="Arial" w:eastAsia="Arial" w:hAnsi="Arial"/>
          <w:sz w:val="15"/>
          <w:szCs w:val="15"/>
          <w:i w:val="1"/>
          <w:iCs w:val="1"/>
          <w:color w:val="auto"/>
        </w:rPr>
        <w:t xml:space="preserve"> </w:t>
      </w:r>
      <w:r>
        <w:rPr>
          <w:rFonts w:ascii="Arial" w:cs="Arial" w:eastAsia="Arial" w:hAnsi="Arial"/>
          <w:sz w:val="15"/>
          <w:szCs w:val="15"/>
          <w:color w:val="auto"/>
        </w:rPr>
        <w:t>may only be done by will, the laws of descent and distribution, or as otherwise provided under our ESPP.</w:t>
      </w:r>
    </w:p>
    <w:p>
      <w:pPr>
        <w:spacing w:after="0" w:line="146"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i w:val="1"/>
          <w:iCs w:val="1"/>
          <w:color w:val="auto"/>
        </w:rPr>
        <w:t>Merger or change in control</w:t>
      </w:r>
      <w:r>
        <w:rPr>
          <w:rFonts w:ascii="Arial" w:cs="Arial" w:eastAsia="Arial" w:hAnsi="Arial"/>
          <w:sz w:val="13"/>
          <w:szCs w:val="13"/>
          <w:color w:val="auto"/>
        </w:rPr>
        <w:t>. Our ESPP provides that in the event of a merger or change in control, as defined under our ESPP, a successor</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7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300"/>
          </w:cols>
          <w:pgMar w:left="240" w:top="408" w:right="135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administrator has the authority to amend, suspend, or terminate our ESPP, except that, subject to certain exceptions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in our ESPP, no such action may adversely affect any outstanding rights to purchase shares of our Class A common stock under our ESPP. Our ESPP automatically will terminate in 2038, unless we terminate it sooner.</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Class C Employee Stock Purchase Plan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color w:val="auto"/>
        </w:rPr>
        <w:t>In February 2018, our Board of Directors adopted, and we expect our stockholders will approve, our 2018 Class C ESPP. Our 2018 Class C ESPP will be effective on the business day immediately prior to the effective date of our registration statement related to this offering. No offering period or purchase period under the ESPP will begin unless and until determined by our Board of Directors. A total of 4,136,832 shares of our Class C common stock will be reserved for sale pursuant to our 2018 Class C ESPP. The number of shares available for sale under our 2018 Class C ESPP will be increased on the first day of each fiscal year beginning for the fiscal year following the commencement of the first offering period under our 2018 Class C ESPP, in an amount equal to the least of (i) 4,136,832 shares of our Class C common stock, (ii) one and a half percent (1.5%) of the outstanding shares of our Class C common stock on the last day of the immediately preceding fiscal year or (iii) such number of shares of our Class C common stock determined by our Board of Directors. Our 2018 Class C ESPP will include the same terms and conditions as those described above for our ESPP. Our 2018 Class C ESPP will automatically terminate in 2038, unless we terminate it sooner.</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2017 Equity Incentive Plan</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Our Board of Directors and stockholders adopted our 2017 Plan on March 8, 2017. Our 2017 Plan allows for the grant of incentive stock options to our employees, and for the grant of nonqualified stock options and restricted stock awards, RSUs, and stock appreciation rights to employees, officers, directors, and certain of our consultants.</w:t>
      </w:r>
    </w:p>
    <w:p>
      <w:pPr>
        <w:spacing w:after="0" w:line="155"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Our 2017 Plan will be terminated immediately prior to the effectiveness of our 2018 Plan, and accordingly, no shares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for issuance under the 2017 Plan following its termination. Our 2017 Plan will continue to govern outstanding awards granted thereunder. As of December 31, 2017, 8,979,801 shares of our Class A common stock were reserved for future issuance under our 2017 Plan and RSUs covering 16,707,823 shares of our Class A common stock remained outstanding under our 2017 Plan.</w:t>
      </w:r>
    </w:p>
    <w:p>
      <w:pPr>
        <w:spacing w:after="0" w:line="143" w:lineRule="exact"/>
        <w:rPr>
          <w:sz w:val="20"/>
          <w:szCs w:val="20"/>
          <w:color w:val="auto"/>
        </w:rPr>
      </w:pPr>
    </w:p>
    <w:p>
      <w:pPr>
        <w:ind w:left="1120" w:right="80" w:firstLine="368"/>
        <w:spacing w:after="0" w:line="273"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one or more committees appointed by our Board of Directors may administer our 2017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currently administers our 2017 Plan. Subject to the provisions of our 2017 Plan, the administrator has the power to construe and interpret our 2017 Plan and any agreement thereunder and to determine the form and terms of awards (including the participants), the number of shares subject to each award, the exercise price (if any), the fair market value of a share of our Class A common stock, if such stock is not publicly-traded, listed, or admitted to trading on a national securities exchange, nor reported in any newspaper or other source, the vesting, exercisability, and payment of awards granted under our 2017 Plan, whether an award has been earned, and whether awards will be granted singly, in combination with, in tandem with, in replacement of, or as alternatives to, other awards. The administrator may correct, prescribe, amend, expand, modify, rescind, or terminate rules and regulations relating to our 2017 Plan. The administrator may, at any time, authorize the issuance of new awards in exchange for the surrender and cancellation of any or all outstanding awards with the consent of a participant. The administrator may also buy out an award previously granted for cash, shares, or other consideration as the administrator and the participant may agree.</w:t>
      </w:r>
    </w:p>
    <w:p>
      <w:pPr>
        <w:spacing w:after="0" w:line="154"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i w:val="1"/>
          <w:iCs w:val="1"/>
          <w:color w:val="auto"/>
        </w:rPr>
        <w:t>Options</w:t>
      </w:r>
      <w:r>
        <w:rPr>
          <w:rFonts w:ascii="Arial" w:cs="Arial" w:eastAsia="Arial" w:hAnsi="Arial"/>
          <w:sz w:val="13"/>
          <w:szCs w:val="13"/>
          <w:color w:val="auto"/>
        </w:rPr>
        <w:t>. Stock options may be granted under our 2017 Plan. The exercise price per share of all options must equal at least the 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per share of our Class A common stock on the date of grant, unless otherwise expressly determined in writing by the administrator on the grant date. The term of an option may not exceed ten years. An incentive stock option granted to a participant who owns more than 10% of the total combined voting</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320"/>
          </w:cols>
          <w:pgMar w:left="240" w:top="408" w:right="133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5" w:lineRule="auto"/>
        <w:rPr>
          <w:sz w:val="20"/>
          <w:szCs w:val="20"/>
          <w:color w:val="auto"/>
        </w:rPr>
      </w:pPr>
      <w:r>
        <w:rPr>
          <w:rFonts w:ascii="Arial" w:cs="Arial" w:eastAsia="Arial" w:hAnsi="Arial"/>
          <w:sz w:val="14"/>
          <w:szCs w:val="14"/>
          <w:color w:val="auto"/>
        </w:rPr>
        <w:t>power of all classes of our stock on the date of grant, or any parent or subsidiary corporations, may not have a term in excess of five years and must have an exercise price of at least 110% of the fair market value per share of our common stock on the grant date. The methods of payment of the exercise price of an option include cash (by check) or shares or certain other property or other consideration acceptable to the administrator and otherwise permitted under our 2017 Plan. After a participant’s termination of service for reasons other than for death, disability, or cause, the participant generally may exercise his or her options, to the extent vested as of such date of termination, for three months after termination. After a participant’s termination of service for death or disability, the option generally will remain exercisable, to the extent vested as of such date of termination, for 12 months after such termination. In no event may an option be exercised later than the expiration of its term. After a participant’s termination of service for cause, the option generally will expire on the date of such termination.</w:t>
      </w:r>
    </w:p>
    <w:p>
      <w:pPr>
        <w:spacing w:after="0" w:line="14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Restricted stock awards may be granted under our 2017 Plan. Restricted stock awards are offers by us to sell to an eligible person</w:t>
      </w:r>
      <w:r>
        <w:rPr>
          <w:rFonts w:ascii="Arial" w:cs="Arial" w:eastAsia="Arial" w:hAnsi="Arial"/>
          <w:sz w:val="15"/>
          <w:szCs w:val="15"/>
          <w:i w:val="1"/>
          <w:iCs w:val="1"/>
          <w:color w:val="auto"/>
        </w:rPr>
        <w:t xml:space="preserve"> </w:t>
      </w:r>
      <w:r>
        <w:rPr>
          <w:rFonts w:ascii="Arial" w:cs="Arial" w:eastAsia="Arial" w:hAnsi="Arial"/>
          <w:sz w:val="15"/>
          <w:szCs w:val="15"/>
          <w:color w:val="auto"/>
        </w:rPr>
        <w:t>shares that are subject to certain specified restrictions, including restrictions on transferability and forfeiture provisions. Restricted stock awards will be entitled to receive all dividends or other distributions paid with respect to such shares, unless the administrator provides otherwise at the time of the award.</w:t>
      </w:r>
    </w:p>
    <w:p>
      <w:pPr>
        <w:spacing w:after="0" w:line="158" w:lineRule="exact"/>
        <w:rPr>
          <w:sz w:val="20"/>
          <w:szCs w:val="20"/>
          <w:color w:val="auto"/>
        </w:rPr>
      </w:pPr>
    </w:p>
    <w:p>
      <w:pPr>
        <w:jc w:val="both"/>
        <w:ind w:left="1120" w:right="140" w:firstLine="368"/>
        <w:spacing w:after="0" w:line="257" w:lineRule="auto"/>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RSUs may be granted under our 2017 Plan. RSUs are awards covering a number of shares that may be settled in cash, or by issue of those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at a date in the future. No purchase price shall apply to an RSU settled in shares. The administrator may permit an RSU holder to defer payment under an RSU to a date or dates after the RSU is earned subject to certain restrictions set forth in our 2017 Plan. The administrator may permit holders of RSUs to receive dividend equivalent payments on outstanding RSUs if and when dividends are paid to stockholders in accordance with the terms of our 2017 Plan.</w:t>
      </w:r>
    </w:p>
    <w:p>
      <w:pPr>
        <w:spacing w:after="0" w:line="159"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may be granted under our 2017 Plan. Stock appreciation rights allow the participant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the appreciation in the fair market value of Class A common stock between the exercise date and the date of grant. Subject to the provisions of our 2017 Plan, the administrator determines the terms of stock appreciation rights, including when such rights become exercisable and whether to pay any increased appreciation in cash or shares. The per share exercise price for the shares to be issued pursuant to the exercise of a stock appreciation right must equal at least the fair market value per share of our Class A common stock on the date of grant. The term of a stock appreciation right may not exceed 10 years from the date the stock appreciation right is signed. The administrator will determine the period of time after a participant’s termination of service during which the participant may exercise his or her stock appreciation right, subject to the same terms and conditions as applicable to options as described above.</w:t>
      </w:r>
    </w:p>
    <w:p>
      <w:pPr>
        <w:spacing w:after="0" w:line="164"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i w:val="1"/>
          <w:iCs w:val="1"/>
          <w:color w:val="auto"/>
        </w:rPr>
        <w:t>Transferability or assignability of awards</w:t>
      </w:r>
      <w:r>
        <w:rPr>
          <w:rFonts w:ascii="Arial" w:cs="Arial" w:eastAsia="Arial" w:hAnsi="Arial"/>
          <w:sz w:val="15"/>
          <w:szCs w:val="15"/>
          <w:color w:val="auto"/>
        </w:rPr>
        <w:t>. Our 2017 Plan generally does not allow for the transfer or assignment of awards, other than by will or</w:t>
      </w:r>
      <w:r>
        <w:rPr>
          <w:rFonts w:ascii="Arial" w:cs="Arial" w:eastAsia="Arial" w:hAnsi="Arial"/>
          <w:sz w:val="15"/>
          <w:szCs w:val="15"/>
          <w:i w:val="1"/>
          <w:iCs w:val="1"/>
          <w:color w:val="auto"/>
        </w:rPr>
        <w:t xml:space="preserve"> </w:t>
      </w:r>
      <w:r>
        <w:rPr>
          <w:rFonts w:ascii="Arial" w:cs="Arial" w:eastAsia="Arial" w:hAnsi="Arial"/>
          <w:sz w:val="15"/>
          <w:szCs w:val="15"/>
          <w:color w:val="auto"/>
        </w:rPr>
        <w:t>by the laws of descent and distribution and, with respect to nonqualified options, by instrument to an inter vivos or testamentary trust in which the options are to be passed to beneficiaries upon the death of the trustor (settlor) or by gift to “family member,” and awards under our 2017 Plan may not be made subject to execution, attachment, or similar process. An award under our 2017 Plan generally is only exercisable by the participant or the participant’s legal representative during the participant’s lifetime.</w:t>
      </w:r>
    </w:p>
    <w:p>
      <w:pPr>
        <w:spacing w:after="0" w:line="159"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i w:val="1"/>
          <w:iCs w:val="1"/>
          <w:color w:val="auto"/>
        </w:rPr>
        <w:t xml:space="preserve">Certain adjustments. </w:t>
      </w:r>
      <w:r>
        <w:rPr>
          <w:rFonts w:ascii="Arial" w:cs="Arial" w:eastAsia="Arial" w:hAnsi="Arial"/>
          <w:sz w:val="15"/>
          <w:szCs w:val="15"/>
          <w:color w:val="auto"/>
        </w:rPr>
        <w:t>In the event of certain changes in our capitalization, the administrator will proportionally adjust the number of shares that</w:t>
      </w:r>
      <w:r>
        <w:rPr>
          <w:rFonts w:ascii="Arial" w:cs="Arial" w:eastAsia="Arial" w:hAnsi="Arial"/>
          <w:sz w:val="15"/>
          <w:szCs w:val="15"/>
          <w:i w:val="1"/>
          <w:iCs w:val="1"/>
          <w:color w:val="auto"/>
        </w:rPr>
        <w:t xml:space="preserve"> </w:t>
      </w:r>
      <w:r>
        <w:rPr>
          <w:rFonts w:ascii="Arial" w:cs="Arial" w:eastAsia="Arial" w:hAnsi="Arial"/>
          <w:sz w:val="15"/>
          <w:szCs w:val="15"/>
          <w:color w:val="auto"/>
        </w:rPr>
        <w:t>may be delivered under our 2017 Plan and/or the number and price of shares covered by each outstanding award subject to any required action by our Board of Directors or stockholders.</w:t>
      </w:r>
    </w:p>
    <w:p>
      <w:pPr>
        <w:spacing w:after="0" w:line="155"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i w:val="1"/>
          <w:iCs w:val="1"/>
          <w:color w:val="auto"/>
        </w:rPr>
        <w:t xml:space="preserve">Dissolution or liquidation. </w:t>
      </w:r>
      <w:r>
        <w:rPr>
          <w:rFonts w:ascii="Arial" w:cs="Arial" w:eastAsia="Arial" w:hAnsi="Arial"/>
          <w:sz w:val="15"/>
          <w:szCs w:val="15"/>
          <w:color w:val="auto"/>
        </w:rPr>
        <w:t>In the event of our proposed liquidation or dissolution, our Board of Directors may terminate any and all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awards followed by the payment of creditors and the distribution of any remaining funds to the our stockholders.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320"/>
          </w:cols>
          <w:pgMar w:left="240" w:top="407" w:right="133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80" w:firstLine="368"/>
        <w:spacing w:after="0" w:line="277" w:lineRule="auto"/>
        <w:rPr>
          <w:sz w:val="20"/>
          <w:szCs w:val="20"/>
          <w:color w:val="auto"/>
        </w:rPr>
      </w:pPr>
      <w:r>
        <w:rPr>
          <w:rFonts w:ascii="Arial" w:cs="Arial" w:eastAsia="Arial" w:hAnsi="Arial"/>
          <w:sz w:val="14"/>
          <w:szCs w:val="14"/>
          <w:i w:val="1"/>
          <w:iCs w:val="1"/>
          <w:color w:val="auto"/>
        </w:rPr>
        <w:t>Acquisition or other combination</w:t>
      </w:r>
      <w:r>
        <w:rPr>
          <w:rFonts w:ascii="Arial" w:cs="Arial" w:eastAsia="Arial" w:hAnsi="Arial"/>
          <w:sz w:val="14"/>
          <w:szCs w:val="14"/>
          <w:color w:val="auto"/>
        </w:rPr>
        <w:t>. If we are subject to an acquisition, consolidation, or merger, or similar conversion event, outstanding awards</w:t>
      </w:r>
      <w:r>
        <w:rPr>
          <w:rFonts w:ascii="Arial" w:cs="Arial" w:eastAsia="Arial" w:hAnsi="Arial"/>
          <w:sz w:val="14"/>
          <w:szCs w:val="14"/>
          <w:i w:val="1"/>
          <w:iCs w:val="1"/>
          <w:color w:val="auto"/>
        </w:rPr>
        <w:t xml:space="preserve"> </w:t>
      </w:r>
      <w:r>
        <w:rPr>
          <w:rFonts w:ascii="Arial" w:cs="Arial" w:eastAsia="Arial" w:hAnsi="Arial"/>
          <w:sz w:val="14"/>
          <w:szCs w:val="14"/>
          <w:color w:val="auto"/>
        </w:rPr>
        <w:t>under our 2017 Plan shall be subject to the agreement evidencing such transaction. The agreement may provide for the continuation, assumption, or substitution of outstanding awards by us (if we are the surviving corporation) or the successor or acquiring entity (if any), or the full or partial exercisability or vesting and accelerated expiration of awards, or the settlement of the full value of outstanding awards in cash, cash equivalents, or securities of the successor or its parent followed by the cancellation of such awards. If an outstanding award is not continued, assumed, or substituted, the award will terminate and cease to be outstanding immediately following the occurrence of the applicable transaction.</w:t>
      </w:r>
    </w:p>
    <w:p>
      <w:pPr>
        <w:spacing w:after="0" w:line="14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Our Board of Directors may terminate or amend our 2017 Plan at any time, provided that such amendment does not</w:t>
      </w:r>
      <w:r>
        <w:rPr>
          <w:rFonts w:ascii="Arial" w:cs="Arial" w:eastAsia="Arial" w:hAnsi="Arial"/>
          <w:sz w:val="15"/>
          <w:szCs w:val="15"/>
          <w:i w:val="1"/>
          <w:iCs w:val="1"/>
          <w:color w:val="auto"/>
        </w:rPr>
        <w:t xml:space="preserve"> </w:t>
      </w:r>
      <w:r>
        <w:rPr>
          <w:rFonts w:ascii="Arial" w:cs="Arial" w:eastAsia="Arial" w:hAnsi="Arial"/>
          <w:sz w:val="15"/>
          <w:szCs w:val="15"/>
          <w:color w:val="auto"/>
        </w:rPr>
        <w:t>impair the rights under outstanding options without the participant’s written consent. As noted above, prior to the adoption of our 2018 Plan in connection with this offering, our 2017 Plan will be terminated and no further awards will be granted thereunder. All outstanding awards will continue to be governed by their existing terms.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2008 Equity Incentive Plan, As Amended</w:t>
      </w:r>
    </w:p>
    <w:p>
      <w:pPr>
        <w:spacing w:after="0" w:line="98" w:lineRule="exact"/>
        <w:rPr>
          <w:sz w:val="20"/>
          <w:szCs w:val="20"/>
          <w:color w:val="auto"/>
        </w:rPr>
      </w:pPr>
    </w:p>
    <w:p>
      <w:pPr>
        <w:ind w:left="1120" w:right="60" w:firstLine="368"/>
        <w:spacing w:after="0" w:line="292" w:lineRule="auto"/>
        <w:rPr>
          <w:sz w:val="20"/>
          <w:szCs w:val="20"/>
          <w:color w:val="auto"/>
        </w:rPr>
      </w:pPr>
      <w:r>
        <w:rPr>
          <w:rFonts w:ascii="Arial" w:cs="Arial" w:eastAsia="Arial" w:hAnsi="Arial"/>
          <w:sz w:val="13"/>
          <w:szCs w:val="13"/>
          <w:color w:val="auto"/>
        </w:rPr>
        <w:t>Our Board of Directors and stockholders adopted our 2008 Plan in January 2008. Our 2008 Plan was most recently amended in November 2016. Our 2008 Plan was terminated in connection with our adoption of our 2017 Plan. As of December 31, 2017, options to purchase 4,959,492 shares of our Class B common stock remained outstanding under our 2008 Plan at a weighted-average exercise price of approximately $10.52 per share and RSUs covering 38,219,737 shares of our Class B common stock remained outstanding under our 2008 Plan. Awards granted under the 2008 Plan generally are subject to terms similar to those described above with respect to options and RSUs granted under the 2017 Plan. Our 2008 Plan provides that if there is</w:t>
      </w:r>
    </w:p>
    <w:p>
      <w:pPr>
        <w:spacing w:after="0" w:line="2" w:lineRule="exact"/>
        <w:rPr>
          <w:sz w:val="20"/>
          <w:szCs w:val="20"/>
          <w:color w:val="auto"/>
        </w:rPr>
      </w:pPr>
    </w:p>
    <w:p>
      <w:pPr>
        <w:ind w:left="1120" w:hanging="8"/>
        <w:spacing w:after="0" w:line="271" w:lineRule="auto"/>
        <w:tabs>
          <w:tab w:leader="none" w:pos="1299" w:val="left"/>
        </w:tabs>
        <w:numPr>
          <w:ilvl w:val="0"/>
          <w:numId w:val="76"/>
        </w:numPr>
        <w:rPr>
          <w:rFonts w:ascii="Arial" w:cs="Arial" w:eastAsia="Arial" w:hAnsi="Arial"/>
          <w:sz w:val="14"/>
          <w:szCs w:val="14"/>
          <w:color w:val="auto"/>
        </w:rPr>
      </w:pPr>
      <w:r>
        <w:rPr>
          <w:rFonts w:ascii="Arial" w:cs="Arial" w:eastAsia="Arial" w:hAnsi="Arial"/>
          <w:sz w:val="14"/>
          <w:szCs w:val="14"/>
          <w:color w:val="auto"/>
        </w:rPr>
        <w:t>a dissolution or liquidation of the Company, (ii) any reorganization, consolidation, merger, or similar transaction or series of related transactions resulting in a significant change in our voting securities as described in our 2008 Plan, or (iii) a sale of all or substantially all of our assets followed by the distribution of the proceeds to our stockholders, any or all outstanding awards may be assumed, converted, replaced, or substituted by the successor or acquiring corporation (if any). If a successor or acquiring corporation refuses to assume, convert, replace, or substitute awards, vesting of awards will accelerate and options will become exercisable in full prior to the consummation of event on such terms as determined by the administrator, and all options that are not exercised prior to the consummation of the transaction and all other awards will terminate. Our 2008 Plan generally does not allow for the transfer or assignment of awards, other than by will or by the laws of descent and distribution and, with respect to nonqualified options, by instrument to an inter vivos or testamentary trust in which the options are to be passed to beneficiaries upon the death of the trustor (settlor) or by gift to “immediate family,” and awards may not be made subject to execution, attachment, or similar process. An award is only exercisable by the participant or the participant’s legal representative during the participant’s lifetime. Our Board of Directors may amend our 2008 Plan at any time, provided that such amendment does not impair the rights under outstanding awards without the participant’s written consent.</w:t>
      </w:r>
    </w:p>
    <w:p>
      <w:pPr>
        <w:spacing w:after="0" w:line="246"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Cash Bonus Plan</w:t>
      </w:r>
    </w:p>
    <w:p>
      <w:pPr>
        <w:spacing w:after="0" w:line="98" w:lineRule="exact"/>
        <w:rPr>
          <w:sz w:val="20"/>
          <w:szCs w:val="20"/>
          <w:color w:val="auto"/>
        </w:rPr>
      </w:pPr>
    </w:p>
    <w:p>
      <w:pPr>
        <w:ind w:left="1120" w:right="700" w:firstLine="368"/>
        <w:spacing w:after="0" w:line="312" w:lineRule="auto"/>
        <w:rPr>
          <w:sz w:val="20"/>
          <w:szCs w:val="20"/>
          <w:color w:val="auto"/>
        </w:rPr>
      </w:pPr>
      <w:r>
        <w:rPr>
          <w:rFonts w:ascii="Arial" w:cs="Arial" w:eastAsia="Arial" w:hAnsi="Arial"/>
          <w:sz w:val="14"/>
          <w:szCs w:val="14"/>
          <w:color w:val="auto"/>
        </w:rPr>
        <w:t>Our Board of Directors has adopted a cash bonus plan, or our Cash Bonus Plan, that allows us to financially incentivize and reward our employees, including our executive officers, based upon our performance and their individual contributions to our success.</w:t>
      </w:r>
    </w:p>
    <w:p>
      <w:pPr>
        <w:spacing w:after="0" w:line="12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Cash Bonus Plan is administered by our Compensation Committee. Our Compensation Committee has the discretionary authority to interpret and administer our Cash Bonus Plan, including all terms defined therein, and to adopt rules and regulations to implement our Cash Bonus Plan, as it deems necessary. Our Compensation Committee has delegated to our Chief Financial Officer and our Vice President of People the day-to-day implementation and interpretation of our Cash Bonus Plan, including the approval of individual payouts under our Cash Bonus Plan to employees other than our executive management team. However, approval of our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320"/>
          </w:cols>
          <w:pgMar w:left="240" w:top="407" w:right="133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75" w:lineRule="auto"/>
        <w:rPr>
          <w:sz w:val="20"/>
          <w:szCs w:val="20"/>
          <w:color w:val="auto"/>
        </w:rPr>
      </w:pPr>
      <w:r>
        <w:rPr>
          <w:rFonts w:ascii="Arial" w:cs="Arial" w:eastAsia="Arial" w:hAnsi="Arial"/>
          <w:sz w:val="15"/>
          <w:szCs w:val="15"/>
          <w:color w:val="auto"/>
        </w:rPr>
        <w:t>Compensation Committee is required for any material amendments to our Cash Bonus Plan, approval of the aggregate payout under our Cash Bonus Plan, and approval of individual payouts under the Plan to the executive management team.</w:t>
      </w:r>
    </w:p>
    <w:p>
      <w:pPr>
        <w:spacing w:after="0" w:line="146"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Unless otherwise determined by our Compensation Committee, all of our employees, including our named executive officers, who (i) are employed by us before November 1 of the applicable calendar year and (ii) not covered by any other performance bonus, commission, or incentive plan, are eligible to participate in our Cash Bonus Plan. Participation in our Cash Bonus Plan is effective on the later of January 1 or the applicable subsequent calendar year or the day (prior to November 1) that the eligible employee commences as a full-time/part-time regular employee of ours.</w:t>
      </w:r>
    </w:p>
    <w:p>
      <w:pPr>
        <w:spacing w:after="0" w:line="143"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Our Cash Bonus Plan features annual performance periods. For each performance period, our Compensation Committee, in its sole discretion, will establish a bonus pool, which may be established before, during or after the applicable performance period. Our Compensation Committee may, in its sole discretion and at any time, increase, reduce, or eliminate the amount allocated to the bonus pool. Actual awards will be paid from the bonus pool subject to the terms and conditions set forth in our Cash Bonus Plan.</w:t>
      </w:r>
    </w:p>
    <w:p>
      <w:pPr>
        <w:spacing w:after="0" w:line="158" w:lineRule="exact"/>
        <w:rPr>
          <w:sz w:val="20"/>
          <w:szCs w:val="20"/>
          <w:color w:val="auto"/>
        </w:rPr>
      </w:pPr>
    </w:p>
    <w:p>
      <w:pPr>
        <w:ind w:left="1120" w:right="120" w:firstLine="368"/>
        <w:spacing w:after="0" w:line="273" w:lineRule="auto"/>
        <w:rPr>
          <w:sz w:val="20"/>
          <w:szCs w:val="20"/>
          <w:color w:val="auto"/>
        </w:rPr>
      </w:pPr>
      <w:r>
        <w:rPr>
          <w:rFonts w:ascii="Arial" w:cs="Arial" w:eastAsia="Arial" w:hAnsi="Arial"/>
          <w:sz w:val="14"/>
          <w:szCs w:val="14"/>
          <w:color w:val="auto"/>
        </w:rPr>
        <w:t>Our Compensation Committee will, in its sole discretion, determine the performance goals applicable to any award. The goals may be based on any such factors our Compensation Committee determines relevant, and may be on an individual, divisional, business unit, or company-wide basis. Performance goals may be measured over the period of time determined by our Compensation Committee in its sole discretion. A performance period may be divided into one or more shorter periods if, for example, but not by way of limitation, our Compensation Committee desires to measure some performance criteria over 12 months and other criteria over fewer months. The performance goals may differ from eligible employee to eligible employee and from award to award. Failure to meet the goals will result in a failure to earn the award, except as provided in our Cash Bonus Plan. As determined by our Compensation Committee, the performance goals may be based on GAAP or non-GAAP results and any actual results may be adjusted by our Compensation Committee for one-time items, unbudgeted or unexpected items, acquisition-related activities, or changes in applicable accounting rules when determining whether the performance goals have been met. Our Compensation Committee retains the sole discretion to make or not make any such equitable adjustments.</w:t>
      </w:r>
    </w:p>
    <w:p>
      <w:pPr>
        <w:spacing w:after="0" w:line="154"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An eligible employee’s bonus target is the percentage of his or her “eligible earnings” to be paid out at 100% performance achievement, determined by his or her position and communicated at the time of hire or as amended in writing. The bonus may be weighted based on individual performance to measurable objectives and company performance. The bonus can provide for payout above target for performance in excess of the individual performance factors and/or company performance factors. “Eligible earnings” means base salary as of December 31 of the applicable performance period, prorated for hire date and leaves of absence (proration based on the number of days in the performance period, as permitted by applicable law) that occur in the performance period. Eligible earnings exclude Company payments that are in addition to base salary, including, but not limited to, overtime, payments for moving or relocation allowances, or other wages (including but not limited to bonuses or commissions).</w:t>
      </w:r>
    </w:p>
    <w:p>
      <w:pPr>
        <w:spacing w:after="0" w:line="148"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Bonuses are earned on the date of payment and not sooner, either in whole or in part. Bonuses will be paid in cash as soon as practicable after we determine our financial results for the performance period, which generally occurs in the fiscal quarter immediately following the end of the performance period. Achieved bonuses, if any, will be paid before March 15 of such succeeding calendar year. Unless otherwise determined by the plan administrator, an eligible employee must be employed by us through the date the bonus is paid.</w:t>
      </w:r>
    </w:p>
    <w:p>
      <w:pPr>
        <w:spacing w:after="0" w:line="15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reserve the right, in our sole discretion, to modify or terminate the Cash Bonus Plan in total or in part, at any time. Any such change must be in writing and approved by the compensation committee. However, no modification or termination shall apply retroactively as to cause a forfeiture of an earned bonus.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320"/>
          </w:cols>
          <w:pgMar w:left="240" w:top="407" w:right="133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401(k) plan</w:t>
      </w:r>
    </w:p>
    <w:p>
      <w:pPr>
        <w:spacing w:after="0" w:line="98" w:lineRule="exact"/>
        <w:rPr>
          <w:sz w:val="20"/>
          <w:szCs w:val="20"/>
          <w:color w:val="auto"/>
        </w:rPr>
      </w:pPr>
    </w:p>
    <w:p>
      <w:pPr>
        <w:ind w:left="1120" w:right="59" w:firstLine="368"/>
        <w:spacing w:after="0" w:line="257" w:lineRule="auto"/>
        <w:rPr>
          <w:sz w:val="20"/>
          <w:szCs w:val="20"/>
          <w:color w:val="auto"/>
        </w:rPr>
      </w:pPr>
      <w:r>
        <w:rPr>
          <w:rFonts w:ascii="Arial" w:cs="Arial" w:eastAsia="Arial" w:hAnsi="Arial"/>
          <w:sz w:val="15"/>
          <w:szCs w:val="15"/>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a portion of contributions made by our employees, including executives. We intend for our 401(k) plan to qualify under Section 401(a) and 501(a) of the Code so that contributions by employees to our 401(k) plan, and income earned on those contributions, are not taxable to employees until withdrawn from our 401(k) plan.</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19"/>
          </w:cols>
          <w:pgMar w:left="240" w:top="408" w:right="1440"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CERTAIN RELATIONSHIPS, RELATED PARTY TRANSACTIONS, AND OTHER TRANSACTIONS</w:t>
      </w:r>
    </w:p>
    <w:p>
      <w:pPr>
        <w:spacing w:after="0" w:line="192"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2015, and each currently proposed transaction in which:</w:t>
      </w:r>
    </w:p>
    <w:p>
      <w:pPr>
        <w:spacing w:after="0" w:line="76" w:lineRule="exact"/>
        <w:rPr>
          <w:sz w:val="20"/>
          <w:szCs w:val="20"/>
          <w:color w:val="auto"/>
        </w:rPr>
      </w:pPr>
    </w:p>
    <w:p>
      <w:pPr>
        <w:ind w:left="1840" w:hanging="276"/>
        <w:spacing w:after="0"/>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amount involved exceeded or exceeds $120,000; and</w:t>
      </w:r>
    </w:p>
    <w:p>
      <w:pPr>
        <w:spacing w:after="0" w:line="109" w:lineRule="exact"/>
        <w:rPr>
          <w:rFonts w:ascii="Arial" w:cs="Arial" w:eastAsia="Arial" w:hAnsi="Arial"/>
          <w:sz w:val="15"/>
          <w:szCs w:val="15"/>
          <w:color w:val="auto"/>
        </w:rPr>
      </w:pPr>
    </w:p>
    <w:p>
      <w:pPr>
        <w:ind w:left="1840" w:right="40" w:hanging="276"/>
        <w:spacing w:after="0" w:line="312" w:lineRule="auto"/>
        <w:tabs>
          <w:tab w:leader="none" w:pos="18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Investors’ Rights Agreement</w:t>
      </w:r>
    </w:p>
    <w:p>
      <w:pPr>
        <w:spacing w:after="0" w:line="102" w:lineRule="exact"/>
        <w:rPr>
          <w:sz w:val="20"/>
          <w:szCs w:val="20"/>
          <w:color w:val="auto"/>
        </w:rPr>
      </w:pPr>
    </w:p>
    <w:p>
      <w:pPr>
        <w:jc w:val="both"/>
        <w:ind w:left="1120" w:right="260" w:firstLine="368"/>
        <w:spacing w:after="0" w:line="283" w:lineRule="auto"/>
        <w:rPr>
          <w:sz w:val="20"/>
          <w:szCs w:val="20"/>
          <w:color w:val="auto"/>
        </w:rPr>
      </w:pPr>
      <w:r>
        <w:rPr>
          <w:rFonts w:ascii="Arial" w:cs="Arial" w:eastAsia="Arial" w:hAnsi="Arial"/>
          <w:sz w:val="14"/>
          <w:szCs w:val="14"/>
          <w:color w:val="auto"/>
        </w:rPr>
        <w:t>We are party to our Amended and Restated Investors’ Rights Agreement, or IRA, dated as of January 30, 2014, which provides, among other things, that certain holders of our capital stock, including entities affiliated with each of Sequoia Capital, Accel, and T. Rowe Price, be covered by a registration statement that we are otherwise filing. R. Bryan Schreier, a member of our Board of Directors, is affiliated with Sequoia Capital. See the section titled “Description of Capital Stock—Registration Rights” for additional information regarding these registration rights.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Right of First Refusal</w:t>
      </w:r>
    </w:p>
    <w:p>
      <w:pPr>
        <w:spacing w:after="0" w:line="102" w:lineRule="exact"/>
        <w:rPr>
          <w:sz w:val="20"/>
          <w:szCs w:val="20"/>
          <w:color w:val="auto"/>
        </w:rPr>
      </w:pPr>
    </w:p>
    <w:p>
      <w:pPr>
        <w:ind w:left="1120" w:right="40" w:firstLine="368"/>
        <w:spacing w:after="0" w:line="290" w:lineRule="auto"/>
        <w:rPr>
          <w:sz w:val="20"/>
          <w:szCs w:val="20"/>
          <w:color w:val="auto"/>
        </w:rPr>
      </w:pPr>
      <w:r>
        <w:rPr>
          <w:rFonts w:ascii="Arial" w:cs="Arial" w:eastAsia="Arial" w:hAnsi="Arial"/>
          <w:sz w:val="14"/>
          <w:szCs w:val="14"/>
          <w:color w:val="auto"/>
        </w:rPr>
        <w:t>Pursuant to certain of our bylaws, equity compensation plans, and certain agreements with our stockholders, including our Amended and Restated Right of First Refusal and Co-Sale Agreement, dated January 30, 2014, we or our assignees have a right to purchase shares of our capital stock which stockholders propose to sell to other parties. This right will terminate immediately prior to the completion of this offering.</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Voting and Drag-Along Agreement</w:t>
      </w:r>
    </w:p>
    <w:p>
      <w:pPr>
        <w:spacing w:after="0" w:line="102"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We are party to our Amended and Restated Voting and Drag-Along Agreement, or Voting Agreement, dated as of April 21, 2016, under which certain holders of our capital stock, including entities affiliated with each of Sequoia Capital, Accel, and T. Rowe Price, have agreed to vote their shares of our capital stock on certain matters, including with respect to the election of directors. R. Bryan Schreier, a member of our Board of Directors, is affiliated with Sequoia Capital. Immediately prior to the completion of this offering, the Voting Agreement will terminate and none of our stockholders will have any special rights regarding the election or designation of members of our Board of Directors.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Commercial Arrangement</w:t>
      </w:r>
    </w:p>
    <w:p>
      <w:pPr>
        <w:spacing w:after="0" w:line="102"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We previously had a commercial relationship with Hewlett-Packard Company, of which Ms. Whitman, a member of our Board of Directors, served as the Chief Executive Officer from September 2011 to November 2015. During 2015, we made payments of $37.3 million for capital leases and commercial products and services provided by the Hewlett-Packard Company.</w:t>
      </w:r>
    </w:p>
    <w:p>
      <w:pPr>
        <w:spacing w:after="0" w:line="155"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also have a commercial relationship with HPE, of which Ms. Whitman served as Chief Executive Officer from November 2015 to January 2018. These commercial relationships include infrastructure equipment under capital leases, the purchase of commercial products and other services, and a multi-year subscription agreement for access to the Dropbox platform. During 2016, we received payments of $1.0 million for services rendered to HPE. During 2015, 2016, and 2017, we made payments of $10.9 million, $79.7 million, and $81.7 million, respectively, for capital leases and commercial products and services provided by HPE.</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300"/>
          </w:cols>
          <w:pgMar w:left="240" w:top="408" w:right="135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Employment Arrangement</w:t>
      </w:r>
    </w:p>
    <w:p>
      <w:pPr>
        <w:spacing w:after="0" w:line="102" w:lineRule="exact"/>
        <w:rPr>
          <w:sz w:val="20"/>
          <w:szCs w:val="20"/>
          <w:color w:val="auto"/>
        </w:rPr>
      </w:pPr>
    </w:p>
    <w:p>
      <w:pPr>
        <w:ind w:left="1120" w:right="100" w:firstLine="368"/>
        <w:spacing w:after="0" w:line="259" w:lineRule="auto"/>
        <w:rPr>
          <w:sz w:val="20"/>
          <w:szCs w:val="20"/>
          <w:color w:val="auto"/>
        </w:rPr>
      </w:pPr>
      <w:r>
        <w:rPr>
          <w:rFonts w:ascii="Arial" w:cs="Arial" w:eastAsia="Arial" w:hAnsi="Arial"/>
          <w:sz w:val="15"/>
          <w:szCs w:val="15"/>
          <w:color w:val="auto"/>
        </w:rPr>
        <w:t>Sheila Vashee, who is the wife of Ajay Vashee, our Chief Financial Officer, was employed by us in a non-executive capacity. Her total compensation received in 2015, 2016, and 2017, which is comprised of a base salary and bonus, as applicable, was $234,228, $249,064, and $349,888, respectively, and was in line with similar roles at the Company. Additionally, we granted Ms. Vashee equity awards covering 46,652 shares of our Class B common stock during this time.</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Dropbox Charitable Foundation</w:t>
      </w:r>
    </w:p>
    <w:p>
      <w:pPr>
        <w:spacing w:after="0" w:line="10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During 2016, two of our controlling stockholders formed the Dropbox Charitable Foundation, a Delaware non-stock corporation, or the Foundation. The primary purpose of the Foundation is to engage in charitable and educational activities within the meaning of Section 501(c)(3) of the Code. The Foundation is governed by a board of directors, a majority of which are independent. Both stockholders made contributions to the Foundation during 2016, comprised entirely of shares of Dropbox common stock. As of December 31, 2016, we had not made any contributions to the Foundation. We have not consolidated the Foundation in the accompanying consolidated financial statements, as we do not have control of the entity.</w:t>
      </w:r>
    </w:p>
    <w:p>
      <w:pPr>
        <w:spacing w:after="0" w:line="133"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During the year ended December 31, 2017, we incurred total expense of $11.3 million, which included $9.4 million of expense for a non-cash charitable contribution, whereby we donated Class B common shares to initially fund the Foundation, and cash contributions of $1.9 million to the Foundation.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and Director Compensation</w:t>
      </w:r>
    </w:p>
    <w:p>
      <w:pPr>
        <w:spacing w:after="0" w:line="102"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We have granted stock options and RSUs to our executive officers and certain of our directors. See the sections titled “Executive Compensation— Outstanding Equity Awards at 2017 Year-End” and “Management—Non-Employee Director Compensation” for a description of these stock options and RSUs.</w:t>
      </w:r>
    </w:p>
    <w:p>
      <w:pPr>
        <w:spacing w:after="0" w:line="155"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Other than as described above under this section titled “Certain Relationships and Related Party Transactions,” since January 1, 2015,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43" w:lineRule="exact"/>
        <w:rPr>
          <w:sz w:val="20"/>
          <w:szCs w:val="20"/>
          <w:color w:val="auto"/>
        </w:rPr>
      </w:pPr>
    </w:p>
    <w:p>
      <w:pPr>
        <w:jc w:val="both"/>
        <w:ind w:left="1120" w:right="60" w:firstLine="368"/>
        <w:spacing w:after="0" w:line="275" w:lineRule="auto"/>
        <w:rPr>
          <w:sz w:val="20"/>
          <w:szCs w:val="20"/>
          <w:color w:val="auto"/>
        </w:rPr>
      </w:pPr>
      <w:r>
        <w:rPr>
          <w:rFonts w:ascii="Arial" w:cs="Arial" w:eastAsia="Arial" w:hAnsi="Arial"/>
          <w:sz w:val="15"/>
          <w:szCs w:val="15"/>
          <w:color w:val="auto"/>
        </w:rPr>
        <w:t>From time to time, we do business with other companies affiliated with certain holders of our capital stock. We believe that all such arrangements have been entered into in the ordinary course of business and have been conducted on an arm’s-length basis.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02" w:lineRule="exact"/>
        <w:rPr>
          <w:sz w:val="20"/>
          <w:szCs w:val="20"/>
          <w:color w:val="auto"/>
        </w:rPr>
      </w:pPr>
    </w:p>
    <w:p>
      <w:pPr>
        <w:jc w:val="both"/>
        <w:ind w:left="1120" w:right="40" w:firstLine="368"/>
        <w:spacing w:after="0" w:line="259"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9" w:lineRule="exact"/>
        <w:rPr>
          <w:sz w:val="20"/>
          <w:szCs w:val="20"/>
          <w:color w:val="auto"/>
        </w:rPr>
      </w:pPr>
    </w:p>
    <w:p>
      <w:pPr>
        <w:ind w:left="1840" w:hanging="276"/>
        <w:spacing w:after="0"/>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109" w:lineRule="exact"/>
        <w:rPr>
          <w:rFonts w:ascii="Arial" w:cs="Arial" w:eastAsia="Arial" w:hAnsi="Arial"/>
          <w:sz w:val="15"/>
          <w:szCs w:val="15"/>
          <w:color w:val="auto"/>
        </w:rPr>
      </w:pPr>
    </w:p>
    <w:p>
      <w:pPr>
        <w:ind w:left="1840" w:right="600" w:hanging="276"/>
        <w:spacing w:after="0" w:line="275" w:lineRule="auto"/>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300"/>
          </w:cols>
          <w:pgMar w:left="240" w:top="408" w:right="135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8" w:lineRule="exact"/>
        <w:rPr>
          <w:sz w:val="20"/>
          <w:szCs w:val="20"/>
          <w:color w:val="auto"/>
        </w:rPr>
      </w:pPr>
    </w:p>
    <w:p>
      <w:pPr>
        <w:ind w:left="1120" w:right="80" w:firstLine="368"/>
        <w:spacing w:after="0" w:line="254"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6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0"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8"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146"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color w:val="auto"/>
        </w:rPr>
        <w:t>The underwriting agreement will provide for indemnification by the underwriters of us and our officers and directors for certain liabilities arising under the Securities Act or otherwise.</w:t>
      </w:r>
    </w:p>
    <w:p>
      <w:pPr>
        <w:spacing w:after="0" w:line="146" w:lineRule="exact"/>
        <w:rPr>
          <w:sz w:val="20"/>
          <w:szCs w:val="20"/>
          <w:color w:val="auto"/>
        </w:rPr>
      </w:pPr>
    </w:p>
    <w:p>
      <w:pPr>
        <w:ind w:left="1120" w:right="560" w:firstLine="368"/>
        <w:spacing w:after="0" w:line="275"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300"/>
          </w:cols>
          <w:pgMar w:left="240" w:top="407" w:right="135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opinion of the SEC, such indemnification is against public policy as expressed in the Securities Act and is therefore unenforceable.</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02"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60"/>
          </w:cols>
          <w:pgMar w:left="240" w:top="407" w:right="139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PRINCIPAL AND SELLING STOCKHOLDERS</w:t>
      </w:r>
    </w:p>
    <w:p>
      <w:pPr>
        <w:spacing w:after="0" w:line="192" w:lineRule="exact"/>
        <w:rPr>
          <w:sz w:val="20"/>
          <w:szCs w:val="20"/>
          <w:color w:val="auto"/>
        </w:rPr>
      </w:pPr>
    </w:p>
    <w:p>
      <w:pPr>
        <w:ind w:left="1120" w:right="320" w:firstLine="368"/>
        <w:spacing w:after="0" w:line="322"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capital stock as of January 31, 2018, and as adjusted to reflect the sale of our common stock offered by us and the selling stockholders in this offering and the concurrent private placement assuming no exercise of the underwriters’ option to purchase additional shares of our common stock from us and the selling stockholders, for:</w:t>
      </w:r>
    </w:p>
    <w:p>
      <w:pPr>
        <w:spacing w:after="0" w:line="41" w:lineRule="exact"/>
        <w:rPr>
          <w:sz w:val="20"/>
          <w:szCs w:val="20"/>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each person known by us to be the beneficial owner of more than 5% of the outstanding shares of each of our Class A common stock and Class B common stock; and</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all selling stockholders.</w:t>
      </w:r>
    </w:p>
    <w:p>
      <w:pPr>
        <w:spacing w:after="0" w:line="188"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have based our calculation of the percentage of beneficial ownership prior to this offering and the concurrent private placement on 26,989,114 shares of our Class A common stock, 348,933,885 shares of our Class B common stock, and no shares of our Class C common Stock outstanding as of January 31, 2018, and reflected:</w:t>
      </w:r>
    </w:p>
    <w:p>
      <w:pPr>
        <w:spacing w:after="0" w:line="76" w:lineRule="exact"/>
        <w:rPr>
          <w:sz w:val="20"/>
          <w:szCs w:val="20"/>
          <w:color w:val="auto"/>
        </w:rPr>
      </w:pPr>
    </w:p>
    <w:p>
      <w:pPr>
        <w:ind w:left="1840" w:right="220" w:hanging="276"/>
        <w:spacing w:after="0" w:line="259" w:lineRule="auto"/>
        <w:tabs>
          <w:tab w:leader="none" w:pos="1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 258,620 shares of preferred stock and 2,609,951 shares of Class B common stock that will convert into Class A common stock immediately prior to the completion of this offering pursuant to the terms of certain transfer agreements, and (ii) 147,310,563 shares of preferred stock that will automatically convert into shares of Class B common stock immediately prior to the completion of this offering pursuant to the terms of our amended and restated certificate of incorporation;</w:t>
      </w:r>
    </w:p>
    <w:p>
      <w:pPr>
        <w:spacing w:after="0" w:line="78" w:lineRule="exact"/>
        <w:rPr>
          <w:rFonts w:ascii="Arial" w:cs="Arial" w:eastAsia="Arial" w:hAnsi="Arial"/>
          <w:sz w:val="15"/>
          <w:szCs w:val="15"/>
          <w:color w:val="auto"/>
        </w:rPr>
      </w:pPr>
    </w:p>
    <w:p>
      <w:pPr>
        <w:ind w:left="1840" w:right="60" w:hanging="276"/>
        <w:spacing w:after="0" w:line="259" w:lineRule="auto"/>
        <w:tabs>
          <w:tab w:leader="none" w:pos="1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16,010,519 shares of our Class B common stock subject to RSUs, for which the service condition was satisfied as of January 31, 2018, and for which we expect the Performance Vesting Condition to be satisfied upon the effectiveness of our registration statement related to this offering (after repurchasing 10,236,235 shares of our Class B common stock subject to RSUs to satisfy tax withholding obligations at an assumed tax rate of 39%); and</w:t>
      </w:r>
    </w:p>
    <w:p>
      <w:pPr>
        <w:spacing w:after="0" w:line="78" w:lineRule="exact"/>
        <w:rPr>
          <w:rFonts w:ascii="Arial" w:cs="Arial" w:eastAsia="Arial" w:hAnsi="Arial"/>
          <w:sz w:val="15"/>
          <w:szCs w:val="15"/>
          <w:color w:val="auto"/>
        </w:rPr>
      </w:pPr>
    </w:p>
    <w:p>
      <w:pPr>
        <w:ind w:left="1840" w:right="140" w:hanging="276"/>
        <w:spacing w:after="0" w:line="275" w:lineRule="auto"/>
        <w:tabs>
          <w:tab w:leader="none" w:pos="1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our Co-Founder Grants, and vest upon the satisfaction of the service condition and achievement of certain stock price goals.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based our calculation of the percentage of beneficial ownership after this offering and the concurrent private placement on</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32,704,762 shares of our Class A common stock issued by us in our initial public offering and the concurrent private placement and 68,871,467 shares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of Class A common stock and 339,756,294 shares of Class B common stock outstanding immediately after the completion of this offering and the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concurrent private placement, assuming that the underwriters will not exercise their option to purchase up to an additional 5,400,000 shares of our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Class A common stock from us in full. We have deemed shares of our common stock subject to stock options that are currently exercisable or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exercisable within 60 days of January 31, 2018, or issuable pursuant to RSUs which are subject to vesting and settlement conditions expected to occur</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within 60 days of January 31, 2018, to be outstanding and to be beneficially owned by the person holding the stock option or RSU for the purpose of</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computing the percentage ownership of that person. We did not deem these shares outstanding, however, for the purpose of computing the percentage</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ownership of any other person.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60"/>
          </w:cols>
          <w:pgMar w:left="240" w:top="408" w:right="139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40" w:firstLine="368"/>
        <w:spacing w:after="0" w:line="275" w:lineRule="auto"/>
        <w:rPr>
          <w:sz w:val="20"/>
          <w:szCs w:val="20"/>
          <w:color w:val="auto"/>
        </w:rPr>
      </w:pPr>
      <w:r>
        <w:rPr>
          <w:rFonts w:ascii="Arial" w:cs="Arial" w:eastAsia="Arial" w:hAnsi="Arial"/>
          <w:sz w:val="15"/>
          <w:szCs w:val="15"/>
          <w:color w:val="auto"/>
        </w:rPr>
        <w:t>Unless otherwise indicated, the address of each beneficial owner listed in the table below is c/o Dropbox, Inc., 333 Brannan Street, San Francisco, California 94107.</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 of total</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6"/>
              </w:rPr>
              <w:t>voting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power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2"/>
              </w:rPr>
              <w:t>after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1"/>
              </w:rPr>
              <w:t>offering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4"/>
              </w:rPr>
              <w:t>and the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gridSpan w:val="8"/>
            <w:vMerge w:val="restart"/>
          </w:tcPr>
          <w:p>
            <w:pPr>
              <w:jc w:val="center"/>
              <w:ind w:right="120"/>
              <w:spacing w:after="0"/>
              <w:rPr>
                <w:sz w:val="20"/>
                <w:szCs w:val="20"/>
                <w:color w:val="auto"/>
              </w:rPr>
            </w:pPr>
            <w:r>
              <w:rPr>
                <w:rFonts w:ascii="Arial" w:cs="Arial" w:eastAsia="Arial" w:hAnsi="Arial"/>
                <w:sz w:val="10"/>
                <w:szCs w:val="10"/>
                <w:b w:val="1"/>
                <w:bCs w:val="1"/>
                <w:color w:val="auto"/>
                <w:w w:val="86"/>
              </w:rPr>
              <w:t>Shares beneficially owned after this</w:t>
            </w: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jc w:val="center"/>
              <w:ind w:right="120"/>
              <w:spacing w:after="0" w:line="113" w:lineRule="exact"/>
              <w:rPr>
                <w:sz w:val="20"/>
                <w:szCs w:val="20"/>
                <w:color w:val="auto"/>
              </w:rPr>
            </w:pPr>
            <w:r>
              <w:rPr>
                <w:rFonts w:ascii="Arial" w:cs="Arial" w:eastAsia="Arial" w:hAnsi="Arial"/>
                <w:sz w:val="10"/>
                <w:szCs w:val="10"/>
                <w:b w:val="1"/>
                <w:bCs w:val="1"/>
                <w:color w:val="auto"/>
                <w:w w:val="87"/>
              </w:rPr>
              <w:t>concurrent</w:t>
            </w:r>
          </w:p>
        </w:tc>
        <w:tc>
          <w:tcPr>
            <w:tcW w:w="1940" w:type="dxa"/>
            <w:vAlign w:val="bottom"/>
            <w:gridSpan w:val="8"/>
            <w:vMerge w:val="restart"/>
          </w:tcPr>
          <w:p>
            <w:pPr>
              <w:jc w:val="center"/>
              <w:ind w:right="140"/>
              <w:spacing w:after="0"/>
              <w:rPr>
                <w:sz w:val="20"/>
                <w:szCs w:val="20"/>
                <w:color w:val="auto"/>
              </w:rPr>
            </w:pPr>
            <w:r>
              <w:rPr>
                <w:rFonts w:ascii="Arial" w:cs="Arial" w:eastAsia="Arial" w:hAnsi="Arial"/>
                <w:sz w:val="10"/>
                <w:szCs w:val="10"/>
                <w:b w:val="1"/>
                <w:bCs w:val="1"/>
                <w:color w:val="auto"/>
                <w:w w:val="86"/>
              </w:rPr>
              <w:t>Shares beneficially owned after this</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93"/>
              </w:rPr>
              <w:t>% of total</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91"/>
              </w:rPr>
              <w:t>private</w:t>
            </w:r>
          </w:p>
        </w:tc>
        <w:tc>
          <w:tcPr>
            <w:tcW w:w="194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7"/>
              </w:rPr>
              <w:t>Shares beneficially owned prior to this</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940" w:type="dxa"/>
            <w:vAlign w:val="bottom"/>
            <w:gridSpan w:val="8"/>
            <w:vMerge w:val="restart"/>
          </w:tcPr>
          <w:p>
            <w:pPr>
              <w:jc w:val="center"/>
              <w:ind w:right="14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6"/>
              </w:rPr>
              <w:t>voting</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93"/>
              </w:rPr>
              <w:t>% of total</w:t>
            </w: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4"/>
              </w:rPr>
              <w:t>placement</w:t>
            </w:r>
          </w:p>
        </w:tc>
        <w:tc>
          <w:tcPr>
            <w:tcW w:w="194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95"/>
              </w:rPr>
              <w:t>% of t</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40"/>
              <w:spacing w:after="0" w:line="113" w:lineRule="exact"/>
              <w:rPr>
                <w:sz w:val="20"/>
                <w:szCs w:val="20"/>
                <w:color w:val="auto"/>
              </w:rPr>
            </w:pPr>
            <w:r>
              <w:rPr>
                <w:rFonts w:ascii="Arial" w:cs="Arial" w:eastAsia="Arial" w:hAnsi="Arial"/>
                <w:sz w:val="10"/>
                <w:szCs w:val="10"/>
                <w:b w:val="1"/>
                <w:bCs w:val="1"/>
                <w:color w:val="auto"/>
                <w:w w:val="84"/>
              </w:rPr>
              <w:t>placement (assuming no exercise of</w:t>
            </w: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0" w:type="dxa"/>
            <w:vAlign w:val="bottom"/>
            <w:gridSpan w:val="6"/>
            <w:vMerge w:val="restart"/>
          </w:tcPr>
          <w:p>
            <w:pPr>
              <w:jc w:val="center"/>
              <w:ind w:left="168"/>
              <w:spacing w:after="0" w:line="113" w:lineRule="exact"/>
              <w:rPr>
                <w:sz w:val="20"/>
                <w:szCs w:val="20"/>
                <w:color w:val="auto"/>
              </w:rPr>
            </w:pPr>
            <w:r>
              <w:rPr>
                <w:rFonts w:ascii="Arial" w:cs="Arial" w:eastAsia="Arial" w:hAnsi="Arial"/>
                <w:sz w:val="10"/>
                <w:szCs w:val="10"/>
                <w:b w:val="1"/>
                <w:bCs w:val="1"/>
                <w:color w:val="auto"/>
                <w:w w:val="85"/>
              </w:rPr>
              <w:t>placement (assuming exercise of</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8"/>
              </w:rPr>
              <w:t>power</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660" w:type="dxa"/>
            <w:vAlign w:val="bottom"/>
            <w:gridSpan w:val="3"/>
            <w:vMerge w:val="restart"/>
          </w:tcPr>
          <w:p>
            <w:pPr>
              <w:jc w:val="center"/>
              <w:ind w:right="80"/>
              <w:spacing w:after="0" w:line="113" w:lineRule="exact"/>
              <w:rPr>
                <w:sz w:val="20"/>
                <w:szCs w:val="20"/>
                <w:color w:val="auto"/>
              </w:rPr>
            </w:pPr>
            <w:r>
              <w:rPr>
                <w:rFonts w:ascii="Arial" w:cs="Arial" w:eastAsia="Arial" w:hAnsi="Arial"/>
                <w:sz w:val="10"/>
                <w:szCs w:val="10"/>
                <w:b w:val="1"/>
                <w:bCs w:val="1"/>
                <w:color w:val="auto"/>
                <w:w w:val="87"/>
              </w:rPr>
              <w:t>outstanding</w:t>
            </w: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3"/>
              </w:rPr>
              <w:t>(assuming</w:t>
            </w:r>
          </w:p>
        </w:tc>
        <w:tc>
          <w:tcPr>
            <w:tcW w:w="1600" w:type="dxa"/>
            <w:vAlign w:val="bottom"/>
            <w:gridSpan w:val="6"/>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gridSpan w:val="2"/>
            <w:vMerge w:val="restart"/>
          </w:tcPr>
          <w:p>
            <w:pPr>
              <w:ind w:left="40"/>
              <w:spacing w:after="0" w:line="113" w:lineRule="exact"/>
              <w:rPr>
                <w:sz w:val="20"/>
                <w:szCs w:val="20"/>
                <w:color w:val="auto"/>
              </w:rPr>
            </w:pPr>
            <w:r>
              <w:rPr>
                <w:rFonts w:ascii="Arial" w:cs="Arial" w:eastAsia="Arial" w:hAnsi="Arial"/>
                <w:sz w:val="10"/>
                <w:szCs w:val="10"/>
                <w:b w:val="1"/>
                <w:bCs w:val="1"/>
                <w:color w:val="auto"/>
                <w:w w:val="71"/>
              </w:rPr>
              <w:t>outstan</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restart"/>
          </w:tcPr>
          <w:p>
            <w:pPr>
              <w:jc w:val="center"/>
              <w:ind w:right="360"/>
              <w:spacing w:after="0"/>
              <w:rPr>
                <w:sz w:val="20"/>
                <w:szCs w:val="20"/>
                <w:color w:val="auto"/>
              </w:rPr>
            </w:pPr>
            <w:r>
              <w:rPr>
                <w:rFonts w:ascii="Arial" w:cs="Arial" w:eastAsia="Arial" w:hAnsi="Arial"/>
                <w:sz w:val="10"/>
                <w:szCs w:val="10"/>
                <w:b w:val="1"/>
                <w:bCs w:val="1"/>
                <w:color w:val="auto"/>
                <w:w w:val="84"/>
              </w:rPr>
              <w:t>placement</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40"/>
              <w:spacing w:after="0"/>
              <w:rPr>
                <w:sz w:val="20"/>
                <w:szCs w:val="20"/>
                <w:color w:val="auto"/>
              </w:rPr>
            </w:pPr>
            <w:r>
              <w:rPr>
                <w:rFonts w:ascii="Arial" w:cs="Arial" w:eastAsia="Arial" w:hAnsi="Arial"/>
                <w:sz w:val="10"/>
                <w:szCs w:val="10"/>
                <w:b w:val="1"/>
                <w:bCs w:val="1"/>
                <w:color w:val="auto"/>
                <w:w w:val="86"/>
              </w:rPr>
              <w:t>option to purchase additional shares)</w:t>
            </w:r>
          </w:p>
        </w:tc>
        <w:tc>
          <w:tcPr>
            <w:tcW w:w="6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940" w:type="dxa"/>
            <w:vAlign w:val="bottom"/>
            <w:gridSpan w:val="8"/>
            <w:vMerge w:val="restart"/>
          </w:tcPr>
          <w:p>
            <w:pPr>
              <w:jc w:val="center"/>
              <w:ind w:right="120"/>
              <w:spacing w:after="0"/>
              <w:rPr>
                <w:sz w:val="20"/>
                <w:szCs w:val="20"/>
                <w:color w:val="auto"/>
              </w:rPr>
            </w:pPr>
            <w:r>
              <w:rPr>
                <w:rFonts w:ascii="Arial" w:cs="Arial" w:eastAsia="Arial" w:hAnsi="Arial"/>
                <w:sz w:val="10"/>
                <w:szCs w:val="10"/>
                <w:b w:val="1"/>
                <w:bCs w:val="1"/>
                <w:color w:val="auto"/>
                <w:w w:val="86"/>
              </w:rPr>
              <w:t>option to purchase additional shares)</w:t>
            </w:r>
          </w:p>
        </w:tc>
        <w:tc>
          <w:tcPr>
            <w:tcW w:w="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4"/>
              </w:rPr>
              <w:t>before</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(assuming</w:t>
            </w:r>
          </w:p>
        </w:tc>
        <w:tc>
          <w:tcPr>
            <w:tcW w:w="660" w:type="dxa"/>
            <w:vAlign w:val="bottom"/>
            <w:gridSpan w:val="3"/>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no exercise</w:t>
            </w:r>
          </w:p>
        </w:tc>
        <w:tc>
          <w:tcPr>
            <w:tcW w:w="194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74"/>
              </w:rPr>
              <w:t>(assum</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5"/>
              </w:rPr>
              <w:t>offering</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no exercise</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of option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2"/>
              </w:rPr>
              <w:t>exerci</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9"/>
              </w:rPr>
              <w:t>and the</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of option to</w:t>
            </w: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4"/>
              </w:rPr>
              <w:t>to</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1"/>
              </w:rPr>
              <w:t>optio</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7"/>
              </w:rPr>
              <w:t>concurrent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5"/>
              </w:rPr>
              <w:t>purchase</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5"/>
              </w:rPr>
              <w:t>purchase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6"/>
              </w:rPr>
              <w:t>purch</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Class A</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right"/>
              <w:ind w:right="160"/>
              <w:spacing w:after="0" w:line="113" w:lineRule="exact"/>
              <w:rPr>
                <w:sz w:val="20"/>
                <w:szCs w:val="20"/>
                <w:color w:val="auto"/>
              </w:rPr>
            </w:pPr>
            <w:r>
              <w:rPr>
                <w:rFonts w:ascii="Arial" w:cs="Arial" w:eastAsia="Arial" w:hAnsi="Arial"/>
                <w:sz w:val="10"/>
                <w:szCs w:val="10"/>
                <w:b w:val="1"/>
                <w:bCs w:val="1"/>
                <w:color w:val="auto"/>
                <w:w w:val="97"/>
              </w:rPr>
              <w:t>% of total</w:t>
            </w: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1"/>
              </w:rPr>
              <w:t>private</w:t>
            </w:r>
          </w:p>
        </w:tc>
        <w:tc>
          <w:tcPr>
            <w:tcW w:w="5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w w:val="98"/>
              </w:rPr>
              <w:t># of shares</w:t>
            </w:r>
          </w:p>
        </w:tc>
        <w:tc>
          <w:tcPr>
            <w:tcW w:w="56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Class A</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8"/>
              </w:rPr>
              <w:t>additional</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additional</w:t>
            </w:r>
          </w:p>
        </w:tc>
        <w:tc>
          <w:tcPr>
            <w:tcW w:w="5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Class A</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9"/>
              </w:rPr>
              <w:t>additi</w:t>
            </w:r>
          </w:p>
        </w:tc>
        <w:tc>
          <w:tcPr>
            <w:tcW w:w="0" w:type="dxa"/>
            <w:vAlign w:val="bottom"/>
          </w:tcPr>
          <w:p>
            <w:pPr>
              <w:spacing w:after="0"/>
              <w:rPr>
                <w:sz w:val="1"/>
                <w:szCs w:val="1"/>
                <w:color w:val="auto"/>
              </w:rPr>
            </w:pPr>
          </w:p>
        </w:tc>
      </w:tr>
      <w:tr>
        <w:trPr>
          <w:trHeight w:val="122"/>
        </w:trPr>
        <w:tc>
          <w:tcPr>
            <w:tcW w:w="1100" w:type="dxa"/>
            <w:vAlign w:val="bottom"/>
            <w:gridSpan w:val="2"/>
          </w:tcPr>
          <w:p>
            <w:pPr>
              <w:spacing w:after="0"/>
              <w:rPr>
                <w:sz w:val="20"/>
                <w:szCs w:val="20"/>
                <w:color w:val="auto"/>
              </w:rPr>
            </w:pPr>
            <w:r>
              <w:rPr>
                <w:rFonts w:ascii="Arial" w:cs="Arial" w:eastAsia="Arial" w:hAnsi="Arial"/>
                <w:sz w:val="10"/>
                <w:szCs w:val="10"/>
                <w:b w:val="1"/>
                <w:bCs w:val="1"/>
                <w:color w:val="auto"/>
                <w:w w:val="89"/>
              </w:rPr>
              <w:t>Name of beneficial owner</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0"/>
              </w:rPr>
              <w:t>outstanding</w:t>
            </w:r>
          </w:p>
        </w:tc>
        <w:tc>
          <w:tcPr>
            <w:tcW w:w="6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7"/>
              </w:rPr>
              <w:t>placement#</w:t>
            </w: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w w:val="99"/>
              </w:rPr>
              <w:t>being sold</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shares)</w:t>
            </w:r>
          </w:p>
        </w:tc>
        <w:tc>
          <w:tcPr>
            <w:tcW w:w="4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shares)#</w:t>
            </w:r>
          </w:p>
        </w:tc>
        <w:tc>
          <w:tcPr>
            <w:tcW w:w="58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ind w:left="80"/>
              <w:spacing w:after="0"/>
              <w:rPr>
                <w:sz w:val="20"/>
                <w:szCs w:val="20"/>
                <w:color w:val="auto"/>
              </w:rPr>
            </w:pPr>
            <w:r>
              <w:rPr>
                <w:rFonts w:ascii="Arial" w:cs="Arial" w:eastAsia="Arial" w:hAnsi="Arial"/>
                <w:sz w:val="10"/>
                <w:szCs w:val="10"/>
                <w:b w:val="1"/>
                <w:bCs w:val="1"/>
                <w:color w:val="auto"/>
                <w:w w:val="84"/>
              </w:rPr>
              <w:t>shar</w:t>
            </w:r>
          </w:p>
        </w:tc>
        <w:tc>
          <w:tcPr>
            <w:tcW w:w="0" w:type="dxa"/>
            <w:vAlign w:val="bottom"/>
          </w:tcPr>
          <w:p>
            <w:pPr>
              <w:spacing w:after="0"/>
              <w:rPr>
                <w:sz w:val="1"/>
                <w:szCs w:val="1"/>
                <w:color w:val="auto"/>
              </w:rPr>
            </w:pPr>
          </w:p>
        </w:tc>
      </w:tr>
      <w:tr>
        <w:trPr>
          <w:trHeight w:val="75"/>
        </w:trPr>
        <w:tc>
          <w:tcPr>
            <w:tcW w:w="1040" w:type="dxa"/>
            <w:vAlign w:val="bottom"/>
            <w:tcBorders>
              <w:top w:val="single" w:sz="8" w:color="auto"/>
            </w:tcBorders>
            <w:shd w:val="clear" w:color="auto" w:fill="CCEEFF"/>
          </w:tcPr>
          <w:p>
            <w:pPr>
              <w:spacing w:after="0" w:line="75" w:lineRule="exact"/>
              <w:rPr>
                <w:sz w:val="20"/>
                <w:szCs w:val="20"/>
                <w:color w:val="auto"/>
              </w:rPr>
            </w:pPr>
            <w:r>
              <w:rPr>
                <w:rFonts w:ascii="Arial" w:cs="Arial" w:eastAsia="Arial" w:hAnsi="Arial"/>
                <w:sz w:val="8"/>
                <w:szCs w:val="8"/>
                <w:b w:val="1"/>
                <w:bCs w:val="1"/>
                <w:color w:val="auto"/>
              </w:rPr>
              <w:t>Named executive</w:t>
            </w: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b w:val="1"/>
                <w:bCs w:val="1"/>
                <w:color w:val="auto"/>
              </w:rPr>
              <w:t>officers and</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1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directors: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Andrew W. Houston</w:t>
            </w:r>
            <w:r>
              <w:rPr>
                <w:rFonts w:ascii="Arial" w:cs="Arial" w:eastAsia="Arial" w:hAnsi="Arial"/>
                <w:sz w:val="8"/>
                <w:szCs w:val="8"/>
                <w:color w:val="auto"/>
              </w:rPr>
              <w:t>(1)</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96"/>
              </w:rPr>
              <w:t>38.3%</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4"/>
              </w:rPr>
              <w:t>84,763,454</w:t>
            </w:r>
          </w:p>
        </w:tc>
        <w:tc>
          <w:tcPr>
            <w:tcW w:w="6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w w:val="89"/>
              </w:rPr>
              <w:t>24.3%</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25.3%</w:t>
            </w:r>
          </w:p>
        </w:tc>
        <w:tc>
          <w:tcPr>
            <w:tcW w:w="68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24.4%</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auto"/>
                <w:w w:val="89"/>
              </w:rPr>
              <w:t>2,333,333</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96"/>
              </w:rPr>
              <w:t>15.0%</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82,430,121</w:t>
            </w:r>
          </w:p>
        </w:tc>
        <w:tc>
          <w:tcPr>
            <w:tcW w:w="60" w:type="dxa"/>
            <w:vAlign w:val="bottom"/>
          </w:tcPr>
          <w:p>
            <w:pPr>
              <w:spacing w:after="0"/>
              <w:rPr>
                <w:sz w:val="10"/>
                <w:szCs w:val="10"/>
                <w:color w:val="auto"/>
              </w:rPr>
            </w:pP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w w:val="96"/>
              </w:rPr>
              <w:t>24.3%</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22.7%</w:t>
            </w:r>
          </w:p>
        </w:tc>
        <w:tc>
          <w:tcPr>
            <w:tcW w:w="66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24.1%</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89"/>
              </w:rPr>
              <w:t>13.9%</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82,430,121</w:t>
            </w:r>
          </w:p>
        </w:tc>
        <w:tc>
          <w:tcPr>
            <w:tcW w:w="8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w w:val="89"/>
              </w:rPr>
              <w:t>24.3%</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Arash Ferdowsi</w:t>
            </w:r>
            <w:r>
              <w:rPr>
                <w:rFonts w:ascii="Arial" w:cs="Arial" w:eastAsia="Arial" w:hAnsi="Arial"/>
                <w:sz w:val="8"/>
                <w:szCs w:val="8"/>
                <w:color w:val="auto"/>
              </w:rPr>
              <w:t>(2)</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16.3%</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34,270,718</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9.8%</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10.3%</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9.9%</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9"/>
              </w:rPr>
              <w:t>2,333,333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6.4%</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31,937,385</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9.4%</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8.9%</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9.3%</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5.9%</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31,937,385</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9.4%</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Quentin J. Clark</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Donald W. Blair</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Paul E. Jacobs</w:t>
            </w:r>
            <w:r>
              <w:rPr>
                <w:rFonts w:ascii="Arial" w:cs="Arial" w:eastAsia="Arial" w:hAnsi="Arial"/>
                <w:sz w:val="8"/>
                <w:szCs w:val="8"/>
                <w:color w:val="auto"/>
              </w:rPr>
              <w:t>(3)</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215,643</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215,643</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215,643</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Robert J. Mylod, Jr.</w:t>
            </w:r>
            <w:r>
              <w:rPr>
                <w:rFonts w:ascii="Arial" w:cs="Arial" w:eastAsia="Arial" w:hAnsi="Arial"/>
                <w:sz w:val="8"/>
                <w:szCs w:val="8"/>
                <w:color w:val="auto"/>
              </w:rPr>
              <w:t>(4)</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14,904</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14,904</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14,904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Condoleezza Rice</w:t>
            </w:r>
            <w:r>
              <w:rPr>
                <w:rFonts w:ascii="Arial" w:cs="Arial" w:eastAsia="Arial" w:hAnsi="Arial"/>
                <w:sz w:val="8"/>
                <w:szCs w:val="8"/>
                <w:color w:val="auto"/>
              </w:rPr>
              <w:t>(5)</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14,904</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14,904</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14,904</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R. Bryan Schreier</w:t>
            </w:r>
            <w:r>
              <w:rPr>
                <w:rFonts w:ascii="Arial" w:cs="Arial" w:eastAsia="Arial" w:hAnsi="Arial"/>
                <w:sz w:val="8"/>
                <w:szCs w:val="8"/>
                <w:color w:val="auto"/>
              </w:rPr>
              <w:t>(6)</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w w:val="94"/>
              </w:rPr>
              <w:t>Margaret C. Whitman</w:t>
            </w:r>
            <w:r>
              <w:rPr>
                <w:rFonts w:ascii="Arial" w:cs="Arial" w:eastAsia="Arial" w:hAnsi="Arial"/>
                <w:sz w:val="8"/>
                <w:szCs w:val="8"/>
                <w:color w:val="auto"/>
                <w:w w:val="94"/>
              </w:rPr>
              <w:t>(7)</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All executive officers</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color w:val="auto"/>
              </w:rPr>
              <w:t>and directors as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w w:val="95"/>
              </w:rPr>
              <w:t>group (12 persons)</w:t>
            </w:r>
            <w:r>
              <w:rPr>
                <w:rFonts w:ascii="Arial" w:cs="Arial" w:eastAsia="Arial" w:hAnsi="Arial"/>
                <w:sz w:val="8"/>
                <w:szCs w:val="8"/>
                <w:color w:val="auto"/>
                <w:w w:val="95"/>
              </w:rPr>
              <w:t>(8)</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55.1%</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4"/>
              </w:rPr>
              <w:t>122,581,440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35.1%</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36.6%</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35.3%</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9"/>
              </w:rPr>
              <w:t>4,666,666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21.6%</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8"/>
              </w:rPr>
              <w:t>117,914,774</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34.7%</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32.5%</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34.4%</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89"/>
              </w:rPr>
              <w:t>20.0%</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8"/>
              </w:rPr>
              <w:t>117,914,774</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34.7%</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Greater than 5%</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stockholders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Sequoia Capital</w:t>
            </w:r>
            <w:r>
              <w:rPr>
                <w:rFonts w:ascii="Arial" w:cs="Arial" w:eastAsia="Arial" w:hAnsi="Arial"/>
                <w:sz w:val="8"/>
                <w:szCs w:val="8"/>
                <w:color w:val="auto"/>
              </w:rPr>
              <w:t>(9)</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87,171,450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25.0%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23.2%</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24.8%</w:t>
            </w: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87,171,450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25.7%</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21.3%</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25.1%</w:t>
            </w: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87,171,450</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25.7%</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Accel</w:t>
            </w:r>
            <w:r>
              <w:rPr>
                <w:rFonts w:ascii="Arial" w:cs="Arial" w:eastAsia="Arial" w:hAnsi="Arial"/>
                <w:sz w:val="8"/>
                <w:szCs w:val="8"/>
                <w:color w:val="auto"/>
              </w:rPr>
              <w:t>(10)</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4"/>
              </w:rPr>
              <w:t>18,752,565</w:t>
            </w:r>
          </w:p>
        </w:tc>
        <w:tc>
          <w:tcPr>
            <w:tcW w:w="6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5.4%</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5.0%</w:t>
            </w:r>
          </w:p>
        </w:tc>
        <w:tc>
          <w:tcPr>
            <w:tcW w:w="68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5.3%</w:t>
            </w: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18,752,565</w:t>
            </w:r>
          </w:p>
        </w:tc>
        <w:tc>
          <w:tcPr>
            <w:tcW w:w="60" w:type="dxa"/>
            <w:vAlign w:val="bottom"/>
          </w:tcPr>
          <w:p>
            <w:pPr>
              <w:spacing w:after="0"/>
              <w:rPr>
                <w:sz w:val="10"/>
                <w:szCs w:val="10"/>
                <w:color w:val="auto"/>
              </w:rPr>
            </w:pP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5.5%</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4.6%</w:t>
            </w:r>
          </w:p>
        </w:tc>
        <w:tc>
          <w:tcPr>
            <w:tcW w:w="66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5.4%</w:t>
            </w: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18,752,565</w:t>
            </w:r>
          </w:p>
        </w:tc>
        <w:tc>
          <w:tcPr>
            <w:tcW w:w="8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5.5%</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Entities advised by</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T. Rowe Price</w:t>
            </w:r>
            <w:r>
              <w:rPr>
                <w:rFonts w:ascii="Arial" w:cs="Arial" w:eastAsia="Arial" w:hAnsi="Arial"/>
                <w:sz w:val="8"/>
                <w:szCs w:val="8"/>
                <w:color w:val="auto"/>
              </w:rPr>
              <w:t>(11)</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22.2%</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3.5%</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2.2%</w:t>
            </w: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8.7%</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2.1%</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3.2%</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2.2%</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8.1%</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ind w:left="100"/>
              <w:spacing w:after="0" w:line="113" w:lineRule="exact"/>
              <w:rPr>
                <w:sz w:val="20"/>
                <w:szCs w:val="20"/>
                <w:color w:val="auto"/>
              </w:rPr>
            </w:pPr>
            <w:r>
              <w:rPr>
                <w:rFonts w:ascii="Arial" w:cs="Arial" w:eastAsia="Arial" w:hAnsi="Arial"/>
                <w:sz w:val="11"/>
                <w:szCs w:val="11"/>
                <w:color w:val="auto"/>
              </w:rPr>
              <w:t>Green Bay Advisors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ind w:left="100"/>
              <w:spacing w:after="0" w:line="113" w:lineRule="exact"/>
              <w:rPr>
                <w:sz w:val="20"/>
                <w:szCs w:val="20"/>
                <w:color w:val="auto"/>
              </w:rPr>
            </w:pPr>
            <w:r>
              <w:rPr>
                <w:rFonts w:ascii="Arial" w:cs="Arial" w:eastAsia="Arial" w:hAnsi="Arial"/>
                <w:sz w:val="11"/>
                <w:szCs w:val="11"/>
                <w:color w:val="auto"/>
              </w:rPr>
              <w:t>or Green Bay</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color w:val="auto"/>
                <w:w w:val="95"/>
              </w:rPr>
              <w:t>Generations Fund</w:t>
            </w:r>
            <w:r>
              <w:rPr>
                <w:rFonts w:ascii="Arial" w:cs="Arial" w:eastAsia="Arial" w:hAnsi="Arial"/>
                <w:sz w:val="8"/>
                <w:szCs w:val="8"/>
                <w:color w:val="auto"/>
                <w:w w:val="95"/>
              </w:rPr>
              <w:t>(12)</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8.2%</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3.2%</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3.0%</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b w:val="1"/>
                <w:bCs w:val="1"/>
                <w:color w:val="auto"/>
                <w:w w:val="97"/>
              </w:rPr>
              <w:t>Selling stockholders: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spacing w:after="0" w:line="113" w:lineRule="exact"/>
              <w:rPr>
                <w:sz w:val="20"/>
                <w:szCs w:val="20"/>
                <w:color w:val="auto"/>
              </w:rPr>
            </w:pPr>
            <w:r>
              <w:rPr>
                <w:rFonts w:ascii="Arial" w:cs="Arial" w:eastAsia="Arial" w:hAnsi="Arial"/>
                <w:sz w:val="11"/>
                <w:szCs w:val="11"/>
                <w:color w:val="auto"/>
              </w:rPr>
              <w:t>Hadi Partovi</w:t>
            </w:r>
            <w:r>
              <w:rPr>
                <w:rFonts w:ascii="Arial" w:cs="Arial" w:eastAsia="Arial" w:hAnsi="Arial"/>
                <w:sz w:val="8"/>
                <w:szCs w:val="8"/>
                <w:color w:val="auto"/>
              </w:rPr>
              <w:t>(13)</w:t>
            </w: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3,520,333</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1.0%</w:t>
            </w:r>
          </w:p>
        </w:tc>
        <w:tc>
          <w:tcPr>
            <w:tcW w:w="54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1.0%</w:t>
            </w:r>
          </w:p>
        </w:tc>
        <w:tc>
          <w:tcPr>
            <w:tcW w:w="460" w:type="dxa"/>
            <w:vAlign w:val="bottom"/>
          </w:tcPr>
          <w:p>
            <w:pPr>
              <w:jc w:val="right"/>
              <w:spacing w:after="0" w:line="113" w:lineRule="exact"/>
              <w:rPr>
                <w:sz w:val="20"/>
                <w:szCs w:val="20"/>
                <w:color w:val="auto"/>
              </w:rPr>
            </w:pPr>
            <w:r>
              <w:rPr>
                <w:rFonts w:ascii="Arial" w:cs="Arial" w:eastAsia="Arial" w:hAnsi="Arial"/>
                <w:sz w:val="11"/>
                <w:szCs w:val="11"/>
                <w:color w:val="auto"/>
                <w:w w:val="89"/>
              </w:rPr>
              <w:t>3,520,333</w:t>
            </w:r>
          </w:p>
        </w:tc>
        <w:tc>
          <w:tcPr>
            <w:tcW w:w="80" w:type="dxa"/>
            <w:vAlign w:val="bottom"/>
          </w:tcPr>
          <w:p>
            <w:pPr>
              <w:spacing w:after="0"/>
              <w:rPr>
                <w:sz w:val="9"/>
                <w:szCs w:val="9"/>
                <w:color w:val="auto"/>
              </w:rPr>
            </w:pP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20" w:type="dxa"/>
            <w:vAlign w:val="bottom"/>
            <w:gridSpan w:val="2"/>
          </w:tcPr>
          <w:p>
            <w:pPr>
              <w:ind w:left="40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4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8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40" w:type="dxa"/>
            <w:vAlign w:val="bottom"/>
            <w:gridSpan w:val="2"/>
          </w:tcPr>
          <w:p>
            <w:pPr>
              <w:ind w:left="40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Sujay Jaswa</w:t>
            </w:r>
          </w:p>
        </w:tc>
        <w:tc>
          <w:tcPr>
            <w:tcW w:w="56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2,148,289</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433,333</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1,714,956</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1,714,956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spacing w:after="0" w:line="113" w:lineRule="exact"/>
              <w:rPr>
                <w:sz w:val="20"/>
                <w:szCs w:val="20"/>
                <w:color w:val="auto"/>
              </w:rPr>
            </w:pPr>
            <w:r>
              <w:rPr>
                <w:rFonts w:ascii="Arial" w:cs="Arial" w:eastAsia="Arial" w:hAnsi="Arial"/>
                <w:sz w:val="11"/>
                <w:szCs w:val="11"/>
                <w:color w:val="auto"/>
              </w:rPr>
              <w:t>Aditya Agarwal</w:t>
            </w:r>
            <w:r>
              <w:rPr>
                <w:rFonts w:ascii="Arial" w:cs="Arial" w:eastAsia="Arial" w:hAnsi="Arial"/>
                <w:sz w:val="8"/>
                <w:szCs w:val="8"/>
                <w:color w:val="auto"/>
              </w:rPr>
              <w:t>(14)</w:t>
            </w: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5,900,842</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1.7%</w:t>
            </w: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1.6%</w:t>
            </w:r>
          </w:p>
        </w:tc>
        <w:tc>
          <w:tcPr>
            <w:tcW w:w="68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1.7%</w:t>
            </w:r>
          </w:p>
        </w:tc>
        <w:tc>
          <w:tcPr>
            <w:tcW w:w="460" w:type="dxa"/>
            <w:vAlign w:val="bottom"/>
          </w:tcPr>
          <w:p>
            <w:pPr>
              <w:jc w:val="right"/>
              <w:spacing w:after="0" w:line="113" w:lineRule="exact"/>
              <w:rPr>
                <w:sz w:val="20"/>
                <w:szCs w:val="20"/>
                <w:color w:val="auto"/>
              </w:rPr>
            </w:pPr>
            <w:r>
              <w:rPr>
                <w:rFonts w:ascii="Arial" w:cs="Arial" w:eastAsia="Arial" w:hAnsi="Arial"/>
                <w:sz w:val="11"/>
                <w:szCs w:val="11"/>
                <w:color w:val="auto"/>
              </w:rPr>
              <w:t>275,740</w:t>
            </w:r>
          </w:p>
        </w:tc>
        <w:tc>
          <w:tcPr>
            <w:tcW w:w="80" w:type="dxa"/>
            <w:vAlign w:val="bottom"/>
          </w:tcPr>
          <w:p>
            <w:pPr>
              <w:spacing w:after="0"/>
              <w:rPr>
                <w:sz w:val="9"/>
                <w:szCs w:val="9"/>
                <w:color w:val="auto"/>
              </w:rPr>
            </w:pP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5,625,102</w:t>
            </w:r>
          </w:p>
        </w:tc>
        <w:tc>
          <w:tcPr>
            <w:tcW w:w="60" w:type="dxa"/>
            <w:vAlign w:val="bottom"/>
          </w:tcPr>
          <w:p>
            <w:pPr>
              <w:spacing w:after="0"/>
              <w:rPr>
                <w:sz w:val="9"/>
                <w:szCs w:val="9"/>
                <w:color w:val="auto"/>
              </w:rPr>
            </w:pPr>
          </w:p>
        </w:tc>
        <w:tc>
          <w:tcPr>
            <w:tcW w:w="34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1.7%</w:t>
            </w: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1.4%</w:t>
            </w:r>
          </w:p>
        </w:tc>
        <w:tc>
          <w:tcPr>
            <w:tcW w:w="66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1.6%</w:t>
            </w:r>
          </w:p>
        </w:tc>
        <w:tc>
          <w:tcPr>
            <w:tcW w:w="58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5,625,102</w:t>
            </w:r>
          </w:p>
        </w:tc>
        <w:tc>
          <w:tcPr>
            <w:tcW w:w="8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1.7%</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J. Rothschild</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color w:val="auto"/>
              </w:rPr>
              <w:t>Investments 1</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Limited</w:t>
            </w:r>
            <w:r>
              <w:rPr>
                <w:rFonts w:ascii="Arial" w:cs="Arial" w:eastAsia="Arial" w:hAnsi="Arial"/>
                <w:sz w:val="8"/>
                <w:szCs w:val="8"/>
                <w:color w:val="auto"/>
              </w:rPr>
              <w:t>(15)</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2,573,920</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40,519</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2,533,401</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2,533,401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100" w:type="dxa"/>
            <w:vAlign w:val="bottom"/>
            <w:gridSpan w:val="2"/>
          </w:tcPr>
          <w:p>
            <w:pPr>
              <w:spacing w:after="0"/>
              <w:rPr>
                <w:sz w:val="20"/>
                <w:szCs w:val="20"/>
                <w:color w:val="auto"/>
              </w:rPr>
            </w:pPr>
            <w:r>
              <w:rPr>
                <w:rFonts w:ascii="Arial" w:cs="Arial" w:eastAsia="Arial" w:hAnsi="Arial"/>
                <w:sz w:val="11"/>
                <w:szCs w:val="11"/>
                <w:color w:val="auto"/>
              </w:rPr>
              <w:t>Rian Hunter</w:t>
            </w:r>
          </w:p>
        </w:tc>
        <w:tc>
          <w:tcPr>
            <w:tcW w:w="56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2,320,608</w:t>
            </w: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241,000</w:t>
            </w: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2,079,608</w:t>
            </w: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2,079,608</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59690</wp:posOffset>
            </wp:positionV>
            <wp:extent cx="58039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08" w:lineRule="exact"/>
        <w:rPr>
          <w:sz w:val="20"/>
          <w:szCs w:val="20"/>
          <w:color w:val="auto"/>
        </w:rPr>
      </w:pPr>
    </w:p>
    <w:p>
      <w:pPr>
        <w:ind w:left="1380" w:right="1240" w:hanging="268"/>
        <w:spacing w:after="0" w:line="225" w:lineRule="auto"/>
        <w:tabs>
          <w:tab w:leader="none" w:pos="1380" w:val="left"/>
        </w:tabs>
        <w:numPr>
          <w:ilvl w:val="0"/>
          <w:numId w:val="81"/>
        </w:numPr>
        <w:rPr>
          <w:rFonts w:ascii="Arial" w:cs="Arial" w:eastAsia="Arial" w:hAnsi="Arial"/>
          <w:sz w:val="8"/>
          <w:szCs w:val="8"/>
          <w:color w:val="auto"/>
        </w:rPr>
      </w:pPr>
      <w:r>
        <w:rPr>
          <w:rFonts w:ascii="Arial" w:cs="Arial" w:eastAsia="Arial" w:hAnsi="Arial"/>
          <w:sz w:val="13"/>
          <w:szCs w:val="13"/>
          <w:color w:val="auto"/>
        </w:rPr>
        <w:t>The Class B common stock is convertible at any time by the holder into shares of Class A common stock on a share-for-share basis, such that each holder of Class B common stock beneficially owns an equivalent number of Class A common stock.</w:t>
      </w:r>
    </w:p>
    <w:p>
      <w:pPr>
        <w:jc w:val="both"/>
        <w:ind w:left="1380" w:right="1400" w:hanging="268"/>
        <w:spacing w:after="0" w:line="304" w:lineRule="auto"/>
        <w:tabs>
          <w:tab w:leader="none" w:pos="1380" w:val="left"/>
        </w:tabs>
        <w:numPr>
          <w:ilvl w:val="0"/>
          <w:numId w:val="82"/>
        </w:numPr>
        <w:rPr>
          <w:rFonts w:ascii="Arial" w:cs="Arial" w:eastAsia="Arial" w:hAnsi="Arial"/>
          <w:sz w:val="9"/>
          <w:szCs w:val="9"/>
          <w:color w:val="auto"/>
        </w:rPr>
      </w:pPr>
      <w:r>
        <w:rPr>
          <w:rFonts w:ascii="Arial" w:cs="Arial" w:eastAsia="Arial" w:hAnsi="Arial"/>
          <w:sz w:val="11"/>
          <w:szCs w:val="11"/>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w:t>
      </w:r>
    </w:p>
    <w:p>
      <w:pPr>
        <w:spacing w:after="0" w:line="6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520"/>
          </w:cols>
          <w:pgMar w:left="240" w:top="408" w:right="13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380" w:right="180"/>
        <w:spacing w:after="0" w:line="225" w:lineRule="auto"/>
        <w:rPr>
          <w:sz w:val="20"/>
          <w:szCs w:val="20"/>
          <w:color w:val="auto"/>
        </w:rPr>
      </w:pPr>
      <w:r>
        <w:rPr>
          <w:rFonts w:ascii="Arial" w:cs="Arial" w:eastAsia="Arial" w:hAnsi="Arial"/>
          <w:sz w:val="13"/>
          <w:szCs w:val="13"/>
          <w:color w:val="auto"/>
        </w:rPr>
        <w:t>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1380" w:hanging="268"/>
        <w:spacing w:after="0" w:line="217" w:lineRule="auto"/>
        <w:tabs>
          <w:tab w:leader="none" w:pos="1380" w:val="left"/>
        </w:tabs>
        <w:numPr>
          <w:ilvl w:val="0"/>
          <w:numId w:val="83"/>
        </w:numPr>
        <w:rPr>
          <w:rFonts w:ascii="Arial" w:cs="Arial" w:eastAsia="Arial" w:hAnsi="Arial"/>
          <w:sz w:val="11"/>
          <w:szCs w:val="11"/>
          <w:color w:val="auto"/>
        </w:rPr>
      </w:pPr>
      <w:r>
        <w:rPr>
          <w:rFonts w:ascii="Arial" w:cs="Arial" w:eastAsia="Arial" w:hAnsi="Arial"/>
          <w:sz w:val="13"/>
          <w:szCs w:val="13"/>
          <w:color w:val="auto"/>
        </w:rPr>
        <w:t>Represents beneficial ownership of less than one percent (1%) of the outstanding shares of our common stock.</w:t>
      </w:r>
    </w:p>
    <w:p>
      <w:pPr>
        <w:spacing w:after="0" w:line="1" w:lineRule="exact"/>
        <w:rPr>
          <w:sz w:val="20"/>
          <w:szCs w:val="20"/>
          <w:color w:val="auto"/>
        </w:rPr>
      </w:pPr>
    </w:p>
    <w:p>
      <w:pPr>
        <w:ind w:left="1380" w:right="16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8,781,548 shares of Class B common stock held by the Houston Remainder Trust dated 12/30/2010, for which Mr. Houston serves as trustee, (ii) 75,481,406 shares of Class B common stock held by the Andrew W. Houston Revocable Trust dated 9/7/2011, for which Mr. Houston serves as trustee, (iii) 500,500 shares of Class B common stock held by the Houston 2012 Irrevocable Children’s Trust dated 4/12/2012, for which Mr. Houston serves as trustee, and (iv) 10,333,333 shares of Class A common stock underlying RSAs. Prior to the effectiveness of our registration statement related to this offering, Mr. Houston and Mr. Ferdowsi are expected to enter into voting agreements with certain of our stockholders for up to 7% of the voting power of our outstanding capital stock following the completion of this offering and the concurrent private placement.</w:t>
      </w:r>
    </w:p>
    <w:p>
      <w:pPr>
        <w:spacing w:after="0" w:line="1" w:lineRule="exact"/>
        <w:rPr>
          <w:rFonts w:ascii="Arial" w:cs="Arial" w:eastAsia="Arial" w:hAnsi="Arial"/>
          <w:sz w:val="11"/>
          <w:szCs w:val="11"/>
          <w:color w:val="auto"/>
        </w:rPr>
      </w:pPr>
    </w:p>
    <w:p>
      <w:pPr>
        <w:ind w:left="1380" w:right="2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2,900,802 shares of Class B common stock held by the Arash Ferdowsi Remainder Trust dated 3/21/2011, for which Mr. Ferdowsi serves as trustee, (ii) 31,369,916 shares of Class B common stock held by the Arash Ferdowsi Revocable Trust dated 4/20/2012, for which Mr. Ferdowsi serves as trustee, and (iii) 4,400,000 shares of Class A common stock underlying RSAs. Prior to the effectiveness of our registration statement related to this offering, Mr. Houston and Mr. Ferdowsi are expected to enter into voting agreements with certain of our stockholders for up to 7% of the voting power of our outstanding capital stock following the completion of this offering and the concurrent private placement.</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172,711 shares of Class B common stock held by the Paul E. Jacobs Trust dated November 7, 2014, for which Mr. Jacobs serves as trustee, (ii) 26,666 shares of Class B common stock held by Mr. Jacobs, and (iii) 16,266 shares of Class B common stock that will be net issued upon the vesting of RSUs within 60 days of January 31, 2018.</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122,698 shares of Class B common stock held by Annox Capital, LLC, or Annox, which will convert into an equivalent number of shares of Class A common stock in connection with the Capital Stock Conversion and (ii) consists of 14,904 shares of Class B common stock that will be net issued upon the vesting of RSUs within 60 days of January 31, 2018. Mr. Mylod, a member of our Board of Directors, is the managing member of Annox and has sole voting and investment control over the shares held by Annox.</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14,904 shares of Class B common stock that will be net issued upon the vesting of RSUs within 60 days of January 31, 2018.</w:t>
      </w:r>
    </w:p>
    <w:p>
      <w:pPr>
        <w:ind w:left="1380" w:right="4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Excludes shares listed in footnote 9 below, which are held by entities affiliated with Sequoia Capital. Mr. Schreier, one of our directors, is a non-managing member of SC XII LLC.</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Margaret Whitman was elected to the Board of Directors in September 2017.</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121,366,947 shares of Class B common stock beneficially owned by our executive officers and directors, (ii) 90,884 shares of Class B common stock subject to options that are immediately exercisable within 60 days of January 31, 2018, and (iii) 1,123,609 shares of Class B common stock that will be net issued upon the vesting of RSUs within 60 days of January 31, 2018.</w:t>
      </w:r>
    </w:p>
    <w:p>
      <w:pPr>
        <w:ind w:left="1380" w:right="220" w:hanging="268"/>
        <w:spacing w:after="0" w:line="235" w:lineRule="auto"/>
        <w:tabs>
          <w:tab w:leader="none" w:pos="13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Consists of (i) 76,179,144 shares of Class B common stock held by Sequoia Capital XII, L.P., or SC XII, (ii) 8,141,812 shares of Class B common stock held by Sequoia Capital XII Principals Fund, LLC, or SC XII PF, and (iii) 2,850,494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1" w:lineRule="exact"/>
        <w:rPr>
          <w:rFonts w:ascii="Arial" w:cs="Arial" w:eastAsia="Arial" w:hAnsi="Arial"/>
          <w:sz w:val="10"/>
          <w:szCs w:val="10"/>
          <w:color w:val="auto"/>
        </w:rPr>
      </w:pPr>
    </w:p>
    <w:p>
      <w:pPr>
        <w:ind w:left="1380" w:hanging="268"/>
        <w:spacing w:after="0" w:line="235" w:lineRule="auto"/>
        <w:tabs>
          <w:tab w:leader="none" w:pos="13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Consists of (i) 1,635,668 shares of Class B common stock held by Accel Investors 2008 L.L.C., or AI 2008, (ii) 14,772 shares of Class B common stock held by Accel Investors 2010 L.L.C., or AI 2010, (iii) 10,497 shares of Class B common stock held by Accel Investors 2013 L.L.C., or AI 2013, (iv) 98,854 shares of Class B common stock held by Accel XI L.P., or Accel XI, (v) 7,425 shares of Class B common stock held by Accel XI Strategic Partners L.P., or Accel XI Strategic, (vi) 15,788,974 shares of Class B common stock held by Accel X L.P., or Accel X, and (vii) 1,196,375 shares of Class B common stock held by Accel X Strategic Partners L.P., or Accel X Strategic, and together with AI 2008, AI 2010, AI 2013, Accel XI, Accel XI Strategic, and Accel X, the Accel Entities. Accel X Associates L.L.C., or Accel X Associates, is the general partner of Accel X and Accel X Strategic and has the sole voting and investment power. Andrew G. Braccia, Kevin Efrusy, Sameer K. Gandhi, Ping Li, Tracy L. Sedlock, and Richard P. Wong are the managing members of Accel X Associates, AI 2008, and AI 2010 and share voting and investment powers over such shares. Accel XI Associates L.L.C., or Accel XI Associates, is the general partner of Accel XI and Accel Strategic and has the sole voting and investment power. Andrew G. Braccia, Sameer K. Gandhi, Ping Li, Tracy L. Sedlock, and Richard P. Wong are the managing members of Accel XI Associates and AI 2013 and share voting and investment powers over such shares. The address for these entities and individuals is 428 University Ave., Palo Alto, California 94301.</w:t>
      </w:r>
    </w:p>
    <w:p>
      <w:pPr>
        <w:spacing w:after="0" w:line="2" w:lineRule="exact"/>
        <w:rPr>
          <w:rFonts w:ascii="Arial" w:cs="Arial" w:eastAsia="Arial" w:hAnsi="Arial"/>
          <w:sz w:val="10"/>
          <w:szCs w:val="10"/>
          <w:color w:val="auto"/>
        </w:rPr>
      </w:pPr>
    </w:p>
    <w:p>
      <w:pPr>
        <w:ind w:left="1380" w:hanging="268"/>
        <w:spacing w:after="0" w:line="239" w:lineRule="auto"/>
        <w:tabs>
          <w:tab w:leader="none" w:pos="13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Consists of (i) 6,002,953 shares of Class A common stock held of record by 63 funds and accounts advised or sub-advised by T. Rowe Price Associates, Inc., or TRPA; and (ii) 7,064,283 shares of Class B common stock held of record by 62 funds and accounts advised or sub-advised by TRPA. TRPA serves as investment adviser with power to direct investments and/or sole power to vote the securities owned by these funds and accounts. The T. Rowe Price Proxy Committee develops the firm’s positions on all major proxy voting issues, creates guidelines, and oversees the voting process. Once the Proxy Committee establishes its recommendations, they are distributed to the firm’s portfolio managers as voting guidelines. Ultimately, the portfolio managers for each account decide how to vote on the proxy proposals of companies in their portfolios. More information on the T. Rowe Price proxy voting guidelines is available on its website at troweprice.com. The T. Rowe Price portfolio managers of the funds and accounts that hold our securities are collectively listed as follows: Joseph B. Fath,</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300"/>
          </w:cols>
          <w:pgMar w:left="240" w:top="408" w:right="135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380" w:right="20"/>
        <w:spacing w:after="0" w:line="238" w:lineRule="auto"/>
        <w:rPr>
          <w:sz w:val="20"/>
          <w:szCs w:val="20"/>
          <w:color w:val="auto"/>
        </w:rPr>
      </w:pPr>
      <w:r>
        <w:rPr>
          <w:rFonts w:ascii="Arial" w:cs="Arial" w:eastAsia="Arial" w:hAnsi="Arial"/>
          <w:sz w:val="12"/>
          <w:szCs w:val="12"/>
          <w:color w:val="auto"/>
        </w:rPr>
        <w:t>Taymour R. Tamaddon, Paul D. Greene, Donald J. Peters, Henry M. Ellenbogen, Brian W. H. Berghuis, Kennard W. Allen, Joshua K. Spencer, and Justin White. For purposes of reporting requirements of the Securities Exchange Act of 1934, TRPA may be deemed to be the beneficial owner of all the shares listed above. T. Rowe Price Associates, Inc. is the wholly owned subsidiary of T. Rowe Price Group, Inc., which is a publicly traded financial services holding company. The address for T. Rowe Price Associates, Inc. is 100 East Pratt Street, Baltimore, Maryland 21202. T. Rowe Price Investment Services, Inc., or TRPIS, a registered broker-dealer, is a subsidiary of T. Rowe Price Associates, Inc. TRPIS was formed primarily for the limited purpose of acting as the principal underwriter of shares of the funds in the T. Rowe Price fund family. TRPIS does not engage in underwriting or market-making activities involving individual securities.</w:t>
      </w:r>
    </w:p>
    <w:p>
      <w:pPr>
        <w:spacing w:after="0" w:line="1" w:lineRule="exact"/>
        <w:rPr>
          <w:sz w:val="20"/>
          <w:szCs w:val="20"/>
          <w:color w:val="auto"/>
        </w:rPr>
      </w:pPr>
    </w:p>
    <w:p>
      <w:pPr>
        <w:ind w:left="1380" w:hanging="268"/>
        <w:spacing w:after="0" w:line="256" w:lineRule="auto"/>
        <w:tabs>
          <w:tab w:leader="none" w:pos="1380" w:val="left"/>
        </w:tabs>
        <w:numPr>
          <w:ilvl w:val="0"/>
          <w:numId w:val="85"/>
        </w:numPr>
        <w:rPr>
          <w:rFonts w:ascii="Arial" w:cs="Arial" w:eastAsia="Arial" w:hAnsi="Arial"/>
          <w:sz w:val="9"/>
          <w:szCs w:val="9"/>
          <w:color w:val="auto"/>
        </w:rPr>
      </w:pPr>
      <w:r>
        <w:rPr>
          <w:rFonts w:ascii="Arial" w:cs="Arial" w:eastAsia="Arial" w:hAnsi="Arial"/>
          <w:sz w:val="11"/>
          <w:szCs w:val="11"/>
          <w:color w:val="auto"/>
        </w:rPr>
        <w:t>Consists of (i) 1,073,999 shares of Class A common stock held by Green Bay - DX, LLC, (ii) 443,507 shares of Class A common stock held by Green Bay - DX II, LLC, (iii) 698,036 shares of Class A common stock held by Cloudy Sky, LLC, and (iv) 558,428 shares of Class B common stock held by D5X, LLC. Green Bay Generations Fund, LLC , or GBGF, is the investment adviser to Green Bay - DX, LLC, Green Bay - DX II, LLC and Cloudy Sky, LLC. Its address is 915 Broadway, Suite 1206, New York, New York 10010. Green Bay Advisors, LLC is the investment adviser to D5X, LLC, and its address is 480 Pacific Avenue, Suite 200, San Francisco, California 94133.</w:t>
      </w:r>
    </w:p>
    <w:p>
      <w:pPr>
        <w:spacing w:after="0" w:line="1" w:lineRule="exact"/>
        <w:rPr>
          <w:rFonts w:ascii="Arial" w:cs="Arial" w:eastAsia="Arial" w:hAnsi="Arial"/>
          <w:sz w:val="9"/>
          <w:szCs w:val="9"/>
          <w:color w:val="auto"/>
        </w:rPr>
      </w:pPr>
    </w:p>
    <w:p>
      <w:pPr>
        <w:ind w:left="1380" w:right="80" w:hanging="268"/>
        <w:spacing w:after="0" w:line="217" w:lineRule="auto"/>
        <w:tabs>
          <w:tab w:leader="none" w:pos="13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Consists of (i) 293,672 shares of Class B common stock held by Mr. Partovi in his individual capacity and (ii) 3,226,661 shares of Class B common stock beneficially owned by Mr. Partovi through various trusts and related entities.</w:t>
      </w:r>
    </w:p>
    <w:p>
      <w:pPr>
        <w:ind w:left="1380" w:right="380" w:hanging="268"/>
        <w:spacing w:after="0" w:line="217" w:lineRule="auto"/>
        <w:tabs>
          <w:tab w:leader="none" w:pos="13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Consists of (i) 634,353 shares of Class B common stock held by Mr. Agarwal in his individual capacity and (ii) 5,266,489 shares of Class B common stock beneficially owned by Mr. Agarwal through various trusts and related entities.</w:t>
      </w:r>
    </w:p>
    <w:p>
      <w:pPr>
        <w:ind w:left="1380" w:right="60" w:hanging="268"/>
        <w:spacing w:after="0" w:line="226" w:lineRule="auto"/>
        <w:tabs>
          <w:tab w:leader="none" w:pos="13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Consists of 2,573,920 shares of Class B common stock held by J. Rothschild Investments 1 Limited. Anthony D. Holt, Emmalene Holden, and Kelvin J. Whelan are directors of J. Rothschild Investments 1 Limited and share voting and investment powers over the shares. The address for this entity is Newport House, 15 The Grange, St. Peter Port, Guernsey.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320"/>
          </w:cols>
          <w:pgMar w:left="240" w:top="408" w:right="133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DESCRIPTION OF CAPITAL STOCK</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General</w:t>
      </w:r>
    </w:p>
    <w:p>
      <w:pPr>
        <w:spacing w:after="0" w:line="102"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The following description summarizes certain important terms of our capital stock, as they are expected to be in effect immediately prior to the completion of this offering and the concurrent private placement.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w:t>
      </w:r>
    </w:p>
    <w:p>
      <w:pPr>
        <w:spacing w:after="0" w:line="14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Immediately following the completion of this offering, our authorized capital stock will consist of 3,915,000,000 shares of capital stock, $0.00001 par value per share, of which:</w:t>
      </w:r>
    </w:p>
    <w:p>
      <w:pPr>
        <w:spacing w:after="0" w:line="67" w:lineRule="exact"/>
        <w:rPr>
          <w:sz w:val="20"/>
          <w:szCs w:val="20"/>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2,400,000,000 shares are designated as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475,000,000 shares are designated as Class B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800,000,000 shares are designated as Class C common stock;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240,000,000 shares are designated as preferred stock.</w:t>
      </w:r>
    </w:p>
    <w:p>
      <w:pPr>
        <w:spacing w:after="0" w:line="188"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color w:val="auto"/>
        </w:rPr>
        <w:t>Assuming the conversion of all outstanding shares of our convertible preferred stock into shares of our Class B common stock, which will occur immediately prior to the completion of this offering, as of December 31, 2017, there were 11,817,248 shares of our Class A common stock outstanding (including the Capital Stock Conversions), held by 1,310 stockholders of record, 348,501,449 shares of our Class B common stock outstanding (including the Capital Stock Conversions and the RSU Settlement), held by 2,658 stockholders of record, and no shares of our Class C common stock outstanding. Pursuant to our amended and restated certificate of incorporation, our Board of Directors will have the authority, without stockholder approval except as required by the listing standards of Nasdaq, to issue additional shares of our Class A common stock and Class C common stock. Until the final conversion of all outstanding shares of Class B common stock pursuant to the terms of the amended and restated certificate of incorporation, or the Final Conversion Date, any issuance of additional shares of Class B common stock, other than shares issued pursuant to the exercise or conversion of options or warrants or the settlement of RSUs, in each case, outstanding as of the date the shares of Class A common stock are listed for issuance on Nasdaq, requires the approval of the holders of a majority of the outstanding shares of Class B common stock.</w:t>
      </w: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Common Stock</w:t>
      </w:r>
    </w:p>
    <w:p>
      <w:pPr>
        <w:spacing w:after="0" w:line="102" w:lineRule="exact"/>
        <w:rPr>
          <w:sz w:val="20"/>
          <w:szCs w:val="20"/>
          <w:color w:val="auto"/>
        </w:rPr>
      </w:pPr>
    </w:p>
    <w:p>
      <w:pPr>
        <w:ind w:left="1120" w:right="60" w:firstLine="368"/>
        <w:spacing w:after="0" w:line="354" w:lineRule="auto"/>
        <w:rPr>
          <w:sz w:val="20"/>
          <w:szCs w:val="20"/>
          <w:color w:val="auto"/>
        </w:rPr>
      </w:pPr>
      <w:r>
        <w:rPr>
          <w:rFonts w:ascii="Arial" w:cs="Arial" w:eastAsia="Arial" w:hAnsi="Arial"/>
          <w:sz w:val="13"/>
          <w:szCs w:val="13"/>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Dividend Rights</w:t>
      </w:r>
    </w:p>
    <w:p>
      <w:pPr>
        <w:spacing w:after="0" w:line="102" w:lineRule="exact"/>
        <w:rPr>
          <w:sz w:val="20"/>
          <w:szCs w:val="20"/>
          <w:color w:val="auto"/>
        </w:rPr>
      </w:pPr>
    </w:p>
    <w:p>
      <w:pPr>
        <w:ind w:left="1120" w:right="120" w:firstLine="368"/>
        <w:spacing w:after="0" w:line="290" w:lineRule="auto"/>
        <w:rPr>
          <w:sz w:val="20"/>
          <w:szCs w:val="20"/>
          <w:color w:val="auto"/>
        </w:rPr>
      </w:pPr>
      <w:r>
        <w:rPr>
          <w:rFonts w:ascii="Arial" w:cs="Arial" w:eastAsia="Arial" w:hAnsi="Arial"/>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300"/>
          </w:cols>
          <w:pgMar w:left="240" w:top="407" w:right="135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Voting Rights</w:t>
      </w:r>
    </w:p>
    <w:p>
      <w:pPr>
        <w:spacing w:after="0" w:line="102"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Holders of our Class A common stock are entitled to one vote for each share held on all matters submitted to a vote of stockholders, holders of our Class B common stock are entitled to ten votes for each share held, and holders of our Class C common stock are not entitled to vote on any matter that is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 majority of the Class B common stock is required to increase the number of authorized shares of our Class B common stock. In addition, Delaware law could require either holders of our Class A common stock, our Class B common stock, or our Class C common stock to vote separately as a single class in the following circumstances:</w:t>
      </w:r>
    </w:p>
    <w:p>
      <w:pPr>
        <w:spacing w:after="0" w:line="82" w:lineRule="exact"/>
        <w:rPr>
          <w:sz w:val="20"/>
          <w:szCs w:val="20"/>
          <w:color w:val="auto"/>
        </w:rPr>
      </w:pPr>
    </w:p>
    <w:p>
      <w:pPr>
        <w:ind w:left="1840" w:right="180" w:hanging="276"/>
        <w:spacing w:after="0" w:line="275" w:lineRule="auto"/>
        <w:tabs>
          <w:tab w:leader="none" w:pos="18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67" w:lineRule="exact"/>
        <w:rPr>
          <w:rFonts w:ascii="Arial" w:cs="Arial" w:eastAsia="Arial" w:hAnsi="Arial"/>
          <w:sz w:val="15"/>
          <w:szCs w:val="15"/>
          <w:color w:val="auto"/>
        </w:rPr>
      </w:pPr>
    </w:p>
    <w:p>
      <w:pPr>
        <w:ind w:left="1840" w:hanging="276"/>
        <w:spacing w:after="0" w:line="263" w:lineRule="auto"/>
        <w:tabs>
          <w:tab w:leader="none" w:pos="18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Until the Final Conversion Date, our Class B common stock will have the right to vote as a separate class to:</w:t>
      </w:r>
    </w:p>
    <w:p>
      <w:pPr>
        <w:spacing w:after="0" w:line="109" w:lineRule="exact"/>
        <w:rPr>
          <w:sz w:val="20"/>
          <w:szCs w:val="20"/>
          <w:color w:val="auto"/>
        </w:rPr>
      </w:pPr>
    </w:p>
    <w:p>
      <w:pPr>
        <w:ind w:left="1840" w:right="120" w:hanging="276"/>
        <w:spacing w:after="0" w:line="263"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amend or modify any provision of the amended and restated certificate of incorporation inconsistent with, or otherwise alter, any provision of amended and restated certificate of incorporation to modify the voting, conversion or other rights, powers, preferences, privileges or restrictions of the Class B common stock;</w:t>
      </w:r>
    </w:p>
    <w:p>
      <w:pPr>
        <w:spacing w:after="0" w:line="75" w:lineRule="exact"/>
        <w:rPr>
          <w:rFonts w:ascii="Arial" w:cs="Arial" w:eastAsia="Arial" w:hAnsi="Arial"/>
          <w:sz w:val="15"/>
          <w:szCs w:val="15"/>
          <w:color w:val="auto"/>
        </w:rPr>
      </w:pPr>
    </w:p>
    <w:p>
      <w:pPr>
        <w:jc w:val="both"/>
        <w:ind w:left="1840" w:hanging="276"/>
        <w:spacing w:after="0" w:line="322" w:lineRule="auto"/>
        <w:tabs>
          <w:tab w:leader="none" w:pos="18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41" w:lineRule="exact"/>
        <w:rPr>
          <w:rFonts w:ascii="Arial" w:cs="Arial" w:eastAsia="Arial" w:hAnsi="Arial"/>
          <w:sz w:val="13"/>
          <w:szCs w:val="13"/>
          <w:color w:val="auto"/>
        </w:rPr>
      </w:pPr>
    </w:p>
    <w:p>
      <w:pPr>
        <w:ind w:left="1840" w:right="140" w:hanging="276"/>
        <w:spacing w:after="0" w:line="263"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issue any shares of Class B common stock (other than shares of Class B Common Stock originally issued after the date of this offering pursuant to the exercise or conversion of options or warrants or settlement of RSUs that, in each case, are outstanding as of the date of this offering);</w:t>
      </w:r>
    </w:p>
    <w:p>
      <w:pPr>
        <w:spacing w:after="0" w:line="75"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authorize, or issue any shares of, any class or series of capital stock of the Corporation having the right to more than (1) vote for each share thereof;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consummate a Liquidation Event (as defined in the amended and restated certificate of incorporation).</w:t>
      </w:r>
    </w:p>
    <w:p>
      <w:pPr>
        <w:spacing w:after="0" w:line="18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Our amended and restated certificate of incorporation and amended and restated bylaws that will be in effect at the closing of our initial public offering will provide that from and after the Voting Threshold Date, we will have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Until the Voting Threshold Date, our directors will be elected annually for one-year terms. Stockholders do not have the ability to cumulate votes for the election of directors.</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 Preemptive or Similar Rights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common stock is not entitled to preemptive rights, and is not subject to conversion, redemption, or sinking fund provisions.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300"/>
          </w:cols>
          <w:pgMar w:left="240" w:top="408" w:right="135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Right to Receive Liquidation Distributions</w:t>
      </w:r>
    </w:p>
    <w:p>
      <w:pPr>
        <w:spacing w:after="0" w:line="102"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Conversion of Class B Common Stock</w:t>
      </w:r>
    </w:p>
    <w:p>
      <w:pPr>
        <w:spacing w:after="0" w:line="102"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certain transfers described in our amended and restated certificate of incorporation, including estate planning transfers where sole dispositive power and exclusive voting control with respect to the shares of Class B common stock are retained by the transferring holder and transfers between our co-founders. In addition, each outstanding share of Class B common stock held by a stockholder who is a natural person, or held by the permitted entities and permitted transferees of such natural person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and permanent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w:t>
      </w:r>
    </w:p>
    <w:p>
      <w:pPr>
        <w:spacing w:after="0" w:line="154"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Each share of Class B common stock will convert automatically into one share of Class A common stock upon (i) the date specified by affirmative vote of the holders of two-thirds of the then outstanding shares of Class B common stock, (ii) the date on which the outstanding shares of Class B common stock represent less than five percent of the aggregate number of shares of the then outstanding Class A common stock and Class B common stock, or (iii) nine months after the death or total disability of the last to die or become disabled of our co-founders, or such later date not to exceed a total period of 18 months after such death or disability as may be approved by a majority of our independent directors.</w:t>
      </w:r>
    </w:p>
    <w:p>
      <w:pPr>
        <w:spacing w:after="0" w:line="147"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Additionally, pursuant to transfer agreements with certain of our stockholders, 2,609,951 shares of our Class B common stock will automatically convert into an equivalent number of shares of Class A common stock immediately prior to the completion of this offering.</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Conversion of Class C Common Stock</w:t>
      </w:r>
    </w:p>
    <w:p>
      <w:pPr>
        <w:spacing w:after="0" w:line="102"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Shares of Class C common stock will convert automatically into Class A common stock, on a share-for-share basis, following the conversion of all outstanding shares of Class B common stock into shares of Class A common stock, on the date or time specified by the holders of a majority of the outstanding shares of Class A common stock, voting as a separate class.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Fully Paid and Non-Assessable</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In connection with this offering, our legal counsel will opine that the shares of our Class A common stock to be issued in this offering will be fully paid and non-assessable.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320"/>
          </w:cols>
          <w:pgMar w:left="240" w:top="407" w:right="133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Preferred Stock</w:t>
      </w:r>
    </w:p>
    <w:p>
      <w:pPr>
        <w:spacing w:after="0" w:line="102"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3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RSAs</w:t>
      </w:r>
    </w:p>
    <w:p>
      <w:pPr>
        <w:spacing w:after="0" w:line="102"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color w:val="auto"/>
        </w:rPr>
        <w:t>As of December 31, 2017, we had outstanding 14,733,333 shares of our Class A common stock subject to RSAs, which were granted pursuant to the Co-Founder Grants. The Co-Founder Grants vest upon the satisfaction of the service condition and achievement of certain stock price goals. These Co-Founder Grants provide the holders with certain stockholder rights, such as the right to vote the shares immediately upon grant and prior to their vesting. See “Executive Compensation—Co-Founder Restricted Stock Awards” for additional information.</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Options</w:t>
      </w:r>
    </w:p>
    <w:p>
      <w:pPr>
        <w:spacing w:after="0" w:line="102" w:lineRule="exact"/>
        <w:rPr>
          <w:sz w:val="20"/>
          <w:szCs w:val="20"/>
          <w:color w:val="auto"/>
        </w:rPr>
      </w:pPr>
    </w:p>
    <w:p>
      <w:pPr>
        <w:ind w:left="1120" w:right="520" w:firstLine="368"/>
        <w:spacing w:after="0" w:line="275" w:lineRule="auto"/>
        <w:rPr>
          <w:sz w:val="20"/>
          <w:szCs w:val="20"/>
          <w:color w:val="auto"/>
        </w:rPr>
      </w:pPr>
      <w:r>
        <w:rPr>
          <w:rFonts w:ascii="Arial" w:cs="Arial" w:eastAsia="Arial" w:hAnsi="Arial"/>
          <w:sz w:val="15"/>
          <w:szCs w:val="15"/>
          <w:color w:val="auto"/>
        </w:rPr>
        <w:t>As of December 31, 2017, we had outstanding options to purchase an aggregate of 4,959,492 shares of our Class B common stock, with a weighted-average exercise price of $10.52 per share, under our equity compensation plans.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RSUs</w:t>
      </w:r>
    </w:p>
    <w:p>
      <w:pPr>
        <w:spacing w:after="0" w:line="102" w:lineRule="exact"/>
        <w:rPr>
          <w:sz w:val="20"/>
          <w:szCs w:val="20"/>
          <w:color w:val="auto"/>
        </w:rPr>
      </w:pPr>
    </w:p>
    <w:p>
      <w:pPr>
        <w:ind w:left="1120" w:firstLine="368"/>
        <w:spacing w:after="0" w:line="291" w:lineRule="auto"/>
        <w:rPr>
          <w:sz w:val="20"/>
          <w:szCs w:val="20"/>
          <w:color w:val="auto"/>
        </w:rPr>
      </w:pPr>
      <w:r>
        <w:rPr>
          <w:rFonts w:ascii="Arial" w:cs="Arial" w:eastAsia="Arial" w:hAnsi="Arial"/>
          <w:sz w:val="13"/>
          <w:szCs w:val="13"/>
          <w:color w:val="auto"/>
        </w:rPr>
        <w:t>As of December 31, 2017, we had outstanding 38,219,737 shares of our Class B common stock subject to RSUs under our 2008 Plan and 16,707,823 shares of our Class A common stock subject to RSUs under our 2017 Plan. RSUs granted on and after August 1, 2015, which we refer to as one-tier RSUs, generally vest upon the satisfaction of a service-based vesting condition. The service-based vesting condition generally is satisfied over a four-year period. 25% of the one-tier RSUs vest upon completion of one year of service measured from the vesting commencement date, and as to the balance in successive equal quarterly installments, subject to continued service through each such vesting date. Our RSUs granted prior to August 1, 2015, which we refer to as two-tier RSUs, generally vest upon the satisfaction of both a service-based vesting condition and the Performance Vesting Condition occurring before these two-tier RSUs expire. The service-based vesting condition generally is satisfied over a four-year period. 25% of the two-tier RSUs service-based vesting condition is satisfied upon completion of one year of service measured from the vesting commencement date, and the balance generally vests in successive equal monthly installments prior to the occurrence of the Performance Vesting Condition and in successive equal quarterly installments after the occurrence of the Performance Vesting Condition, but, in all cases, subject to continued service through each applicable vesting date. The Performance Vesting Condition occurs on the earlier of (i) an acquisition or change in control of us or (ii) the earlier of</w:t>
      </w:r>
    </w:p>
    <w:p>
      <w:pPr>
        <w:spacing w:after="0" w:line="1" w:lineRule="exact"/>
        <w:rPr>
          <w:sz w:val="20"/>
          <w:szCs w:val="20"/>
          <w:color w:val="auto"/>
        </w:rPr>
      </w:pPr>
    </w:p>
    <w:p>
      <w:pPr>
        <w:ind w:left="1120" w:hanging="8"/>
        <w:spacing w:after="0" w:line="253" w:lineRule="auto"/>
        <w:tabs>
          <w:tab w:leader="none" w:pos="1324" w:val="left"/>
        </w:tabs>
        <w:numPr>
          <w:ilvl w:val="0"/>
          <w:numId w:val="89"/>
        </w:numPr>
        <w:rPr>
          <w:rFonts w:ascii="Arial" w:cs="Arial" w:eastAsia="Arial" w:hAnsi="Arial"/>
          <w:sz w:val="15"/>
          <w:szCs w:val="15"/>
          <w:color w:val="auto"/>
        </w:rPr>
      </w:pPr>
      <w:r>
        <w:rPr>
          <w:rFonts w:ascii="Arial" w:cs="Arial" w:eastAsia="Arial" w:hAnsi="Arial"/>
          <w:sz w:val="15"/>
          <w:szCs w:val="15"/>
          <w:color w:val="auto"/>
        </w:rPr>
        <w:t>six months after our initial public offering or (b) March 15 of the year following our initial public offering. As a result of the September 2017 RSU Amendment, all RSUs were amended to provide that the quarterly dates for satisfying the service-based vesting condition shall be February 15, May 15, August 15, or November 15, each of which we refer to as a New Quarterly Date. This amendment will result in a partial acceleration of any RSUs that were scheduled to satisfy the service-based vesting condition on a date following a New Quarterly Date but before the next New Quarterly Date, such that these RSUs now will satisfy the service-based vesting condition</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80"/>
          </w:cols>
          <w:pgMar w:left="240" w:top="408" w:right="137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77" w:lineRule="auto"/>
        <w:rPr>
          <w:sz w:val="20"/>
          <w:szCs w:val="20"/>
          <w:color w:val="auto"/>
        </w:rPr>
      </w:pPr>
      <w:r>
        <w:rPr>
          <w:rFonts w:ascii="Arial" w:cs="Arial" w:eastAsia="Arial" w:hAnsi="Arial"/>
          <w:sz w:val="14"/>
          <w:szCs w:val="14"/>
          <w:color w:val="auto"/>
        </w:rPr>
        <w:t>on the first of those New Quarterly Dates. For one-tier RSUs, this amendment will be effective as of February 15, 2018, and for two-tier RSUs, this amendment will be effective as of the satisfaction of the Performance Vesting Condition. In addition, as a result of the September 2017 RSU Amendment, any two-tier RSUs that are scheduled to satisfy the service-based vesting condition on the first day of any month now will satisfy this condition on the 15th day of the prior month until the date that the Performance Vesting Condition is satisfied. Our Board of Directors has approved the acceleration of the Performance Vesting Condition associated with the two-tier RSUs to occur upon the effectiveness of the registration statement of which this prospectus forms a part. All other significant terms of the two-tier RSUs will remain unchanged.</w:t>
      </w: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Voting Agreements</w:t>
      </w:r>
    </w:p>
    <w:p>
      <w:pPr>
        <w:spacing w:after="0" w:line="102" w:lineRule="exact"/>
        <w:rPr>
          <w:sz w:val="20"/>
          <w:szCs w:val="20"/>
          <w:color w:val="auto"/>
        </w:rPr>
      </w:pPr>
    </w:p>
    <w:p>
      <w:pPr>
        <w:ind w:left="1120" w:right="40" w:firstLine="368"/>
        <w:spacing w:after="0" w:line="305" w:lineRule="auto"/>
        <w:rPr>
          <w:sz w:val="20"/>
          <w:szCs w:val="20"/>
          <w:color w:val="auto"/>
        </w:rPr>
      </w:pPr>
      <w:r>
        <w:rPr>
          <w:rFonts w:ascii="Arial" w:cs="Arial" w:eastAsia="Arial" w:hAnsi="Arial"/>
          <w:sz w:val="13"/>
          <w:szCs w:val="13"/>
          <w:color w:val="auto"/>
        </w:rPr>
        <w:t>Prior to the effectiveness of our registration statement related to this offering, Mr. Houston and Mr. Ferdowsi are expected to enter into voting agreements with certain of our stockholders, which voting agreements will remain in effect after the completion of this offering. These voting agreements may cover an aggregate of up to 7% of the voting power of our outstanding capital stock after our initial public offering and the concurrent private placement. We are not a party to these voting agreements. Under these voting agreements, the proxyholder, either Mr. Houston or Mr. Ferdowsi, has the authority (and irrevocable proxy) to direct the vote and vote these shares at his discretion on all matters to be voted upon by stockholders.</w:t>
      </w:r>
    </w:p>
    <w:p>
      <w:pPr>
        <w:spacing w:after="0" w:line="133" w:lineRule="exact"/>
        <w:rPr>
          <w:sz w:val="20"/>
          <w:szCs w:val="20"/>
          <w:color w:val="auto"/>
        </w:rPr>
      </w:pPr>
    </w:p>
    <w:p>
      <w:pPr>
        <w:ind w:left="1120" w:right="60" w:firstLine="368"/>
        <w:spacing w:after="0" w:line="255" w:lineRule="auto"/>
        <w:rPr>
          <w:sz w:val="20"/>
          <w:szCs w:val="20"/>
          <w:color w:val="auto"/>
        </w:rPr>
      </w:pPr>
      <w:r>
        <w:rPr>
          <w:rFonts w:ascii="Arial" w:cs="Arial" w:eastAsia="Arial" w:hAnsi="Arial"/>
          <w:sz w:val="15"/>
          <w:szCs w:val="15"/>
          <w:color w:val="auto"/>
        </w:rPr>
        <w:t>Shares subject to the voting agreements will no longer be subject to the provisions of the voting agreement if an investor sells, transfers, assigns, pledges, or otherwise disposes of or encumbers the shares subject to the voting agreements after the completion of our initial public offering, except for permitted transfers under the amended and restated certificate of incorporation. The voting agreements will terminate on our dissolution, the express written consent of the proxyholder, the date on which the Final Conversion Date occurs as a result of the death or disability of both Mr. Houston and Mr. Ferdowsi or the date on which the stockholder and any of such stockholder’s permitted transferees ceases to own any of the shares subject to the applicable voting agreement.</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Rights</w:t>
      </w:r>
    </w:p>
    <w:p>
      <w:pPr>
        <w:spacing w:after="0" w:line="102"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After the completion of this offering and the concurrent private placement, certain holders of our Class B common stock will be entitled to rights with respect to the registration of their shares under the Securities Act. These registration rights are contained in our IRA. We and certain holders of our preferred stock are parties to the IRA. Immediately prior to the completion of this offering and the concurrent private placement, each share of outstanding preferred stock will convert automatically into one share of Class B common stock. The registration rights set forth in the IRA will expire five years following the completion of this offering, or, with respect to any particular stockholder, when such stockholder is able to sell all of its shares on any one day pursuant to Rule 144 of the Securities Act or a similar exemption. We will pay the registration expenses (other than underwriting discounts, selling commissions, and transfer taxes)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the company and the underwriters for a period of 180 days after the date of this prospectus, subject to certain terms and conditions and early release of certain holders in specified circumstances. See the section titled “Shares Eligible for Future Sale—Lock-Up and Market Standoff Agreements” for additional information regarding such restrictions.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Demand Registration Rights</w:t>
      </w:r>
    </w:p>
    <w:p>
      <w:pPr>
        <w:spacing w:after="0" w:line="102"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After the completion of this offering and the concurrent private placement, the holders of up to 144,907,822 shares of our Class B common stock and 6,140,973 shares of our Class A common stock will be entitled to certain demand registration rights. At any time beginning six months after the effective date of this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80"/>
          </w:cols>
          <w:pgMar w:left="240" w:top="408" w:right="137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offering, the holders of at least 40% of these shares then outstanding can request that we register the offer and sale of their shares, or such request must</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cover securities in which the anticipated aggregate public offering price, before payment of underwriting discounts and commissions, is at least</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$10,000,000. We are obligated to effect only two such registrations. If we determine that it would be seriously detrimental to us and our stockholders to</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effect such a demand registration, we have the right to defer such registration, not more than once in any 12-month period, for a period of up to 120</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days.</w:t>
      </w: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Piggyback Registration Rights</w:t>
      </w:r>
    </w:p>
    <w:p>
      <w:pPr>
        <w:spacing w:after="0" w:line="102"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After the completion of this offering and the concurrent private placement, if we propose to register the offer and sale of our Class A common stock under the Securities Act, in connection with the public offering of such Class A common stock, the holders of up to 144,907,822 shares of our Class B common stock and 6,140,973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in which the only Class A common stock being registered is Class A common stock issuable upon conversion of debt securities that are also being registered, (2) a registration related to any employee benefit plan or a corporate reorganization or other transaction covered by Rule 145 promulgated under the Securities Act, or (3) a registration on any registration form which does not permit secondary sales or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24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S-3 Registration Rights</w:t>
      </w:r>
    </w:p>
    <w:p>
      <w:pPr>
        <w:spacing w:after="0" w:line="102"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After the completion of this offering and the concurrent private placement, the holders of up to 144,907,822 shares of our Class B common stock and 6,140,973 shares of our Class A common stock will be entitled to certain Form S-3 registration rights. The holders of at least 40%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before payment of underwriting discounts and commissions, is at least $3,000,000.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the Company and our stockholders to effect such a registration, we have the right to defer such registration, not more than once in any 12-month period, for a period of up to 120 days.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Anti-Takeover Provisions</w:t>
      </w:r>
    </w:p>
    <w:p>
      <w:pPr>
        <w:spacing w:after="0" w:line="102"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Delaware Law</w:t>
      </w:r>
    </w:p>
    <w:p>
      <w:pPr>
        <w:spacing w:after="0" w:line="102"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We will be governed by the provisions of Section 203 of the Delaware General Corporation Law. In general, Section 203 prohibits a public Delaware corporation from engaging in a “business combination” with an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240" w:top="408" w:right="143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“interested stockholder” for a period of three years after the date of the transaction in which the person became an interested stockholder, unless:</w:t>
      </w:r>
    </w:p>
    <w:p>
      <w:pPr>
        <w:spacing w:after="0" w:line="121" w:lineRule="exact"/>
        <w:rPr>
          <w:sz w:val="20"/>
          <w:szCs w:val="20"/>
          <w:color w:val="auto"/>
        </w:rPr>
      </w:pPr>
    </w:p>
    <w:p>
      <w:pPr>
        <w:ind w:left="1840" w:hanging="276"/>
        <w:spacing w:after="0"/>
        <w:tabs>
          <w:tab w:leader="none" w:pos="18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transaction was approved by the board of directors prior to the time that the stockholder became an interested stockholder;</w:t>
      </w:r>
    </w:p>
    <w:p>
      <w:pPr>
        <w:spacing w:after="0" w:line="109" w:lineRule="exact"/>
        <w:rPr>
          <w:rFonts w:ascii="Arial" w:cs="Arial" w:eastAsia="Arial" w:hAnsi="Arial"/>
          <w:sz w:val="15"/>
          <w:szCs w:val="15"/>
          <w:color w:val="auto"/>
        </w:rPr>
      </w:pPr>
    </w:p>
    <w:p>
      <w:pPr>
        <w:ind w:left="1840" w:right="40" w:hanging="276"/>
        <w:spacing w:after="0" w:line="283" w:lineRule="auto"/>
        <w:tabs>
          <w:tab w:leader="none" w:pos="18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4"/>
          <w:szCs w:val="14"/>
          <w:color w:val="auto"/>
        </w:rPr>
      </w:pPr>
    </w:p>
    <w:p>
      <w:pPr>
        <w:ind w:left="1840" w:right="220" w:hanging="276"/>
        <w:spacing w:after="0" w:line="263" w:lineRule="auto"/>
        <w:tabs>
          <w:tab w:leader="none" w:pos="18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55"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Certificate of Incorporation and Amended and Restated Bylaw Provisions</w:t>
      </w:r>
    </w:p>
    <w:p>
      <w:pPr>
        <w:spacing w:after="0" w:line="102" w:lineRule="exact"/>
        <w:rPr>
          <w:sz w:val="20"/>
          <w:szCs w:val="20"/>
          <w:color w:val="auto"/>
        </w:rPr>
      </w:pPr>
    </w:p>
    <w:p>
      <w:pPr>
        <w:ind w:left="1120" w:right="160" w:firstLine="368"/>
        <w:spacing w:after="0" w:line="312" w:lineRule="auto"/>
        <w:rPr>
          <w:sz w:val="20"/>
          <w:szCs w:val="20"/>
          <w:color w:val="auto"/>
        </w:rPr>
      </w:pPr>
      <w:r>
        <w:rPr>
          <w:rFonts w:ascii="Arial" w:cs="Arial" w:eastAsia="Arial" w:hAnsi="Arial"/>
          <w:sz w:val="14"/>
          <w:szCs w:val="14"/>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3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b w:val="1"/>
          <w:bCs w:val="1"/>
          <w:i w:val="1"/>
          <w:iCs w:val="1"/>
          <w:color w:val="auto"/>
        </w:rPr>
        <w:t>Multi-class stock</w:t>
      </w:r>
      <w:r>
        <w:rPr>
          <w:rFonts w:ascii="Arial" w:cs="Arial" w:eastAsia="Arial" w:hAnsi="Arial"/>
          <w:sz w:val="15"/>
          <w:szCs w:val="15"/>
          <w:color w:val="auto"/>
        </w:rPr>
        <w:t>. As described above in “—Common Stock—Voting Rights,” our amended and restated certificate of incorporation provides for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multi-class common stock structure, which will provide our pre-offering investors,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58"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b w:val="1"/>
          <w:bCs w:val="1"/>
          <w:i w:val="1"/>
          <w:iCs w:val="1"/>
          <w:color w:val="auto"/>
        </w:rPr>
        <w:t xml:space="preserve">Separate Class B Vote for Certain Transactions. </w:t>
      </w:r>
      <w:r>
        <w:rPr>
          <w:rFonts w:ascii="Arial" w:cs="Arial" w:eastAsia="Arial" w:hAnsi="Arial"/>
          <w:sz w:val="15"/>
          <w:szCs w:val="15"/>
          <w:color w:val="auto"/>
        </w:rPr>
        <w:t>Until the Final Conversion Date, our Class B common stock will have the right to vote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separate class on amendments to our amended and restated certificate of incorporation that affect the rights of our Class B common stock, certain reclassifications and changes in voting rights of our Class A common stock or Class C common stock, issuances of Class B common stock other than pursuant to existing rights and equity awards, authorization of stock with more than one (1) vote per share and liquidation events. See the section titled “Description of Capital Stock—Voting Rights.”</w:t>
      </w:r>
    </w:p>
    <w:p>
      <w:pPr>
        <w:spacing w:after="0" w:line="159"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b w:val="1"/>
          <w:bCs w:val="1"/>
          <w:i w:val="1"/>
          <w:iCs w:val="1"/>
          <w:color w:val="auto"/>
        </w:rPr>
        <w:t>Board of Directors vacancies</w:t>
      </w:r>
      <w:r>
        <w:rPr>
          <w:rFonts w:ascii="Arial" w:cs="Arial" w:eastAsia="Arial" w:hAnsi="Arial"/>
          <w:sz w:val="13"/>
          <w:szCs w:val="13"/>
          <w:color w:val="auto"/>
        </w:rPr>
        <w:t>. Our amended and restated certificate of incorporation and amended and restated bylaws will authorize only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33"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b w:val="1"/>
          <w:bCs w:val="1"/>
          <w:i w:val="1"/>
          <w:iCs w:val="1"/>
          <w:color w:val="auto"/>
        </w:rPr>
        <w:t>Classified Board of Directors</w:t>
      </w:r>
      <w:r>
        <w:rPr>
          <w:rFonts w:ascii="Arial" w:cs="Arial" w:eastAsia="Arial" w:hAnsi="Arial"/>
          <w:sz w:val="13"/>
          <w:szCs w:val="13"/>
          <w:color w:val="auto"/>
        </w:rPr>
        <w:t>. Our amended and restated certificate of incorporation and amended and restated bylaws will provide that, from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after the time that the Class B common stock no longer represents a majority of the combined voting power of our Class A common stock and Class B common stock, or the Voting Threshold Date, our Board of Directors will be classified into three classes of directors. A third party may be</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320"/>
          </w:cols>
          <w:pgMar w:left="240" w:top="407" w:right="133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312" w:lineRule="auto"/>
        <w:rPr>
          <w:sz w:val="20"/>
          <w:szCs w:val="20"/>
          <w:color w:val="auto"/>
        </w:rPr>
      </w:pPr>
      <w:r>
        <w:rPr>
          <w:rFonts w:ascii="Arial" w:cs="Arial" w:eastAsia="Arial" w:hAnsi="Arial"/>
          <w:sz w:val="14"/>
          <w:szCs w:val="14"/>
          <w:color w:val="auto"/>
        </w:rPr>
        <w:t>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23" w:lineRule="exact"/>
        <w:rPr>
          <w:sz w:val="20"/>
          <w:szCs w:val="20"/>
          <w:color w:val="auto"/>
        </w:rPr>
      </w:pPr>
    </w:p>
    <w:p>
      <w:pPr>
        <w:ind w:left="1120" w:right="40" w:firstLine="368"/>
        <w:spacing w:after="0" w:line="273" w:lineRule="auto"/>
        <w:rPr>
          <w:sz w:val="20"/>
          <w:szCs w:val="20"/>
          <w:color w:val="auto"/>
        </w:rPr>
      </w:pPr>
      <w:r>
        <w:rPr>
          <w:rFonts w:ascii="Arial" w:cs="Arial" w:eastAsia="Arial" w:hAnsi="Arial"/>
          <w:sz w:val="14"/>
          <w:szCs w:val="14"/>
          <w:b w:val="1"/>
          <w:bCs w:val="1"/>
          <w:i w:val="1"/>
          <w:iCs w:val="1"/>
          <w:color w:val="auto"/>
        </w:rPr>
        <w:t>Stockholder action; special meeting of stockholders</w:t>
      </w:r>
      <w:r>
        <w:rPr>
          <w:rFonts w:ascii="Arial" w:cs="Arial" w:eastAsia="Arial" w:hAnsi="Arial"/>
          <w:sz w:val="14"/>
          <w:szCs w:val="14"/>
          <w:color w:val="auto"/>
        </w:rPr>
        <w:t>. Our amended and restated certificate of incorporation will provide that until the Voting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Threshold Date, our stockholders may only take action by written consent if such action is first recommended or approved by the Board of Directors. Following the Voting Threshold Date, our 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bylaws will further provide that special meetings of our stockholders may be called only by a majority of our Board of Directors, the Chairman of our Board of Directors, our Chief Executive Officer or, until the Final Conversion Date, holders of 30% of the combined voting power of our Class A common stock and Class B common stock,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5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r>
        <w:rPr>
          <w:rFonts w:ascii="Arial" w:cs="Arial" w:eastAsia="Arial" w:hAnsi="Arial"/>
          <w:sz w:val="15"/>
          <w:szCs w:val="15"/>
          <w:color w:val="auto"/>
        </w:rPr>
        <w:t>. Our amended and restated bylaws will provide advance notice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61"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b w:val="1"/>
          <w:bCs w:val="1"/>
          <w:i w:val="1"/>
          <w:iCs w:val="1"/>
          <w:color w:val="auto"/>
        </w:rPr>
        <w:t>No cumulative voting</w:t>
      </w:r>
      <w:r>
        <w:rPr>
          <w:rFonts w:ascii="Arial" w:cs="Arial" w:eastAsia="Arial" w:hAnsi="Arial"/>
          <w:sz w:val="15"/>
          <w:szCs w:val="15"/>
          <w:color w:val="auto"/>
        </w:rPr>
        <w:t>. The Delaware General Corporation Law provides that stockholders are not entitled to cumulate votes in the election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unless a corporation’s certificate of incorporation provides otherwise. Our amended and restated certificate of incorporation does not provide for cumulative voting.</w:t>
      </w:r>
    </w:p>
    <w:p>
      <w:pPr>
        <w:spacing w:after="0" w:line="155"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b w:val="1"/>
          <w:bCs w:val="1"/>
          <w:i w:val="1"/>
          <w:iCs w:val="1"/>
          <w:color w:val="auto"/>
        </w:rPr>
        <w:t>Amendment of charter and bylaws provisions</w:t>
      </w:r>
      <w:r>
        <w:rPr>
          <w:rFonts w:ascii="Arial" w:cs="Arial" w:eastAsia="Arial" w:hAnsi="Arial"/>
          <w:sz w:val="14"/>
          <w:szCs w:val="14"/>
          <w:color w:val="auto"/>
        </w:rPr>
        <w:t>. Prior to the Final Conversion Date, any amendment of our amended and restated certificate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incorporation will require approval by holders of at least two-thirds of the voting power of our then outstanding capital stock. From and after the Final Conversion Date, certain amendments to our amended and restated certificate of incorporation will require the approval of two-thirds of the outstanding voting power of our common stock. Our amended and restated bylaws will provide that approval of stockholders holding two-thirds of our outstanding voting power voting as a single class is required for stockholders to amend or adopt any provision of our bylaws.</w:t>
      </w:r>
    </w:p>
    <w:p>
      <w:pPr>
        <w:spacing w:after="0" w:line="147"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b w:val="1"/>
          <w:bCs w:val="1"/>
          <w:i w:val="1"/>
          <w:iCs w:val="1"/>
          <w:color w:val="auto"/>
        </w:rPr>
        <w:t>Issuance of undesignated preferred stock</w:t>
      </w:r>
      <w:r>
        <w:rPr>
          <w:rFonts w:ascii="Arial" w:cs="Arial" w:eastAsia="Arial" w:hAnsi="Arial"/>
          <w:sz w:val="14"/>
          <w:szCs w:val="14"/>
          <w:color w:val="auto"/>
        </w:rPr>
        <w:t>. Our Board of Directors will have the authority, without further action by our stockholders, to issue up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240,000,000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Exclusive Forum</w:t>
      </w:r>
    </w:p>
    <w:p>
      <w:pPr>
        <w:spacing w:after="0" w:line="102" w:lineRule="exact"/>
        <w:rPr>
          <w:sz w:val="20"/>
          <w:szCs w:val="20"/>
          <w:color w:val="auto"/>
        </w:rPr>
      </w:pPr>
    </w:p>
    <w:p>
      <w:pPr>
        <w:jc w:val="both"/>
        <w:ind w:left="1120" w:right="220" w:firstLine="368"/>
        <w:spacing w:after="0" w:line="322" w:lineRule="auto"/>
        <w:rPr>
          <w:sz w:val="20"/>
          <w:szCs w:val="20"/>
          <w:color w:val="auto"/>
        </w:rPr>
      </w:pPr>
      <w:r>
        <w:rPr>
          <w:rFonts w:ascii="Arial" w:cs="Arial" w:eastAsia="Arial" w:hAnsi="Arial"/>
          <w:sz w:val="13"/>
          <w:szCs w:val="13"/>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320"/>
          </w:cols>
          <w:pgMar w:left="240" w:top="407" w:right="133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4" w:lineRule="auto"/>
        <w:rPr>
          <w:sz w:val="20"/>
          <w:szCs w:val="20"/>
          <w:color w:val="auto"/>
        </w:rPr>
      </w:pPr>
      <w:r>
        <w:rPr>
          <w:rFonts w:ascii="Arial" w:cs="Arial" w:eastAsia="Arial" w:hAnsi="Arial"/>
          <w:sz w:val="15"/>
          <w:szCs w:val="15"/>
          <w:color w:val="auto"/>
        </w:rPr>
        <w:t>Corporation Law or our certificate of incorporation or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will also provide that the federal district courts of the United States will be the exclusive forum for resolving any complaint asserting a cause of action arising under the Securities Act.</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Transfer Agent and Registrar</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Upon completion of this offering, the transfer agent and registrar for our common stock will be Computershare Trust Company, N.A. The transfer agent and registrar’s address is 144 Fernwood Avenue, Edison, NJ 08837.</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Limitations of Liability and Indemnification</w:t>
      </w:r>
    </w:p>
    <w:p>
      <w:pPr>
        <w:spacing w:after="0" w:line="102"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See the section titled “Certain Relationships and Related Party Transactions—Limitation of Liability and Indemnification of Officers and Directors.”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Listing</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applied for the listing of our Class A common stock on Nasdaq under the symbol “DBX”.</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40"/>
          </w:cols>
          <w:pgMar w:left="240" w:top="408" w:right="141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SHARES ELIGIBLE FOR FUTURE SALE</w:t>
      </w:r>
    </w:p>
    <w:p>
      <w:pPr>
        <w:spacing w:after="0" w:line="192"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4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Following the completion of this offering and the concurrent private placement, based on the number of shares of our capital stock outstanding as of December 31, 2017, we will have a total of 53,699,601 shares of our Class A common stock outstanding, 339,323,858 shares of our Class B common stock outstanding, and no shares of Class C common stock outstanding. Of these outstanding shares, all 36,000,000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47"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54" w:lineRule="exact"/>
        <w:rPr>
          <w:sz w:val="20"/>
          <w:szCs w:val="20"/>
          <w:color w:val="auto"/>
        </w:rPr>
      </w:pPr>
    </w:p>
    <w:p>
      <w:pPr>
        <w:ind w:left="1840" w:right="42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beginning on the date of this prospectus, all 36,000,000 shares of our Class A common stock sold in this offering will be immediately available for sale in the public market; and</w:t>
      </w:r>
    </w:p>
    <w:p>
      <w:pPr>
        <w:spacing w:after="0" w:line="67" w:lineRule="exact"/>
        <w:rPr>
          <w:rFonts w:ascii="Arial" w:cs="Arial" w:eastAsia="Arial" w:hAnsi="Arial"/>
          <w:sz w:val="15"/>
          <w:szCs w:val="15"/>
          <w:color w:val="auto"/>
        </w:rPr>
      </w:pPr>
    </w:p>
    <w:p>
      <w:pPr>
        <w:ind w:left="1840" w:right="100" w:hanging="276"/>
        <w:spacing w:after="0" w:line="263"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and market standoff agreements described below) 357,023,459 additional shares will become eligible for sale in the public market, of which 258,718,600 shares will be held by affiliates and subject to the volume and other restrictions of Rule 144, as described below.</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02" w:lineRule="exact"/>
        <w:rPr>
          <w:sz w:val="20"/>
          <w:szCs w:val="20"/>
          <w:color w:val="auto"/>
        </w:rPr>
      </w:pPr>
    </w:p>
    <w:p>
      <w:pPr>
        <w:ind w:left="1120" w:firstLine="368"/>
        <w:spacing w:after="0" w:line="291" w:lineRule="auto"/>
        <w:rPr>
          <w:sz w:val="20"/>
          <w:szCs w:val="20"/>
          <w:color w:val="auto"/>
        </w:rPr>
      </w:pPr>
      <w:r>
        <w:rPr>
          <w:rFonts w:ascii="Arial" w:cs="Arial" w:eastAsia="Arial" w:hAnsi="Arial"/>
          <w:sz w:val="13"/>
          <w:szCs w:val="13"/>
          <w:color w:val="auto"/>
        </w:rPr>
        <w:t>Our executive officers, directors, and certain other holders of our capital stock and securities convertible into or exchangeable for our capital stock have agreed that, subject to certain exceptions, for a period of 180 days after the date of this prospectus, or lock-up period, we and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Goldman Sachs</w:t>
      </w:r>
    </w:p>
    <w:p>
      <w:pPr>
        <w:spacing w:after="0" w:line="4" w:lineRule="exact"/>
        <w:rPr>
          <w:sz w:val="20"/>
          <w:szCs w:val="20"/>
          <w:color w:val="auto"/>
        </w:rPr>
      </w:pPr>
    </w:p>
    <w:p>
      <w:pPr>
        <w:jc w:val="both"/>
        <w:ind w:left="1120" w:right="40" w:hanging="8"/>
        <w:spacing w:after="0" w:line="253" w:lineRule="auto"/>
        <w:tabs>
          <w:tab w:leader="none" w:pos="1275"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 LLC and J.P. Morgan Securities LLC may, in their discretion, release any of the securities subject to these lock-up agreements at any time. In addition, our executive officers, directors, and holders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80"/>
          </w:cols>
          <w:pgMar w:left="240" w:top="408" w:right="137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10% of the total number of shares of Class A common stock outstanding immediately following this offering, and provided that each recipient executes and delivers a lock-up agreement with substantially the same restrictions to which our executive officers, directors, and certain other holders of our capital stock and securities convertible into or exchangeable for our capital stock are subject.</w:t>
      </w:r>
    </w:p>
    <w:p>
      <w:pPr>
        <w:spacing w:after="0" w:line="23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Rule 144</w:t>
      </w:r>
    </w:p>
    <w:p>
      <w:pPr>
        <w:spacing w:after="0" w:line="10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61"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0300"/>
          </w:cols>
          <w:pgMar w:left="240" w:top="408" w:right="1359" w:bottom="1440" w:gutter="0" w:footer="0" w:header="0"/>
        </w:sectPr>
      </w:pPr>
    </w:p>
    <w:p>
      <w:pPr>
        <w:spacing w:after="0" w:line="76"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1% of the number of shares of our Class A common stock then outstanding, which will equal completion of this offering and the concurrent private placement; 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shares immediately after the</w:t>
      </w:r>
    </w:p>
    <w:p>
      <w:pPr>
        <w:spacing w:after="0" w:line="312" w:lineRule="exact"/>
        <w:rPr>
          <w:sz w:val="20"/>
          <w:szCs w:val="20"/>
          <w:color w:val="auto"/>
        </w:rPr>
      </w:pPr>
    </w:p>
    <w:p>
      <w:pPr>
        <w:sectPr>
          <w:pgSz w:w="11900" w:h="16838" w:orient="portrait"/>
          <w:cols w:equalWidth="0" w:num="3">
            <w:col w:w="1620" w:space="220"/>
            <w:col w:w="5580" w:space="540"/>
            <w:col w:w="2340"/>
          </w:cols>
          <w:pgMar w:left="240" w:top="408" w:right="1359" w:bottom="1440" w:gutter="0" w:footer="0" w:header="0"/>
          <w:type w:val="continuous"/>
        </w:sectPr>
      </w:pPr>
    </w:p>
    <w:p>
      <w:pPr>
        <w:ind w:left="1840" w:right="200" w:hanging="276"/>
        <w:spacing w:after="0" w:line="275" w:lineRule="auto"/>
        <w:tabs>
          <w:tab w:leader="none" w:pos="1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average weekly trading volume of our Class A common stock during the four calendar weeks preceding the filing of a notice on Form 144 with respect to that sale.</w:t>
      </w:r>
    </w:p>
    <w:p>
      <w:pPr>
        <w:spacing w:after="0" w:line="146"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Sales of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Rule 701</w:t>
      </w:r>
    </w:p>
    <w:p>
      <w:pPr>
        <w:spacing w:after="0" w:line="102"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Rights</w:t>
      </w:r>
    </w:p>
    <w:p>
      <w:pPr>
        <w:spacing w:after="0" w:line="102"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Pursuant to our IRA, after the completion of this offering and the concurrent private placement, the holders of up to 144,907,822 shares of our Class B common stock and 6,140,973 shares of our Class A common stock, 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300"/>
          </w:cols>
          <w:pgMar w:left="240" w:top="408" w:right="1359" w:bottom="1440" w:gutter="0" w:footer="0" w:header="0"/>
          <w:type w:val="continuous"/>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7" w:lineRule="auto"/>
        <w:rPr>
          <w:sz w:val="20"/>
          <w:szCs w:val="20"/>
          <w:color w:val="auto"/>
        </w:rPr>
      </w:pPr>
      <w:r>
        <w:rPr>
          <w:rFonts w:ascii="Arial" w:cs="Arial" w:eastAsia="Arial" w:hAnsi="Arial"/>
          <w:sz w:val="15"/>
          <w:szCs w:val="15"/>
          <w:color w:val="auto"/>
        </w:rPr>
        <w:t>certain transferees, will be entitled to certain rights with respect to the registration of the offer and sale of those shares, as converted into an equivalent number of shares of our Class A common stock upon such offer and sale, under the Securities Act. See the section titled “Description of Capital Stock— 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Statement</w:t>
      </w:r>
    </w:p>
    <w:p>
      <w:pPr>
        <w:spacing w:after="0" w:line="10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intend to file a registration statement on Form S-8 under the Securities Act promptly after the completion of this offering to register shares of our common stock subject to RSUs and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300"/>
          </w:cols>
          <w:pgMar w:left="240" w:top="407" w:right="135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2"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The following is a summary of the material U.S. federal income tax consequences to certain non-U.S. holders (as defined below) of the ownership and disposition of our Class A common stock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No ruling from the Internal Revenue Service, or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4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or any tax considerations applicable to a non-U.S. holder’s particular circumstances or non-U.S. holders that may be subject to special tax rules, including, without limitation:</w:t>
      </w:r>
    </w:p>
    <w:p>
      <w:pPr>
        <w:spacing w:after="0" w:line="79" w:lineRule="exact"/>
        <w:rPr>
          <w:sz w:val="20"/>
          <w:szCs w:val="20"/>
          <w:color w:val="auto"/>
        </w:rPr>
      </w:pPr>
    </w:p>
    <w:p>
      <w:pPr>
        <w:ind w:left="1840" w:right="70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 (except to the extent specifically set forth below), regulated investment companies, or real estate investment trusts;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109" w:lineRule="exact"/>
        <w:rPr>
          <w:rFonts w:ascii="Arial" w:cs="Arial" w:eastAsia="Arial" w:hAnsi="Arial"/>
          <w:sz w:val="15"/>
          <w:szCs w:val="15"/>
          <w:color w:val="auto"/>
        </w:rPr>
      </w:pPr>
    </w:p>
    <w:p>
      <w:pPr>
        <w:ind w:left="1840" w:right="42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or corporations that accumulate earnings to avoid U.S. federal income tax;</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brokers or dealers in securities or currencies;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traders in securities or other persons that elect to use a mark-to-market method of accounting for their holdings in our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U.S. expatriates or certain former citizens or long-term residents of the United States;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partnerships or entities classified as partnerships for U.S. federal income tax purposes or other pass-through entities (and investors therein);</w:t>
      </w:r>
    </w:p>
    <w:p>
      <w:pPr>
        <w:spacing w:after="0" w:line="132" w:lineRule="exact"/>
        <w:rPr>
          <w:rFonts w:ascii="Arial" w:cs="Arial" w:eastAsia="Arial" w:hAnsi="Arial"/>
          <w:sz w:val="13"/>
          <w:szCs w:val="13"/>
          <w:color w:val="auto"/>
        </w:rPr>
      </w:pPr>
    </w:p>
    <w:p>
      <w:pPr>
        <w:ind w:left="1840" w:right="42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hold our Class A common stock as a position in a hedging transaction, “straddle,” “conversion transaction,” or other risk reduction transaction or integrated investment;</w:t>
      </w:r>
    </w:p>
    <w:p>
      <w:pPr>
        <w:spacing w:after="0" w:line="67" w:lineRule="exact"/>
        <w:rPr>
          <w:rFonts w:ascii="Arial" w:cs="Arial" w:eastAsia="Arial" w:hAnsi="Arial"/>
          <w:sz w:val="15"/>
          <w:szCs w:val="15"/>
          <w:color w:val="auto"/>
        </w:rPr>
      </w:pPr>
    </w:p>
    <w:p>
      <w:pPr>
        <w:ind w:left="1840" w:right="88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do not hold our Class A common stock as a capital asset within the meaning of Section 1221 of the Code;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109" w:lineRule="exact"/>
        <w:rPr>
          <w:rFonts w:ascii="Arial" w:cs="Arial" w:eastAsia="Arial" w:hAnsi="Arial"/>
          <w:sz w:val="15"/>
          <w:szCs w:val="15"/>
          <w:color w:val="auto"/>
        </w:rPr>
      </w:pPr>
    </w:p>
    <w:p>
      <w:pPr>
        <w:ind w:left="1840" w:right="30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that own, or are deemed to own, more than five percent of our Class A common stock (except to the extent specifically set forth below);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that own, or are deemed to own, our Class B common stock.</w:t>
      </w:r>
    </w:p>
    <w:p>
      <w:pPr>
        <w:spacing w:after="0" w:line="18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In addition, if a partnership or entity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300"/>
          </w:cols>
          <w:pgMar w:left="240" w:top="408" w:right="135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1120" w:right="80" w:firstLine="368"/>
        <w:spacing w:after="0" w:line="293" w:lineRule="auto"/>
        <w:rPr>
          <w:sz w:val="20"/>
          <w:szCs w:val="20"/>
          <w:color w:val="auto"/>
        </w:rPr>
      </w:pPr>
      <w:r>
        <w:rPr>
          <w:rFonts w:ascii="Arial" w:cs="Arial" w:eastAsia="Arial" w:hAnsi="Arial"/>
          <w:sz w:val="14"/>
          <w:szCs w:val="14"/>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Non-U.S. Holder Defined</w:t>
      </w:r>
    </w:p>
    <w:p>
      <w:pPr>
        <w:spacing w:after="0" w:line="102" w:lineRule="exact"/>
        <w:rPr>
          <w:sz w:val="20"/>
          <w:szCs w:val="20"/>
          <w:color w:val="auto"/>
        </w:rPr>
      </w:pPr>
    </w:p>
    <w:p>
      <w:pPr>
        <w:ind w:left="1120" w:right="660" w:firstLine="368"/>
        <w:spacing w:after="0" w:line="312" w:lineRule="auto"/>
        <w:rPr>
          <w:sz w:val="20"/>
          <w:szCs w:val="20"/>
          <w:color w:val="auto"/>
        </w:rPr>
      </w:pPr>
      <w:r>
        <w:rPr>
          <w:rFonts w:ascii="Arial" w:cs="Arial" w:eastAsia="Arial" w:hAnsi="Arial"/>
          <w:sz w:val="14"/>
          <w:szCs w:val="14"/>
          <w:color w:val="auto"/>
        </w:rPr>
        <w:t>For purposes of this discussion, you are a non-U.S. holder if you are a holder of our common stock that is not a partnership (or entity or arrangement treated as a partnership for U.S. federal income tax purposes) and is not any of the following:</w:t>
      </w:r>
    </w:p>
    <w:p>
      <w:pPr>
        <w:spacing w:after="0" w:line="44" w:lineRule="exact"/>
        <w:rPr>
          <w:sz w:val="20"/>
          <w:szCs w:val="20"/>
          <w:color w:val="auto"/>
        </w:rPr>
      </w:pPr>
    </w:p>
    <w:p>
      <w:pPr>
        <w:ind w:left="1840" w:hanging="276"/>
        <w:spacing w:after="0"/>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(for U.S. federal income tax purposes);</w:t>
      </w:r>
    </w:p>
    <w:p>
      <w:pPr>
        <w:spacing w:after="0" w:line="109"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109" w:lineRule="exact"/>
        <w:rPr>
          <w:rFonts w:ascii="Arial" w:cs="Arial" w:eastAsia="Arial" w:hAnsi="Arial"/>
          <w:sz w:val="15"/>
          <w:szCs w:val="15"/>
          <w:color w:val="auto"/>
        </w:rPr>
      </w:pPr>
    </w:p>
    <w:p>
      <w:pPr>
        <w:jc w:val="both"/>
        <w:ind w:left="1840" w:right="120" w:hanging="276"/>
        <w:spacing w:after="0" w:line="263" w:lineRule="auto"/>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 of the Code) who have the authority to control all substantial decisions of the trust or (y) which has made a valid election to be treated as a U.S. person.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Distributions</w:t>
      </w:r>
    </w:p>
    <w:p>
      <w:pPr>
        <w:spacing w:after="0" w:line="102"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As described in the section titled “Dividend Policy,” we have never declared or paid cash dividends on our capital stock and do not anticipate paying any dividends on our capital stock in the foreseeable future. However, if we do make distributions on our Class A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but not below zero, and then will be treated as gain from the sale of stock as described below under “—Gain on Disposition of Our Class A Common Stock.”</w:t>
      </w:r>
    </w:p>
    <w:p>
      <w:pPr>
        <w:spacing w:after="0" w:line="148"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Except as otherwise described below in the discussions of effectively connected income (in the next paragraph), backup withholding and FATCA,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54"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including any required attachments</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300"/>
          </w:cols>
          <w:pgMar w:left="240" w:top="408"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55" w:lineRule="auto"/>
        <w:rPr>
          <w:sz w:val="20"/>
          <w:szCs w:val="20"/>
          <w:color w:val="auto"/>
        </w:rPr>
      </w:pPr>
      <w:r>
        <w:rPr>
          <w:rFonts w:ascii="Arial" w:cs="Arial" w:eastAsia="Arial" w:hAnsi="Arial"/>
          <w:sz w:val="15"/>
          <w:szCs w:val="15"/>
          <w:color w:val="auto"/>
        </w:rPr>
        <w:t>and your taxpayer identification number; additionally you will be required to update such forms and certifications from time to time as required by law. Such effectively connected dividends, although not subject to withholding tax, are includable on your U.S. income tax return and generally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Gain on Disposition of Our Class A Common Stock</w:t>
      </w:r>
    </w:p>
    <w:p>
      <w:pPr>
        <w:spacing w:after="0" w:line="102"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Except as otherwise described below in the discussions of backup withholding and FATCA, you generally will not be subject to U.S. federal income tax on any gain realized upon the sale or other disposition of our Class A common stock unless:</w:t>
      </w:r>
    </w:p>
    <w:p>
      <w:pPr>
        <w:spacing w:after="0" w:line="67" w:lineRule="exact"/>
        <w:rPr>
          <w:sz w:val="20"/>
          <w:szCs w:val="20"/>
          <w:color w:val="auto"/>
        </w:rPr>
      </w:pPr>
    </w:p>
    <w:p>
      <w:pPr>
        <w:ind w:left="1840" w:right="120" w:hanging="276"/>
        <w:spacing w:after="0" w:line="275" w:lineRule="auto"/>
        <w:tabs>
          <w:tab w:leader="none" w:pos="18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67" w:lineRule="exact"/>
        <w:rPr>
          <w:rFonts w:ascii="Arial" w:cs="Arial" w:eastAsia="Arial" w:hAnsi="Arial"/>
          <w:sz w:val="15"/>
          <w:szCs w:val="15"/>
          <w:color w:val="auto"/>
        </w:rPr>
      </w:pPr>
    </w:p>
    <w:p>
      <w:pPr>
        <w:ind w:left="1840" w:right="160" w:hanging="276"/>
        <w:spacing w:after="0" w:line="275" w:lineRule="auto"/>
        <w:tabs>
          <w:tab w:leader="none" w:pos="18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67" w:lineRule="exact"/>
        <w:rPr>
          <w:rFonts w:ascii="Arial" w:cs="Arial" w:eastAsia="Arial" w:hAnsi="Arial"/>
          <w:sz w:val="15"/>
          <w:szCs w:val="15"/>
          <w:color w:val="auto"/>
        </w:rPr>
      </w:pPr>
    </w:p>
    <w:p>
      <w:pPr>
        <w:ind w:left="1840" w:right="40" w:hanging="276"/>
        <w:spacing w:after="0" w:line="257" w:lineRule="auto"/>
        <w:tabs>
          <w:tab w:leader="none" w:pos="18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 and, in the case where shares of our Class A common stock are regularly traded on an established securities market, you own, or are treated as owning, more than 5% of our Class A common stock at any time during the foregoing period.</w:t>
      </w:r>
    </w:p>
    <w:p>
      <w:pPr>
        <w:spacing w:after="0" w:line="159"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Class A common stock is regularly traded on an established securities market, such Class A common stock will be treated as U.S. real property interests only if you actually or constructively hold more than 5% of such regularly traded Class A common stock at any time during the shorter of the five-year period preceding your disposition of, or your holding period for, our Class A common stock. No assurance can be provided that our Class A common stock will be regularly traded on an established securities market at all times for purposes of the rules described above.</w:t>
      </w:r>
    </w:p>
    <w:p>
      <w:pPr>
        <w:spacing w:after="0" w:line="15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with respect to whether any applicable income tax or other treaties may provide for different rules.</w:t>
      </w:r>
    </w:p>
    <w:p>
      <w:pPr>
        <w:spacing w:after="0" w:line="10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300"/>
          </w:cols>
          <w:pgMar w:left="240" w:top="408" w:right="135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Federal Estate Tax</w:t>
      </w:r>
    </w:p>
    <w:p>
      <w:pPr>
        <w:spacing w:after="0" w:line="102"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Our Class A common stock beneficially owned by an individual who is not a citizen or resident of the United States (as defined for U.S. federal estate tax purposes) at the time of their death will generally be includable in the decedent’s gross estate for U.S. federal estate tax purposes, unless an applicable estate tax treaty provides otherwise.</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0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55" w:lineRule="exact"/>
        <w:rPr>
          <w:sz w:val="20"/>
          <w:szCs w:val="20"/>
          <w:color w:val="auto"/>
        </w:rPr>
      </w:pPr>
    </w:p>
    <w:p>
      <w:pPr>
        <w:jc w:val="both"/>
        <w:ind w:left="1120" w:right="40" w:firstLine="368"/>
        <w:spacing w:after="0" w:line="283" w:lineRule="auto"/>
        <w:rPr>
          <w:sz w:val="20"/>
          <w:szCs w:val="20"/>
          <w:color w:val="auto"/>
        </w:rPr>
      </w:pPr>
      <w:r>
        <w:rPr>
          <w:rFonts w:ascii="Arial" w:cs="Arial" w:eastAsia="Arial" w:hAnsi="Arial"/>
          <w:sz w:val="14"/>
          <w:szCs w:val="14"/>
          <w:color w:val="auto"/>
        </w:rPr>
        <w:t>Payments of dividends or of proceeds on the disposition of stock made to you may be subject to information reporting and backup withholding at a current rate of 28% unless you establish an exemption, for example, by properly certifying your non-U.S. status on an IRS Form W-8BEN, IRS Form W-8BEN-E, or another appropriate version of IRS Form W-8. Notwithstanding the foregoing, backup withholding and information reporting may apply if either we our paying agent has actual knowledge, or reason to know, that you are a United States person as defined under the Code.</w:t>
      </w:r>
    </w:p>
    <w:p>
      <w:pPr>
        <w:spacing w:after="0" w:line="14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FATCA</w:t>
      </w:r>
    </w:p>
    <w:p>
      <w:pPr>
        <w:spacing w:after="0" w:line="102" w:lineRule="exact"/>
        <w:rPr>
          <w:sz w:val="20"/>
          <w:szCs w:val="20"/>
          <w:color w:val="auto"/>
        </w:rPr>
      </w:pPr>
    </w:p>
    <w:p>
      <w:pPr>
        <w:ind w:left="1120" w:firstLine="368"/>
        <w:spacing w:after="0" w:line="294" w:lineRule="auto"/>
        <w:rPr>
          <w:sz w:val="20"/>
          <w:szCs w:val="20"/>
          <w:color w:val="auto"/>
        </w:rPr>
      </w:pPr>
      <w:r>
        <w:rPr>
          <w:rFonts w:ascii="Arial" w:cs="Arial" w:eastAsia="Arial" w:hAnsi="Arial"/>
          <w:sz w:val="13"/>
          <w:szCs w:val="13"/>
          <w:color w:val="auto"/>
        </w:rPr>
        <w:t>The Foreign Account Tax Compliance Act and the rules and regulations promulgated thereunder, or collectively, FATCA, generally impose withholding tax at a rate of 30% on dividends on and gross proceeds from the sale or other disposition of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Class A common stock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Class A common stock, and under current transition rules, are expected to apply with respect to the gross proceeds from the sale or other disposition of our Class A common stock on or after January 1, 2019. An intergovernmental agreement between the United States and your country of tax residence may modify the requirements described in this paragraph. If a dividend payment is both subject to withholding under FATCA and subject to the withholding tax discussed above under “—Distributions,” the withholding under FATCA may be credited against, and therefore reduce, such other withholding tax. Non-U.S. holders should consult their own tax advisors regarding the possible implications of FATCA on their investment in our Class A common stock.</w:t>
      </w:r>
    </w:p>
    <w:p>
      <w:pPr>
        <w:spacing w:after="0" w:line="139" w:lineRule="exact"/>
        <w:rPr>
          <w:sz w:val="20"/>
          <w:szCs w:val="20"/>
          <w:color w:val="auto"/>
        </w:rPr>
      </w:pPr>
    </w:p>
    <w:p>
      <w:pPr>
        <w:ind w:left="1120" w:right="280" w:firstLine="368"/>
        <w:spacing w:after="0" w:line="266"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300"/>
          </w:cols>
          <w:pgMar w:left="240" w:top="408" w:right="135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UNDERWRITING (CONFLICTS OF INTEREST)</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We, the selling stockholders and the underwriters named below will enter into an underwriting agreement with respect to the shares being offered.</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Subject to certain conditions, each underwriter will severally agree to purchase the number of shares indicated in the following table. Goldman Sachs &amp;</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Co. LLC and J.P. Morgan Securities LLC are the representatives of the underwriters.</w:t>
      </w:r>
    </w:p>
    <w:p>
      <w:pPr>
        <w:spacing w:after="0" w:line="196" w:lineRule="exact"/>
        <w:rPr>
          <w:sz w:val="20"/>
          <w:szCs w:val="20"/>
          <w:color w:val="auto"/>
        </w:rPr>
      </w:pPr>
    </w:p>
    <w:tbl>
      <w:tblPr>
        <w:tblLayout w:type="fixed"/>
        <w:tblInd w:w="2220" w:type="dxa"/>
        <w:tblCellMar>
          <w:top w:w="0" w:type="dxa"/>
          <w:left w:w="0" w:type="dxa"/>
          <w:bottom w:w="0" w:type="dxa"/>
          <w:right w:w="0" w:type="dxa"/>
        </w:tblCellMar>
      </w:tblPr>
      <w:tr>
        <w:trPr>
          <w:trHeight w:val="142"/>
        </w:trPr>
        <w:tc>
          <w:tcPr>
            <w:tcW w:w="6080" w:type="dxa"/>
            <w:vAlign w:val="bottom"/>
            <w:gridSpan w:val="2"/>
          </w:tcPr>
          <w:p>
            <w:pPr>
              <w:spacing w:after="0"/>
              <w:rPr>
                <w:sz w:val="20"/>
                <w:szCs w:val="20"/>
                <w:color w:val="auto"/>
              </w:rPr>
            </w:pPr>
            <w:r>
              <w:rPr>
                <w:rFonts w:ascii="Arial" w:cs="Arial" w:eastAsia="Arial" w:hAnsi="Arial"/>
                <w:sz w:val="12"/>
                <w:szCs w:val="12"/>
                <w:color w:val="auto"/>
              </w:rPr>
              <w:t>Underwriters</w:t>
            </w:r>
          </w:p>
        </w:tc>
        <w:tc>
          <w:tcPr>
            <w:tcW w:w="920" w:type="dxa"/>
            <w:vAlign w:val="bottom"/>
            <w:gridSpan w:val="2"/>
          </w:tcPr>
          <w:p>
            <w:pPr>
              <w:spacing w:after="0"/>
              <w:rPr>
                <w:sz w:val="20"/>
                <w:szCs w:val="20"/>
                <w:color w:val="auto"/>
              </w:rPr>
            </w:pPr>
            <w:r>
              <w:rPr>
                <w:rFonts w:ascii="Arial" w:cs="Arial" w:eastAsia="Arial" w:hAnsi="Arial"/>
                <w:sz w:val="12"/>
                <w:szCs w:val="12"/>
                <w:color w:val="auto"/>
                <w:w w:val="94"/>
              </w:rPr>
              <w:t>Number of shares</w:t>
            </w:r>
          </w:p>
        </w:tc>
      </w:tr>
      <w:tr>
        <w:trPr>
          <w:trHeight w:val="158"/>
        </w:trPr>
        <w:tc>
          <w:tcPr>
            <w:tcW w:w="64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5"/>
                <w:szCs w:val="15"/>
                <w:color w:val="auto"/>
              </w:rPr>
              <w:t>Goldman</w:t>
            </w:r>
          </w:p>
        </w:tc>
        <w:tc>
          <w:tcPr>
            <w:tcW w:w="544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5"/>
                <w:szCs w:val="15"/>
                <w:color w:val="auto"/>
              </w:rPr>
              <w:t>Sachs &amp; Co. LLC</w:t>
            </w: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J.P. Morgan Securities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Securities Inc.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Allen &amp; Company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60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Merrill Lynch, Pierce, Fenner &amp; Smith</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2"/>
        </w:trPr>
        <w:tc>
          <w:tcPr>
            <w:tcW w:w="640" w:type="dxa"/>
            <w:vAlign w:val="bottom"/>
            <w:shd w:val="clear" w:color="auto" w:fill="CCEEFF"/>
          </w:tcPr>
          <w:p>
            <w:pPr>
              <w:spacing w:after="0"/>
              <w:rPr>
                <w:sz w:val="17"/>
                <w:szCs w:val="17"/>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Incorporated</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RBC Capital Markets,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Jefferies LLC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Macquarie Capital (USA) Inc.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Canaccord Genuity Inc.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JMP Securities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KeyBanc Capital Markets Inc.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6080" w:type="dxa"/>
            <w:vAlign w:val="bottom"/>
            <w:gridSpan w:val="2"/>
          </w:tcPr>
          <w:p>
            <w:pPr>
              <w:spacing w:after="0"/>
              <w:rPr>
                <w:sz w:val="20"/>
                <w:szCs w:val="20"/>
                <w:color w:val="auto"/>
              </w:rPr>
            </w:pPr>
            <w:r>
              <w:rPr>
                <w:rFonts w:ascii="Arial" w:cs="Arial" w:eastAsia="Arial" w:hAnsi="Arial"/>
                <w:sz w:val="15"/>
                <w:szCs w:val="15"/>
                <w:color w:val="auto"/>
              </w:rPr>
              <w:t>Piper Jaffray &amp; Co.</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36,000,000</w:t>
            </w:r>
          </w:p>
        </w:tc>
        <w:tc>
          <w:tcPr>
            <w:tcW w:w="60" w:type="dxa"/>
            <w:vAlign w:val="bottom"/>
            <w:shd w:val="clear" w:color="auto" w:fill="CCEEFF"/>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The underwriters will be committed to take and pay for all of the shares being offered, if any are taken, other than the shares covered by the option described below, unless and until this option is exercised.</w:t>
      </w:r>
    </w:p>
    <w:p>
      <w:pPr>
        <w:spacing w:after="0" w:line="146"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The underwriters will have an option to buy up to an additional 5,400,000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38" w:lineRule="exact"/>
        <w:rPr>
          <w:sz w:val="20"/>
          <w:szCs w:val="20"/>
          <w:color w:val="auto"/>
        </w:rPr>
      </w:pPr>
    </w:p>
    <w:p>
      <w:pPr>
        <w:ind w:left="1120" w:right="80" w:firstLine="368"/>
        <w:spacing w:after="0" w:line="354" w:lineRule="auto"/>
        <w:rPr>
          <w:sz w:val="20"/>
          <w:szCs w:val="20"/>
          <w:color w:val="auto"/>
        </w:rPr>
      </w:pPr>
      <w:r>
        <w:rPr>
          <w:rFonts w:ascii="Arial" w:cs="Arial" w:eastAsia="Arial" w:hAnsi="Arial"/>
          <w:sz w:val="13"/>
          <w:szCs w:val="13"/>
          <w:color w:val="auto"/>
        </w:rPr>
        <w:t>The following tables show the per share and total underwriting discounts and commissions to be paid to the underwriters by us and the selling stockholders. Such amounts are shown assuming both no exercise and full exercise of the underwriters’ option to purchase 5,400,000 additional shares.</w:t>
      </w:r>
    </w:p>
    <w:p>
      <w:pPr>
        <w:spacing w:after="0" w:line="191" w:lineRule="exact"/>
        <w:rPr>
          <w:sz w:val="20"/>
          <w:szCs w:val="20"/>
          <w:color w:val="auto"/>
        </w:rPr>
      </w:pPr>
    </w:p>
    <w:p>
      <w:pPr>
        <w:ind w:left="5400"/>
        <w:spacing w:after="0"/>
        <w:rPr>
          <w:sz w:val="20"/>
          <w:szCs w:val="20"/>
          <w:color w:val="auto"/>
        </w:rPr>
      </w:pPr>
      <w:r>
        <w:rPr>
          <w:rFonts w:ascii="Arial" w:cs="Arial" w:eastAsia="Arial" w:hAnsi="Arial"/>
          <w:sz w:val="15"/>
          <w:szCs w:val="15"/>
          <w:u w:val="single" w:color="auto"/>
          <w:color w:val="auto"/>
        </w:rPr>
        <w:t>Paid by us</w:t>
      </w:r>
    </w:p>
    <w:p>
      <w:pPr>
        <w:spacing w:after="0" w:line="206" w:lineRule="exact"/>
        <w:rPr>
          <w:sz w:val="20"/>
          <w:szCs w:val="20"/>
          <w:color w:val="auto"/>
        </w:rPr>
      </w:pPr>
    </w:p>
    <w:tbl>
      <w:tblPr>
        <w:tblLayout w:type="fixed"/>
        <w:tblInd w:w="2220" w:type="dxa"/>
        <w:tblCellMar>
          <w:top w:w="0" w:type="dxa"/>
          <w:left w:w="0" w:type="dxa"/>
          <w:bottom w:w="0" w:type="dxa"/>
          <w:right w:w="0" w:type="dxa"/>
        </w:tblCellMar>
      </w:tblPr>
      <w:tr>
        <w:trPr>
          <w:trHeight w:val="140"/>
        </w:trPr>
        <w:tc>
          <w:tcPr>
            <w:tcW w:w="2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No exercise</w:t>
            </w:r>
          </w:p>
        </w:tc>
        <w:tc>
          <w:tcPr>
            <w:tcW w:w="1180" w:type="dxa"/>
            <w:vAlign w:val="bottom"/>
            <w:gridSpan w:val="3"/>
          </w:tcPr>
          <w:p>
            <w:pPr>
              <w:ind w:left="500"/>
              <w:spacing w:after="0"/>
              <w:rPr>
                <w:sz w:val="20"/>
                <w:szCs w:val="20"/>
                <w:color w:val="auto"/>
              </w:rPr>
            </w:pPr>
            <w:r>
              <w:rPr>
                <w:rFonts w:ascii="Arial" w:cs="Arial" w:eastAsia="Arial" w:hAnsi="Arial"/>
                <w:sz w:val="12"/>
                <w:szCs w:val="12"/>
                <w:color w:val="auto"/>
                <w:w w:val="97"/>
              </w:rPr>
              <w:t>Full exercise</w:t>
            </w:r>
          </w:p>
        </w:tc>
      </w:tr>
      <w:tr>
        <w:trPr>
          <w:trHeight w:val="172"/>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Per share</w:t>
            </w:r>
          </w:p>
        </w:tc>
        <w:tc>
          <w:tcPr>
            <w:tcW w:w="19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5"/>
                <w:szCs w:val="15"/>
                <w:color w:val="auto"/>
              </w:rPr>
              <w:t>Total</w:t>
            </w:r>
          </w:p>
        </w:tc>
        <w:tc>
          <w:tcPr>
            <w:tcW w:w="3280" w:type="dxa"/>
            <w:vAlign w:val="bottom"/>
            <w:gridSpan w:val="3"/>
          </w:tcPr>
          <w:p>
            <w:pPr>
              <w:jc w:val="right"/>
              <w:ind w:right="472"/>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r>
      <w:tr>
        <w:trPr>
          <w:trHeight w:val="408"/>
        </w:trPr>
        <w:tc>
          <w:tcPr>
            <w:tcW w:w="2540" w:type="dxa"/>
            <w:vAlign w:val="bottom"/>
          </w:tcPr>
          <w:p>
            <w:pPr>
              <w:spacing w:after="0"/>
              <w:rPr>
                <w:sz w:val="24"/>
                <w:szCs w:val="24"/>
                <w:color w:val="auto"/>
              </w:rPr>
            </w:pPr>
          </w:p>
        </w:tc>
        <w:tc>
          <w:tcPr>
            <w:tcW w:w="3280" w:type="dxa"/>
            <w:vAlign w:val="bottom"/>
            <w:gridSpan w:val="3"/>
          </w:tcPr>
          <w:p>
            <w:pPr>
              <w:jc w:val="right"/>
              <w:ind w:right="1312"/>
              <w:spacing w:after="0"/>
              <w:rPr>
                <w:sz w:val="20"/>
                <w:szCs w:val="20"/>
                <w:color w:val="auto"/>
              </w:rPr>
            </w:pPr>
            <w:r>
              <w:rPr>
                <w:rFonts w:ascii="Arial" w:cs="Arial" w:eastAsia="Arial" w:hAnsi="Arial"/>
                <w:sz w:val="15"/>
                <w:szCs w:val="15"/>
                <w:color w:val="auto"/>
                <w:w w:val="90"/>
              </w:rPr>
              <w:t>Paid by the selling stockholders</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2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No exercise</w:t>
            </w:r>
          </w:p>
        </w:tc>
        <w:tc>
          <w:tcPr>
            <w:tcW w:w="1180" w:type="dxa"/>
            <w:vAlign w:val="bottom"/>
            <w:gridSpan w:val="3"/>
          </w:tcPr>
          <w:p>
            <w:pPr>
              <w:ind w:left="500"/>
              <w:spacing w:after="0"/>
              <w:rPr>
                <w:sz w:val="20"/>
                <w:szCs w:val="20"/>
                <w:color w:val="auto"/>
              </w:rPr>
            </w:pPr>
            <w:r>
              <w:rPr>
                <w:rFonts w:ascii="Arial" w:cs="Arial" w:eastAsia="Arial" w:hAnsi="Arial"/>
                <w:sz w:val="12"/>
                <w:szCs w:val="12"/>
                <w:color w:val="auto"/>
                <w:w w:val="97"/>
              </w:rPr>
              <w:t>Full exercise</w:t>
            </w:r>
          </w:p>
        </w:tc>
      </w:tr>
      <w:tr>
        <w:trPr>
          <w:trHeight w:val="172"/>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Per share</w:t>
            </w:r>
          </w:p>
        </w:tc>
        <w:tc>
          <w:tcPr>
            <w:tcW w:w="19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5"/>
                <w:szCs w:val="15"/>
                <w:color w:val="auto"/>
              </w:rPr>
              <w:t>Total</w:t>
            </w:r>
          </w:p>
        </w:tc>
        <w:tc>
          <w:tcPr>
            <w:tcW w:w="3280" w:type="dxa"/>
            <w:vAlign w:val="bottom"/>
            <w:gridSpan w:val="3"/>
          </w:tcPr>
          <w:p>
            <w:pPr>
              <w:jc w:val="right"/>
              <w:ind w:right="472"/>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r>
    </w:tbl>
    <w:p>
      <w:pPr>
        <w:spacing w:after="0" w:line="16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of this prospectus.</w:t>
      </w:r>
    </w:p>
    <w:p>
      <w:pPr>
        <w:spacing w:after="0" w:line="29" w:lineRule="exact"/>
        <w:rPr>
          <w:sz w:val="20"/>
          <w:szCs w:val="20"/>
          <w:color w:val="auto"/>
        </w:rPr>
      </w:pPr>
    </w:p>
    <w:p>
      <w:pPr>
        <w:ind w:left="1120" w:right="340"/>
        <w:spacing w:after="0" w:line="262" w:lineRule="auto"/>
        <w:rPr>
          <w:sz w:val="20"/>
          <w:szCs w:val="20"/>
          <w:color w:val="auto"/>
        </w:rPr>
      </w:pPr>
      <w:r>
        <w:rPr>
          <w:rFonts w:ascii="Arial" w:cs="Arial" w:eastAsia="Arial" w:hAnsi="Arial"/>
          <w:sz w:val="15"/>
          <w:szCs w:val="15"/>
          <w:color w:val="auto"/>
        </w:rPr>
        <w:t>Any shares sold by the underwriters to securities dealers may be sold at a discount of up to $ per share from the initial public offering price. After the initial offering of the shares,</w:t>
      </w:r>
    </w:p>
    <w:p>
      <w:pPr>
        <w:spacing w:after="0" w:line="9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300"/>
          </w:cols>
          <w:pgMar w:left="240" w:top="407" w:right="135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75" w:lineRule="auto"/>
        <w:rPr>
          <w:sz w:val="20"/>
          <w:szCs w:val="20"/>
          <w:color w:val="auto"/>
        </w:rPr>
      </w:pPr>
      <w:r>
        <w:rPr>
          <w:rFonts w:ascii="Arial" w:cs="Arial" w:eastAsia="Arial" w:hAnsi="Arial"/>
          <w:sz w:val="15"/>
          <w:szCs w:val="15"/>
          <w:color w:val="auto"/>
        </w:rPr>
        <w:t>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6" w:lineRule="exact"/>
        <w:rPr>
          <w:sz w:val="20"/>
          <w:szCs w:val="20"/>
          <w:color w:val="auto"/>
        </w:rPr>
      </w:pPr>
    </w:p>
    <w:p>
      <w:pPr>
        <w:ind w:left="1120" w:firstLine="368"/>
        <w:spacing w:after="0" w:line="293" w:lineRule="auto"/>
        <w:rPr>
          <w:sz w:val="20"/>
          <w:szCs w:val="20"/>
          <w:color w:val="auto"/>
        </w:rPr>
      </w:pPr>
      <w:r>
        <w:rPr>
          <w:rFonts w:ascii="Arial" w:cs="Arial" w:eastAsia="Arial" w:hAnsi="Arial"/>
          <w:sz w:val="13"/>
          <w:szCs w:val="13"/>
          <w:color w:val="auto"/>
        </w:rPr>
        <w:t>Our executive officers, directors, and certain other holders of our capital stock and securities convertible into or exchangeable for our capital stock have agreed that, subject to certain exceptions, for a period of 180 days after the date of this prospectus, or lock-up period,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blackout period, such lock-up period will end ten trading days prior to the commencement of such blackout period. 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10% of the total number of shares of Class A common stock outstanding immediately following this offering, and provided that each recipient executes and delivers a lock-up agreement with substantially the same restrictions to which our executive officers, directors, and certain holders of our capital stock and securities convertible into or exchangeable for our capital stock are subject. Goldman Sachs &amp; Co. LLC and J.P. Morgan Securities LLC may, in their discretion, release any of the securities subject to these lock-up agreements at any time. See “Shares Available for Future Sale” for a discussion of certain transfer restrictions, including market standoff agreements between us and each of our executive officers, directors, and holders of our capital stock and securities convertible into or exchangeable for our capital stock.</w:t>
      </w:r>
    </w:p>
    <w:p>
      <w:pPr>
        <w:spacing w:after="0" w:line="326" w:lineRule="exact"/>
        <w:rPr>
          <w:sz w:val="20"/>
          <w:szCs w:val="20"/>
          <w:color w:val="auto"/>
        </w:rPr>
      </w:pPr>
    </w:p>
    <w:p>
      <w:pPr>
        <w:ind w:left="1120" w:right="260" w:firstLine="368"/>
        <w:spacing w:after="0" w:line="283" w:lineRule="auto"/>
        <w:rPr>
          <w:sz w:val="20"/>
          <w:szCs w:val="20"/>
          <w:color w:val="auto"/>
        </w:rPr>
      </w:pPr>
      <w:r>
        <w:rPr>
          <w:rFonts w:ascii="Arial" w:cs="Arial" w:eastAsia="Arial" w:hAnsi="Arial"/>
          <w:sz w:val="14"/>
          <w:szCs w:val="14"/>
          <w:color w:val="auto"/>
        </w:rPr>
        <w:t>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applied to list our Class A common stock on the Nasdaq Global Select Market under the symbol “DBX”.</w:t>
      </w:r>
    </w:p>
    <w:p>
      <w:pPr>
        <w:spacing w:after="0" w:line="188"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80"/>
          </w:cols>
          <w:pgMar w:left="240" w:top="408" w:right="137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40"/>
        <w:spacing w:after="0" w:line="263" w:lineRule="auto"/>
        <w:rPr>
          <w:sz w:val="20"/>
          <w:szCs w:val="20"/>
          <w:color w:val="auto"/>
        </w:rPr>
      </w:pPr>
      <w:r>
        <w:rPr>
          <w:rFonts w:ascii="Arial" w:cs="Arial" w:eastAsia="Arial" w:hAnsi="Arial"/>
          <w:sz w:val="15"/>
          <w:szCs w:val="15"/>
          <w:color w:val="auto"/>
        </w:rPr>
        <w:t>underwriters are concerned that there may be downward pressure on the price of the Class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5"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55"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7" w:lineRule="exact"/>
        <w:rPr>
          <w:sz w:val="20"/>
          <w:szCs w:val="20"/>
          <w:color w:val="auto"/>
        </w:rPr>
      </w:pPr>
    </w:p>
    <w:p>
      <w:pPr>
        <w:ind w:left="1120" w:right="360" w:firstLine="368"/>
        <w:spacing w:after="0" w:line="275" w:lineRule="auto"/>
        <w:rPr>
          <w:sz w:val="20"/>
          <w:szCs w:val="20"/>
          <w:color w:val="auto"/>
        </w:rPr>
      </w:pPr>
      <w:r>
        <w:rPr>
          <w:rFonts w:ascii="Arial" w:cs="Arial" w:eastAsia="Arial" w:hAnsi="Arial"/>
          <w:sz w:val="15"/>
          <w:szCs w:val="15"/>
          <w:color w:val="auto"/>
        </w:rPr>
        <w:t>The underwriters do not expect sales to discretionary accounts to exceed five percent of the total number of shares of Class A common stock offered.</w:t>
      </w:r>
    </w:p>
    <w:p>
      <w:pPr>
        <w:spacing w:after="0" w:line="146"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We and the selling stockholders estimate that our share of the total expenses of the offering, excluding underwriting discounts and commissions, will be approximately $6.0 million. The underwriters have agreed to reimburse us, or will pay and not seek reimbursement from us, for certain expenses incurred by us in connection with this offering.</w:t>
      </w:r>
    </w:p>
    <w:p>
      <w:pPr>
        <w:spacing w:after="0" w:line="155"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We and the selling stockholders have agreed to indemnify the several underwriters against certain liabilities, including liabilities under the Securities Act of 1933. In addition, we and the selling stockholders have agreed to reimburse the underwriters for certain expenses in connection with this offering.</w:t>
      </w:r>
    </w:p>
    <w:p>
      <w:pPr>
        <w:spacing w:after="0" w:line="155" w:lineRule="exact"/>
        <w:rPr>
          <w:sz w:val="20"/>
          <w:szCs w:val="20"/>
          <w:color w:val="auto"/>
        </w:rPr>
      </w:pPr>
    </w:p>
    <w:p>
      <w:pPr>
        <w:ind w:left="1120" w:right="120" w:firstLine="368"/>
        <w:spacing w:after="0" w:line="274"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2014, we entered into a revolving credit agreement with affiliates of Goldman Sachs &amp; Co. LLC, J.P. Morgan Securities LLC, Deutsche Bank Securities Inc., Merrill Lynch, Pierce, Fenner &amp; Smith Incorporated, RBC Capital Markets, LLC, and Macquarie Capital (USA) Inc., under which these underwriters and their respective affiliates have been, and may be in the future, paid customary fees. For additional information on our revolving credit facility, see the section titled “Management’s Discussion and Analysis of Financial Condition and Results of Operations—Liquidity and Capital Resources.”</w:t>
      </w:r>
    </w:p>
    <w:p>
      <w:pPr>
        <w:spacing w:after="0" w:line="150"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In September 2011, affiliates of Goldman Sachs &amp; Co. LLC, one of the underwriters, purchased an aggregate of 1,837,199 shares of our Series B Preferred Stock, all of which shares will automatically convert into an aggregate of 1,837,199 shares of Class B common stock in connection with this offering. In November 2011, Allen &amp; Company LLC, one of the underwriters, and certain of its affiliates and employees purchased an aggregate of 184,180 shares of our Series B preferred stock, which shares will automatically convert into an aggregate of 184,180 shares of Class B common stock in connection with this offering.</w:t>
      </w:r>
    </w:p>
    <w:p>
      <w:pPr>
        <w:spacing w:after="0" w:line="159"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Pursuant to the concurrent private placement, Salesforce Ventures LLC will purchase from us in a private placement $100.0 million of our Class A common stock at a price per share equal to the initial public offering price. Based on an assumed initial public offering price of $17.00 per share, which is the midpoint of the estimated offering price range set forth on the cover page of this prospectus, this would be 5,882,353 shares.</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300"/>
          </w:cols>
          <w:pgMar w:left="240" w:top="408" w:right="135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7" w:lineRule="auto"/>
        <w:rPr>
          <w:sz w:val="20"/>
          <w:szCs w:val="20"/>
          <w:color w:val="auto"/>
        </w:rPr>
      </w:pPr>
      <w:r>
        <w:rPr>
          <w:rFonts w:ascii="Arial" w:cs="Arial" w:eastAsia="Arial" w:hAnsi="Arial"/>
          <w:sz w:val="15"/>
          <w:szCs w:val="15"/>
          <w:color w:val="auto"/>
        </w:rPr>
        <w:t>Goldman Sachs &amp; Co. LLC, J.P. Morgan Securities LLC, Deutsche Bank Securities Inc., Merrill Lynch, Pierce, Fenner &amp; Smith Incorporated, Allen &amp; Company LLC, RBC Capital Markets, LLC, Jefferies LLC, and Canaccord Genuity Inc., or certain of their respective affiliates beneficially own shares of salesforce.com, inc. As a result of this ownership, these underwriters would be deemed to beneficially own 214,706 shares of our Class A common stock. These shares of Class A common stock would be deemed underwriting compensation pursuant to FINRA Rule 5110, but meet an exception to the lock-up restriction pursuant to FINRA Rule 5110(g)(2)(A)(iii).</w:t>
      </w:r>
    </w:p>
    <w:p>
      <w:pPr>
        <w:spacing w:after="0" w:line="159" w:lineRule="exact"/>
        <w:rPr>
          <w:sz w:val="20"/>
          <w:szCs w:val="20"/>
          <w:color w:val="auto"/>
        </w:rPr>
      </w:pPr>
    </w:p>
    <w:p>
      <w:pPr>
        <w:ind w:left="1120" w:right="160" w:firstLine="368"/>
        <w:spacing w:after="0" w:line="300" w:lineRule="auto"/>
        <w:rPr>
          <w:sz w:val="20"/>
          <w:szCs w:val="20"/>
          <w:color w:val="auto"/>
        </w:rPr>
      </w:pPr>
      <w:r>
        <w:rPr>
          <w:rFonts w:ascii="Arial" w:cs="Arial" w:eastAsia="Arial" w:hAnsi="Arial"/>
          <w:sz w:val="13"/>
          <w:szCs w:val="13"/>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6"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color w:val="auto"/>
        </w:rPr>
        <w:t>Affiliates of Goldman Sachs &amp; Co. LLC, J.P. Morgan Securities LLC, Deutsche Bank Securities Inc., and Merrill Lynch, Pierce, Fenner &amp; Smith Incorporated, underwriters in this offering, will receive at least 5% of the net proceeds of this offering in connection with the repayment of $172.8 million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Allen &amp; Company LLC will not receive any additional fees for serving as qualified independent underwriter in connection with this offering. We have agreed to indemnify Allen &amp; Company LLC against liabilities incurred in connection with acting as qualified independent underwriter, including liabilities under the Securities Act. Pursuant to FINRA Rule 5121, Goldman Sachs &amp; Co. LLC, J.P. Morgan Securities LLC, Deutsche Bank Securities Inc., and Merrill Lynch, Pierce, Fenner &amp; Smith Incorporated will not confirm sales of securities to any account over which it exercises discretionary authority without the prior written approval of the customer.</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98"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of Class A common stock which are the subject of the offering contemplated by this prospectus may be made to the public in that Relevant Member State other than:</w:t>
      </w:r>
    </w:p>
    <w:p>
      <w:pPr>
        <w:spacing w:after="0" w:line="79" w:lineRule="exact"/>
        <w:rPr>
          <w:sz w:val="20"/>
          <w:szCs w:val="20"/>
          <w:color w:val="auto"/>
        </w:rPr>
      </w:pPr>
    </w:p>
    <w:p>
      <w:pPr>
        <w:ind w:left="1840" w:hanging="367"/>
        <w:spacing w:after="0"/>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109" w:lineRule="exact"/>
        <w:rPr>
          <w:rFonts w:ascii="Arial" w:cs="Arial" w:eastAsia="Arial" w:hAnsi="Arial"/>
          <w:sz w:val="15"/>
          <w:szCs w:val="15"/>
          <w:color w:val="auto"/>
        </w:rPr>
      </w:pPr>
    </w:p>
    <w:p>
      <w:pPr>
        <w:ind w:left="1840" w:right="240" w:hanging="367"/>
        <w:spacing w:after="0" w:line="275" w:lineRule="auto"/>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in the Prospectus Directive), per Relevant Member State, subject to obtaining the prior consent of the underwriters; or</w:t>
      </w:r>
    </w:p>
    <w:p>
      <w:pPr>
        <w:spacing w:after="0" w:line="67" w:lineRule="exact"/>
        <w:rPr>
          <w:rFonts w:ascii="Arial" w:cs="Arial" w:eastAsia="Arial" w:hAnsi="Arial"/>
          <w:sz w:val="15"/>
          <w:szCs w:val="15"/>
          <w:color w:val="auto"/>
        </w:rPr>
      </w:pPr>
    </w:p>
    <w:p>
      <w:pPr>
        <w:ind w:left="1840" w:hanging="367"/>
        <w:spacing w:after="0"/>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w:t>
      </w:r>
    </w:p>
    <w:p>
      <w:pPr>
        <w:spacing w:after="0" w:line="188" w:lineRule="exact"/>
        <w:rPr>
          <w:sz w:val="20"/>
          <w:szCs w:val="20"/>
          <w:color w:val="auto"/>
        </w:rPr>
      </w:pPr>
    </w:p>
    <w:p>
      <w:pPr>
        <w:ind w:left="1120" w:right="160"/>
        <w:spacing w:after="0" w:line="290" w:lineRule="auto"/>
        <w:rPr>
          <w:sz w:val="20"/>
          <w:szCs w:val="20"/>
          <w:color w:val="auto"/>
        </w:rPr>
      </w:pPr>
      <w:r>
        <w:rPr>
          <w:rFonts w:ascii="Arial" w:cs="Arial" w:eastAsia="Arial" w:hAnsi="Arial"/>
          <w:sz w:val="14"/>
          <w:szCs w:val="14"/>
          <w:color w:val="auto"/>
        </w:rPr>
        <w:t>provided that no such offer of shares of our Class A common stock shall result in a requirement for us or any underwriter to publish a prospectus pursuant to Article 3 of the Prospectus Directive or a supplemental prospectus pursuant to Article 16 of the Prospectus Directive and each person who initially acquires any shares of our Class A common stock or to whom any offer is made will be deemed to have represented, warranted, and</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300"/>
          </w:cols>
          <w:pgMar w:left="240" w:top="407" w:right="13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580"/>
        <w:spacing w:after="0" w:line="275" w:lineRule="auto"/>
        <w:rPr>
          <w:sz w:val="20"/>
          <w:szCs w:val="20"/>
          <w:color w:val="auto"/>
        </w:rPr>
      </w:pPr>
      <w:r>
        <w:rPr>
          <w:rFonts w:ascii="Arial" w:cs="Arial" w:eastAsia="Arial" w:hAnsi="Arial"/>
          <w:sz w:val="15"/>
          <w:szCs w:val="15"/>
          <w:color w:val="auto"/>
        </w:rPr>
        <w:t>agreed to and with each of the underwriters and us that it is a “qualified investor” within the meaning of the law in that Relevant Member State implementing Article 2(1)(e) of the Prospectus Directive.</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of our Class A common stock in any Relevant Member State means the communication in any form and by any means of sufficient information on the terms of the offer and the shares of our Class A common stock to be offered so as to enable an investor to decide to purchase or subscribe for the shares of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Kingdom</w:t>
      </w:r>
    </w:p>
    <w:p>
      <w:pPr>
        <w:spacing w:after="0" w:line="98" w:lineRule="exact"/>
        <w:rPr>
          <w:sz w:val="20"/>
          <w:szCs w:val="20"/>
          <w:color w:val="auto"/>
        </w:rPr>
      </w:pPr>
    </w:p>
    <w:p>
      <w:pPr>
        <w:jc w:val="both"/>
        <w:ind w:left="1120" w:right="120" w:firstLine="368"/>
        <w:spacing w:after="0" w:line="294" w:lineRule="auto"/>
        <w:rPr>
          <w:sz w:val="20"/>
          <w:szCs w:val="20"/>
          <w:color w:val="auto"/>
        </w:rPr>
      </w:pPr>
      <w:r>
        <w:rPr>
          <w:rFonts w:ascii="Arial" w:cs="Arial" w:eastAsia="Arial" w:hAnsi="Arial"/>
          <w:sz w:val="13"/>
          <w:szCs w:val="13"/>
          <w:color w:val="auto"/>
        </w:rPr>
        <w:t>In the United Kingdom, this prospectus in relation to the shares of Class A common stock described herein is being directed only at persons who are “qualified investors” (as defined in the Prospectus Directive) who are (i) persons having professional experience in matters relating to investments falling within Article 19(5) of the Financial Services and Markets Act 2000 Order 2005, or (ii) high net worth entities falling within Article 49(2)(a) to</w:t>
      </w:r>
    </w:p>
    <w:p>
      <w:pPr>
        <w:spacing w:after="0" w:line="1" w:lineRule="exact"/>
        <w:rPr>
          <w:sz w:val="20"/>
          <w:szCs w:val="20"/>
          <w:color w:val="auto"/>
        </w:rPr>
      </w:pPr>
    </w:p>
    <w:p>
      <w:pPr>
        <w:ind w:left="1120" w:right="60" w:hanging="8"/>
        <w:spacing w:after="0" w:line="302" w:lineRule="auto"/>
        <w:tabs>
          <w:tab w:leader="none" w:pos="1333" w:val="left"/>
        </w:tabs>
        <w:numPr>
          <w:ilvl w:val="0"/>
          <w:numId w:val="98"/>
        </w:numPr>
        <w:rPr>
          <w:rFonts w:ascii="Arial" w:cs="Arial" w:eastAsia="Arial" w:hAnsi="Arial"/>
          <w:sz w:val="13"/>
          <w:szCs w:val="13"/>
          <w:color w:val="auto"/>
        </w:rPr>
      </w:pPr>
      <w:r>
        <w:rPr>
          <w:rFonts w:ascii="Arial" w:cs="Arial" w:eastAsia="Arial" w:hAnsi="Arial"/>
          <w:sz w:val="13"/>
          <w:szCs w:val="13"/>
          <w:color w:val="auto"/>
        </w:rPr>
        <w:t>of the Order, or (iii) persons to whom it would otherwise be lawful to distribute it, all such persons together being referred to as “Relevant Persons.” The shares of Class A common stock described herein are only available to, and any invitation, offer, or agreement to subscribe, purchase, or otherwise acquire such shares of Class A common stock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Canada</w:t>
      </w:r>
    </w:p>
    <w:p>
      <w:pPr>
        <w:spacing w:after="0" w:line="98"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form, or in a transaction not subject to, the prospectus requirements of applicable securities laws.</w:t>
      </w:r>
    </w:p>
    <w:p>
      <w:pPr>
        <w:spacing w:after="0" w:line="159"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3"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Hong Kong</w:t>
      </w:r>
    </w:p>
    <w:p>
      <w:pPr>
        <w:spacing w:after="0" w:line="98"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300"/>
          </w:cols>
          <w:pgMar w:left="240" w:top="408" w:right="135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Securities and Futures Ordinance, or (ii) to “professional investors” as defined in the Securities and Futures Ordinance and any rules made thereunder, or</w:t>
      </w:r>
    </w:p>
    <w:p>
      <w:pPr>
        <w:spacing w:after="0" w:line="17" w:lineRule="exact"/>
        <w:rPr>
          <w:sz w:val="20"/>
          <w:szCs w:val="20"/>
          <w:color w:val="auto"/>
        </w:rPr>
      </w:pPr>
    </w:p>
    <w:p>
      <w:pPr>
        <w:ind w:left="1120" w:right="20" w:hanging="8"/>
        <w:spacing w:after="0" w:line="274" w:lineRule="auto"/>
        <w:tabs>
          <w:tab w:leader="none" w:pos="1383"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in Hong Kong within the meaning of the Securities and Futures Ordinance and any rules made thereunder.</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Singapore</w:t>
      </w:r>
    </w:p>
    <w:p>
      <w:pPr>
        <w:spacing w:after="0" w:line="98"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4"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Where the shares of Class A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of Class A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Japan</w:t>
      </w:r>
    </w:p>
    <w:p>
      <w:pPr>
        <w:spacing w:after="0" w:line="9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Law of Japan, or the Financial Instruments and Exchange Law, and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Switzerland</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320"/>
          </w:cols>
          <w:pgMar w:left="240" w:top="408" w:right="133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color w:val="auto"/>
        </w:rPr>
        <w:t>offering or marketing material relating to the shares of Class A common stock or the offering may be publicly distributed or otherwise made publicly available in Switzerland.</w:t>
      </w:r>
    </w:p>
    <w:p>
      <w:pPr>
        <w:spacing w:after="0" w:line="146"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or FINMA, and the offer of shares of Class A common stock has not been and will not be authorized under the Swiss Federal Act on Collective Investment Schemes, or CISA. The investor protection afforded to acquirers of interests in collective investment schemes under the CISA does not extend to acquirers of the shares of Class A common stock.</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1"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Arab Emirates</w:t>
      </w:r>
    </w:p>
    <w:p>
      <w:pPr>
        <w:spacing w:after="0" w:line="98"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Australia</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prospectus:</w:t>
      </w:r>
    </w:p>
    <w:p>
      <w:pPr>
        <w:spacing w:after="0" w:line="109" w:lineRule="exact"/>
        <w:rPr>
          <w:sz w:val="20"/>
          <w:szCs w:val="20"/>
          <w:color w:val="auto"/>
        </w:rPr>
      </w:pPr>
    </w:p>
    <w:p>
      <w:pPr>
        <w:ind w:left="1840" w:right="700" w:hanging="276"/>
        <w:spacing w:after="0" w:line="275"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does not constitute a product disclosure document or a prospectus under Chapter 6D.2 of the Corporations Act 2001 (Cth), or the Corporations Act;</w:t>
      </w:r>
    </w:p>
    <w:p>
      <w:pPr>
        <w:spacing w:after="0" w:line="67" w:lineRule="exact"/>
        <w:rPr>
          <w:rFonts w:ascii="Arial" w:cs="Arial" w:eastAsia="Arial" w:hAnsi="Arial"/>
          <w:sz w:val="15"/>
          <w:szCs w:val="15"/>
          <w:color w:val="auto"/>
        </w:rPr>
      </w:pPr>
    </w:p>
    <w:p>
      <w:pPr>
        <w:ind w:left="1840" w:right="20" w:hanging="276"/>
        <w:spacing w:after="0" w:line="263"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75" w:lineRule="exact"/>
        <w:rPr>
          <w:rFonts w:ascii="Arial" w:cs="Arial" w:eastAsia="Arial" w:hAnsi="Arial"/>
          <w:sz w:val="15"/>
          <w:szCs w:val="15"/>
          <w:color w:val="auto"/>
        </w:rPr>
      </w:pPr>
    </w:p>
    <w:p>
      <w:pPr>
        <w:jc w:val="both"/>
        <w:ind w:left="1840" w:right="80" w:hanging="276"/>
        <w:spacing w:after="0" w:line="263"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75"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300"/>
          </w:cols>
          <w:pgMar w:left="240" w:top="408" w:right="135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47"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Bermuda</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shares of Class A common stock may be offered or sold in Bermuda only in compliance with the provisions of the Investment Business Act of</w:t>
      </w:r>
    </w:p>
    <w:p>
      <w:pPr>
        <w:spacing w:after="0" w:line="40" w:lineRule="exact"/>
        <w:rPr>
          <w:sz w:val="20"/>
          <w:szCs w:val="20"/>
          <w:color w:val="auto"/>
        </w:rPr>
      </w:pPr>
    </w:p>
    <w:p>
      <w:pPr>
        <w:ind w:left="1120" w:right="220"/>
        <w:spacing w:after="0" w:line="298" w:lineRule="auto"/>
        <w:rPr>
          <w:sz w:val="20"/>
          <w:szCs w:val="20"/>
          <w:color w:val="auto"/>
        </w:rPr>
      </w:pPr>
      <w:r>
        <w:rPr>
          <w:rFonts w:ascii="Arial" w:cs="Arial" w:eastAsia="Arial" w:hAnsi="Arial"/>
          <w:sz w:val="14"/>
          <w:szCs w:val="14"/>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Saudi Arabia</w:t>
      </w:r>
    </w:p>
    <w:p>
      <w:pPr>
        <w:spacing w:after="0" w:line="98" w:lineRule="exact"/>
        <w:rPr>
          <w:sz w:val="20"/>
          <w:szCs w:val="20"/>
          <w:color w:val="auto"/>
        </w:rPr>
      </w:pPr>
    </w:p>
    <w:p>
      <w:pPr>
        <w:ind w:left="1120" w:right="40" w:firstLine="368"/>
        <w:spacing w:after="0" w:line="277"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British Virgin Islands</w:t>
      </w:r>
    </w:p>
    <w:p>
      <w:pPr>
        <w:spacing w:after="0" w:line="98"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This prospectus has not been, and will not be, registered with the Financial Services Commission of the British Virgin Islands. No registered prospectus has been or will be prepared in respect of the shares of Class A common stock for the purposes of the Securities and Investment Business Act, 2010, or SIBA, or the Public Issuers Code of the British Virgin Islands.</w:t>
      </w:r>
    </w:p>
    <w:p>
      <w:pPr>
        <w:spacing w:after="0" w:line="155"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The shares of Class A common stock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320"/>
          </w:cols>
          <w:pgMar w:left="240" w:top="407" w:right="133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China</w:t>
      </w:r>
    </w:p>
    <w:p>
      <w:pPr>
        <w:spacing w:after="0" w:line="98" w:lineRule="exact"/>
        <w:rPr>
          <w:sz w:val="20"/>
          <w:szCs w:val="20"/>
          <w:color w:val="auto"/>
        </w:rPr>
      </w:pPr>
    </w:p>
    <w:p>
      <w:pPr>
        <w:jc w:val="both"/>
        <w:ind w:left="1120" w:right="60" w:firstLine="368"/>
        <w:spacing w:after="0" w:line="263" w:lineRule="auto"/>
        <w:rPr>
          <w:sz w:val="20"/>
          <w:szCs w:val="20"/>
          <w:color w:val="auto"/>
        </w:rPr>
      </w:pPr>
      <w:r>
        <w:rPr>
          <w:rFonts w:ascii="Arial" w:cs="Arial" w:eastAsia="Arial" w:hAnsi="Arial"/>
          <w:sz w:val="15"/>
          <w:szCs w:val="15"/>
          <w:color w:val="auto"/>
        </w:rPr>
        <w:t>This prospectus does not constitute a public offer of shares of Class A common stock, whether by sale or subscription, in the People’s Republic of China, or the PRC. The shares of Class A common stock are not being offered or sold, directly or indirectly, in the PRC to or for the benefit of, legal or natural persons of the PRC.</w:t>
      </w:r>
    </w:p>
    <w:p>
      <w:pPr>
        <w:spacing w:after="0" w:line="155" w:lineRule="exact"/>
        <w:rPr>
          <w:sz w:val="20"/>
          <w:szCs w:val="20"/>
          <w:color w:val="auto"/>
        </w:rPr>
      </w:pPr>
    </w:p>
    <w:p>
      <w:pPr>
        <w:ind w:left="1120" w:right="200" w:firstLine="368"/>
        <w:spacing w:after="0" w:line="290" w:lineRule="auto"/>
        <w:rPr>
          <w:sz w:val="20"/>
          <w:szCs w:val="20"/>
          <w:color w:val="auto"/>
        </w:rPr>
      </w:pPr>
      <w:r>
        <w:rPr>
          <w:rFonts w:ascii="Arial" w:cs="Arial" w:eastAsia="Arial" w:hAnsi="Arial"/>
          <w:sz w:val="14"/>
          <w:szCs w:val="14"/>
          <w:color w:val="auto"/>
        </w:rPr>
        <w:t>Further, no legal or natural persons of the PRC may directly or indirectly purchase any of the shares of Class A common stock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Korea</w:t>
      </w:r>
    </w:p>
    <w:p>
      <w:pPr>
        <w:spacing w:after="0" w:line="98" w:lineRule="exact"/>
        <w:rPr>
          <w:sz w:val="20"/>
          <w:szCs w:val="20"/>
          <w:color w:val="auto"/>
        </w:rPr>
      </w:pPr>
    </w:p>
    <w:p>
      <w:pPr>
        <w:ind w:left="1120" w:right="60" w:firstLine="368"/>
        <w:spacing w:after="0" w:line="274" w:lineRule="auto"/>
        <w:rPr>
          <w:sz w:val="20"/>
          <w:szCs w:val="20"/>
          <w:color w:val="auto"/>
        </w:rPr>
      </w:pPr>
      <w:r>
        <w:rPr>
          <w:rFonts w:ascii="Arial" w:cs="Arial" w:eastAsia="Arial" w:hAnsi="Arial"/>
          <w:sz w:val="14"/>
          <w:szCs w:val="14"/>
          <w:color w:val="auto"/>
        </w:rPr>
        <w:t>The shares of Class A common stock have not been and will not be registered under the Financial Investments Services and Capital Markets Act of Korea and the decrees and regulations thereunder, or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Malaysia</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3"/>
          <w:szCs w:val="13"/>
          <w:color w:val="auto"/>
        </w:rPr>
        <w:t>No prospectus or other offering material or document in connection with the offer and sale of the shares of Class A common stock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7" w:lineRule="exact"/>
        <w:rPr>
          <w:sz w:val="20"/>
          <w:szCs w:val="20"/>
          <w:color w:val="auto"/>
        </w:rPr>
      </w:pPr>
    </w:p>
    <w:p>
      <w:pPr>
        <w:ind w:left="1120" w:right="20" w:hanging="8"/>
        <w:spacing w:after="0" w:line="253" w:lineRule="auto"/>
        <w:tabs>
          <w:tab w:leader="none" w:pos="145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320"/>
          </w:cols>
          <w:pgMar w:left="240" w:top="407" w:right="133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color w:val="auto"/>
        </w:rPr>
        <w:t>subscription or purchase, or invitation to subscribe for or purchase any securities requiring the registration of a prospectus with the Commission under the Capital Markets and Services Act 2007.</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Taiwan</w:t>
      </w:r>
    </w:p>
    <w:p>
      <w:pPr>
        <w:spacing w:after="0" w:line="98"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South Africa</w:t>
      </w:r>
    </w:p>
    <w:p>
      <w:pPr>
        <w:spacing w:after="0" w:line="98" w:lineRule="exact"/>
        <w:rPr>
          <w:sz w:val="20"/>
          <w:szCs w:val="20"/>
          <w:color w:val="auto"/>
        </w:rPr>
      </w:pPr>
    </w:p>
    <w:p>
      <w:pPr>
        <w:ind w:left="1120" w:right="460" w:firstLine="368"/>
        <w:spacing w:after="0" w:line="263" w:lineRule="auto"/>
        <w:rPr>
          <w:sz w:val="20"/>
          <w:szCs w:val="20"/>
          <w:color w:val="auto"/>
        </w:rPr>
      </w:pPr>
      <w:r>
        <w:rPr>
          <w:rFonts w:ascii="Arial" w:cs="Arial" w:eastAsia="Arial" w:hAnsi="Arial"/>
          <w:sz w:val="15"/>
          <w:szCs w:val="15"/>
          <w:color w:val="auto"/>
        </w:rPr>
        <w:t>Due to restrictions under the securities laws of South Africa, the shares of Class A common stock are not offered, and the offer shall not be transferred, sold, renounced, or delivered, in South Africa or to a person with an address in South Africa, unless one or other of the following exemptions applies:</w:t>
      </w:r>
    </w:p>
    <w:p>
      <w:pPr>
        <w:spacing w:after="0" w:line="177" w:lineRule="exact"/>
        <w:rPr>
          <w:sz w:val="20"/>
          <w:szCs w:val="20"/>
          <w:color w:val="auto"/>
        </w:rPr>
      </w:pPr>
    </w:p>
    <w:p>
      <w:pPr>
        <w:ind w:left="1480" w:hanging="368"/>
        <w:spacing w:after="0"/>
        <w:tabs>
          <w:tab w:leader="none" w:pos="14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offer, transfer, sale, renunciation, or delivery is to:</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persons whose ordinary business is to deal in securities, as principal or agent;</w:t>
      </w:r>
    </w:p>
    <w:p>
      <w:pPr>
        <w:spacing w:after="0" w:line="98" w:lineRule="exact"/>
        <w:rPr>
          <w:rFonts w:ascii="Arial" w:cs="Arial" w:eastAsia="Arial" w:hAnsi="Arial"/>
          <w:sz w:val="15"/>
          <w:szCs w:val="15"/>
          <w:color w:val="auto"/>
        </w:rPr>
      </w:pPr>
    </w:p>
    <w:p>
      <w:pPr>
        <w:ind w:left="1700" w:hanging="220"/>
        <w:spacing w:after="0"/>
        <w:tabs>
          <w:tab w:leader="none" w:pos="17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the South African Public Investment Corporation;</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persons or entities regulated by the Reserve Bank of South Africa;</w:t>
      </w:r>
    </w:p>
    <w:p>
      <w:pPr>
        <w:spacing w:after="0" w:line="98" w:lineRule="exact"/>
        <w:rPr>
          <w:rFonts w:ascii="Arial" w:cs="Arial" w:eastAsia="Arial" w:hAnsi="Arial"/>
          <w:sz w:val="15"/>
          <w:szCs w:val="15"/>
          <w:color w:val="auto"/>
        </w:rPr>
      </w:pPr>
    </w:p>
    <w:p>
      <w:pPr>
        <w:ind w:left="1700" w:hanging="220"/>
        <w:spacing w:after="0"/>
        <w:tabs>
          <w:tab w:leader="none" w:pos="17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authorised financial service providers under South African law;</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financial institutions recognised as such under South African law;</w:t>
      </w:r>
    </w:p>
    <w:p>
      <w:pPr>
        <w:spacing w:after="0" w:line="98" w:lineRule="exact"/>
        <w:rPr>
          <w:rFonts w:ascii="Arial" w:cs="Arial" w:eastAsia="Arial" w:hAnsi="Arial"/>
          <w:sz w:val="15"/>
          <w:szCs w:val="15"/>
          <w:color w:val="auto"/>
        </w:rPr>
      </w:pPr>
    </w:p>
    <w:p>
      <w:pPr>
        <w:ind w:left="1480" w:right="280"/>
        <w:spacing w:after="0" w:line="312" w:lineRule="auto"/>
        <w:tabs>
          <w:tab w:leader="none" w:pos="166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32" w:lineRule="exact"/>
        <w:rPr>
          <w:rFonts w:ascii="Arial" w:cs="Arial" w:eastAsia="Arial" w:hAnsi="Arial"/>
          <w:sz w:val="14"/>
          <w:szCs w:val="14"/>
          <w:color w:val="auto"/>
        </w:rPr>
      </w:pPr>
    </w:p>
    <w:p>
      <w:pPr>
        <w:ind w:left="1700" w:hanging="220"/>
        <w:spacing w:after="0"/>
        <w:tabs>
          <w:tab w:leader="none" w:pos="17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any combination of the person in (a) to (f); or</w:t>
      </w:r>
    </w:p>
    <w:p>
      <w:pPr>
        <w:spacing w:after="0" w:line="109" w:lineRule="exact"/>
        <w:rPr>
          <w:sz w:val="20"/>
          <w:szCs w:val="20"/>
          <w:color w:val="auto"/>
        </w:rPr>
      </w:pPr>
    </w:p>
    <w:p>
      <w:pPr>
        <w:ind w:left="1480" w:hanging="368"/>
        <w:spacing w:after="0"/>
        <w:tabs>
          <w:tab w:leader="none" w:pos="1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total contemplated acquisition cost of the securities, for any single addressee acting as principal is equal to or greater than ZAR1,000,000.</w:t>
      </w:r>
    </w:p>
    <w:p>
      <w:pPr>
        <w:spacing w:after="0" w:line="200"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No “offer to the public” (as such term is defined in the South African Companies Act, No. 71 of 2008 (as amended or re-enacted), or the South African Companies Act) in South Africa is being made in connection with the issue of the shares of Class A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of Class A common stock in South Africa constitutes an offer of the shares of Class A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or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80"/>
          </w:cols>
          <w:pgMar w:left="240" w:top="408"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CONCURRENT PRIVATE PLACEMENT</w:t>
      </w:r>
    </w:p>
    <w:p>
      <w:pPr>
        <w:spacing w:after="0" w:line="192" w:lineRule="exact"/>
        <w:rPr>
          <w:sz w:val="20"/>
          <w:szCs w:val="20"/>
          <w:color w:val="auto"/>
        </w:rPr>
      </w:pPr>
    </w:p>
    <w:p>
      <w:pPr>
        <w:jc w:val="both"/>
        <w:ind w:left="1120" w:firstLine="368"/>
        <w:spacing w:after="0" w:line="293" w:lineRule="auto"/>
        <w:rPr>
          <w:sz w:val="20"/>
          <w:szCs w:val="20"/>
          <w:color w:val="auto"/>
        </w:rPr>
      </w:pPr>
      <w:r>
        <w:rPr>
          <w:rFonts w:ascii="Arial" w:cs="Arial" w:eastAsia="Arial" w:hAnsi="Arial"/>
          <w:sz w:val="13"/>
          <w:szCs w:val="13"/>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$17.00 per share, which is the midpoint of the estimated offering price range set forth on the cover page of this prospectus, this would be 5,882,353 shares. We will receive the full proceeds and will not pay any underwriting discounts or commissions with respect to the shares that are sold in the private placement.</w:t>
      </w:r>
    </w:p>
    <w:p>
      <w:pPr>
        <w:spacing w:after="0" w:line="1" w:lineRule="exact"/>
        <w:rPr>
          <w:sz w:val="20"/>
          <w:szCs w:val="20"/>
          <w:color w:val="auto"/>
        </w:rPr>
      </w:pPr>
    </w:p>
    <w:p>
      <w:pPr>
        <w:ind w:left="1120" w:right="140"/>
        <w:spacing w:after="0" w:line="256" w:lineRule="auto"/>
        <w:rPr>
          <w:sz w:val="20"/>
          <w:szCs w:val="20"/>
          <w:color w:val="auto"/>
        </w:rPr>
      </w:pPr>
      <w:r>
        <w:rPr>
          <w:rFonts w:ascii="Arial" w:cs="Arial" w:eastAsia="Arial" w:hAnsi="Arial"/>
          <w:sz w:val="15"/>
          <w:szCs w:val="15"/>
          <w:color w:val="auto"/>
        </w:rPr>
        <w:t>The sale of the shares in the private placement is contingent upon the completion of this offering. The sale of these shares to Salesforce Ventures LLC will not be registered in this offering and will be subject to a market standoff agreement with us and a lock-up agreement with the underwriters for a period of up to 180 days after the date of this prospectus.</w:t>
      </w:r>
    </w:p>
    <w:p>
      <w:pPr>
        <w:spacing w:after="0" w:line="247"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LEGAL MATTERS</w:t>
      </w:r>
    </w:p>
    <w:p>
      <w:pPr>
        <w:spacing w:after="0" w:line="19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Wilson Sonsini Goodrich &amp; Rosati, P.C., Palo Alto, California, which has acted as our counsel in connection with this offering, will pass upon the validity of the shares of our Class A common stock being offered by this prospectus. The underwriters have been represented by Simpson Thacher &amp; Bartlett LLP, Palo Alto, California.</w:t>
      </w:r>
    </w:p>
    <w:p>
      <w:pPr>
        <w:spacing w:after="0" w:line="331"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EXPERTS</w:t>
      </w:r>
    </w:p>
    <w:p>
      <w:pPr>
        <w:spacing w:after="0" w:line="192"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The consolidated financial statements of Dropbox, Inc. at December 31, 2016 and 2017, and for each of the three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34"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2"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51" w:lineRule="exact"/>
        <w:rPr>
          <w:sz w:val="20"/>
          <w:szCs w:val="20"/>
          <w:color w:val="auto"/>
        </w:rPr>
      </w:pPr>
    </w:p>
    <w:p>
      <w:pPr>
        <w:ind w:left="1120" w:right="140" w:firstLine="368"/>
        <w:spacing w:after="0" w:line="322" w:lineRule="auto"/>
        <w:rPr>
          <w:sz w:val="20"/>
          <w:szCs w:val="20"/>
          <w:color w:val="auto"/>
        </w:rPr>
      </w:pPr>
      <w:r>
        <w:rPr>
          <w:rFonts w:ascii="Arial" w:cs="Arial" w:eastAsia="Arial" w:hAnsi="Arial"/>
          <w:sz w:val="13"/>
          <w:szCs w:val="13"/>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60"/>
          </w:cols>
          <w:pgMar w:left="240" w:top="408"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maintain a website at www.dropbox.com.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60"/>
          </w:cols>
          <w:pgMar w:left="240" w:top="408" w:right="139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8920" w:type="dxa"/>
            <w:vAlign w:val="bottom"/>
            <w:gridSpan w:val="8"/>
            <w:vMerge w:val="restart"/>
          </w:tcPr>
          <w:p>
            <w:pPr>
              <w:spacing w:after="0"/>
              <w:rPr>
                <w:rFonts w:ascii="Arial" w:cs="Arial" w:eastAsia="Arial" w:hAnsi="Arial"/>
                <w:sz w:val="15"/>
                <w:szCs w:val="15"/>
                <w:color w:val="0000EE"/>
              </w:rPr>
            </w:pPr>
            <w:hyperlink w:anchor="page205">
              <w:r>
                <w:rPr>
                  <w:rFonts w:ascii="Arial" w:cs="Arial" w:eastAsia="Arial" w:hAnsi="Arial"/>
                  <w:sz w:val="15"/>
                  <w:szCs w:val="15"/>
                  <w:color w:val="0000EE"/>
                </w:rPr>
                <w:t>Report of Ernst &amp; Young LLP, Independent Registered Public Accounting Firm</w:t>
              </w:r>
            </w:hyperlink>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38"/>
        </w:trPr>
        <w:tc>
          <w:tcPr>
            <w:tcW w:w="8920" w:type="dxa"/>
            <w:vAlign w:val="bottom"/>
            <w:gridSpan w:val="8"/>
            <w:vMerge w:val="continue"/>
          </w:tcPr>
          <w:p>
            <w:pPr>
              <w:spacing w:after="0"/>
              <w:rPr>
                <w:sz w:val="11"/>
                <w:szCs w:val="11"/>
                <w:color w:val="auto"/>
              </w:rPr>
            </w:pPr>
          </w:p>
        </w:tc>
        <w:tc>
          <w:tcPr>
            <w:tcW w:w="280" w:type="dxa"/>
            <w:vAlign w:val="bottom"/>
          </w:tcPr>
          <w:p>
            <w:pPr>
              <w:jc w:val="center"/>
              <w:spacing w:after="0" w:line="138" w:lineRule="exact"/>
              <w:rPr>
                <w:sz w:val="20"/>
                <w:szCs w:val="20"/>
                <w:color w:val="auto"/>
              </w:rPr>
            </w:pPr>
            <w:r>
              <w:rPr>
                <w:rFonts w:ascii="Arial" w:cs="Arial" w:eastAsia="Arial" w:hAnsi="Arial"/>
                <w:sz w:val="15"/>
                <w:szCs w:val="15"/>
                <w:color w:val="auto"/>
                <w:w w:val="88"/>
              </w:rPr>
              <w:t>F-2</w:t>
            </w:r>
          </w:p>
        </w:tc>
        <w:tc>
          <w:tcPr>
            <w:tcW w:w="0" w:type="dxa"/>
            <w:vAlign w:val="bottom"/>
          </w:tcPr>
          <w:p>
            <w:pPr>
              <w:spacing w:after="0"/>
              <w:rPr>
                <w:sz w:val="1"/>
                <w:szCs w:val="1"/>
                <w:color w:val="auto"/>
              </w:rPr>
            </w:pPr>
          </w:p>
        </w:tc>
      </w:tr>
      <w:tr>
        <w:trPr>
          <w:trHeight w:val="160"/>
        </w:trPr>
        <w:tc>
          <w:tcPr>
            <w:tcW w:w="1740" w:type="dxa"/>
            <w:vAlign w:val="bottom"/>
            <w:tcBorders>
              <w:top w:val="single" w:sz="8" w:color="0000EE"/>
              <w:bottom w:val="single" w:sz="8" w:color="0000EE"/>
            </w:tcBorders>
          </w:tcPr>
          <w:p>
            <w:pPr>
              <w:spacing w:after="0" w:line="161" w:lineRule="exact"/>
              <w:rPr>
                <w:rFonts w:ascii="Arial" w:cs="Arial" w:eastAsia="Arial" w:hAnsi="Arial"/>
                <w:sz w:val="15"/>
                <w:szCs w:val="15"/>
                <w:color w:val="0000EE"/>
                <w:w w:val="87"/>
              </w:rPr>
            </w:pPr>
            <w:hyperlink w:anchor="page206">
              <w:r>
                <w:rPr>
                  <w:rFonts w:ascii="Arial" w:cs="Arial" w:eastAsia="Arial" w:hAnsi="Arial"/>
                  <w:sz w:val="15"/>
                  <w:szCs w:val="15"/>
                  <w:color w:val="0000EE"/>
                  <w:w w:val="87"/>
                </w:rPr>
                <w:t>Consolidated Balance Sheets</w:t>
              </w:r>
            </w:hyperlink>
          </w:p>
        </w:tc>
        <w:tc>
          <w:tcPr>
            <w:tcW w:w="3040" w:type="dxa"/>
            <w:vAlign w:val="bottom"/>
            <w:tcBorders>
              <w:top w:val="single" w:sz="8" w:color="0000EE"/>
            </w:tcBorders>
            <w:gridSpan w:val="6"/>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F-3</w:t>
            </w:r>
          </w:p>
        </w:tc>
        <w:tc>
          <w:tcPr>
            <w:tcW w:w="0" w:type="dxa"/>
            <w:vAlign w:val="bottom"/>
          </w:tcPr>
          <w:p>
            <w:pPr>
              <w:spacing w:after="0"/>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7">
              <w:r>
                <w:rPr>
                  <w:rFonts w:ascii="Arial" w:cs="Arial" w:eastAsia="Arial" w:hAnsi="Arial"/>
                  <w:sz w:val="15"/>
                  <w:szCs w:val="15"/>
                  <w:color w:val="0000EE"/>
                </w:rPr>
                <w:t>Consolidated Statements of Operations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F-4</w:t>
            </w:r>
          </w:p>
        </w:tc>
        <w:tc>
          <w:tcPr>
            <w:tcW w:w="0" w:type="dxa"/>
            <w:vAlign w:val="bottom"/>
          </w:tcPr>
          <w:p>
            <w:pPr>
              <w:spacing w:after="0"/>
              <w:rPr>
                <w:sz w:val="1"/>
                <w:szCs w:val="1"/>
                <w:color w:val="auto"/>
              </w:rPr>
            </w:pPr>
          </w:p>
        </w:tc>
      </w:tr>
      <w:tr>
        <w:trPr>
          <w:trHeight w:val="20"/>
        </w:trPr>
        <w:tc>
          <w:tcPr>
            <w:tcW w:w="2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8">
              <w:r>
                <w:rPr>
                  <w:rFonts w:ascii="Arial" w:cs="Arial" w:eastAsia="Arial" w:hAnsi="Arial"/>
                  <w:sz w:val="15"/>
                  <w:szCs w:val="15"/>
                  <w:color w:val="0000EE"/>
                </w:rPr>
                <w:t>Consolidated Statements of Comprehensive Loss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F-5</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60" w:type="dxa"/>
            <w:vAlign w:val="bottom"/>
            <w:tcBorders>
              <w:bottom w:val="single" w:sz="8" w:color="0000EE"/>
            </w:tcBorders>
            <w:gridSpan w:val="6"/>
          </w:tcPr>
          <w:p>
            <w:pPr>
              <w:spacing w:after="0" w:line="161" w:lineRule="exact"/>
              <w:rPr>
                <w:rFonts w:ascii="Arial" w:cs="Arial" w:eastAsia="Arial" w:hAnsi="Arial"/>
                <w:sz w:val="15"/>
                <w:szCs w:val="15"/>
                <w:color w:val="0000EE"/>
                <w:w w:val="90"/>
              </w:rPr>
            </w:pPr>
            <w:hyperlink w:anchor="page209">
              <w:r>
                <w:rPr>
                  <w:rFonts w:ascii="Arial" w:cs="Arial" w:eastAsia="Arial" w:hAnsi="Arial"/>
                  <w:sz w:val="15"/>
                  <w:szCs w:val="15"/>
                  <w:color w:val="0000EE"/>
                  <w:w w:val="90"/>
                </w:rPr>
                <w:t>Consolidated Statements of Stockholders’ Equity</w:t>
              </w:r>
            </w:hyperlink>
          </w:p>
        </w:tc>
        <w:tc>
          <w:tcPr>
            <w:tcW w:w="5960" w:type="dxa"/>
            <w:vAlign w:val="bottom"/>
            <w:gridSpan w:val="2"/>
          </w:tcPr>
          <w:p>
            <w:pPr>
              <w:spacing w:after="0"/>
              <w:rPr>
                <w:sz w:val="13"/>
                <w:szCs w:val="13"/>
                <w:color w:val="auto"/>
              </w:rPr>
            </w:pPr>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F-6</w:t>
            </w:r>
          </w:p>
        </w:tc>
        <w:tc>
          <w:tcPr>
            <w:tcW w:w="0" w:type="dxa"/>
            <w:vAlign w:val="bottom"/>
          </w:tcPr>
          <w:p>
            <w:pPr>
              <w:spacing w:after="0"/>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10">
              <w:r>
                <w:rPr>
                  <w:rFonts w:ascii="Arial" w:cs="Arial" w:eastAsia="Arial" w:hAnsi="Arial"/>
                  <w:sz w:val="15"/>
                  <w:szCs w:val="15"/>
                  <w:color w:val="0000EE"/>
                </w:rPr>
                <w:t>Consolidated Statements of Cash Flows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F-7</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11">
              <w:r>
                <w:rPr>
                  <w:rFonts w:ascii="Arial" w:cs="Arial" w:eastAsia="Arial" w:hAnsi="Arial"/>
                  <w:sz w:val="15"/>
                  <w:szCs w:val="15"/>
                  <w:color w:val="0000EE"/>
                </w:rPr>
                <w:t>Notes to Consolidated Financial Statements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F-8</w:t>
            </w:r>
          </w:p>
        </w:tc>
        <w:tc>
          <w:tcPr>
            <w:tcW w:w="0" w:type="dxa"/>
            <w:vAlign w:val="bottom"/>
          </w:tcPr>
          <w:p>
            <w:pPr>
              <w:spacing w:after="0"/>
              <w:rPr>
                <w:sz w:val="1"/>
                <w:szCs w:val="1"/>
                <w:color w:val="auto"/>
              </w:rPr>
            </w:pPr>
          </w:p>
        </w:tc>
      </w:tr>
      <w:tr>
        <w:trPr>
          <w:trHeight w:val="317"/>
        </w:trPr>
        <w:tc>
          <w:tcPr>
            <w:tcW w:w="1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Arial" w:cs="Arial" w:eastAsia="Arial" w:hAnsi="Arial"/>
                <w:sz w:val="15"/>
                <w:szCs w:val="15"/>
                <w:color w:val="auto"/>
              </w:rPr>
              <w:t>F-1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REPORT OF ERNST &amp; YOUNG LLP, INDEPENDENT REGISTERED PUBLIC ACCOUNTING FIRM</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To the Stockholders and the Board of Directors of Dropbox, Inc.</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We have audited the accompanying consolidated balance sheets of Dropbox, Inc. (the Company) as of December 31, 2016 and 2017, the related consolidated statements of operations, comprehensive loss, stockholders’ equity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2016 and 2017, and the consolidated results of its operations and its cash flows for each of the three years in the period ended December 31, 2017, in conformity with U.S. generally accepted accounting principles.</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Basis for Opinion</w:t>
      </w:r>
    </w:p>
    <w:p>
      <w:pPr>
        <w:spacing w:after="0" w:line="102"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1120" w:right="120" w:firstLine="368"/>
        <w:spacing w:after="0" w:line="257"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/s/ Ernst &amp; Young LLP</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We have served as the Company’s auditor since 2013.</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San Francisco, California</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February 23, 2018, (except as to the eleventh paragraph of Note 1, as to which the date is March 7, 2018)</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300"/>
          </w:cols>
          <w:pgMar w:left="240" w:top="408" w:right="135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BALANCE SHEETS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 except for par value)</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Pro forma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80"/>
              <w:spacing w:after="0" w:line="124" w:lineRule="exact"/>
              <w:rPr>
                <w:sz w:val="20"/>
                <w:szCs w:val="20"/>
                <w:color w:val="auto"/>
              </w:rPr>
            </w:pPr>
            <w:r>
              <w:rPr>
                <w:rFonts w:ascii="Arial" w:cs="Arial" w:eastAsia="Arial" w:hAnsi="Arial"/>
                <w:sz w:val="12"/>
                <w:szCs w:val="12"/>
                <w:b w:val="1"/>
                <w:bCs w:val="1"/>
                <w:color w:val="auto"/>
                <w:w w:val="81"/>
              </w:rPr>
              <w:t>stockholders’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460"/>
              <w:spacing w:after="0"/>
              <w:rPr>
                <w:sz w:val="20"/>
                <w:szCs w:val="20"/>
                <w:color w:val="auto"/>
              </w:rPr>
            </w:pPr>
            <w:r>
              <w:rPr>
                <w:rFonts w:ascii="Arial" w:cs="Arial" w:eastAsia="Arial" w:hAnsi="Arial"/>
                <w:sz w:val="12"/>
                <w:szCs w:val="12"/>
                <w:b w:val="1"/>
                <w:bCs w:val="1"/>
                <w:color w:val="auto"/>
                <w:w w:val="98"/>
              </w:rPr>
              <w:t>As of December 31,</w:t>
            </w:r>
          </w:p>
        </w:tc>
        <w:tc>
          <w:tcPr>
            <w:tcW w:w="240" w:type="dxa"/>
            <w:vAlign w:val="bottom"/>
          </w:tcPr>
          <w:p>
            <w:pPr>
              <w:spacing w:after="0"/>
              <w:rPr>
                <w:sz w:val="10"/>
                <w:szCs w:val="10"/>
                <w:color w:val="auto"/>
              </w:rPr>
            </w:pPr>
          </w:p>
        </w:tc>
        <w:tc>
          <w:tcPr>
            <w:tcW w:w="72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5"/>
              </w:rPr>
              <w:t>as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960" w:type="dxa"/>
            <w:vAlign w:val="bottom"/>
            <w:gridSpan w:val="3"/>
          </w:tcPr>
          <w:p>
            <w:pPr>
              <w:jc w:val="center"/>
              <w:ind w:left="35"/>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3"/>
              <w:spacing w:after="0" w:line="115" w:lineRule="exact"/>
              <w:rPr>
                <w:sz w:val="20"/>
                <w:szCs w:val="20"/>
                <w:color w:val="auto"/>
              </w:rPr>
            </w:pPr>
            <w:r>
              <w:rPr>
                <w:rFonts w:ascii="Arial" w:cs="Arial" w:eastAsia="Arial" w:hAnsi="Arial"/>
                <w:sz w:val="12"/>
                <w:szCs w:val="12"/>
                <w:b w:val="1"/>
                <w:bCs w:val="1"/>
                <w:color w:val="auto"/>
                <w:w w:val="97"/>
              </w:rPr>
              <w:t>2016</w:t>
            </w: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3"/>
              <w:spacing w:after="0" w:line="115" w:lineRule="exact"/>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center"/>
              <w:ind w:right="16"/>
              <w:spacing w:after="0" w:line="115" w:lineRule="exact"/>
              <w:rPr>
                <w:sz w:val="20"/>
                <w:szCs w:val="20"/>
                <w:color w:val="auto"/>
              </w:rPr>
            </w:pPr>
            <w:r>
              <w:rPr>
                <w:rFonts w:ascii="Arial" w:cs="Arial" w:eastAsia="Arial" w:hAnsi="Arial"/>
                <w:sz w:val="12"/>
                <w:szCs w:val="12"/>
                <w:b w:val="1"/>
                <w:bCs w:val="1"/>
                <w:color w:val="auto"/>
                <w:w w:val="89"/>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center"/>
              <w:ind w:right="16"/>
              <w:spacing w:after="0" w:line="115" w:lineRule="exact"/>
              <w:rPr>
                <w:sz w:val="20"/>
                <w:szCs w:val="20"/>
                <w:color w:val="auto"/>
              </w:rPr>
            </w:pPr>
            <w:r>
              <w:rPr>
                <w:rFonts w:ascii="Arial" w:cs="Arial" w:eastAsia="Arial" w:hAnsi="Arial"/>
                <w:sz w:val="12"/>
                <w:szCs w:val="12"/>
                <w:i w:val="1"/>
                <w:iCs w:val="1"/>
                <w:color w:val="auto"/>
                <w:w w:val="92"/>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rPr>
              <w:t>Trade and other receivables, net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8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413.4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518.1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1,004.2</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1,019.9</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and other current liabilities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240"/>
              <w:spacing w:after="0" w:line="169" w:lineRule="exact"/>
              <w:rPr>
                <w:sz w:val="20"/>
                <w:szCs w:val="20"/>
                <w:color w:val="auto"/>
              </w:rPr>
            </w:pPr>
            <w:r>
              <w:rPr>
                <w:rFonts w:ascii="Arial" w:cs="Arial" w:eastAsia="Arial" w:hAnsi="Arial"/>
                <w:sz w:val="12"/>
                <w:szCs w:val="12"/>
                <w:color w:val="auto"/>
              </w:rPr>
              <w:t>Capital lease obligation</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635.3</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738.4</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line="169" w:lineRule="exact"/>
              <w:rPr>
                <w:sz w:val="20"/>
                <w:szCs w:val="20"/>
                <w:color w:val="auto"/>
              </w:rPr>
            </w:pPr>
            <w:r>
              <w:rPr>
                <w:rFonts w:ascii="Arial" w:cs="Arial" w:eastAsia="Arial" w:hAnsi="Arial"/>
                <w:sz w:val="12"/>
                <w:szCs w:val="12"/>
                <w:color w:val="auto"/>
              </w:rPr>
              <w:t>Capital lease obligation, non-current</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129.6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Deferred rent, non-current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80" w:type="dxa"/>
            <w:vAlign w:val="bottom"/>
            <w:gridSpan w:val="2"/>
          </w:tcPr>
          <w:p>
            <w:pPr>
              <w:spacing w:after="0"/>
              <w:rPr>
                <w:sz w:val="20"/>
                <w:szCs w:val="20"/>
                <w:color w:val="auto"/>
              </w:rPr>
            </w:pPr>
            <w:r>
              <w:rPr>
                <w:rFonts w:ascii="Arial" w:cs="Arial" w:eastAsia="Arial" w:hAnsi="Arial"/>
                <w:sz w:val="14"/>
                <w:szCs w:val="14"/>
                <w:color w:val="auto"/>
              </w:rPr>
              <w:t>Commitments and contingencies (Note 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w w:val="92"/>
              </w:rPr>
              <w:t>Convertible preferred stock, $0.00001 par value; 151.2 shares authorized as of December 31, 2016 and 2017;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auto"/>
                <w:w w:val="92"/>
              </w:rPr>
              <w:t>147.6 shares issued and outstanding as of December 31, 2016 and 2017; no shares authorized, issued and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auto"/>
                <w:w w:val="96"/>
              </w:rPr>
              <w:t>outstanding pro forma (unaudited); liquidation preference of $624.7 as of December 31, 2016 and 2017</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615.3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615.3</w:t>
            </w:r>
          </w:p>
        </w:tc>
        <w:tc>
          <w:tcPr>
            <w:tcW w:w="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Common stock $0.00001 par value; 1,000.0 shares authorized; Class A common stock - 533.3 shares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shd w:val="clear" w:color="auto" w:fill="CCEEFF"/>
          </w:tcPr>
          <w:p>
            <w:pPr>
              <w:ind w:left="380"/>
              <w:spacing w:after="0" w:line="172" w:lineRule="exact"/>
              <w:rPr>
                <w:sz w:val="20"/>
                <w:szCs w:val="20"/>
                <w:color w:val="auto"/>
              </w:rPr>
            </w:pPr>
            <w:r>
              <w:rPr>
                <w:rFonts w:ascii="Arial" w:cs="Arial" w:eastAsia="Arial" w:hAnsi="Arial"/>
                <w:sz w:val="12"/>
                <w:szCs w:val="12"/>
                <w:color w:val="auto"/>
              </w:rPr>
              <w:t>authorized; 5.5 and 8.9 shares</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issued and outstanding as of December 31, 2016 and 2017, respectively;</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11.8 shares issued and outstanding pro forma (unaudited); Class B common stock - 466.7 shares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authorized, 181.6 and 187.9 shares issued and outstanding as of December 31, 2016 and 2017,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respectively; 348.5 shares issued and outstanding pro forma (unaudited)</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446.0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(937.5)</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(1,049.7)</w:t>
            </w:r>
          </w:p>
        </w:tc>
        <w:tc>
          <w:tcPr>
            <w:tcW w:w="2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8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Pr>
          <w:p>
            <w:pPr>
              <w:jc w:val="right"/>
              <w:spacing w:after="0" w:line="152" w:lineRule="exact"/>
              <w:rPr>
                <w:sz w:val="20"/>
                <w:szCs w:val="20"/>
                <w:color w:val="auto"/>
              </w:rPr>
            </w:pPr>
            <w:r>
              <w:rPr>
                <w:rFonts w:ascii="Arial" w:cs="Arial" w:eastAsia="Arial" w:hAnsi="Arial"/>
                <w:sz w:val="14"/>
                <w:szCs w:val="14"/>
                <w:color w:val="auto"/>
                <w:w w:val="81"/>
              </w:rPr>
              <w:t>1,004.2</w:t>
            </w:r>
          </w:p>
        </w:tc>
        <w:tc>
          <w:tcPr>
            <w:tcW w:w="240" w:type="dxa"/>
            <w:vAlign w:val="bottom"/>
          </w:tcPr>
          <w:p>
            <w:pPr>
              <w:spacing w:after="0"/>
              <w:rPr>
                <w:sz w:val="13"/>
                <w:szCs w:val="13"/>
                <w:color w:val="auto"/>
              </w:rPr>
            </w:pPr>
          </w:p>
        </w:tc>
        <w:tc>
          <w:tcPr>
            <w:tcW w:w="2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2" w:lineRule="exact"/>
              <w:rPr>
                <w:sz w:val="20"/>
                <w:szCs w:val="20"/>
                <w:color w:val="auto"/>
              </w:rPr>
            </w:pPr>
            <w:r>
              <w:rPr>
                <w:rFonts w:ascii="Arial" w:cs="Arial" w:eastAsia="Arial" w:hAnsi="Arial"/>
                <w:sz w:val="14"/>
                <w:szCs w:val="14"/>
                <w:color w:val="auto"/>
                <w:w w:val="94"/>
              </w:rPr>
              <w:t>1,019.9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380" w:hanging="268"/>
        <w:spacing w:after="0"/>
        <w:tabs>
          <w:tab w:leader="none" w:pos="1380"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color w:val="auto"/>
        </w:rPr>
        <w:t>Includes amounts attributable to related party transactions. See Note 15 for further details.</w:t>
      </w:r>
    </w:p>
    <w:p>
      <w:pPr>
        <w:spacing w:after="0" w:line="8" w:lineRule="exact"/>
        <w:rPr>
          <w:rFonts w:ascii="Arial" w:cs="Arial" w:eastAsia="Arial" w:hAnsi="Arial"/>
          <w:sz w:val="23"/>
          <w:szCs w:val="23"/>
          <w:color w:val="auto"/>
          <w:vertAlign w:val="superscript"/>
        </w:rPr>
      </w:pPr>
    </w:p>
    <w:p>
      <w:pPr>
        <w:ind w:left="1380" w:right="180" w:hanging="268"/>
        <w:spacing w:after="0" w:line="186" w:lineRule="auto"/>
        <w:tabs>
          <w:tab w:leader="none" w:pos="1380"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color w:val="auto"/>
        </w:rPr>
        <w:t>Class A shares issued and outstanding as of December 31, 2017 exclude 14.7 million unvested restricted stock awards granted to the Company’s co-founders. See Note 11 for further details.</w:t>
      </w:r>
    </w:p>
    <w:p>
      <w:pPr>
        <w:spacing w:after="0" w:line="175"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320"/>
          </w:cols>
          <w:pgMar w:left="240" w:top="408" w:right="133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 except per share data)</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w w:val="97"/>
              </w:rPr>
              <w:t>2015</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97"/>
              </w:rPr>
              <w:t>2016</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1,106.8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250.6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2"/>
                <w:szCs w:val="12"/>
                <w:color w:val="auto"/>
              </w:rPr>
              <w:t>(2)</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2"/>
              </w:rPr>
              <w:t>(306.2)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8"/>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Arial" w:cs="Arial" w:eastAsia="Arial" w:hAnsi="Arial"/>
                <w:sz w:val="15"/>
                <w:szCs w:val="15"/>
                <w:color w:val="auto"/>
              </w:rPr>
              <w:t>Interest expense, net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(325.6)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(325.9)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p>
        </w:tc>
        <w:tc>
          <w:tcPr>
            <w:tcW w:w="2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(1.11)</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w w:val="90"/>
              </w:rPr>
              <w:t>Weighted-average shares used in computing net loss per share attributable to common stockholders, basic and</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diluted</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 (unaudited)</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Weighted-average shares used in computing pro forma net loss per share attributable to common</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stockholders, basic and diluted (unaudited)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380" w:hanging="268"/>
        <w:spacing w:after="0"/>
        <w:tabs>
          <w:tab w:leader="none" w:pos="138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 (in millions):</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128"/>
        </w:trPr>
        <w:tc>
          <w:tcPr>
            <w:tcW w:w="4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0" w:type="dxa"/>
            <w:vAlign w:val="bottom"/>
          </w:tcPr>
          <w:p>
            <w:pPr>
              <w:jc w:val="right"/>
              <w:ind w:right="67"/>
              <w:spacing w:after="0" w:line="115" w:lineRule="exact"/>
              <w:rPr>
                <w:sz w:val="20"/>
                <w:szCs w:val="20"/>
                <w:color w:val="auto"/>
              </w:rPr>
            </w:pPr>
            <w:r>
              <w:rPr>
                <w:rFonts w:ascii="Arial" w:cs="Arial" w:eastAsia="Arial" w:hAnsi="Arial"/>
                <w:sz w:val="11"/>
                <w:szCs w:val="11"/>
                <w:b w:val="1"/>
                <w:bCs w:val="1"/>
                <w:color w:val="auto"/>
              </w:rPr>
              <w:t>2015</w:t>
            </w:r>
          </w:p>
        </w:tc>
        <w:tc>
          <w:tcPr>
            <w:tcW w:w="70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2016</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4"/>
              <w:spacing w:after="0" w:line="115" w:lineRule="exact"/>
              <w:rPr>
                <w:sz w:val="20"/>
                <w:szCs w:val="20"/>
                <w:color w:val="auto"/>
              </w:rPr>
            </w:pPr>
            <w:r>
              <w:rPr>
                <w:rFonts w:ascii="Arial" w:cs="Arial" w:eastAsia="Arial" w:hAnsi="Arial"/>
                <w:sz w:val="12"/>
                <w:szCs w:val="12"/>
                <w:b w:val="1"/>
                <w:bCs w:val="1"/>
                <w:color w:val="auto"/>
                <w:w w:val="82"/>
              </w:rPr>
              <w:t>2017</w:t>
            </w:r>
          </w:p>
        </w:tc>
        <w:tc>
          <w:tcPr>
            <w:tcW w:w="20" w:type="dxa"/>
            <w:vAlign w:val="bottom"/>
          </w:tcPr>
          <w:p>
            <w:pPr>
              <w:spacing w:after="0"/>
              <w:rPr>
                <w:sz w:val="10"/>
                <w:szCs w:val="10"/>
                <w:color w:val="auto"/>
              </w:rPr>
            </w:pPr>
          </w:p>
        </w:tc>
      </w:t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4"/>
                <w:szCs w:val="14"/>
                <w:color w:val="auto"/>
              </w:rPr>
            </w:pPr>
          </w:p>
        </w:tc>
      </w:tr>
      <w:tr>
        <w:trPr>
          <w:trHeight w:val="169"/>
        </w:trPr>
        <w:tc>
          <w:tcPr>
            <w:tcW w:w="41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4"/>
                <w:szCs w:val="14"/>
                <w:color w:val="auto"/>
              </w:rPr>
            </w:pPr>
          </w:p>
        </w:tc>
      </w:tr>
      <w:tr>
        <w:trPr>
          <w:trHeight w:val="169"/>
        </w:trPr>
        <w:tc>
          <w:tcPr>
            <w:tcW w:w="4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4"/>
                <w:szCs w:val="14"/>
                <w:color w:val="auto"/>
              </w:rPr>
            </w:pPr>
          </w:p>
        </w:tc>
      </w:tr>
      <w:tr>
        <w:trPr>
          <w:trHeight w:val="173"/>
        </w:trPr>
        <w:tc>
          <w:tcPr>
            <w:tcW w:w="41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bl>
    <w:p>
      <w:pPr>
        <w:spacing w:after="0" w:line="191" w:lineRule="exact"/>
        <w:rPr>
          <w:sz w:val="20"/>
          <w:szCs w:val="20"/>
          <w:color w:val="auto"/>
        </w:rPr>
      </w:pPr>
    </w:p>
    <w:p>
      <w:pPr>
        <w:ind w:left="1380" w:right="520" w:hanging="268"/>
        <w:spacing w:after="0" w:line="192" w:lineRule="auto"/>
        <w:tabs>
          <w:tab w:leader="none" w:pos="1380" w:val="left"/>
        </w:tabs>
        <w:numPr>
          <w:ilvl w:val="0"/>
          <w:numId w:val="106"/>
        </w:numPr>
        <w:rPr>
          <w:rFonts w:ascii="Arial" w:cs="Arial" w:eastAsia="Arial" w:hAnsi="Arial"/>
          <w:sz w:val="23"/>
          <w:szCs w:val="23"/>
          <w:color w:val="auto"/>
          <w:vertAlign w:val="superscript"/>
        </w:rPr>
      </w:pPr>
      <w:r>
        <w:rPr>
          <w:rFonts w:ascii="Arial" w:cs="Arial" w:eastAsia="Arial" w:hAnsi="Arial"/>
          <w:sz w:val="14"/>
          <w:szCs w:val="14"/>
          <w:color w:val="auto"/>
        </w:rPr>
        <w:t>2017 general and administrative expense includes $9.4 million for a non-cash charitable contribution and $1.9 million of cash contributions to the Dropbox Charitable Foundation, a related party. See Note 15 for further details.</w:t>
      </w:r>
    </w:p>
    <w:p>
      <w:pPr>
        <w:spacing w:after="0" w:line="176"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320"/>
          </w:cols>
          <w:pgMar w:left="240" w:top="408" w:right="133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8"/>
          </w:tcPr>
          <w:p>
            <w:pPr>
              <w:jc w:val="right"/>
              <w:ind w:right="5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5"/>
        </w:trPr>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ind w:right="52"/>
              <w:spacing w:after="0" w:line="115" w:lineRule="exact"/>
              <w:rPr>
                <w:sz w:val="20"/>
                <w:szCs w:val="20"/>
                <w:color w:val="auto"/>
              </w:rPr>
            </w:pPr>
            <w:r>
              <w:rPr>
                <w:rFonts w:ascii="Arial" w:cs="Arial" w:eastAsia="Arial" w:hAnsi="Arial"/>
                <w:sz w:val="12"/>
                <w:szCs w:val="12"/>
                <w:b w:val="1"/>
                <w:bCs w:val="1"/>
                <w:color w:val="auto"/>
              </w:rPr>
              <w:t>2015</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65"/>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9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Net loss</w:t>
            </w: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8"/>
              </w:rPr>
              <w:t>$(325.9)</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$(210.2)</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6"/>
              </w:rPr>
              <w:t>$ (111.7)</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6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Change in cumulative foreign currency translation adjustments</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5"/>
                <w:szCs w:val="15"/>
                <w:color w:val="auto"/>
              </w:rPr>
              <w:t>Comprehensive loss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60" w:type="dxa"/>
            <w:vAlign w:val="bottom"/>
            <w:vMerge w:val="continue"/>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(325.8)</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(211.5)</w:t>
            </w:r>
          </w:p>
        </w:tc>
        <w:tc>
          <w:tcPr>
            <w:tcW w:w="72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320"/>
          </w:cols>
          <w:pgMar w:left="240" w:top="408" w:right="133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right"/>
              <w:ind w:right="112"/>
              <w:spacing w:after="0"/>
              <w:rPr>
                <w:sz w:val="20"/>
                <w:szCs w:val="20"/>
                <w:color w:val="auto"/>
              </w:rPr>
            </w:pPr>
            <w:r>
              <w:rPr>
                <w:rFonts w:ascii="Arial" w:cs="Arial" w:eastAsia="Arial" w:hAnsi="Arial"/>
                <w:sz w:val="12"/>
                <w:szCs w:val="12"/>
                <w:b w:val="1"/>
                <w:bCs w:val="1"/>
                <w:color w:val="auto"/>
              </w:rPr>
              <w:t>Convertible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4"/>
            <w:vMerge w:val="restart"/>
          </w:tcPr>
          <w:p>
            <w:pPr>
              <w:jc w:val="center"/>
              <w:spacing w:after="0" w:line="124"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restart"/>
          </w:tcPr>
          <w:p>
            <w:pPr>
              <w:jc w:val="center"/>
              <w:ind w:right="300"/>
              <w:spacing w:after="0" w:line="124"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20"/>
              <w:spacing w:after="0" w:line="124"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12"/>
              <w:spacing w:after="0"/>
              <w:rPr>
                <w:sz w:val="20"/>
                <w:szCs w:val="20"/>
                <w:color w:val="auto"/>
              </w:rPr>
            </w:pPr>
            <w:r>
              <w:rPr>
                <w:rFonts w:ascii="Arial" w:cs="Arial" w:eastAsia="Arial" w:hAnsi="Arial"/>
                <w:sz w:val="12"/>
                <w:szCs w:val="12"/>
                <w:b w:val="1"/>
                <w:bCs w:val="1"/>
                <w:color w:val="auto"/>
                <w:w w:val="98"/>
              </w:rPr>
              <w:t>preferred stock</w:t>
            </w:r>
          </w:p>
        </w:tc>
        <w:tc>
          <w:tcPr>
            <w:tcW w:w="180" w:type="dxa"/>
            <w:vAlign w:val="bottom"/>
          </w:tcPr>
          <w:p>
            <w:pPr>
              <w:spacing w:after="0"/>
              <w:rPr>
                <w:sz w:val="4"/>
                <w:szCs w:val="4"/>
                <w:color w:val="auto"/>
              </w:rPr>
            </w:pPr>
          </w:p>
        </w:tc>
        <w:tc>
          <w:tcPr>
            <w:tcW w:w="100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w w:val="99"/>
              </w:rPr>
              <w:t>Common stock</w:t>
            </w:r>
          </w:p>
        </w:tc>
        <w:tc>
          <w:tcPr>
            <w:tcW w:w="8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Borders>
              <w:bottom w:val="single" w:sz="8" w:color="auto"/>
            </w:tcBorders>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paid-in</w:t>
            </w:r>
          </w:p>
        </w:tc>
        <w:tc>
          <w:tcPr>
            <w:tcW w:w="900" w:type="dxa"/>
            <w:vAlign w:val="bottom"/>
            <w:gridSpan w:val="4"/>
          </w:tcPr>
          <w:p>
            <w:pPr>
              <w:ind w:left="80"/>
              <w:spacing w:after="0" w:line="88" w:lineRule="exact"/>
              <w:rPr>
                <w:sz w:val="20"/>
                <w:szCs w:val="20"/>
                <w:color w:val="auto"/>
              </w:rPr>
            </w:pPr>
            <w:r>
              <w:rPr>
                <w:rFonts w:ascii="Arial" w:cs="Arial" w:eastAsia="Arial" w:hAnsi="Arial"/>
                <w:sz w:val="10"/>
                <w:szCs w:val="10"/>
                <w:b w:val="1"/>
                <w:bCs w:val="1"/>
                <w:color w:val="auto"/>
              </w:rPr>
              <w:t>Accumulated</w:t>
            </w:r>
          </w:p>
        </w:tc>
        <w:tc>
          <w:tcPr>
            <w:tcW w:w="1000" w:type="dxa"/>
            <w:vAlign w:val="bottom"/>
            <w:gridSpan w:val="4"/>
          </w:tcPr>
          <w:p>
            <w:pPr>
              <w:jc w:val="center"/>
              <w:ind w:right="40"/>
              <w:spacing w:after="0" w:line="88" w:lineRule="exact"/>
              <w:rPr>
                <w:sz w:val="20"/>
                <w:szCs w:val="20"/>
                <w:color w:val="auto"/>
              </w:rPr>
            </w:pPr>
            <w:r>
              <w:rPr>
                <w:rFonts w:ascii="Arial" w:cs="Arial" w:eastAsia="Arial" w:hAnsi="Arial"/>
                <w:sz w:val="10"/>
                <w:szCs w:val="10"/>
                <w:b w:val="1"/>
                <w:bCs w:val="1"/>
                <w:color w:val="auto"/>
              </w:rPr>
              <w:t>comprehensive</w:t>
            </w:r>
          </w:p>
        </w:tc>
        <w:tc>
          <w:tcPr>
            <w:tcW w:w="860" w:type="dxa"/>
            <w:vAlign w:val="bottom"/>
            <w:gridSpan w:val="4"/>
          </w:tcPr>
          <w:p>
            <w:pPr>
              <w:jc w:val="center"/>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84"/>
              </w:rPr>
              <w:t>Shares</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3"/>
          </w:tcPr>
          <w:p>
            <w:pPr>
              <w:ind w:left="100"/>
              <w:spacing w:after="0"/>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7"/>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2014</w:t>
            </w: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$ 615.3</w:t>
            </w:r>
          </w:p>
        </w:tc>
        <w:tc>
          <w:tcPr>
            <w:tcW w:w="18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187.5</w:t>
            </w: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4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(399.7)</w:t>
            </w:r>
          </w:p>
        </w:tc>
        <w:tc>
          <w:tcPr>
            <w:tcW w:w="1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2"/>
              </w:rPr>
              <w:t>Cumulative-effect adjustment from adoption of Topic 606</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Vesting of early exercised stock options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0"/>
              </w:rPr>
              <w:t>Issuance of common stock, options and awards related to</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 awards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615.3</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187.3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(727.3)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Vesting of early 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0"/>
              </w:rPr>
              <w:t>Issuance of common stock, options and awards related to</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Cumulative-effect adjustment from adoption of ASU</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gridSpan w:val="2"/>
          </w:tcPr>
          <w:p>
            <w:pPr>
              <w:ind w:left="120"/>
              <w:spacing w:after="0"/>
              <w:rPr>
                <w:sz w:val="20"/>
                <w:szCs w:val="20"/>
                <w:color w:val="auto"/>
              </w:rPr>
            </w:pPr>
            <w:r>
              <w:rPr>
                <w:rFonts w:ascii="Arial" w:cs="Arial" w:eastAsia="Arial" w:hAnsi="Arial"/>
                <w:sz w:val="14"/>
                <w:szCs w:val="14"/>
                <w:color w:val="auto"/>
              </w:rPr>
              <w:t>2016-09</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Release of restricted stock units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6"/>
              </w:rPr>
              <w:t>Shares repurchased for tax withholdings on release of</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restricted stock</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Donation of common stock to charitable foundation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Exercise of stock options and awards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2017</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$ 615.3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(1,049.7)</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320"/>
          </w:cols>
          <w:pgMar w:left="240" w:top="407" w:right="133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gridSpan w:val="8"/>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w w:val="89"/>
              </w:rPr>
              <w:t>2015</w:t>
            </w:r>
          </w:p>
        </w:tc>
        <w:tc>
          <w:tcPr>
            <w:tcW w:w="1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w w:val="82"/>
              </w:rPr>
              <w:t>2016</w:t>
            </w:r>
          </w:p>
        </w:tc>
        <w:tc>
          <w:tcPr>
            <w:tcW w:w="1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6"/>
              <w:spacing w:after="0" w:line="115" w:lineRule="exact"/>
              <w:rPr>
                <w:sz w:val="20"/>
                <w:szCs w:val="20"/>
                <w:color w:val="auto"/>
              </w:rPr>
            </w:pPr>
            <w:r>
              <w:rPr>
                <w:rFonts w:ascii="Arial" w:cs="Arial" w:eastAsia="Arial" w:hAnsi="Arial"/>
                <w:sz w:val="12"/>
                <w:szCs w:val="12"/>
                <w:b w:val="1"/>
                <w:bCs w:val="1"/>
                <w:color w:val="auto"/>
                <w:w w:val="89"/>
              </w:rPr>
              <w:t>2017</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8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Cash flow from operating activities</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6" w:lineRule="exact"/>
              <w:rPr>
                <w:sz w:val="20"/>
                <w:szCs w:val="20"/>
                <w:color w:val="auto"/>
              </w:rPr>
            </w:pPr>
            <w:r>
              <w:rPr>
                <w:rFonts w:ascii="Arial" w:cs="Arial" w:eastAsia="Arial" w:hAnsi="Arial"/>
                <w:sz w:val="13"/>
                <w:szCs w:val="13"/>
                <w:color w:val="auto"/>
              </w:rPr>
              <w:t>Net loss</w:t>
            </w:r>
          </w:p>
        </w:tc>
        <w:tc>
          <w:tcPr>
            <w:tcW w:w="12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w w:val="87"/>
              </w:rPr>
              <w:t>(325.9)</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w w:val="87"/>
              </w:rPr>
              <w:t>(210.2)</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w w:val="87"/>
              </w:rPr>
              <w:t>(111.7)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Adjustments to reconcile net loss to net cash provided by operating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Depreciation and amortization</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w w:val="98"/>
              </w:rPr>
              <w:t>149.6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w w:val="98"/>
              </w:rPr>
              <w:t>191.6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w w:val="98"/>
              </w:rPr>
              <w:t>181.8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Stock-based compensation</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66.1</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147.6</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164.6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Amortization of deferred commissions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Donation of common stock to charitable foundation</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Other</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0.8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Changes in operating assets and liabilities: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Trade and other receivables, net</w:t>
            </w: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(9.9)</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Prepaid expenses and other current assets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(1.8)</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Other assets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(7.8)</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Accounts payable</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Accrued and other current liabilities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(12.4)</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Accrued compensation and benefits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(9.0)</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Deferred revenue</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82.0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87.6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64.3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Non-current liabilities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0"/>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Net cash provided by operating activities</w:t>
            </w:r>
          </w:p>
        </w:tc>
        <w:tc>
          <w:tcPr>
            <w:tcW w:w="1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14.8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252.6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330.3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Cash flow from investing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Capital expenditures</w:t>
            </w: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(78.7)</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w w:val="87"/>
              </w:rPr>
              <w:t>(115.2)</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Purchase of intangible assets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(4.6)</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(8.5)</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received from equipment rebates</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Business acquisitions, net of cash acquired</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(2.3)</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received from sales of equipment</w:t>
            </w:r>
          </w:p>
        </w:tc>
        <w:tc>
          <w:tcPr>
            <w:tcW w:w="1240" w:type="dxa"/>
            <w:vAlign w:val="bottom"/>
          </w:tcPr>
          <w:p>
            <w:pPr>
              <w:spacing w:after="0"/>
              <w:rPr>
                <w:sz w:val="11"/>
                <w:szCs w:val="11"/>
                <w:color w:val="auto"/>
              </w:rPr>
            </w:pPr>
          </w:p>
        </w:tc>
        <w:tc>
          <w:tcPr>
            <w:tcW w:w="36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Net cash used in investing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(85.6)</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87"/>
              </w:rPr>
              <w:t>(118.0)</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38"/>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Cash flow from financing activities</w:t>
            </w:r>
          </w:p>
        </w:tc>
        <w:tc>
          <w:tcPr>
            <w:tcW w:w="1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Principal payments on capital lease obligations</w:t>
            </w:r>
            <w:r>
              <w:rPr>
                <w:rFonts w:ascii="Arial" w:cs="Arial" w:eastAsia="Arial" w:hAnsi="Arial"/>
                <w:sz w:val="10"/>
                <w:szCs w:val="10"/>
                <w:color w:val="auto"/>
              </w:rPr>
              <w:t>(1)</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87"/>
              </w:rPr>
              <w:t>(101.2)</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87"/>
              </w:rPr>
              <w:t>(137.9)</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w w:val="87"/>
              </w:rPr>
              <w:t>(133.0)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Principal payments against note payable</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(3.8)</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Principal payments against financing lease obligation</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(1.8)</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(1.6)</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Proceeds from sale-leaseback agreement</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Proceeds from issuance of note payable</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Fees paid for revolving credit facility</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Shares repurchased for tax withholdings on release of restricted stock</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Proceeds from issuance of common stock, net of repurchases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Payments of deferred offering costs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cash used in financing activities</w:t>
            </w: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(89.6)</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87"/>
              </w:rPr>
              <w:t>(134.5)</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w w:val="87"/>
              </w:rPr>
              <w:t>(231.7)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Effect of exchange rate changes on cash and cash equivalents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(0.9)</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(4.3)</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color w:val="auto"/>
              </w:rPr>
              <w:t>Change in cash, cash equivalents, and restricted cash</w:t>
            </w: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w w:val="87"/>
              </w:rPr>
              <w:t>(161.3)</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(4.2)</w:t>
            </w:r>
          </w:p>
        </w:tc>
        <w:tc>
          <w:tcPr>
            <w:tcW w:w="18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77.3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Cash, cash equivalents, and restricted cash—beginning of period</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518.2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356.9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352.7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Cash, cash equivalents, and restricted cash—end of period</w:t>
            </w:r>
          </w:p>
        </w:tc>
        <w:tc>
          <w:tcPr>
            <w:tcW w:w="12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w w:val="98"/>
              </w:rPr>
              <w:t>356.9</w:t>
            </w:r>
          </w:p>
        </w:tc>
        <w:tc>
          <w:tcPr>
            <w:tcW w:w="14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352.7</w:t>
            </w:r>
          </w:p>
        </w:tc>
        <w:tc>
          <w:tcPr>
            <w:tcW w:w="14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430.0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Supplemental cash flow data:</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paid during the period for:</w:t>
            </w: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480"/>
              <w:spacing w:after="0" w:line="136" w:lineRule="exact"/>
              <w:rPr>
                <w:sz w:val="20"/>
                <w:szCs w:val="20"/>
                <w:color w:val="auto"/>
              </w:rPr>
            </w:pPr>
            <w:r>
              <w:rPr>
                <w:rFonts w:ascii="Arial" w:cs="Arial" w:eastAsia="Arial" w:hAnsi="Arial"/>
                <w:sz w:val="13"/>
                <w:szCs w:val="13"/>
                <w:color w:val="auto"/>
              </w:rPr>
              <w:t>Interest</w:t>
            </w:r>
          </w:p>
        </w:tc>
        <w:tc>
          <w:tcPr>
            <w:tcW w:w="12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80"/>
              <w:spacing w:after="0"/>
              <w:rPr>
                <w:sz w:val="20"/>
                <w:szCs w:val="20"/>
                <w:color w:val="auto"/>
              </w:rPr>
            </w:pPr>
            <w:r>
              <w:rPr>
                <w:rFonts w:ascii="Arial" w:cs="Arial" w:eastAsia="Arial" w:hAnsi="Arial"/>
                <w:sz w:val="13"/>
                <w:szCs w:val="13"/>
                <w:color w:val="auto"/>
              </w:rPr>
              <w:t>Income taxes</w:t>
            </w: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1"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Non-cash investing and financing activities:</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480"/>
              <w:spacing w:after="0" w:line="136" w:lineRule="exact"/>
              <w:rPr>
                <w:sz w:val="20"/>
                <w:szCs w:val="20"/>
                <w:color w:val="auto"/>
              </w:rPr>
            </w:pPr>
            <w:r>
              <w:rPr>
                <w:rFonts w:ascii="Arial" w:cs="Arial" w:eastAsia="Arial" w:hAnsi="Arial"/>
                <w:sz w:val="13"/>
                <w:szCs w:val="13"/>
                <w:color w:val="auto"/>
              </w:rPr>
              <w:t>Property and equipment received and accrued in accounts payable and accrued liabilities</w:t>
            </w:r>
          </w:p>
        </w:tc>
        <w:tc>
          <w:tcPr>
            <w:tcW w:w="12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23.8</w:t>
            </w:r>
          </w:p>
        </w:tc>
        <w:tc>
          <w:tcPr>
            <w:tcW w:w="14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480"/>
              <w:spacing w:after="0" w:line="121" w:lineRule="exact"/>
              <w:rPr>
                <w:sz w:val="20"/>
                <w:szCs w:val="20"/>
                <w:color w:val="auto"/>
              </w:rPr>
            </w:pPr>
            <w:r>
              <w:rPr>
                <w:rFonts w:ascii="Arial" w:cs="Arial" w:eastAsia="Arial" w:hAnsi="Arial"/>
                <w:sz w:val="13"/>
                <w:szCs w:val="13"/>
                <w:color w:val="auto"/>
              </w:rPr>
              <w:t>Property and equipment acquired under capital leases</w:t>
            </w:r>
          </w:p>
        </w:tc>
        <w:tc>
          <w:tcPr>
            <w:tcW w:w="12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8"/>
              </w:rPr>
              <w:t>226.3</w:t>
            </w: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92.2</w:t>
            </w: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80"/>
              <w:spacing w:after="0"/>
              <w:rPr>
                <w:sz w:val="20"/>
                <w:szCs w:val="20"/>
                <w:color w:val="auto"/>
              </w:rPr>
            </w:pPr>
            <w:r>
              <w:rPr>
                <w:rFonts w:ascii="Arial" w:cs="Arial" w:eastAsia="Arial" w:hAnsi="Arial"/>
                <w:sz w:val="13"/>
                <w:szCs w:val="13"/>
                <w:color w:val="auto"/>
              </w:rPr>
              <w:t>Fair value of shares issued related to acquisitions of businesses and other assets</w:t>
            </w: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1" w:lineRule="exact"/>
              <w:rPr>
                <w:sz w:val="20"/>
                <w:szCs w:val="20"/>
                <w:color w:val="auto"/>
              </w:rPr>
            </w:pPr>
            <w:r>
              <w:rPr>
                <w:rFonts w:ascii="Arial" w:cs="Arial" w:eastAsia="Arial" w:hAnsi="Arial"/>
                <w:sz w:val="13"/>
                <w:szCs w:val="13"/>
                <w:color w:val="auto"/>
              </w:rPr>
              <w:t>35.2</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0.7</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480"/>
              <w:spacing w:after="0" w:line="121" w:lineRule="exact"/>
              <w:rPr>
                <w:sz w:val="20"/>
                <w:szCs w:val="20"/>
                <w:color w:val="auto"/>
              </w:rPr>
            </w:pPr>
            <w:r>
              <w:rPr>
                <w:rFonts w:ascii="Arial" w:cs="Arial" w:eastAsia="Arial" w:hAnsi="Arial"/>
                <w:sz w:val="13"/>
                <w:szCs w:val="13"/>
                <w:color w:val="auto"/>
              </w:rPr>
              <w:t>Deferred offering costs accrued in accounts payable and accrued liabilities</w:t>
            </w:r>
          </w:p>
        </w:tc>
        <w:tc>
          <w:tcPr>
            <w:tcW w:w="12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380" w:hanging="268"/>
        <w:spacing w:after="0"/>
        <w:tabs>
          <w:tab w:leader="none" w:pos="1380" w:val="left"/>
        </w:tabs>
        <w:numPr>
          <w:ilvl w:val="0"/>
          <w:numId w:val="107"/>
        </w:numPr>
        <w:rPr>
          <w:rFonts w:ascii="Arial" w:cs="Arial" w:eastAsia="Arial" w:hAnsi="Arial"/>
          <w:sz w:val="10"/>
          <w:szCs w:val="10"/>
          <w:color w:val="auto"/>
        </w:rPr>
      </w:pPr>
      <w:r>
        <w:rPr>
          <w:rFonts w:ascii="Arial" w:cs="Arial" w:eastAsia="Arial" w:hAnsi="Arial"/>
          <w:sz w:val="12"/>
          <w:szCs w:val="12"/>
          <w:color w:val="auto"/>
        </w:rPr>
        <w:t>Includes amounts attributable to related party transactions. See Note 15 for further details.</w:t>
      </w:r>
    </w:p>
    <w:p>
      <w:pPr>
        <w:spacing w:after="0" w:line="172"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320"/>
          </w:cols>
          <w:pgMar w:left="240" w:top="408" w:right="133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9" w:lineRule="exact"/>
        <w:rPr>
          <w:sz w:val="20"/>
          <w:szCs w:val="20"/>
          <w:color w:val="auto"/>
        </w:rPr>
      </w:pPr>
    </w:p>
    <w:p>
      <w:pPr>
        <w:ind w:left="3320"/>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 Description of the Business and Summary of Significant Accounting Policies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w:t>
      </w:r>
    </w:p>
    <w:p>
      <w:pPr>
        <w:spacing w:after="0" w:line="98" w:lineRule="exact"/>
        <w:rPr>
          <w:sz w:val="20"/>
          <w:szCs w:val="20"/>
          <w:color w:val="auto"/>
        </w:rPr>
      </w:pPr>
    </w:p>
    <w:p>
      <w:pPr>
        <w:ind w:left="1120" w:right="280" w:firstLine="368"/>
        <w:spacing w:after="0" w:line="312" w:lineRule="auto"/>
        <w:rPr>
          <w:sz w:val="20"/>
          <w:szCs w:val="20"/>
          <w:color w:val="auto"/>
        </w:rPr>
      </w:pPr>
      <w:r>
        <w:rPr>
          <w:rFonts w:ascii="Arial" w:cs="Arial" w:eastAsia="Arial" w:hAnsi="Arial"/>
          <w:sz w:val="14"/>
          <w:szCs w:val="14"/>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98" w:lineRule="exact"/>
        <w:rPr>
          <w:sz w:val="20"/>
          <w:szCs w:val="20"/>
          <w:color w:val="auto"/>
        </w:rPr>
      </w:pPr>
    </w:p>
    <w:p>
      <w:pPr>
        <w:ind w:left="1120" w:right="200" w:firstLine="368"/>
        <w:spacing w:after="0" w:line="259" w:lineRule="auto"/>
        <w:rPr>
          <w:sz w:val="20"/>
          <w:szCs w:val="20"/>
          <w:color w:val="auto"/>
        </w:rPr>
      </w:pPr>
      <w:r>
        <w:rPr>
          <w:rFonts w:ascii="Arial" w:cs="Arial" w:eastAsia="Arial" w:hAnsi="Arial"/>
          <w:sz w:val="15"/>
          <w:szCs w:val="15"/>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 Certain prior year non-current liability balances have been reclassified to conform to the current year presentation.</w:t>
      </w:r>
    </w:p>
    <w:p>
      <w:pPr>
        <w:spacing w:after="0" w:line="15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 xml:space="preserve">On January 1, 2017, the Company adopted the requirements of Accounting Standards Update (“ASU”) No. 2014-09, </w:t>
      </w:r>
      <w:r>
        <w:rPr>
          <w:rFonts w:ascii="Arial" w:cs="Arial" w:eastAsia="Arial" w:hAnsi="Arial"/>
          <w:sz w:val="13"/>
          <w:szCs w:val="13"/>
          <w:i w:val="1"/>
          <w:iCs w:val="1"/>
          <w:color w:val="auto"/>
        </w:rPr>
        <w:t>Revenue from Contracts with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Customers </w:t>
      </w:r>
      <w:r>
        <w:rPr>
          <w:rFonts w:ascii="Arial" w:cs="Arial" w:eastAsia="Arial" w:hAnsi="Arial"/>
          <w:sz w:val="13"/>
          <w:szCs w:val="13"/>
          <w:color w:val="auto"/>
        </w:rPr>
        <w:t>(</w:t>
      </w:r>
      <w:r>
        <w:rPr>
          <w:rFonts w:ascii="Arial" w:cs="Arial" w:eastAsia="Arial" w:hAnsi="Arial"/>
          <w:sz w:val="13"/>
          <w:szCs w:val="13"/>
          <w:i w:val="1"/>
          <w:iCs w:val="1"/>
          <w:color w:val="auto"/>
        </w:rPr>
        <w:t>Topic 606</w:t>
      </w:r>
      <w:r>
        <w:rPr>
          <w:rFonts w:ascii="Arial" w:cs="Arial" w:eastAsia="Arial" w:hAnsi="Arial"/>
          <w:sz w:val="13"/>
          <w:szCs w:val="13"/>
          <w:color w:val="auto"/>
        </w:rPr>
        <w:t>) as discussed further in</w:t>
      </w:r>
      <w:r>
        <w:rPr>
          <w:rFonts w:ascii="Arial" w:cs="Arial" w:eastAsia="Arial" w:hAnsi="Arial"/>
          <w:sz w:val="13"/>
          <w:szCs w:val="13"/>
          <w:i w:val="1"/>
          <w:iCs w:val="1"/>
          <w:color w:val="auto"/>
        </w:rPr>
        <w:t xml:space="preserve"> Recently adopted accounting pronouncements </w:t>
      </w:r>
      <w:r>
        <w:rPr>
          <w:rFonts w:ascii="Arial" w:cs="Arial" w:eastAsia="Arial" w:hAnsi="Arial"/>
          <w:sz w:val="13"/>
          <w:szCs w:val="13"/>
          <w:color w:val="auto"/>
        </w:rPr>
        <w:t>below (“Topic 606”). Topic 606 establishes a principle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recognizing revenue upon the transfer of promised goods or services to customers, in an amount that reflects the expected consideration received in exchange for those goods or services. Topic 606 also includes Subtopic 340-40, </w:t>
      </w:r>
      <w:r>
        <w:rPr>
          <w:rFonts w:ascii="Arial" w:cs="Arial" w:eastAsia="Arial" w:hAnsi="Arial"/>
          <w:sz w:val="13"/>
          <w:szCs w:val="13"/>
          <w:i w:val="1"/>
          <w:iCs w:val="1"/>
          <w:color w:val="auto"/>
        </w:rPr>
        <w:t>Other Assets and Deferred Costs—Contracts with Customers</w:t>
      </w:r>
      <w:r>
        <w:rPr>
          <w:rFonts w:ascii="Arial" w:cs="Arial" w:eastAsia="Arial" w:hAnsi="Arial"/>
          <w:sz w:val="13"/>
          <w:szCs w:val="13"/>
          <w:color w:val="auto"/>
        </w:rPr>
        <w:t>, which requires the deferral of incremental costs of obtaining a contract with a customer. Collectively, references to Topic 606 used herein refer to both Topic 606 and Subtopic 340-40. The Company adopted Topic 606 with retrospective application to the beginning of the earliest period presented.</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stockholder’s equity</w:t>
      </w:r>
    </w:p>
    <w:p>
      <w:pPr>
        <w:spacing w:after="0" w:line="98" w:lineRule="exact"/>
        <w:rPr>
          <w:sz w:val="20"/>
          <w:szCs w:val="20"/>
          <w:color w:val="auto"/>
        </w:rPr>
      </w:pPr>
    </w:p>
    <w:p>
      <w:pPr>
        <w:ind w:left="1120" w:right="140" w:firstLine="368"/>
        <w:spacing w:after="0" w:line="279" w:lineRule="auto"/>
        <w:rPr>
          <w:sz w:val="20"/>
          <w:szCs w:val="20"/>
          <w:color w:val="auto"/>
        </w:rPr>
      </w:pPr>
      <w:r>
        <w:rPr>
          <w:rFonts w:ascii="Arial" w:cs="Arial" w:eastAsia="Arial" w:hAnsi="Arial"/>
          <w:sz w:val="14"/>
          <w:szCs w:val="14"/>
          <w:color w:val="auto"/>
        </w:rPr>
        <w:t>Subject to the satisfaction of certain conditions, immediately prior to the completion of the Company’s initial public offering, all of the 147,310,563 shares of convertible preferred stock will convert into an equivalent number of shares of Class B common stock. Further, pursuant to transfer agreements with certain of the Company’s stockholders, 258,620 shares of the Company’s convertible preferred stock and 2,609,951 shares of the Company’s Class B common stock will automatically convert into an equivalent numbers of shares of Class A common stock. The unaudited pro forma stockholder’s equity information gives effect to these conversions as of December 31, 2017.</w:t>
      </w:r>
    </w:p>
    <w:p>
      <w:pPr>
        <w:spacing w:after="0" w:line="147"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As described in detail in “Stock-Based Compensation” below, the Company has granted restricted stock units (“RSUs”) that generally vest upon the satisfaction of a service-based vesting condition, and with respect to RSUs granted prior to August 2015, (“two-tier RSUs”), upon the satisfaction of both a service-based vesting condition and a liquidity event-related performance vesting condition (the “Performance Vesting Condition”). The Performance Vesting Condition is satisfied on the earlier of (i) an acquisition or change in control of the Company or (ii) the earlier of (a) six months after our initial public offering or (b) March 15 of the year following our initial public offering. At the time the Performance Vesting Condition becomes probable, the Company will recognize the cumulative stock-based compensation expense for the two-tier RSUs that have met their service-based vesting condition using the accelerated attribution method. Accordingly, the unaudited pro forma stockholder’s equity information as of December 31, 2017, gives effect to stock-based compensation expense of approximately $415.6 million associated with two-tier RSUs using the accelerated attribution method. This pro forma adjustment related to stock-based compensation expense of approximately $415.6 million has been reflected as an increase to additional paid-in capital and accumulated deficit.</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300"/>
          </w:cols>
          <w:pgMar w:left="240" w:top="408"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The Company’s Board of Directors has approved the acceleration of the Performance Vesting Condition for two-tier RSUs for which the service condition was satisfied as of December 31, 2017, to occur upon the effectiveness of its registration statement related to this offering. Accordingly, to satisfy the tax withholding and remittance obligations related to the two-tier RSUs, the Company will repurchase the number of shares necessary to satisfy the tax withholding obligations, based on the fair value of its common stock on the date of the initial public offering. The Company currently expects that the average of these withholding tax rates will be approximately 39%. Based upon the assumed initial public offering price of $17.00 per share, which is the midpoint of the estimated offering price range set forth on the cover page of this prospectus, the Company estimates that its tax withholding and remittance obligation would be approximately $172.8 million in the aggregate. Such amount is included as a decrease in additional paid-in capital in the pro forma stockholder’s equity as of December 31, 2017. The unaudited pro forma stockholder’s equity gives effect to the assumed conversion of the two-tier RSUs that had satisfied the service-based vesting condition and the Performance Vesting Condition as of December 31, 2017, and will convert into 15,897,254 shares of Class B common stock, net of 10,163,817 shares repurchased for tax withholding obligations.</w:t>
      </w:r>
    </w:p>
    <w:p>
      <w:pPr>
        <w:spacing w:after="0" w:line="141"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The shares of common stock issuable and the proceeds expected to be received upon the completion of an initial public offering are excluded from the pro forma stockholder’s equity.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5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The Company’s most significant estimates and judgments involve recognition of revenue, the measurement of the Company’s stock-based compensation, including the estimation of the underlying deemed fair value of common stock, the estimation of the fair value of market-based awards, and the valuation of acquired intangible assets and goodwill from business combinations.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Financial information about segments and geographic areas</w:t>
      </w:r>
    </w:p>
    <w:p>
      <w:pPr>
        <w:spacing w:after="0" w:line="98"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long-lived assets and revenue by geographic area, see Note 16.</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5"/>
          <w:szCs w:val="15"/>
          <w:b w:val="1"/>
          <w:bCs w:val="1"/>
          <w:i w:val="1"/>
          <w:iCs w:val="1"/>
          <w:color w:val="auto"/>
        </w:rPr>
        <w:t>Stock Split</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On March 7, 2018, the Company effected a 1-for-1.5 reverse stock split of its capital stock. All of the share and per share information referenced throughout the consolidated financial statements and notes to the consolidated financial statements have been retroactively adjusted to reflect this reverse stock split.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Foreign currency transactions</w:t>
      </w:r>
    </w:p>
    <w:p>
      <w:pPr>
        <w:spacing w:after="0" w:line="98"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color w:val="auto"/>
        </w:rPr>
        <w:t>The assets and liabilities of the Company’s foreign subsidiaries are translated from their respective functional currencies into U.S. dollars at the rates in effect at the balance sheet date and revenue and expense amounts are translated at the average exchange rate for the period. Foreign currency translation gains and losses are recorded in other comprehensive income (loss).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300"/>
          </w:cols>
          <w:pgMar w:left="240" w:top="407" w:right="135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$4.6 million and $3.6 million in net foreign currency transaction losses in the years ended December 31, 2015 and 2016, respectively, and $5.0 million in net foreign currency gains in the year ended December 31, 2017.</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ind w:left="1120" w:right="140" w:firstLine="368"/>
        <w:spacing w:after="0" w:line="290" w:lineRule="auto"/>
        <w:rPr>
          <w:sz w:val="20"/>
          <w:szCs w:val="20"/>
          <w:color w:val="auto"/>
        </w:rPr>
      </w:pPr>
      <w:r>
        <w:rPr>
          <w:rFonts w:ascii="Arial" w:cs="Arial" w:eastAsia="Arial" w:hAnsi="Arial"/>
          <w:sz w:val="14"/>
          <w:szCs w:val="14"/>
          <w:color w:val="auto"/>
        </w:rPr>
        <w:t>The Company adopted the requirements of Topic 606 as of January 1, 2017, utilizing the full retrospective method of transition. 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w:t>
      </w:r>
    </w:p>
    <w:p>
      <w:pPr>
        <w:spacing w:after="0" w:line="138"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by applying the requirements of Topic 606, which includes the following steps:</w:t>
      </w:r>
    </w:p>
    <w:p>
      <w:pPr>
        <w:spacing w:after="0" w:line="76" w:lineRule="exact"/>
        <w:rPr>
          <w:sz w:val="20"/>
          <w:szCs w:val="20"/>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Recognition of revenue when, or as, the Company satisfies a performance obligation</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64"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20" w:lineRule="exact"/>
        <w:rPr>
          <w:sz w:val="20"/>
          <w:szCs w:val="20"/>
          <w:color w:val="auto"/>
        </w:rPr>
      </w:pPr>
    </w:p>
    <w:p>
      <w:pPr>
        <w:ind w:left="1120" w:right="440" w:firstLine="368"/>
        <w:spacing w:after="0" w:line="275" w:lineRule="auto"/>
        <w:rPr>
          <w:sz w:val="20"/>
          <w:szCs w:val="20"/>
          <w:color w:val="auto"/>
        </w:rPr>
      </w:pPr>
      <w:r>
        <w:rPr>
          <w:rFonts w:ascii="Arial" w:cs="Arial" w:eastAsia="Arial" w:hAnsi="Arial"/>
          <w:sz w:val="15"/>
          <w:szCs w:val="15"/>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46"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55" w:lineRule="exact"/>
        <w:rPr>
          <w:sz w:val="20"/>
          <w:szCs w:val="20"/>
          <w:color w:val="auto"/>
        </w:rPr>
      </w:pPr>
    </w:p>
    <w:p>
      <w:pPr>
        <w:ind w:left="1120" w:right="400" w:firstLine="368"/>
        <w:spacing w:after="0" w:line="275" w:lineRule="auto"/>
        <w:rPr>
          <w:sz w:val="20"/>
          <w:szCs w:val="20"/>
          <w:color w:val="auto"/>
        </w:rPr>
      </w:pPr>
      <w:r>
        <w:rPr>
          <w:rFonts w:ascii="Arial" w:cs="Arial" w:eastAsia="Arial" w:hAnsi="Arial"/>
          <w:sz w:val="15"/>
          <w:szCs w:val="15"/>
          <w:color w:val="auto"/>
        </w:rPr>
        <w:t>The Company recognized $184.7 million, $266.9 million, and $353.0 million of revenue during 2015, 2016 and 2017, respectively, that was included in the deferred revenue balances at the beginning of the respective periods.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300"/>
          </w:cols>
          <w:pgMar w:left="240" w:top="408"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354" w:lineRule="auto"/>
        <w:rPr>
          <w:sz w:val="20"/>
          <w:szCs w:val="20"/>
          <w:color w:val="auto"/>
        </w:rPr>
      </w:pPr>
      <w:r>
        <w:rPr>
          <w:rFonts w:ascii="Arial" w:cs="Arial" w:eastAsia="Arial" w:hAnsi="Arial"/>
          <w:sz w:val="13"/>
          <w:szCs w:val="13"/>
          <w:color w:val="auto"/>
        </w:rPr>
        <w:t>As of December 31, 2017, future estimated revenue related to performance obligations that are unsatisfied or partially unsatisfied at the end of the reporting period was $467.8 million. The substantial majority of the unsatisfied performance obligations will be satisfied over the next twelve months.</w:t>
      </w:r>
    </w:p>
    <w:p>
      <w:pPr>
        <w:spacing w:after="0" w:line="100" w:lineRule="exact"/>
        <w:rPr>
          <w:sz w:val="20"/>
          <w:szCs w:val="20"/>
          <w:color w:val="auto"/>
        </w:rPr>
      </w:pPr>
    </w:p>
    <w:p>
      <w:pPr>
        <w:ind w:left="1120" w:right="360" w:firstLine="368"/>
        <w:spacing w:after="0" w:line="275" w:lineRule="auto"/>
        <w:rPr>
          <w:sz w:val="20"/>
          <w:szCs w:val="20"/>
          <w:color w:val="auto"/>
        </w:rPr>
      </w:pPr>
      <w:r>
        <w:rPr>
          <w:rFonts w:ascii="Arial" w:cs="Arial" w:eastAsia="Arial" w:hAnsi="Arial"/>
          <w:sz w:val="15"/>
          <w:szCs w:val="15"/>
          <w:color w:val="auto"/>
        </w:rPr>
        <w:t>The Company applied the practical expedient in Topic 606 and did not evaluate contracts of one year or less for the existence of a significant financing component. Multi-year contracts were not significant.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98" w:lineRule="exact"/>
        <w:rPr>
          <w:sz w:val="20"/>
          <w:szCs w:val="20"/>
          <w:color w:val="auto"/>
        </w:rPr>
      </w:pPr>
    </w:p>
    <w:p>
      <w:pPr>
        <w:ind w:left="1120" w:right="60" w:firstLine="368"/>
        <w:spacing w:after="0" w:line="312" w:lineRule="auto"/>
        <w:rPr>
          <w:sz w:val="20"/>
          <w:szCs w:val="20"/>
          <w:color w:val="auto"/>
        </w:rPr>
      </w:pPr>
      <w:r>
        <w:rPr>
          <w:rFonts w:ascii="Arial" w:cs="Arial" w:eastAsia="Arial" w:hAnsi="Arial"/>
          <w:sz w:val="14"/>
          <w:szCs w:val="14"/>
          <w:color w:val="auto"/>
        </w:rPr>
        <w:t>The Company has granted RSUs to its employees and members of the Board of Directors under the 2008 Equity Incentive Plan (“2008 Plan”) and the 2017 Equity Incentive Plan (“2017 Plan”). The Company had two types of RSUs outstanding as of December 31, 2017:</w:t>
      </w:r>
    </w:p>
    <w:p>
      <w:pPr>
        <w:spacing w:after="0" w:line="44" w:lineRule="exact"/>
        <w:rPr>
          <w:sz w:val="20"/>
          <w:szCs w:val="20"/>
          <w:color w:val="auto"/>
        </w:rPr>
      </w:pPr>
    </w:p>
    <w:p>
      <w:pPr>
        <w:ind w:left="1840" w:right="160" w:hanging="276"/>
        <w:spacing w:after="0" w:line="259" w:lineRule="auto"/>
        <w:tabs>
          <w:tab w:leader="none" w:pos="18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2017 Plan. The Company recognizes compensation expense associated with one-tier RSUs ratably on a straight-line basis over the requisite service period.</w:t>
      </w:r>
    </w:p>
    <w:p>
      <w:pPr>
        <w:spacing w:after="0" w:line="78"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Two-tier RSUs, which have both a service-based vesting condition and the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the Company’s initial public offering or (b) March 15 of the year following the Company’s initial public offering. Prior to August 2015, the Company granted two-tier RSUs under the 2008 Plan. The Company’s Board of Directors has approved the acceleration of the Performance Vesting Condition for two-tier RSUs, for which the service condition was satisfied as of December 31, 2017, to occur upon the effectiveness of its registration statement related to this offering. The last grant date for two-tier RSUs was in May 2015.</w:t>
      </w:r>
    </w:p>
    <w:p>
      <w:pPr>
        <w:spacing w:after="0" w:line="14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4"/>
          <w:szCs w:val="14"/>
          <w:color w:val="auto"/>
        </w:rPr>
        <w:t>As of December 31, 2017, all compensation expense related to two-tier RSUs remained unrecognized because the Performance Vesting Condition was not satisfied. At the time the Performance Vesting Condition becomes probable, the Company will recognize the cumulative stock-based compensation expense for the two-tier RSUs that have met their service-based vesting condition using the accelerated attribution method. If the Performance Vesting Condition had occurred on December 31, 2017, the Company would have recorded $415.6 million of stock-based compensation expense using the accelerated attribution method. As of December 31, 2017, 28.2 million two-tier RSUs were outstanding, of which 26.1 million had met their service condition. If the Performance Vesting Condition had been satisfied on these two-tier RSUs as of December 31, 2017, unamortized stock-based compensation expense of $5.6 million would be recognized over a weighted-average period of approximately one year if the requisite service is provided. See Note 11, “Stockholders’ Equity” for further discussion.</w:t>
      </w:r>
    </w:p>
    <w:p>
      <w:pPr>
        <w:spacing w:after="0" w:line="14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Since August 2015, the Company has granted RSUs as the only stock-based payment awards to its employees, excluding to its co-founders, and has not granted any stock options since then. The fair values of the common stock underlying the RSUs were determined by the Board of Directors, with input from management and contemporaneous third-party valuations, which were performed at least quarterly.</w:t>
      </w:r>
    </w:p>
    <w:p>
      <w:pPr>
        <w:spacing w:after="0" w:line="138" w:lineRule="exact"/>
        <w:rPr>
          <w:sz w:val="20"/>
          <w:szCs w:val="20"/>
          <w:color w:val="auto"/>
        </w:rPr>
      </w:pPr>
    </w:p>
    <w:p>
      <w:pPr>
        <w:ind w:left="1120" w:right="160" w:firstLine="368"/>
        <w:spacing w:after="0" w:line="283" w:lineRule="auto"/>
        <w:rPr>
          <w:sz w:val="20"/>
          <w:szCs w:val="20"/>
          <w:color w:val="auto"/>
        </w:rPr>
      </w:pPr>
      <w:r>
        <w:rPr>
          <w:rFonts w:ascii="Arial" w:cs="Arial" w:eastAsia="Arial" w:hAnsi="Arial"/>
          <w:sz w:val="14"/>
          <w:szCs w:val="14"/>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8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320"/>
          </w:cols>
          <w:pgMar w:left="240" w:top="407" w:right="133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4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The Co-Founder Grants contain an implied performance-based vesting condition satisfied upon the Company’s shares being traded on an established national securities exchange or automated quotation system, because no shares subject to the Co-Founder Grants will vest until then. Accordingly, as of December 31, 2017, all compensation expense related to the Co-Founder Grants remained unrecognized because the performance-based vesting condition was not deemed probable of being achieved. See Note 11, “Stockholders’ Equity” for further discussion.</w:t>
      </w:r>
    </w:p>
    <w:p>
      <w:pPr>
        <w:spacing w:after="0" w:line="143"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The Company has outstanding stock options that will continue to vest through 2019 if the requisite service is provided. The Company used the Black-Scholes Merton Option (“BSM”) pricing model to determine the fair value of stock options granted on the date of grant. This valuation model for stock-based compensation expense requires the Company to make assumptions and judgments about the variables used in the BSM model, including the fair value of its common stock, expected term, expected volatility, risk-free interest rate, and dividend yield. These judgments are made as follows:</w:t>
      </w:r>
    </w:p>
    <w:p>
      <w:pPr>
        <w:spacing w:after="0" w:line="48" w:lineRule="exact"/>
        <w:rPr>
          <w:sz w:val="20"/>
          <w:szCs w:val="20"/>
          <w:color w:val="auto"/>
        </w:rPr>
      </w:pPr>
    </w:p>
    <w:p>
      <w:pPr>
        <w:ind w:left="1840" w:right="140" w:hanging="276"/>
        <w:spacing w:after="0" w:line="305" w:lineRule="auto"/>
        <w:tabs>
          <w:tab w:leader="none" w:pos="1840"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Fair value of common stock</w:t>
      </w:r>
      <w:r>
        <w:rPr>
          <w:rFonts w:ascii="Arial" w:cs="Arial" w:eastAsia="Arial" w:hAnsi="Arial"/>
          <w:sz w:val="13"/>
          <w:szCs w:val="13"/>
          <w:color w:val="auto"/>
        </w:rPr>
        <w:t>. The absence of an active market for the Company’s common stock requires it to estimate the fair value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common stock for purposes of granting stock options, granting RSUs, and for determining stock-based compensation expense for the periods presented. The Company obtained contemporaneous third-party valuations to assist in determining the fair value of its common stock. These contemporaneous third-party valuations used the methodologies, approaches, and assumptions consistent with the American Institute of Certified Public Accountants Practice Guide, </w:t>
      </w:r>
      <w:r>
        <w:rPr>
          <w:rFonts w:ascii="Arial" w:cs="Arial" w:eastAsia="Arial" w:hAnsi="Arial"/>
          <w:sz w:val="13"/>
          <w:szCs w:val="13"/>
          <w:i w:val="1"/>
          <w:iCs w:val="1"/>
          <w:color w:val="auto"/>
        </w:rPr>
        <w:t>Valuation of Privately-Held-Company Equity Securities Issued as Compensation.</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considered numerous factors in assessing the fair value of its common stock including:</w:t>
      </w:r>
    </w:p>
    <w:p>
      <w:pPr>
        <w:spacing w:after="0" w:line="109" w:lineRule="exact"/>
        <w:rPr>
          <w:sz w:val="20"/>
          <w:szCs w:val="20"/>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results of contemporaneous valuations of its common stock by unrelated third parties;</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rights, preferences, and privileges of its convertible preferred stock relative to those of its common stock;</w:t>
      </w:r>
    </w:p>
    <w:p>
      <w:pPr>
        <w:spacing w:after="0" w:line="109" w:lineRule="exact"/>
        <w:rPr>
          <w:rFonts w:ascii="Arial" w:cs="Arial" w:eastAsia="Arial" w:hAnsi="Arial"/>
          <w:sz w:val="15"/>
          <w:szCs w:val="15"/>
          <w:color w:val="auto"/>
        </w:rPr>
      </w:pPr>
    </w:p>
    <w:p>
      <w:pPr>
        <w:ind w:left="2300" w:hanging="364"/>
        <w:spacing w:after="0" w:line="275" w:lineRule="auto"/>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Market multiples of comparable public companies in its industry as indicated by their market capitalization and guideline merger and acquisition transactions;</w:t>
      </w:r>
    </w:p>
    <w:p>
      <w:pPr>
        <w:spacing w:after="0" w:line="67"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Company’s performance and market position relative to its competitors, who may change from time to time;</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Company’s historical financial results and estimated trends and prospects for its future performance;</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Valuations published by institutional investors that hold investments in the Company’s capital stock;</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economic and competitive environment;</w:t>
      </w:r>
    </w:p>
    <w:p>
      <w:pPr>
        <w:spacing w:after="0" w:line="109" w:lineRule="exact"/>
        <w:rPr>
          <w:rFonts w:ascii="Arial" w:cs="Arial" w:eastAsia="Arial" w:hAnsi="Arial"/>
          <w:sz w:val="15"/>
          <w:szCs w:val="15"/>
          <w:color w:val="auto"/>
        </w:rPr>
      </w:pPr>
    </w:p>
    <w:p>
      <w:pPr>
        <w:ind w:left="2300" w:right="300" w:hanging="364"/>
        <w:spacing w:after="0" w:line="275" w:lineRule="auto"/>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likelihood and timeline of achieving a liquidity event, such as an initial public offering or sale of Dropbox, given prevailing market conditions;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300"/>
          </w:cols>
          <w:pgMar w:left="240" w:top="408"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300" w:hanging="364"/>
        <w:spacing w:after="0"/>
        <w:tabs>
          <w:tab w:leader="none" w:pos="230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adjustments necessary to recognize a lack of marketability for its common stock; and</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Precedent sales of or offers to purchase its capital stock.</w:t>
      </w:r>
    </w:p>
    <w:p>
      <w:pPr>
        <w:spacing w:after="0" w:line="109" w:lineRule="exact"/>
        <w:rPr>
          <w:rFonts w:ascii="Arial" w:cs="Arial" w:eastAsia="Arial" w:hAnsi="Arial"/>
          <w:sz w:val="15"/>
          <w:szCs w:val="15"/>
          <w:color w:val="auto"/>
        </w:rPr>
      </w:pPr>
    </w:p>
    <w:p>
      <w:pPr>
        <w:ind w:left="1840" w:right="100" w:hanging="276"/>
        <w:spacing w:after="0" w:line="259"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Company determines the expected term based on the average period the stock options are expected to remain</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5"/>
          <w:szCs w:val="15"/>
          <w:color w:val="auto"/>
        </w:rPr>
      </w:pPr>
    </w:p>
    <w:p>
      <w:pPr>
        <w:ind w:left="1840" w:right="200" w:hanging="276"/>
        <w:spacing w:after="0" w:line="275"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 The expected volatility rate is based on an average of the historical volatilities of the common stock of several entities</w:t>
      </w:r>
      <w:r>
        <w:rPr>
          <w:rFonts w:ascii="Arial" w:cs="Arial" w:eastAsia="Arial" w:hAnsi="Arial"/>
          <w:sz w:val="15"/>
          <w:szCs w:val="15"/>
          <w:i w:val="1"/>
          <w:iCs w:val="1"/>
          <w:color w:val="auto"/>
        </w:rPr>
        <w:t xml:space="preserve"> </w:t>
      </w:r>
      <w:r>
        <w:rPr>
          <w:rFonts w:ascii="Arial" w:cs="Arial" w:eastAsia="Arial" w:hAnsi="Arial"/>
          <w:sz w:val="15"/>
          <w:szCs w:val="15"/>
          <w:color w:val="auto"/>
        </w:rPr>
        <w:t>with publicly traded equity securities with characteristics similar to those of Dropbox.</w:t>
      </w:r>
    </w:p>
    <w:p>
      <w:pPr>
        <w:spacing w:after="0" w:line="67" w:lineRule="exact"/>
        <w:rPr>
          <w:rFonts w:ascii="Arial" w:cs="Arial" w:eastAsia="Arial" w:hAnsi="Arial"/>
          <w:sz w:val="15"/>
          <w:szCs w:val="15"/>
          <w:color w:val="auto"/>
        </w:rPr>
      </w:pPr>
    </w:p>
    <w:p>
      <w:pPr>
        <w:ind w:left="1840" w:right="720" w:hanging="276"/>
        <w:spacing w:after="0" w:line="275"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 The risk-free interest rate is based on the U.S. Treasury security in effect at the time of grant for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corresponding with the expected term of the option.</w:t>
      </w:r>
    </w:p>
    <w:p>
      <w:pPr>
        <w:spacing w:after="0" w:line="67" w:lineRule="exact"/>
        <w:rPr>
          <w:rFonts w:ascii="Arial" w:cs="Arial" w:eastAsia="Arial" w:hAnsi="Arial"/>
          <w:sz w:val="15"/>
          <w:szCs w:val="15"/>
          <w:color w:val="auto"/>
        </w:rPr>
      </w:pPr>
    </w:p>
    <w:p>
      <w:pPr>
        <w:ind w:left="1840" w:right="280" w:hanging="276"/>
        <w:spacing w:after="0" w:line="275"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yield of zero.</w:t>
      </w:r>
    </w:p>
    <w:p>
      <w:pPr>
        <w:spacing w:after="0" w:line="146"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The Company did not grant stock options during 2016 or 2017. The fair values of stock options granted to employees in 2015 were calculated using the following assumptions:</w:t>
      </w:r>
    </w:p>
    <w:p>
      <w:pPr>
        <w:spacing w:after="0" w:line="146" w:lineRule="exact"/>
        <w:rPr>
          <w:sz w:val="20"/>
          <w:szCs w:val="20"/>
          <w:color w:val="auto"/>
        </w:rPr>
      </w:pPr>
    </w:p>
    <w:tbl>
      <w:tblPr>
        <w:tblLayout w:type="fixed"/>
        <w:tblInd w:w="2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40" w:type="dxa"/>
            <w:vAlign w:val="bottom"/>
            <w:gridSpan w:val="4"/>
          </w:tcPr>
          <w:p>
            <w:pPr>
              <w:ind w:left="1640"/>
              <w:spacing w:after="0"/>
              <w:rPr>
                <w:sz w:val="20"/>
                <w:szCs w:val="20"/>
                <w:color w:val="auto"/>
              </w:rPr>
            </w:pPr>
            <w:r>
              <w:rPr>
                <w:rFonts w:ascii="Arial" w:cs="Arial" w:eastAsia="Arial" w:hAnsi="Arial"/>
                <w:sz w:val="12"/>
                <w:szCs w:val="12"/>
                <w:b w:val="1"/>
                <w:bCs w:val="1"/>
                <w:color w:val="auto"/>
                <w:w w:val="87"/>
              </w:rPr>
              <w:t>Year ended December 31,</w:t>
            </w: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40" w:type="dxa"/>
            <w:vAlign w:val="bottom"/>
            <w:gridSpan w:val="4"/>
          </w:tcPr>
          <w:p>
            <w:pPr>
              <w:jc w:val="center"/>
              <w:ind w:left="1551"/>
              <w:spacing w:after="0"/>
              <w:rPr>
                <w:sz w:val="20"/>
                <w:szCs w:val="20"/>
                <w:color w:val="auto"/>
              </w:rPr>
            </w:pPr>
            <w:r>
              <w:rPr>
                <w:rFonts w:ascii="Arial" w:cs="Arial" w:eastAsia="Arial" w:hAnsi="Arial"/>
                <w:sz w:val="12"/>
                <w:szCs w:val="12"/>
                <w:b w:val="1"/>
                <w:bCs w:val="1"/>
                <w:color w:val="auto"/>
                <w:w w:val="89"/>
              </w:rPr>
              <w:t>2015</w:t>
            </w:r>
          </w:p>
        </w:tc>
      </w:tr>
      <w:tr>
        <w:trPr>
          <w:trHeight w:val="172"/>
        </w:trPr>
        <w:tc>
          <w:tcPr>
            <w:tcW w:w="20" w:type="dxa"/>
            <w:vAlign w:val="bottom"/>
          </w:tcPr>
          <w:p>
            <w:pPr>
              <w:spacing w:after="0"/>
              <w:rPr>
                <w:sz w:val="14"/>
                <w:szCs w:val="14"/>
                <w:color w:val="auto"/>
              </w:rPr>
            </w:pPr>
          </w:p>
        </w:tc>
        <w:tc>
          <w:tcPr>
            <w:tcW w:w="33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Expected volatility</w:t>
            </w:r>
          </w:p>
        </w:tc>
        <w:tc>
          <w:tcPr>
            <w:tcW w:w="16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57%</w:t>
            </w: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Risk-free interest rate</w:t>
            </w:r>
          </w:p>
        </w:tc>
        <w:tc>
          <w:tcPr>
            <w:tcW w:w="224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tcPr>
          <w:p>
            <w:pPr>
              <w:spacing w:after="0"/>
              <w:rPr>
                <w:sz w:val="20"/>
                <w:szCs w:val="20"/>
                <w:color w:val="auto"/>
              </w:rPr>
            </w:pPr>
            <w:r>
              <w:rPr>
                <w:rFonts w:ascii="Arial" w:cs="Arial" w:eastAsia="Arial" w:hAnsi="Arial"/>
                <w:sz w:val="15"/>
                <w:szCs w:val="15"/>
                <w:color w:val="auto"/>
              </w:rPr>
              <w:t>1.9%</w:t>
            </w: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shd w:val="clear" w:color="auto" w:fill="CCEEFF"/>
          </w:tcPr>
          <w:p>
            <w:pPr>
              <w:spacing w:after="0"/>
              <w:rPr>
                <w:sz w:val="20"/>
                <w:szCs w:val="20"/>
                <w:color w:val="auto"/>
              </w:rPr>
            </w:pPr>
            <w:r>
              <w:rPr>
                <w:rFonts w:ascii="Arial" w:cs="Arial" w:eastAsia="Arial" w:hAnsi="Arial"/>
                <w:sz w:val="15"/>
                <w:szCs w:val="15"/>
                <w:color w:val="auto"/>
              </w:rPr>
              <w:t>6.1</w:t>
            </w: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640" w:type="dxa"/>
            <w:vAlign w:val="bottom"/>
          </w:tcPr>
          <w:p>
            <w:pPr>
              <w:spacing w:after="0"/>
              <w:rPr>
                <w:sz w:val="15"/>
                <w:szCs w:val="15"/>
                <w:color w:val="auto"/>
              </w:rPr>
            </w:pPr>
          </w:p>
        </w:tc>
        <w:tc>
          <w:tcPr>
            <w:tcW w:w="700" w:type="dxa"/>
            <w:vAlign w:val="bottom"/>
            <w:gridSpan w:val="2"/>
          </w:tcPr>
          <w:p>
            <w:pPr>
              <w:jc w:val="center"/>
              <w:ind w:left="445"/>
              <w:spacing w:after="0"/>
              <w:rPr>
                <w:sz w:val="20"/>
                <w:szCs w:val="20"/>
                <w:color w:val="auto"/>
              </w:rPr>
            </w:pPr>
            <w:r>
              <w:rPr>
                <w:rFonts w:ascii="Arial" w:cs="Arial" w:eastAsia="Arial" w:hAnsi="Arial"/>
                <w:sz w:val="15"/>
                <w:szCs w:val="15"/>
                <w:color w:val="auto"/>
                <w:w w:val="93"/>
              </w:rPr>
              <w:t>—</w:t>
            </w:r>
          </w:p>
        </w:tc>
        <w:tc>
          <w:tcPr>
            <w:tcW w:w="6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common stock</w:t>
            </w:r>
          </w:p>
        </w:tc>
        <w:tc>
          <w:tcPr>
            <w:tcW w:w="2940" w:type="dxa"/>
            <w:vAlign w:val="bottom"/>
            <w:gridSpan w:val="4"/>
            <w:shd w:val="clear" w:color="auto" w:fill="CCEEFF"/>
          </w:tcPr>
          <w:p>
            <w:pPr>
              <w:jc w:val="right"/>
              <w:ind w:right="145"/>
              <w:spacing w:after="0"/>
              <w:rPr>
                <w:sz w:val="20"/>
                <w:szCs w:val="20"/>
                <w:color w:val="auto"/>
              </w:rPr>
            </w:pPr>
            <w:r>
              <w:rPr>
                <w:rFonts w:ascii="Arial" w:cs="Arial" w:eastAsia="Arial" w:hAnsi="Arial"/>
                <w:sz w:val="15"/>
                <w:szCs w:val="15"/>
                <w:color w:val="auto"/>
              </w:rPr>
              <w:t>$24.24 - $25.23</w:t>
            </w:r>
          </w:p>
        </w:tc>
      </w:tr>
    </w:tbl>
    <w:p>
      <w:pPr>
        <w:spacing w:after="0" w:line="170" w:lineRule="exact"/>
        <w:rPr>
          <w:sz w:val="20"/>
          <w:szCs w:val="20"/>
          <w:color w:val="auto"/>
        </w:rPr>
      </w:pPr>
    </w:p>
    <w:p>
      <w:pPr>
        <w:ind w:left="1120" w:firstLine="368"/>
        <w:spacing w:after="0" w:line="300" w:lineRule="auto"/>
        <w:rPr>
          <w:sz w:val="20"/>
          <w:szCs w:val="20"/>
          <w:color w:val="auto"/>
        </w:rPr>
      </w:pPr>
      <w:r>
        <w:rPr>
          <w:rFonts w:ascii="Arial" w:cs="Arial" w:eastAsia="Arial" w:hAnsi="Arial"/>
          <w:sz w:val="13"/>
          <w:szCs w:val="13"/>
          <w:color w:val="auto"/>
        </w:rPr>
        <w:t xml:space="preserve">On January 1, 2017, the Company adopted ASU No. 2016-09: </w:t>
      </w:r>
      <w:r>
        <w:rPr>
          <w:rFonts w:ascii="Arial" w:cs="Arial" w:eastAsia="Arial" w:hAnsi="Arial"/>
          <w:sz w:val="13"/>
          <w:szCs w:val="13"/>
          <w:i w:val="1"/>
          <w:iCs w:val="1"/>
          <w:color w:val="auto"/>
        </w:rPr>
        <w:t>Improvement to Employee Share-based Payment Accounting (Topic 718)</w:t>
      </w:r>
      <w:r>
        <w:rPr>
          <w:rFonts w:ascii="Arial" w:cs="Arial" w:eastAsia="Arial" w:hAnsi="Arial"/>
          <w:sz w:val="13"/>
          <w:szCs w:val="13"/>
          <w:color w:val="auto"/>
        </w:rPr>
        <w:t xml:space="preserve">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year ended December 31, 2017, has been calculated based on actual forfeitures in the Company’s consolidated statements of operations, rather than the Company’s previous approach which was net of estimated forfeitures. The net cumulative effect of this change as of January 1, 2017, was not material. Stock-based compensation expense for the years ended December 31, 2015 and 2016, were recorded net of estimated forfeitures, which were based on historical forfeitures and adjusted to reflect changes in facts and circumstances, if any.</w:t>
      </w: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8" w:lineRule="exact"/>
        <w:rPr>
          <w:sz w:val="20"/>
          <w:szCs w:val="20"/>
          <w:color w:val="auto"/>
        </w:rPr>
      </w:pPr>
    </w:p>
    <w:p>
      <w:pPr>
        <w:ind w:left="1120" w:right="120" w:firstLine="368"/>
        <w:spacing w:after="0" w:line="297" w:lineRule="auto"/>
        <w:rPr>
          <w:sz w:val="20"/>
          <w:szCs w:val="20"/>
          <w:color w:val="auto"/>
        </w:rPr>
      </w:pPr>
      <w:r>
        <w:rPr>
          <w:rFonts w:ascii="Arial" w:cs="Arial" w:eastAsia="Arial" w:hAnsi="Arial"/>
          <w:sz w:val="13"/>
          <w:szCs w:val="13"/>
          <w:color w:val="auto"/>
        </w:rPr>
        <w:t>Cost of revenue consists primarily of expenses associated with the storage, delivery, and distribution of the Company’s platform for both paying users and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320"/>
          </w:cols>
          <w:pgMar w:left="240" w:top="407" w:right="133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Advertising and promotional expense</w:t>
      </w:r>
    </w:p>
    <w:p>
      <w:pPr>
        <w:spacing w:after="0" w:line="98"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Advertising and promotional expenses are included in sales and marketing expenses within the consolidated statements of operations and are expensed when incurred. Advertising and promotional expenses were $59.5 million, $46.6 million, and $80.1 million in the years ended December 31, 2015, 2016, and 2017, respectively.</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Trade and other receivables, net</w:t>
      </w:r>
    </w:p>
    <w:p>
      <w:pPr>
        <w:spacing w:after="0" w:line="9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Trade and other receivables, net consists primarily of trade receivables that are recorded at the invoice amount, net of an allowance for doubtful accounts.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Trade and other receivables, net consisted of the following as of December 31, 2016 and 2017:</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7"/>
              </w:rPr>
              <w:t>2016</w:t>
            </w:r>
          </w:p>
        </w:tc>
        <w:tc>
          <w:tcPr>
            <w:tcW w:w="8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Trade accounts receivables</w:t>
            </w: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$13.1</w:t>
            </w:r>
          </w:p>
        </w:tc>
        <w:tc>
          <w:tcPr>
            <w:tcW w:w="4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$29.7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5"/>
                <w:szCs w:val="15"/>
                <w:color w:val="auto"/>
              </w:rPr>
              <w:t>Other receivables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Less: Allowance for doubtful accounts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Trade and other receivables, net</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40" w:type="dxa"/>
            <w:vAlign w:val="bottom"/>
            <w:vMerge w:val="continue"/>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13.2</w:t>
            </w:r>
          </w:p>
        </w:tc>
        <w:tc>
          <w:tcPr>
            <w:tcW w:w="8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1120" w:right="60" w:firstLine="368"/>
        <w:spacing w:after="0" w:line="259" w:lineRule="auto"/>
        <w:rPr>
          <w:sz w:val="20"/>
          <w:szCs w:val="20"/>
          <w:color w:val="auto"/>
        </w:rPr>
      </w:pPr>
      <w:r>
        <w:rPr>
          <w:rFonts w:ascii="Arial" w:cs="Arial" w:eastAsia="Arial" w:hAnsi="Arial"/>
          <w:sz w:val="15"/>
          <w:szCs w:val="15"/>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Concentrations of credit risk</w:t>
      </w:r>
    </w:p>
    <w:p>
      <w:pPr>
        <w:spacing w:after="0" w:line="98"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and accounts receivable. The Company places its cash and cash equivalents with well-established financial institutions. Cash equivalents consist primarily of highly rated money market funds.</w:t>
      </w:r>
    </w:p>
    <w:p>
      <w:pPr>
        <w:spacing w:after="0" w:line="155" w:lineRule="exact"/>
        <w:rPr>
          <w:sz w:val="20"/>
          <w:szCs w:val="20"/>
          <w:color w:val="auto"/>
        </w:rPr>
      </w:pPr>
    </w:p>
    <w:p>
      <w:pPr>
        <w:jc w:val="both"/>
        <w:ind w:left="1120" w:firstLine="368"/>
        <w:spacing w:after="0" w:line="322" w:lineRule="auto"/>
        <w:rPr>
          <w:sz w:val="20"/>
          <w:szCs w:val="20"/>
          <w:color w:val="auto"/>
        </w:rPr>
      </w:pPr>
      <w:r>
        <w:rPr>
          <w:rFonts w:ascii="Arial" w:cs="Arial" w:eastAsia="Arial" w:hAnsi="Arial"/>
          <w:sz w:val="13"/>
          <w:szCs w:val="13"/>
          <w:color w:val="auto"/>
        </w:rPr>
        <w:t>Trade accounts receivables are typically unsecured and are derived from revenue earned from customers located around the world. Two customers accounted for 11% and 12% of total trade and other receivables, net as of December 31, 2016. Two customers accounted for 18% and 27% of total trade and other receivables, net as of December 31, 2017. No customer accounted for more than 10% of the Company’s revenue in the periods presented.</w:t>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Non-trade receivables</w:t>
      </w:r>
    </w:p>
    <w:p>
      <w:pPr>
        <w:spacing w:after="0" w:line="98" w:lineRule="exact"/>
        <w:rPr>
          <w:sz w:val="20"/>
          <w:szCs w:val="20"/>
          <w:color w:val="auto"/>
        </w:rPr>
      </w:pPr>
    </w:p>
    <w:p>
      <w:pPr>
        <w:ind w:left="1120" w:right="620" w:firstLine="368"/>
        <w:spacing w:after="0" w:line="275" w:lineRule="auto"/>
        <w:rPr>
          <w:sz w:val="20"/>
          <w:szCs w:val="20"/>
          <w:color w:val="auto"/>
        </w:rPr>
      </w:pPr>
      <w:r>
        <w:rPr>
          <w:rFonts w:ascii="Arial" w:cs="Arial" w:eastAsia="Arial" w:hAnsi="Arial"/>
          <w:sz w:val="15"/>
          <w:szCs w:val="15"/>
          <w:color w:val="auto"/>
        </w:rPr>
        <w:t>The Company records non-trade receivables to reflect amounts due for activities outside of its subscription agreements. Historically, the Company’s non-trade receivables have related primarily to receivables resulting</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80"/>
          </w:cols>
          <w:pgMar w:left="240" w:top="408" w:right="137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5" w:lineRule="auto"/>
        <w:rPr>
          <w:sz w:val="20"/>
          <w:szCs w:val="20"/>
          <w:color w:val="auto"/>
        </w:rPr>
      </w:pPr>
      <w:r>
        <w:rPr>
          <w:rFonts w:ascii="Arial" w:cs="Arial" w:eastAsia="Arial" w:hAnsi="Arial"/>
          <w:sz w:val="15"/>
          <w:szCs w:val="15"/>
          <w:color w:val="auto"/>
        </w:rPr>
        <w:t>from tenant improvement allowances. Non-trade receivables totaled $3.0 million and $5.2 million, as of December 31, 2016 and 2017, respectively, and are classified within prepaid expenses and other current assets in the accompanying consolidated balance sheets.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commissions, net</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Deferred commissions, net is stated at gross deferred commissions less accumulated amortization. Sales commissions earned by the Company’s sales 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$17.2 million and $19.4 million during the years ended December 31, 2016 and 2017, respectively.</w:t>
      </w:r>
    </w:p>
    <w:p>
      <w:pPr>
        <w:spacing w:after="0" w:line="159" w:lineRule="exact"/>
        <w:rPr>
          <w:sz w:val="20"/>
          <w:szCs w:val="20"/>
          <w:color w:val="auto"/>
        </w:rPr>
      </w:pPr>
    </w:p>
    <w:p>
      <w:pPr>
        <w:ind w:left="1120" w:right="80" w:firstLine="368"/>
        <w:spacing w:after="0" w:line="354" w:lineRule="auto"/>
        <w:rPr>
          <w:sz w:val="20"/>
          <w:szCs w:val="20"/>
          <w:color w:val="auto"/>
        </w:rPr>
      </w:pPr>
      <w:r>
        <w:rPr>
          <w:rFonts w:ascii="Arial" w:cs="Arial" w:eastAsia="Arial" w:hAnsi="Arial"/>
          <w:sz w:val="13"/>
          <w:szCs w:val="13"/>
          <w:color w:val="auto"/>
        </w:rPr>
        <w:t>Deferred commissions, net included in prepaid and other current assets were $3.7 million and $8.1 million as of December 31, 2016 and 2017, respectively. Deferred commissions, net included in other assets were $16.4 million and $24.8 million as of December 31, 2016 and 2017, respectively.</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Deferred commissions are amortized over a period of benefit of five years. The period of benefit was estimated by considering factors such as</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historical customer attrition rates, the useful life of the Company’s technology, and the impact of competition in its industry. Amortized costs were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$0.6 million, $3.7 million, and $6.6 million for the years ended December 31, 2015, 2016, and 2017, respectively. Amortized costs are included in sales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and marketing expense in the accompanying consolidated statements of operations. There was no impairment loss in relation to the deferred costs for</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any period presented.</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initial term of the related lease.</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estimated useful lives of property and equipment:</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rPr>
              <w:t>Property and equipment</w:t>
            </w:r>
          </w:p>
        </w:tc>
        <w:tc>
          <w:tcPr>
            <w:tcW w:w="280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1880" w:type="dxa"/>
            <w:vAlign w:val="bottom"/>
            <w:gridSpan w:val="2"/>
          </w:tcPr>
          <w:p>
            <w:pPr>
              <w:jc w:val="center"/>
              <w:ind w:right="1380"/>
              <w:spacing w:after="0"/>
              <w:rPr>
                <w:sz w:val="20"/>
                <w:szCs w:val="20"/>
                <w:color w:val="auto"/>
              </w:rPr>
            </w:pPr>
            <w:r>
              <w:rPr>
                <w:rFonts w:ascii="Arial" w:cs="Arial" w:eastAsia="Arial" w:hAnsi="Arial"/>
                <w:sz w:val="12"/>
                <w:szCs w:val="12"/>
                <w:b w:val="1"/>
                <w:bCs w:val="1"/>
                <w:color w:val="auto"/>
                <w:w w:val="87"/>
              </w:rPr>
              <w:t>Useful life</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40" w:type="dxa"/>
            <w:vAlign w:val="bottom"/>
          </w:tcPr>
          <w:p>
            <w:pPr>
              <w:spacing w:after="0" w:line="138" w:lineRule="exact"/>
              <w:rPr>
                <w:sz w:val="20"/>
                <w:szCs w:val="20"/>
                <w:color w:val="auto"/>
              </w:rPr>
            </w:pPr>
            <w:r>
              <w:rPr>
                <w:rFonts w:ascii="Arial" w:cs="Arial" w:eastAsia="Arial" w:hAnsi="Arial"/>
                <w:sz w:val="15"/>
                <w:szCs w:val="15"/>
                <w:color w:val="auto"/>
              </w:rPr>
              <w:t>Buildings</w:t>
            </w:r>
          </w:p>
        </w:tc>
        <w:tc>
          <w:tcPr>
            <w:tcW w:w="270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1880" w:type="dxa"/>
            <w:vAlign w:val="bottom"/>
            <w:gridSpan w:val="2"/>
          </w:tcPr>
          <w:p>
            <w:pPr>
              <w:ind w:left="20"/>
              <w:spacing w:after="0" w:line="138" w:lineRule="exact"/>
              <w:rPr>
                <w:sz w:val="20"/>
                <w:szCs w:val="20"/>
                <w:color w:val="auto"/>
              </w:rPr>
            </w:pPr>
            <w:r>
              <w:rPr>
                <w:rFonts w:ascii="Arial" w:cs="Arial" w:eastAsia="Arial" w:hAnsi="Arial"/>
                <w:sz w:val="15"/>
                <w:szCs w:val="15"/>
                <w:color w:val="auto"/>
              </w:rPr>
              <w:t>to 30 years</w:t>
            </w:r>
          </w:p>
        </w:tc>
        <w:tc>
          <w:tcPr>
            <w:tcW w:w="0" w:type="dxa"/>
            <w:vAlign w:val="bottom"/>
          </w:tcPr>
          <w:p>
            <w:pPr>
              <w:spacing w:after="0"/>
              <w:rPr>
                <w:sz w:val="1"/>
                <w:szCs w:val="1"/>
                <w:color w:val="auto"/>
              </w:rPr>
            </w:pPr>
          </w:p>
        </w:tc>
      </w:tr>
      <w:tr>
        <w:trPr>
          <w:trHeight w:val="180"/>
        </w:trPr>
        <w:tc>
          <w:tcPr>
            <w:tcW w:w="3940" w:type="dxa"/>
            <w:vAlign w:val="bottom"/>
            <w:gridSpan w:val="2"/>
          </w:tcPr>
          <w:p>
            <w:pPr>
              <w:spacing w:after="0"/>
              <w:rPr>
                <w:sz w:val="20"/>
                <w:szCs w:val="20"/>
                <w:color w:val="auto"/>
              </w:rPr>
            </w:pPr>
            <w:r>
              <w:rPr>
                <w:rFonts w:ascii="Arial" w:cs="Arial" w:eastAsia="Arial" w:hAnsi="Arial"/>
                <w:sz w:val="15"/>
                <w:szCs w:val="15"/>
                <w:color w:val="auto"/>
              </w:rPr>
              <w:t>Datacenter and other computer equipment</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89"/>
              </w:rPr>
              <w:t>3 to 5 years</w:t>
            </w:r>
          </w:p>
        </w:tc>
        <w:tc>
          <w:tcPr>
            <w:tcW w:w="0" w:type="dxa"/>
            <w:vAlign w:val="bottom"/>
          </w:tcPr>
          <w:p>
            <w:pPr>
              <w:spacing w:after="0"/>
              <w:rPr>
                <w:sz w:val="1"/>
                <w:szCs w:val="1"/>
                <w:color w:val="auto"/>
              </w:rPr>
            </w:pPr>
          </w:p>
        </w:tc>
      </w:tr>
      <w:tr>
        <w:trPr>
          <w:trHeight w:val="180"/>
        </w:trPr>
        <w:tc>
          <w:tcPr>
            <w:tcW w:w="3940" w:type="dxa"/>
            <w:vAlign w:val="bottom"/>
            <w:gridSpan w:val="2"/>
          </w:tcPr>
          <w:p>
            <w:pPr>
              <w:spacing w:after="0"/>
              <w:rPr>
                <w:sz w:val="20"/>
                <w:szCs w:val="20"/>
                <w:color w:val="auto"/>
              </w:rPr>
            </w:pPr>
            <w:r>
              <w:rPr>
                <w:rFonts w:ascii="Arial" w:cs="Arial" w:eastAsia="Arial" w:hAnsi="Arial"/>
                <w:sz w:val="15"/>
                <w:szCs w:val="15"/>
                <w:color w:val="auto"/>
              </w:rPr>
              <w:t>Office equipment and other</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89"/>
              </w:rPr>
              <w:t>3 to 7 years</w:t>
            </w:r>
          </w:p>
        </w:tc>
        <w:tc>
          <w:tcPr>
            <w:tcW w:w="0" w:type="dxa"/>
            <w:vAlign w:val="bottom"/>
          </w:tcPr>
          <w:p>
            <w:pPr>
              <w:spacing w:after="0"/>
              <w:rPr>
                <w:sz w:val="1"/>
                <w:szCs w:val="1"/>
                <w:color w:val="auto"/>
              </w:rPr>
            </w:pPr>
          </w:p>
        </w:tc>
      </w:tr>
      <w:tr>
        <w:trPr>
          <w:trHeight w:val="190"/>
        </w:trPr>
        <w:tc>
          <w:tcPr>
            <w:tcW w:w="3940" w:type="dxa"/>
            <w:vAlign w:val="bottom"/>
            <w:gridSpan w:val="2"/>
          </w:tcPr>
          <w:p>
            <w:pPr>
              <w:spacing w:after="0"/>
              <w:rPr>
                <w:sz w:val="20"/>
                <w:szCs w:val="20"/>
                <w:color w:val="auto"/>
              </w:rPr>
            </w:pPr>
            <w:r>
              <w:rPr>
                <w:rFonts w:ascii="Arial" w:cs="Arial" w:eastAsia="Arial" w:hAnsi="Arial"/>
                <w:sz w:val="15"/>
                <w:szCs w:val="15"/>
                <w:color w:val="auto"/>
              </w:rPr>
              <w:t>Leasehold improvements</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90"/>
              </w:rPr>
              <w:t>Lesser of estimated useful life or remaining lease term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 obligations</w:t>
      </w:r>
    </w:p>
    <w:p>
      <w:pPr>
        <w:spacing w:after="0" w:line="98" w:lineRule="exact"/>
        <w:rPr>
          <w:sz w:val="20"/>
          <w:szCs w:val="20"/>
          <w:color w:val="auto"/>
        </w:rPr>
      </w:pPr>
    </w:p>
    <w:p>
      <w:pPr>
        <w:ind w:left="1120" w:right="80" w:firstLine="368"/>
        <w:spacing w:after="0" w:line="300" w:lineRule="auto"/>
        <w:rPr>
          <w:sz w:val="20"/>
          <w:szCs w:val="20"/>
          <w:color w:val="auto"/>
        </w:rPr>
      </w:pPr>
      <w:r>
        <w:rPr>
          <w:rFonts w:ascii="Arial" w:cs="Arial" w:eastAsia="Arial" w:hAnsi="Arial"/>
          <w:sz w:val="13"/>
          <w:szCs w:val="13"/>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the Company has the right to use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300"/>
          </w:cols>
          <w:pgMar w:left="240" w:top="408" w:right="135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The Company leases certain equipment from various third parties, including from a related party, through equipment financing leases under capital leases. See Note 15,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Internal use software</w:t>
      </w:r>
    </w:p>
    <w:p>
      <w:pPr>
        <w:spacing w:after="0" w:line="98"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2015, 2016, and 2017.</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98" w:lineRule="exact"/>
        <w:rPr>
          <w:sz w:val="20"/>
          <w:szCs w:val="20"/>
          <w:color w:val="auto"/>
        </w:rPr>
      </w:pPr>
    </w:p>
    <w:p>
      <w:pPr>
        <w:ind w:left="1120" w:right="140" w:firstLine="368"/>
        <w:spacing w:after="0" w:line="255" w:lineRule="auto"/>
        <w:rPr>
          <w:sz w:val="20"/>
          <w:szCs w:val="20"/>
          <w:color w:val="auto"/>
        </w:rPr>
      </w:pPr>
      <w:r>
        <w:rPr>
          <w:rFonts w:ascii="Arial" w:cs="Arial" w:eastAsia="Arial" w:hAnsi="Arial"/>
          <w:sz w:val="15"/>
          <w:szCs w:val="15"/>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Long-lived assets, including goodwill and other acquired intangible assets, net</w:t>
      </w:r>
    </w:p>
    <w:p>
      <w:pPr>
        <w:spacing w:after="0" w:line="98" w:lineRule="exact"/>
        <w:rPr>
          <w:sz w:val="20"/>
          <w:szCs w:val="20"/>
          <w:color w:val="auto"/>
        </w:rPr>
      </w:pPr>
    </w:p>
    <w:p>
      <w:pPr>
        <w:ind w:left="1120" w:right="160" w:firstLine="368"/>
        <w:spacing w:after="0" w:line="255" w:lineRule="auto"/>
        <w:rPr>
          <w:sz w:val="20"/>
          <w:szCs w:val="20"/>
          <w:color w:val="auto"/>
        </w:rPr>
      </w:pPr>
      <w:r>
        <w:rPr>
          <w:rFonts w:ascii="Arial" w:cs="Arial" w:eastAsia="Arial" w:hAnsi="Arial"/>
          <w:sz w:val="15"/>
          <w:szCs w:val="15"/>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4"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46"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The Company has not recorded impairment charges on property and equipment, goodwill, or intangible assets for the periods presented in these consolidated financial statements.</w:t>
      </w:r>
    </w:p>
    <w:p>
      <w:pPr>
        <w:spacing w:after="0" w:line="146" w:lineRule="exact"/>
        <w:rPr>
          <w:sz w:val="20"/>
          <w:szCs w:val="20"/>
          <w:color w:val="auto"/>
        </w:rPr>
      </w:pPr>
    </w:p>
    <w:p>
      <w:pPr>
        <w:ind w:left="1120" w:right="260" w:firstLine="368"/>
        <w:spacing w:after="0" w:line="259" w:lineRule="auto"/>
        <w:rPr>
          <w:sz w:val="20"/>
          <w:szCs w:val="20"/>
          <w:color w:val="auto"/>
        </w:rPr>
      </w:pPr>
      <w:r>
        <w:rPr>
          <w:rFonts w:ascii="Arial" w:cs="Arial" w:eastAsia="Arial" w:hAnsi="Arial"/>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 on a prospective basis.</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320"/>
          </w:cols>
          <w:pgMar w:left="240" w:top="408" w:right="133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offering costs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Deferred offering costs, which consist of direct incremental legal, accounting, and consulting fees relating to the initial public offering, are capitalized. The deferred offering costs will be offset against initial public offering proceeds upon the consummation of the offering. In the event the offering is terminated, the deferred offering costs will be expensed. As of December 31, 2017, the Company had capitalized approximately $4.1 million of deferred offering costs within other assets on the consolidated balance sheet.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Income taxes</w:t>
      </w:r>
    </w:p>
    <w:p>
      <w:pPr>
        <w:spacing w:after="0" w:line="98"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55"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55"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9"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Tax Cuts and Jobs Act, correspondence with tax authorities during the course of an audit, and effective settlement of audit issues.</w:t>
      </w:r>
    </w:p>
    <w:p>
      <w:pPr>
        <w:spacing w:after="0" w:line="158"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98"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in active markets for identical assets or liabilities.</w:t>
      </w:r>
    </w:p>
    <w:p>
      <w:pPr>
        <w:spacing w:after="0" w:line="98" w:lineRule="exact"/>
        <w:rPr>
          <w:sz w:val="20"/>
          <w:szCs w:val="20"/>
          <w:color w:val="auto"/>
        </w:rPr>
      </w:pPr>
    </w:p>
    <w:p>
      <w:pPr>
        <w:ind w:left="1480" w:right="320"/>
        <w:spacing w:after="0" w:line="275"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—Observable inputs other than quoted prices in active markets for identical assets and liabilities, quoted prices for identical or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assets or liabilities in inactive markets, or other inputs that are</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300"/>
          </w:cols>
          <w:pgMar w:left="240" w:top="408" w:right="135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observable or can be corroborated by observable market data for substantially the full term of the assets or liabilities.</w:t>
      </w:r>
    </w:p>
    <w:p>
      <w:pPr>
        <w:spacing w:after="0" w:line="98" w:lineRule="exact"/>
        <w:rPr>
          <w:sz w:val="20"/>
          <w:szCs w:val="20"/>
          <w:color w:val="auto"/>
        </w:rPr>
      </w:pPr>
    </w:p>
    <w:p>
      <w:pPr>
        <w:ind w:left="1480"/>
        <w:spacing w:after="0" w:line="275" w:lineRule="auto"/>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—Inputs that are generally unobservable and typically reflect management’s estimate of assumptions that market participants would use in</w:t>
      </w:r>
      <w:r>
        <w:rPr>
          <w:rFonts w:ascii="Arial" w:cs="Arial" w:eastAsia="Arial" w:hAnsi="Arial"/>
          <w:sz w:val="15"/>
          <w:szCs w:val="15"/>
          <w:i w:val="1"/>
          <w:iCs w:val="1"/>
          <w:color w:val="auto"/>
        </w:rPr>
        <w:t xml:space="preserve"> </w:t>
      </w:r>
      <w:r>
        <w:rPr>
          <w:rFonts w:ascii="Arial" w:cs="Arial" w:eastAsia="Arial" w:hAnsi="Arial"/>
          <w:sz w:val="15"/>
          <w:szCs w:val="15"/>
          <w:color w:val="auto"/>
        </w:rPr>
        <w:t>pricing the asset or liability.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issued accounting pronouncements not yet adopted</w:t>
      </w:r>
    </w:p>
    <w:p>
      <w:pPr>
        <w:spacing w:after="0" w:line="9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 xml:space="preserve">In October 2016, the FASB issued ASU No. 2016-16, </w:t>
      </w:r>
      <w:r>
        <w:rPr>
          <w:rFonts w:ascii="Arial" w:cs="Arial" w:eastAsia="Arial" w:hAnsi="Arial"/>
          <w:sz w:val="15"/>
          <w:szCs w:val="15"/>
          <w:i w:val="1"/>
          <w:iCs w:val="1"/>
          <w:color w:val="auto"/>
        </w:rPr>
        <w:t>Income Taxes: Intra-Entity Transfers Other than Inventory (Topic 740)</w:t>
      </w:r>
      <w:r>
        <w:rPr>
          <w:rFonts w:ascii="Arial" w:cs="Arial" w:eastAsia="Arial" w:hAnsi="Arial"/>
          <w:sz w:val="15"/>
          <w:szCs w:val="15"/>
          <w:color w:val="auto"/>
        </w:rPr>
        <w:t>, which requires entities to recognize the income tax consequences of an intra-entity transfer of an asset other than inventory when the transfer occurs. ASU 2016-16 is effective for fiscal years beginning after December 15, 2018. Early adoption is permitted. The Company does not expect the adoption to have a material impact on its consolidated financial statements.</w:t>
      </w:r>
    </w:p>
    <w:p>
      <w:pPr>
        <w:spacing w:after="0" w:line="158"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The Company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The Company is in the initial stage of its assessment of the new standard and is currently evaluating the timing of adoption, the quantitative impact of adoption, and the related disclosure requirements. The Company anticipates the adoption of this standard will result in a substantial increase in its non-current assets and liabilities recorded on the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right-to-use assets and lease liabilities for its office space and datacenter operating leases. The Company expects its accounting for capital leases related to infrastructure equipment to remain substantially unchanged under the new standard.</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and Subtopic 340-40, </w:t>
      </w:r>
      <w:r>
        <w:rPr>
          <w:rFonts w:ascii="Arial" w:cs="Arial" w:eastAsia="Arial" w:hAnsi="Arial"/>
          <w:sz w:val="15"/>
          <w:szCs w:val="15"/>
          <w:i w:val="1"/>
          <w:iCs w:val="1"/>
          <w:color w:val="auto"/>
        </w:rPr>
        <w:t>Other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Costs—Contracts with Customers (Subtopic 340-40)</w:t>
      </w:r>
      <w:r>
        <w:rPr>
          <w:rFonts w:ascii="Arial" w:cs="Arial" w:eastAsia="Arial" w:hAnsi="Arial"/>
          <w:sz w:val="15"/>
          <w:szCs w:val="15"/>
          <w:color w:val="auto"/>
        </w:rPr>
        <w:t>. Topic 606 supersedes the revenue recognition requirements in Accounting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Codification Topic 605, </w:t>
      </w:r>
      <w:r>
        <w:rPr>
          <w:rFonts w:ascii="Arial" w:cs="Arial" w:eastAsia="Arial" w:hAnsi="Arial"/>
          <w:sz w:val="15"/>
          <w:szCs w:val="15"/>
          <w:i w:val="1"/>
          <w:iCs w:val="1"/>
          <w:color w:val="auto"/>
        </w:rPr>
        <w:t>Revenue Recognition (Topic 605)</w:t>
      </w:r>
      <w:r>
        <w:rPr>
          <w:rFonts w:ascii="Arial" w:cs="Arial" w:eastAsia="Arial" w:hAnsi="Arial"/>
          <w:sz w:val="15"/>
          <w:szCs w:val="15"/>
          <w:color w:val="auto"/>
        </w:rPr>
        <w:t>, and requires the recognition of revenue when promised goods or services are transferred to customers in an amount that reflects the considerations to which the entity expects to be entitled to in exchange for those goods or services. Subtopic 340-40 requires the deferral of incremental costs of obtaining a contract with a customer. Collectively, reference to Topic 606 used herein refers to both Topic 606 and Subtopic 340-40.</w:t>
      </w:r>
    </w:p>
    <w:p>
      <w:pPr>
        <w:spacing w:after="0" w:line="164" w:lineRule="exact"/>
        <w:rPr>
          <w:sz w:val="20"/>
          <w:szCs w:val="20"/>
          <w:color w:val="auto"/>
        </w:rPr>
      </w:pPr>
    </w:p>
    <w:p>
      <w:pPr>
        <w:ind w:left="1120" w:right="100" w:firstLine="368"/>
        <w:spacing w:after="0" w:line="312" w:lineRule="auto"/>
        <w:rPr>
          <w:sz w:val="20"/>
          <w:szCs w:val="20"/>
          <w:color w:val="auto"/>
        </w:rPr>
      </w:pPr>
      <w:r>
        <w:rPr>
          <w:rFonts w:ascii="Arial" w:cs="Arial" w:eastAsia="Arial" w:hAnsi="Arial"/>
          <w:sz w:val="14"/>
          <w:szCs w:val="14"/>
          <w:color w:val="auto"/>
        </w:rPr>
        <w:t>The Company adopted the requirements of Topic 606 as of January 1, 2017, utilizing the full retrospective method of transition. The adoption of Topic 606 resulted in changes to accounting policies for revenue recognition, trade and other receivables, and deferred commissions.</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impact of adopting Topic 606 on the Company’s revenue is not material to any of the periods presented. The primary impact of adopting</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Topic 606 relates to the deferral of incremental costs of obtaining customer contracts and the amortization of those costs over a longer period of benefit.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Under Topic 606, the Company defers all incremental costs to obtain the contract, which primarily include sales commissions and related payroll taxes.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The Company amortizes these costs over a period of benefit of five years.</w:t>
      </w:r>
    </w:p>
    <w:p>
      <w:pPr>
        <w:spacing w:after="0" w:line="179"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xml:space="preserve"> which amends the guidance in ASC Topic 718. The standard provides clarity and</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60"/>
          </w:cols>
          <w:pgMar w:left="240" w:top="407" w:right="139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9" w:lineRule="auto"/>
        <w:rPr>
          <w:sz w:val="20"/>
          <w:szCs w:val="20"/>
          <w:color w:val="auto"/>
        </w:rPr>
      </w:pPr>
      <w:r>
        <w:rPr>
          <w:rFonts w:ascii="Arial" w:cs="Arial" w:eastAsia="Arial" w:hAnsi="Arial"/>
          <w:sz w:val="15"/>
          <w:szCs w:val="15"/>
          <w:color w:val="auto"/>
        </w:rPr>
        <w:t>reduces the cost and complexity when applying the guidance in ASC Topic 718 to a change to the terms or conditions of a share-based payment award. ASU No. 2017-09 is effective for fiscal years beginning after December 15, 2017, and interim periods within those years, with early adoption permitted. The Company elected to adopt ASU No. 2017-09 in the fourth quarter of 2017 on a prospective basis. The adoption of the guidance did not have a material impact on the consolidated financial statements.</w:t>
      </w:r>
    </w:p>
    <w:p>
      <w:pPr>
        <w:spacing w:after="0" w:line="15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Goodwill and Other, Simplifying the Test for Goodwill Impairment (Topic 350)</w:t>
      </w:r>
      <w:r>
        <w:rPr>
          <w:rFonts w:ascii="Arial" w:cs="Arial" w:eastAsia="Arial" w:hAnsi="Arial"/>
          <w:sz w:val="15"/>
          <w:szCs w:val="15"/>
          <w:color w:val="auto"/>
        </w:rPr>
        <w:t>, which amends the guidance in ASC Topic 350 to eliminate Step 2 from the goodwill impairment test. The updated guidance requires an entity to perform its annual or interim goodwill impairment test by comparing the fair value of a reporting unit with its carrying amount and recognize an impairment charge for the amount by which the carrying amount exceeds the reporting unit’s fair value not to exceed the total amount of goodwill allocated to that reporting unit. ASU No. 2017-04 is effective for fiscal years beginning after December 15, 2019, and is applied prospectively when adopted. Early adoption is permitted. The Company elected to adopt ASU No. 2017-04 as of January 1, 2017. The adoption of the guidance did not have an impact on the consolidated financial statements.</w:t>
      </w:r>
    </w:p>
    <w:p>
      <w:pPr>
        <w:spacing w:after="0" w:line="161"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color w:val="auto"/>
        </w:rPr>
        <w:t xml:space="preserve">In January 2017, the FASB issued ASU No. 2017-01, </w:t>
      </w:r>
      <w:r>
        <w:rPr>
          <w:rFonts w:ascii="Arial" w:cs="Arial" w:eastAsia="Arial" w:hAnsi="Arial"/>
          <w:sz w:val="14"/>
          <w:szCs w:val="14"/>
          <w:i w:val="1"/>
          <w:iCs w:val="1"/>
          <w:color w:val="auto"/>
        </w:rPr>
        <w:t>Business Combinations, Clarifying the Definition of a Business (Topic 805)</w:t>
      </w:r>
      <w:r>
        <w:rPr>
          <w:rFonts w:ascii="Arial" w:cs="Arial" w:eastAsia="Arial" w:hAnsi="Arial"/>
          <w:sz w:val="14"/>
          <w:szCs w:val="14"/>
          <w:color w:val="auto"/>
        </w:rPr>
        <w:t>, which clarifies the definition of a business with the objective of adding guidance to assist entities with evaluating whether transactions should be accounted for as acquisitions or disposals of assets or businesses. ASU No. 2017-01 is effective for fiscal years beginning after December 15, 2017, and interim periods within those years, and is applied prospectively when adopted. Early adoption is permitted. The Company elected to adopt ASU No. 2017-01 as of January 1, 2017. The adoption of the guidance did not have an impact on the consolidated financial statements.</w:t>
      </w:r>
    </w:p>
    <w:p>
      <w:pPr>
        <w:spacing w:after="0" w:line="147"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 xml:space="preserve">In March 2016, the FASB issued ASU No. 2016-09, </w:t>
      </w:r>
      <w:r>
        <w:rPr>
          <w:rFonts w:ascii="Arial" w:cs="Arial" w:eastAsia="Arial" w:hAnsi="Arial"/>
          <w:sz w:val="14"/>
          <w:szCs w:val="14"/>
          <w:i w:val="1"/>
          <w:iCs w:val="1"/>
          <w:color w:val="auto"/>
        </w:rPr>
        <w:t>Improvements to Employee Share-Based Payment Accounting (Topic 718)</w:t>
      </w:r>
      <w:r>
        <w:rPr>
          <w:rFonts w:ascii="Arial" w:cs="Arial" w:eastAsia="Arial" w:hAnsi="Arial"/>
          <w:sz w:val="14"/>
          <w:szCs w:val="14"/>
          <w:color w:val="auto"/>
        </w:rPr>
        <w:t>,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elected to adopt ASU No. 2016-09 effective as of January 1, 2017. The adoption of the guidance did not have a material impact on the consolidated financial statements.</w:t>
      </w:r>
    </w:p>
    <w:p>
      <w:pPr>
        <w:spacing w:after="0" w:line="148" w:lineRule="exact"/>
        <w:rPr>
          <w:sz w:val="20"/>
          <w:szCs w:val="20"/>
          <w:color w:val="auto"/>
        </w:rPr>
      </w:pPr>
    </w:p>
    <w:p>
      <w:pPr>
        <w:jc w:val="both"/>
        <w:ind w:left="1120" w:right="160" w:firstLine="368"/>
        <w:spacing w:after="0" w:line="302" w:lineRule="auto"/>
        <w:rPr>
          <w:sz w:val="20"/>
          <w:szCs w:val="20"/>
          <w:color w:val="auto"/>
        </w:rPr>
      </w:pPr>
      <w:r>
        <w:rPr>
          <w:rFonts w:ascii="Arial" w:cs="Arial" w:eastAsia="Arial" w:hAnsi="Arial"/>
          <w:sz w:val="13"/>
          <w:szCs w:val="13"/>
          <w:color w:val="auto"/>
        </w:rPr>
        <w:t xml:space="preserve">In November 2016, the FASB issued ASU No. 2016-18, </w:t>
      </w:r>
      <w:r>
        <w:rPr>
          <w:rFonts w:ascii="Arial" w:cs="Arial" w:eastAsia="Arial" w:hAnsi="Arial"/>
          <w:sz w:val="13"/>
          <w:szCs w:val="13"/>
          <w:i w:val="1"/>
          <w:iCs w:val="1"/>
          <w:color w:val="auto"/>
        </w:rPr>
        <w:t>Statement of Cash Flows, Restricted Cash (Topic 230)</w:t>
      </w:r>
      <w:r>
        <w:rPr>
          <w:rFonts w:ascii="Arial" w:cs="Arial" w:eastAsia="Arial" w:hAnsi="Arial"/>
          <w:sz w:val="13"/>
          <w:szCs w:val="13"/>
          <w:color w:val="auto"/>
        </w:rPr>
        <w:t xml:space="preserve">, which amends the guidance in ASC Topic 230, </w:t>
      </w:r>
      <w:r>
        <w:rPr>
          <w:rFonts w:ascii="Arial" w:cs="Arial" w:eastAsia="Arial" w:hAnsi="Arial"/>
          <w:sz w:val="13"/>
          <w:szCs w:val="13"/>
          <w:i w:val="1"/>
          <w:iCs w:val="1"/>
          <w:color w:val="auto"/>
        </w:rPr>
        <w:t>Statement of Cash Flows,</w:t>
      </w:r>
      <w:r>
        <w:rPr>
          <w:rFonts w:ascii="Arial" w:cs="Arial" w:eastAsia="Arial" w:hAnsi="Arial"/>
          <w:sz w:val="13"/>
          <w:szCs w:val="13"/>
          <w:color w:val="auto"/>
        </w:rPr>
        <w:t xml:space="preserve"> and requires that entities show the changes in total of cash, cash equivalents, restricted cash, and restricted cash equivalents in their statement of cash flows. As a result, entities will no longer present transfers between cash and cash equivalents and restricted cash and restricted cash equivalents in the statement of cash flows. ASU No. 2016-18 is effective for fiscal years beginning after December 15, 2017, and interim periods within those years, and is applied retrospectively when adopted. Early adoption is permitted. The Company elected to adopt ASU No. 2016-18 effective January 1, 2016. The adoption of the guidance did not have a material impact on the consolidated financial statements.</w:t>
      </w:r>
    </w:p>
    <w:p>
      <w:pPr>
        <w:spacing w:after="0" w:line="134" w:lineRule="exact"/>
        <w:rPr>
          <w:sz w:val="20"/>
          <w:szCs w:val="20"/>
          <w:color w:val="auto"/>
        </w:rPr>
      </w:pPr>
    </w:p>
    <w:p>
      <w:pPr>
        <w:ind w:left="1120" w:right="180" w:firstLine="368"/>
        <w:spacing w:after="0" w:line="277" w:lineRule="auto"/>
        <w:rPr>
          <w:sz w:val="20"/>
          <w:szCs w:val="20"/>
          <w:color w:val="auto"/>
        </w:rPr>
      </w:pPr>
      <w:r>
        <w:rPr>
          <w:rFonts w:ascii="Arial" w:cs="Arial" w:eastAsia="Arial" w:hAnsi="Arial"/>
          <w:sz w:val="14"/>
          <w:szCs w:val="14"/>
          <w:color w:val="auto"/>
        </w:rPr>
        <w:t xml:space="preserve">In April 2015, the FASB issued ASU No. 2015-05, </w:t>
      </w:r>
      <w:r>
        <w:rPr>
          <w:rFonts w:ascii="Arial" w:cs="Arial" w:eastAsia="Arial" w:hAnsi="Arial"/>
          <w:sz w:val="14"/>
          <w:szCs w:val="14"/>
          <w:i w:val="1"/>
          <w:iCs w:val="1"/>
          <w:color w:val="auto"/>
        </w:rPr>
        <w:t>Intangibles—Goodwill and Other—Internal-Use Software: Customer’s Accounting for Fees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Paid in a Cloud Computing Arrangement (Subtopic 350-40), </w:t>
      </w:r>
      <w:r>
        <w:rPr>
          <w:rFonts w:ascii="Arial" w:cs="Arial" w:eastAsia="Arial" w:hAnsi="Arial"/>
          <w:sz w:val="14"/>
          <w:szCs w:val="14"/>
          <w:color w:val="auto"/>
        </w:rPr>
        <w:t>which provides guidance to customers about whether a cloud computing arrangement</w:t>
      </w:r>
      <w:r>
        <w:rPr>
          <w:rFonts w:ascii="Arial" w:cs="Arial" w:eastAsia="Arial" w:hAnsi="Arial"/>
          <w:sz w:val="14"/>
          <w:szCs w:val="14"/>
          <w:i w:val="1"/>
          <w:iCs w:val="1"/>
          <w:color w:val="auto"/>
        </w:rPr>
        <w:t xml:space="preserve"> </w:t>
      </w:r>
      <w:r>
        <w:rPr>
          <w:rFonts w:ascii="Arial" w:cs="Arial" w:eastAsia="Arial" w:hAnsi="Arial"/>
          <w:sz w:val="14"/>
          <w:szCs w:val="14"/>
          <w:color w:val="auto"/>
        </w:rPr>
        <w:t>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ASU No. 2015-05 in 2016. The adoption of the guidance did not have a material impact on the consolidated financial statements.</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300"/>
          </w:cols>
          <w:pgMar w:left="240" w:top="408" w:right="135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2. Cash and Cash Equivalents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Cash and cash equivalents consisted of the following:</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6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4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1"/>
              <w:spacing w:after="0" w:line="115" w:lineRule="exact"/>
              <w:rPr>
                <w:sz w:val="20"/>
                <w:szCs w:val="20"/>
                <w:color w:val="auto"/>
              </w:rPr>
            </w:pPr>
            <w:r>
              <w:rPr>
                <w:rFonts w:ascii="Arial" w:cs="Arial" w:eastAsia="Arial" w:hAnsi="Arial"/>
                <w:sz w:val="12"/>
                <w:szCs w:val="12"/>
                <w:b w:val="1"/>
                <w:bCs w:val="1"/>
                <w:color w:val="auto"/>
                <w:w w:val="89"/>
              </w:rPr>
              <w:t>2016</w:t>
            </w:r>
          </w:p>
        </w:tc>
        <w:tc>
          <w:tcPr>
            <w:tcW w:w="22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6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40" w:type="dxa"/>
            <w:vAlign w:val="bottom"/>
            <w:shd w:val="clear" w:color="auto" w:fill="CCEEFF"/>
          </w:tcPr>
          <w:p>
            <w:pPr>
              <w:spacing w:after="0"/>
              <w:rPr>
                <w:sz w:val="14"/>
                <w:szCs w:val="14"/>
                <w:color w:val="auto"/>
              </w:rPr>
            </w:pPr>
          </w:p>
        </w:tc>
      </w:tr>
      <w:tr>
        <w:trPr>
          <w:trHeight w:val="180"/>
        </w:trPr>
        <w:tc>
          <w:tcPr>
            <w:tcW w:w="6400" w:type="dxa"/>
            <w:vAlign w:val="bottom"/>
          </w:tcPr>
          <w:p>
            <w:pPr>
              <w:spacing w:after="0"/>
              <w:rPr>
                <w:sz w:val="20"/>
                <w:szCs w:val="20"/>
                <w:color w:val="auto"/>
              </w:rPr>
            </w:pPr>
            <w:r>
              <w:rPr>
                <w:rFonts w:ascii="Arial" w:cs="Arial" w:eastAsia="Arial" w:hAnsi="Arial"/>
                <w:sz w:val="15"/>
                <w:szCs w:val="15"/>
                <w:color w:val="auto"/>
              </w:rPr>
              <w:t>Money market mutual funds</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w w:val="85"/>
              </w:rPr>
              <w:t>259.0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367.1</w:t>
            </w:r>
          </w:p>
        </w:tc>
      </w:tr>
      <w:tr>
        <w:trPr>
          <w:trHeight w:val="23"/>
        </w:trPr>
        <w:tc>
          <w:tcPr>
            <w:tcW w:w="6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Total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5"/>
              </w:rPr>
              <w:t>352.7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430.0</w:t>
            </w: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Included in cash and cash equivalents are cash in transit from payment processors for credit and debit card transactions of $8.4 million and $13.3 million as of December 31, 2016 and 2017, respectively.</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3. Fair Value Measurements</w:t>
      </w:r>
    </w:p>
    <w:p>
      <w:pPr>
        <w:spacing w:after="0" w:line="102" w:lineRule="exact"/>
        <w:rPr>
          <w:sz w:val="20"/>
          <w:szCs w:val="20"/>
          <w:color w:val="auto"/>
        </w:rPr>
      </w:pPr>
    </w:p>
    <w:p>
      <w:pPr>
        <w:ind w:left="1120" w:right="160" w:firstLine="368"/>
        <w:spacing w:after="0" w:line="322" w:lineRule="auto"/>
        <w:rPr>
          <w:sz w:val="20"/>
          <w:szCs w:val="20"/>
          <w:color w:val="auto"/>
        </w:rPr>
      </w:pPr>
      <w:r>
        <w:rPr>
          <w:rFonts w:ascii="Arial" w:cs="Arial" w:eastAsia="Arial" w:hAnsi="Arial"/>
          <w:sz w:val="13"/>
          <w:szCs w:val="13"/>
          <w:color w:val="auto"/>
        </w:rPr>
        <w:t>The Company’s cash equivalents primarily consist of money market funds. The total cash equivalents held by the Company in money market funds as of December 31, 2016 and 2017, were $259.0 million and $367.1 million, respectively. The Company’s cash equivalents are classified within Level 1 of the fair value hierarchy. See Note 1, “Description of the Business and Summary of Significant Accounting Policies” for additional details.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4. Property and Equipment, Net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Property and equipment, net consisted of the following:</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2016</w:t>
            </w:r>
          </w:p>
        </w:tc>
        <w:tc>
          <w:tcPr>
            <w:tcW w:w="5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r>
      <w:tr>
        <w:trPr>
          <w:trHeight w:val="172"/>
        </w:trPr>
        <w:tc>
          <w:tcPr>
            <w:tcW w:w="61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Building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4"/>
                <w:szCs w:val="14"/>
                <w:color w:val="auto"/>
              </w:rPr>
            </w:pPr>
          </w:p>
        </w:tc>
      </w:tr>
      <w:tr>
        <w:trPr>
          <w:trHeight w:val="180"/>
        </w:trPr>
        <w:tc>
          <w:tcPr>
            <w:tcW w:w="6140" w:type="dxa"/>
            <w:vAlign w:val="bottom"/>
          </w:tcPr>
          <w:p>
            <w:pPr>
              <w:spacing w:after="0"/>
              <w:rPr>
                <w:sz w:val="20"/>
                <w:szCs w:val="20"/>
                <w:color w:val="auto"/>
              </w:rPr>
            </w:pPr>
            <w:r>
              <w:rPr>
                <w:rFonts w:ascii="Arial" w:cs="Arial" w:eastAsia="Arial" w:hAnsi="Arial"/>
                <w:sz w:val="15"/>
                <w:szCs w:val="15"/>
                <w:color w:val="auto"/>
              </w:rPr>
              <w:t>Datacenter and other computer equipment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608.4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663.1</w:t>
            </w:r>
          </w:p>
        </w:tc>
        <w:tc>
          <w:tcPr>
            <w:tcW w:w="100" w:type="dxa"/>
            <w:vAlign w:val="bottom"/>
          </w:tcPr>
          <w:p>
            <w:pPr>
              <w:spacing w:after="0"/>
              <w:rPr>
                <w:sz w:val="15"/>
                <w:szCs w:val="15"/>
                <w:color w:val="auto"/>
              </w:rPr>
            </w:pPr>
          </w:p>
        </w:tc>
      </w:tr>
      <w:tr>
        <w:trPr>
          <w:trHeight w:val="180"/>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21.2</w:t>
            </w:r>
          </w:p>
        </w:tc>
      </w:tr>
      <w:tr>
        <w:trPr>
          <w:trHeight w:val="180"/>
        </w:trPr>
        <w:tc>
          <w:tcPr>
            <w:tcW w:w="61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8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color w:val="auto"/>
              </w:rPr>
              <w:t>114.1</w:t>
            </w: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118.6</w:t>
            </w:r>
          </w:p>
        </w:tc>
      </w:tr>
      <w:tr>
        <w:trPr>
          <w:trHeight w:val="180"/>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Construction in process</w:t>
            </w: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5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5"/>
                <w:szCs w:val="15"/>
                <w:color w:val="auto"/>
              </w:rPr>
            </w:pPr>
          </w:p>
        </w:tc>
      </w:tr>
      <w:tr>
        <w:trPr>
          <w:trHeight w:val="182"/>
        </w:trPr>
        <w:tc>
          <w:tcPr>
            <w:tcW w:w="6140" w:type="dxa"/>
            <w:vAlign w:val="bottom"/>
          </w:tcPr>
          <w:p>
            <w:pPr>
              <w:ind w:left="300"/>
              <w:spacing w:after="0"/>
              <w:rPr>
                <w:sz w:val="20"/>
                <w:szCs w:val="20"/>
                <w:color w:val="auto"/>
              </w:rPr>
            </w:pPr>
            <w:r>
              <w:rPr>
                <w:rFonts w:ascii="Arial" w:cs="Arial" w:eastAsia="Arial" w:hAnsi="Arial"/>
                <w:sz w:val="15"/>
                <w:szCs w:val="15"/>
                <w:color w:val="auto"/>
              </w:rPr>
              <w:t>Total property and equipment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780.6</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846.7</w:t>
            </w:r>
          </w:p>
        </w:tc>
        <w:tc>
          <w:tcPr>
            <w:tcW w:w="100" w:type="dxa"/>
            <w:vAlign w:val="bottom"/>
          </w:tcPr>
          <w:p>
            <w:pPr>
              <w:spacing w:after="0"/>
              <w:rPr>
                <w:sz w:val="15"/>
                <w:szCs w:val="15"/>
                <w:color w:val="auto"/>
              </w:rPr>
            </w:pPr>
          </w:p>
        </w:tc>
      </w:tr>
      <w:tr>
        <w:trPr>
          <w:trHeight w:val="181"/>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 and amortization</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(336.6)</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(504.8)</w:t>
            </w:r>
          </w:p>
        </w:tc>
      </w:tr>
      <w:tr>
        <w:trPr>
          <w:trHeight w:val="182"/>
        </w:trPr>
        <w:tc>
          <w:tcPr>
            <w:tcW w:w="61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444.0</w:t>
            </w:r>
          </w:p>
        </w:tc>
        <w:tc>
          <w:tcPr>
            <w:tcW w:w="5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341.9</w:t>
            </w:r>
          </w:p>
        </w:tc>
        <w:tc>
          <w:tcPr>
            <w:tcW w:w="100" w:type="dxa"/>
            <w:vAlign w:val="bottom"/>
          </w:tcPr>
          <w:p>
            <w:pPr>
              <w:spacing w:after="0"/>
              <w:rPr>
                <w:sz w:val="15"/>
                <w:szCs w:val="15"/>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was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an imputed financing obligation for its obligation to the legal owners. The net book value of the asset was $27.7 million and $25.9 million as of December 31, 2016 and 2017, respectively. The accumulated depreciation of the building totaled $8.9 million and $10.8 million as of December 31, 2016 and 2017, respectively. See Note 10, “Commitments and Contingencies,” for additional details.</w:t>
      </w:r>
    </w:p>
    <w:p>
      <w:pPr>
        <w:spacing w:after="0" w:line="148" w:lineRule="exact"/>
        <w:rPr>
          <w:sz w:val="20"/>
          <w:szCs w:val="20"/>
          <w:color w:val="auto"/>
        </w:rPr>
      </w:pPr>
    </w:p>
    <w:p>
      <w:pPr>
        <w:jc w:val="both"/>
        <w:ind w:left="1120" w:right="160" w:firstLine="368"/>
        <w:spacing w:after="0" w:line="322" w:lineRule="auto"/>
        <w:rPr>
          <w:sz w:val="20"/>
          <w:szCs w:val="20"/>
          <w:color w:val="auto"/>
        </w:rPr>
      </w:pPr>
      <w:r>
        <w:rPr>
          <w:rFonts w:ascii="Arial" w:cs="Arial" w:eastAsia="Arial" w:hAnsi="Arial"/>
          <w:sz w:val="13"/>
          <w:szCs w:val="13"/>
          <w:color w:val="auto"/>
        </w:rPr>
        <w:t>The Company leases certain infrastructure from various third parties, including from a related party, through equipment financing leases under capital leases. See Note 15, “Related Party Transactions” for additional details. Infrastructure assets as of December 31, 2016 and 2017, respectively, included a total of $474.2 million and $417.9 million acquired under capital lease agreements. These leases are capitalized in property and equipment,</w:t>
      </w:r>
    </w:p>
    <w:p>
      <w:pPr>
        <w:spacing w:after="0" w:line="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300"/>
          </w:cols>
          <w:pgMar w:left="240" w:top="408" w:right="135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312" w:lineRule="auto"/>
        <w:rPr>
          <w:sz w:val="20"/>
          <w:szCs w:val="20"/>
          <w:color w:val="auto"/>
        </w:rPr>
      </w:pPr>
      <w:r>
        <w:rPr>
          <w:rFonts w:ascii="Arial" w:cs="Arial" w:eastAsia="Arial" w:hAnsi="Arial"/>
          <w:sz w:val="14"/>
          <w:szCs w:val="14"/>
          <w:color w:val="auto"/>
        </w:rPr>
        <w:t>and the related amortization of assets under capital leases is included in depreciation and amortization expense. The accumulated depreciation of the infrastructure under capital leases totaled $224.9 million and $259.0 million as of December 31, 2016 and 2017, respectively.</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Construction in process includes costs primarily related to construction of leasehold improvements for office buildings and datacenters.</w:t>
      </w:r>
    </w:p>
    <w:p>
      <w:pPr>
        <w:spacing w:after="0" w:line="200"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Depreciation expense related to property and equipment was $127.3 million, $173.8 million, and $170.7 million for the years ended December 31, 2015, 2016, and 2017, respectively.</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5. Business Combinations</w:t>
      </w:r>
    </w:p>
    <w:p>
      <w:pPr>
        <w:spacing w:after="0" w:line="102"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The Company did not complete any business combinations during the years ended December 31, 2016 and 2017. During the year ended December 31, 2015, the Company completed the business combination described below. The results of operations for this business combination were included in the accompanying consolidated statements of operations since its acquisition date. The impact of its results to the periods presented was not material. Pro forma results of operations have not been presented because the effects of the acquisition were not material to the consolidated financial statements.</w:t>
      </w:r>
    </w:p>
    <w:p>
      <w:pPr>
        <w:spacing w:after="0" w:line="159" w:lineRule="exact"/>
        <w:rPr>
          <w:sz w:val="20"/>
          <w:szCs w:val="20"/>
          <w:color w:val="auto"/>
        </w:rPr>
      </w:pPr>
    </w:p>
    <w:p>
      <w:pPr>
        <w:jc w:val="both"/>
        <w:ind w:left="1120" w:right="20" w:firstLine="368"/>
        <w:spacing w:after="0" w:line="322" w:lineRule="auto"/>
        <w:rPr>
          <w:sz w:val="20"/>
          <w:szCs w:val="20"/>
          <w:color w:val="auto"/>
        </w:rPr>
      </w:pPr>
      <w:r>
        <w:rPr>
          <w:rFonts w:ascii="Arial" w:cs="Arial" w:eastAsia="Arial" w:hAnsi="Arial"/>
          <w:sz w:val="13"/>
          <w:szCs w:val="13"/>
          <w:color w:val="auto"/>
        </w:rPr>
        <w:t>In January 2015, the Company acquired all of the outstanding shares of CloudOn, Inc (“CloudOn”) for total consideration of $31.4 million, which was comprised solely of shares of Dropbox common stock. CloudOn was an Israel-based developer of mobile software that allowed users to edit, create, organize, and share Microsoft Office documents. The fair value of the net assets acquired from the CloudOn business combination was not material.</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6. Intangible Assets, Net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Intangible assets consisted of the following:</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6"/>
            <w:vMerge w:val="restart"/>
          </w:tcPr>
          <w:p>
            <w:pPr>
              <w:jc w:val="right"/>
              <w:ind w:right="400"/>
              <w:spacing w:after="0"/>
              <w:rPr>
                <w:sz w:val="20"/>
                <w:szCs w:val="20"/>
                <w:color w:val="auto"/>
              </w:rPr>
            </w:pPr>
            <w:r>
              <w:rPr>
                <w:rFonts w:ascii="Arial" w:cs="Arial" w:eastAsia="Arial" w:hAnsi="Arial"/>
                <w:sz w:val="12"/>
                <w:szCs w:val="12"/>
                <w:b w:val="1"/>
                <w:bCs w:val="1"/>
                <w:color w:val="auto"/>
                <w:w w:val="93"/>
              </w:rPr>
              <w:t>As of December 31,</w:t>
            </w:r>
          </w:p>
        </w:tc>
        <w:tc>
          <w:tcPr>
            <w:tcW w:w="760" w:type="dxa"/>
            <w:vAlign w:val="bottom"/>
            <w:gridSpan w:val="3"/>
          </w:tcPr>
          <w:p>
            <w:pPr>
              <w:jc w:val="right"/>
              <w:ind w:right="60"/>
              <w:spacing w:after="0" w:line="124" w:lineRule="exact"/>
              <w:rPr>
                <w:sz w:val="20"/>
                <w:szCs w:val="20"/>
                <w:color w:val="auto"/>
              </w:rPr>
            </w:pPr>
            <w:r>
              <w:rPr>
                <w:rFonts w:ascii="Arial" w:cs="Arial" w:eastAsia="Arial" w:hAnsi="Arial"/>
                <w:sz w:val="12"/>
                <w:szCs w:val="12"/>
                <w:b w:val="1"/>
                <w:bCs w:val="1"/>
                <w:color w:val="auto"/>
              </w:rPr>
              <w:t>remaining</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vMerge w:val="restart"/>
          </w:tcPr>
          <w:p>
            <w:pPr>
              <w:jc w:val="right"/>
              <w:ind w:right="60"/>
              <w:spacing w:after="0" w:line="128" w:lineRule="exact"/>
              <w:rPr>
                <w:sz w:val="20"/>
                <w:szCs w:val="20"/>
                <w:color w:val="auto"/>
              </w:rPr>
            </w:pPr>
            <w:r>
              <w:rPr>
                <w:rFonts w:ascii="Arial" w:cs="Arial" w:eastAsia="Arial" w:hAnsi="Arial"/>
                <w:sz w:val="12"/>
                <w:szCs w:val="12"/>
                <w:b w:val="1"/>
                <w:bCs w:val="1"/>
                <w:color w:val="auto"/>
                <w:w w:val="89"/>
              </w:rPr>
              <w:t>useful life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2"/>
                <w:szCs w:val="12"/>
                <w:b w:val="1"/>
                <w:bCs w:val="1"/>
                <w:color w:val="auto"/>
                <w:w w:val="82"/>
              </w:rPr>
              <w:t>2017</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(In years)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Developed technology</w:t>
            </w:r>
          </w:p>
        </w:tc>
        <w:tc>
          <w:tcPr>
            <w:tcW w:w="20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Patents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Software</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Assembled workforce in asset acquisitions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Licenses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Non-compete agreements, trademarks and other</w:t>
            </w:r>
          </w:p>
        </w:tc>
        <w:tc>
          <w:tcPr>
            <w:tcW w:w="20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intangibles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100.4</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Accumulated amortization</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w w:val="91"/>
              </w:rPr>
              <w:t>(72.9)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(83.4)</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2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left="1580" w:right="140"/>
        <w:spacing w:after="0" w:line="448" w:lineRule="auto"/>
        <w:rPr>
          <w:sz w:val="20"/>
          <w:szCs w:val="20"/>
          <w:color w:val="auto"/>
        </w:rPr>
      </w:pPr>
      <w:r>
        <w:rPr>
          <w:rFonts w:ascii="Arial" w:cs="Arial" w:eastAsia="Arial" w:hAnsi="Arial"/>
          <w:sz w:val="15"/>
          <w:szCs w:val="15"/>
          <w:color w:val="auto"/>
        </w:rPr>
        <w:t>Amortization expense was $22.2 million, $17.3 million, and $10.5 million for the years ended December 31, 2015, 2016, and 2017, respectively. F-21</w:t>
      </w:r>
    </w:p>
    <w:p>
      <w:pPr>
        <w:sectPr>
          <w:pgSz w:w="11900" w:h="16838" w:orient="portrait"/>
          <w:cols w:equalWidth="0" w:num="1">
            <w:col w:w="10320"/>
          </w:cols>
          <w:pgMar w:left="240" w:top="408" w:right="133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480" w:type="dxa"/>
        <w:tblCellMar>
          <w:top w:w="0" w:type="dxa"/>
          <w:left w:w="0" w:type="dxa"/>
          <w:bottom w:w="0" w:type="dxa"/>
          <w:right w:w="0" w:type="dxa"/>
        </w:tblCellMar>
      </w:tblPr>
      <w:tr>
        <w:trPr>
          <w:trHeight w:val="190"/>
        </w:trPr>
        <w:tc>
          <w:tcPr>
            <w:tcW w:w="6420" w:type="dxa"/>
            <w:vAlign w:val="bottom"/>
            <w:gridSpan w:val="2"/>
          </w:tcPr>
          <w:p>
            <w:pPr>
              <w:spacing w:after="0"/>
              <w:rPr>
                <w:sz w:val="20"/>
                <w:szCs w:val="20"/>
                <w:color w:val="auto"/>
              </w:rPr>
            </w:pPr>
            <w:r>
              <w:rPr>
                <w:rFonts w:ascii="Arial" w:cs="Arial" w:eastAsia="Arial" w:hAnsi="Arial"/>
                <w:sz w:val="15"/>
                <w:szCs w:val="15"/>
                <w:color w:val="auto"/>
                <w:w w:val="98"/>
              </w:rPr>
              <w:t>Expected future amortization expense for intangible assets as of December 31, 2017 is as follows: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2019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Thereafter</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7. Goodwill</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Goodwill represents the excess of the purchase price in a business combination over the fair value of net tangible and intangible assets acquired. Goodwill amounts are not amortized, but tested for impairment on an annual basis. There was no impairment of goodwill as of December 31, 2016 and 2017. Goodwill consisted of the following:</w:t>
      </w:r>
    </w:p>
    <w:p>
      <w:pPr>
        <w:sectPr>
          <w:pgSz w:w="11900" w:h="16838" w:orient="portrait"/>
          <w:cols w:equalWidth="0" w:num="1">
            <w:col w:w="10320"/>
          </w:cols>
          <w:pgMar w:left="240" w:top="407" w:right="1339" w:bottom="1440" w:gutter="0" w:footer="0" w:header="0"/>
        </w:sectPr>
      </w:pP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Effect of foreign currency translation</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Effect of foreign currency translation</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96.1</w:t>
      </w:r>
    </w:p>
    <w:p>
      <w:pPr>
        <w:spacing w:after="0" w:line="17" w:lineRule="exact"/>
        <w:rPr>
          <w:sz w:val="20"/>
          <w:szCs w:val="20"/>
          <w:color w:val="auto"/>
        </w:rPr>
      </w:pPr>
    </w:p>
    <w:p>
      <w:pPr>
        <w:jc w:val="right"/>
        <w:ind w:right="1520"/>
        <w:spacing w:after="0"/>
        <w:rPr>
          <w:sz w:val="20"/>
          <w:szCs w:val="20"/>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2225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96.0</w:t>
      </w:r>
    </w:p>
    <w:p>
      <w:pPr>
        <w:spacing w:after="0" w:line="17" w:lineRule="exact"/>
        <w:rPr>
          <w:sz w:val="20"/>
          <w:szCs w:val="20"/>
          <w:color w:val="auto"/>
        </w:rPr>
      </w:pPr>
    </w:p>
    <w:p>
      <w:pPr>
        <w:jc w:val="right"/>
        <w:ind w:right="158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2225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1" w:lineRule="exact"/>
        <w:rPr>
          <w:sz w:val="20"/>
          <w:szCs w:val="20"/>
          <w:color w:val="auto"/>
        </w:rPr>
      </w:pPr>
    </w:p>
    <w:p>
      <w:pPr>
        <w:jc w:val="right"/>
        <w:ind w:right="1580"/>
        <w:spacing w:after="0"/>
        <w:rPr>
          <w:sz w:val="20"/>
          <w:szCs w:val="20"/>
          <w:color w:val="auto"/>
        </w:rPr>
      </w:pPr>
      <w:r>
        <w:rPr>
          <w:rFonts w:ascii="Arial" w:cs="Arial" w:eastAsia="Arial" w:hAnsi="Arial"/>
          <w:sz w:val="13"/>
          <w:szCs w:val="13"/>
          <w:u w:val="single" w:color="auto"/>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22225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80" w:space="720"/>
            <w:col w:w="1920"/>
          </w:cols>
          <w:pgMar w:left="240" w:top="407" w:right="1339" w:bottom="1440" w:gutter="0" w:footer="0" w:header="0"/>
          <w:type w:val="continuous"/>
        </w:sectPr>
      </w:pPr>
    </w:p>
    <w:p>
      <w:pPr>
        <w:spacing w:after="0" w:line="12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8. Accrued and Other Current Liabilities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Accrued and other current liabilities consisted of the following:</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20" w:type="dxa"/>
            <w:vAlign w:val="bottom"/>
          </w:tcPr>
          <w:p>
            <w:pPr>
              <w:spacing w:after="0"/>
              <w:rPr>
                <w:sz w:val="10"/>
                <w:szCs w:val="10"/>
                <w:color w:val="auto"/>
              </w:rPr>
            </w:pPr>
          </w:p>
        </w:tc>
        <w:tc>
          <w:tcPr>
            <w:tcW w:w="52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6"/>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Non-income taxes payable</w:t>
            </w:r>
          </w:p>
        </w:tc>
        <w:tc>
          <w:tcPr>
            <w:tcW w:w="26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Accrued legal and other external fees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11.9</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21.3</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Deferred rent</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Financing obligations, current</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9.7</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Accrued infrastructure costs</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Accrued property and equipment purchases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5.8</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Income taxes payable</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Other accrued and current liabilities</w:t>
            </w:r>
          </w:p>
        </w:tc>
        <w:tc>
          <w:tcPr>
            <w:tcW w:w="2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Total accrued and other current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129.8</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9. Revolving Credit Agreement</w:t>
      </w:r>
    </w:p>
    <w:p>
      <w:pPr>
        <w:spacing w:after="0" w:line="102"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On April 3, 2017, the Company entered into an amended and restated credit and guaranty agreement which currently provides for a $600.0 million revolving loan facility (the “revolving credit facility”). The revolving credit facility has an accordion option, which, if exercised, would allow the Company to increase the aggregate commitments up to $150.0 million, subject to obtaining additional lender commitments and satisfying certain conditions. The revolving credit facility replaced the Company’s existing $500.0 million revolving credit facility that was set to expire on March 20, 2018 (the “2014 revolving credit facility”). In conjunction with the revolving credit facility, the Company paid upfront issuance fees of $2.6 million, which are being amortized over the five-year term of the agreement.</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320"/>
          </w:cols>
          <w:pgMar w:left="240" w:top="407" w:right="1339" w:bottom="1440" w:gutter="0" w:footer="0" w:header="0"/>
          <w:type w:val="continuous"/>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to be drawn under such letters of credit outstanding. There is an additional fronting fee of 0.125% per annum multiplied by the average aggregate daily maximum amount available to be drawn under all letters of credit. Borrowings under the revolving credit facility bear interest, at the Company’s option, at an annual rate based on LIBOR plus a spread of 1.50% or at an alternative base rate plus a spread of 0.50%.</w:t>
      </w:r>
    </w:p>
    <w:p>
      <w:pPr>
        <w:spacing w:after="0" w:line="148" w:lineRule="exact"/>
        <w:rPr>
          <w:sz w:val="20"/>
          <w:szCs w:val="20"/>
          <w:color w:val="auto"/>
        </w:rPr>
      </w:pPr>
    </w:p>
    <w:p>
      <w:pPr>
        <w:ind w:left="1120" w:right="60" w:firstLine="368"/>
        <w:spacing w:after="0" w:line="305" w:lineRule="auto"/>
        <w:rPr>
          <w:sz w:val="20"/>
          <w:szCs w:val="20"/>
          <w:color w:val="auto"/>
        </w:rPr>
      </w:pPr>
      <w:r>
        <w:rPr>
          <w:rFonts w:ascii="Arial" w:cs="Arial" w:eastAsia="Arial" w:hAnsi="Arial"/>
          <w:sz w:val="13"/>
          <w:szCs w:val="13"/>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2014 revolving credit facility as of December 31, 2016, and the revolving credit facility as of December 31, 2017.</w:t>
      </w:r>
    </w:p>
    <w:p>
      <w:pPr>
        <w:spacing w:after="0" w:line="13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As of December 31, 2016, the Company had an aggregate of $48.7 million of letters of credit outstanding under the 2014 revolving credit facility. As of December 31, 2017, the Company had an aggregate of $82.6 million of letters of credit outstanding under the revolving credit facility. The Company’s total available borrowing capacity under the 2014 revolving credit facility was $451.3 million as of December 31, 2016. The Company’s total available borrowing capacity under the revolving credit facility was $517.4 million as of December 31, 2017. The Company’s letters of credit expire between April of 2019 and April of 2022.</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10. Commitments and Contingencies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Leases</w:t>
      </w:r>
    </w:p>
    <w:p>
      <w:pPr>
        <w:spacing w:after="0" w:line="98"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4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Gross rent expense was $49.7 million, $67.9 million, $71.0 million for the years ended December 31, 2015, 2016, and 2017, respectively. Sublease income, which is recorded as a reduction of rental expense, was $0.1 million, $4.5 million, and $10.6 million for the years ended December 31, 2015, 2016, and 2017, respectively. Sublease income in excess of the Company’s original lease obligation is split with the original lessor per the terms of the sublease agreement, with the Company’s portion recorded to other income (expense), net.</w:t>
      </w:r>
    </w:p>
    <w:p>
      <w:pPr>
        <w:spacing w:after="0" w:line="158"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Other commitments include payments to third-party vendors for services related to the Company’s infrastructure, infrastructure warranty contracts, payments related to the imputed financing obligation for its previous headquarters, asset retirement obligations for office modifications, and a note payable related to financing of infrastructure. As described in Note 4, “Property and Equipment”, the Company is considered the deemed owner of a floor in its previous corporate headquarters, for accounting purposes, as part of a build-to-suit lease agreement. In June 2011, the Company initially recorded a building asset and an imputed financing obligation for its obligation to the legal owner in the amount of $36.6 million. In connection with this lease, the Company is obligated to pay $8.6 million in lease payments over the next two years as of December 31, 2017. The imputed financing obligation on the Company’s consolidated balance sheets totaled $29.5 million and</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300"/>
          </w:cols>
          <w:pgMar w:left="240" w:top="407" w:right="135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$27.4 million at December 31, 2016 and 2017, respectively. The current portion of the imputed financing obligation totaled $2.4 million and</w:t>
      </w:r>
    </w:p>
    <w:p>
      <w:pPr>
        <w:spacing w:after="0" w:line="17" w:lineRule="exact"/>
        <w:rPr>
          <w:sz w:val="20"/>
          <w:szCs w:val="20"/>
          <w:color w:val="auto"/>
        </w:rPr>
      </w:pPr>
    </w:p>
    <w:p>
      <w:pPr>
        <w:ind w:left="1120" w:right="20"/>
        <w:spacing w:after="0" w:line="256" w:lineRule="auto"/>
        <w:rPr>
          <w:sz w:val="20"/>
          <w:szCs w:val="20"/>
          <w:color w:val="auto"/>
        </w:rPr>
      </w:pPr>
      <w:r>
        <w:rPr>
          <w:rFonts w:ascii="Arial" w:cs="Arial" w:eastAsia="Arial" w:hAnsi="Arial"/>
          <w:sz w:val="15"/>
          <w:szCs w:val="15"/>
          <w:color w:val="auto"/>
        </w:rPr>
        <w:t>$2.6 million as of December 31, 2016 and 2017, respectively, and is classified within accrued and other current liabilities. The non-current portion of the imputed financing obligation totaled $27.1 million and $24.8 million as of December 31, 2016 and 2017, respectively, and is classified within other non-current liabilities.</w:t>
      </w:r>
    </w:p>
    <w:p>
      <w:pPr>
        <w:spacing w:after="0" w:line="160"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In 2015, the Company entered into a note payable arrangement with a vendor to finance infrastructure totaling $11.9 million. The note payable is classified within accrued and other current liabilities. The term of the arrangement is thirty-six months and will end in the fourth quarter of 2018. Payments including interest towards the note payable totaled $4.3 million in each of the years ended December 31, 2016 and 2017. The total remaining obligation including interest was $7.5 million and $3.6 million as of December 31, 2016 and 2017, respectively. The note payable is included in other commitments in the table below.</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In 2016, the Company entered into a sale-leaseback agreement with a vendor for infrastructure. As a result of the transaction, it received</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$8.8 million in proceeds. Payments including interest towards the leaseback arrangement totaled $1.3 million and $2.5 million for the years ended</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December 31, 2016 and 2017, respectively. The total remaining obligation including interest was $8.8 million and $6.3 million as of December 31, 2016</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and 2017, respectively. The obligation is included in capital lease commitments in the table below.</w:t>
      </w:r>
    </w:p>
    <w:p>
      <w:pPr>
        <w:spacing w:after="0" w:line="179"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In 2017, the Company entered into a new lease agreement for office space in San Francisco, California, to serve as its new corporate headquarters. The Company expects to start making recurring rental payments under the lease in the third quarter of 2019. Included in the operating lease commitments below are total expected minimum obligations under the lease agreement of $827.0 million, which exclude expected tenant improvement reimbursements from the landlord of approximately $73.6 million and variable operating expenses. The Company’s obligations under the lease are supported by a $34.2 million letter of credit, which reduced the borrowing capacity under the revolving credit facility.</w:t>
      </w:r>
    </w:p>
    <w:p>
      <w:pPr>
        <w:spacing w:after="0" w:line="147"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Future minimum payments under the Company’s non-cancelable leases, financing obligations, and other commitments as of December 31, 2017, are as follows, and exclude non-cancelable rent payments from the Company’s sub-tenants:</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9"/>
              </w:rPr>
              <w:t>Capital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2"/>
                <w:szCs w:val="12"/>
                <w:b w:val="1"/>
                <w:bCs w:val="1"/>
                <w:color w:val="auto"/>
                <w:w w:val="95"/>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580"/>
              <w:spacing w:after="0" w:line="124" w:lineRule="exact"/>
              <w:rPr>
                <w:sz w:val="20"/>
                <w:szCs w:val="20"/>
                <w:color w:val="auto"/>
              </w:rPr>
            </w:pPr>
            <w:r>
              <w:rPr>
                <w:rFonts w:ascii="Arial" w:cs="Arial" w:eastAsia="Arial" w:hAnsi="Arial"/>
                <w:sz w:val="12"/>
                <w:szCs w:val="12"/>
                <w:b w:val="1"/>
                <w:bCs w:val="1"/>
                <w:color w:val="auto"/>
              </w:rPr>
              <w:t>lease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208"/>
              <w:spacing w:after="0" w:line="124" w:lineRule="exact"/>
              <w:rPr>
                <w:sz w:val="20"/>
                <w:szCs w:val="20"/>
                <w:color w:val="auto"/>
              </w:rPr>
            </w:pPr>
            <w:r>
              <w:rPr>
                <w:rFonts w:ascii="Arial" w:cs="Arial" w:eastAsia="Arial" w:hAnsi="Arial"/>
                <w:sz w:val="12"/>
                <w:szCs w:val="12"/>
                <w:b w:val="1"/>
                <w:bCs w:val="1"/>
                <w:color w:val="auto"/>
              </w:rPr>
              <w:t>lease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commitments</w:t>
            </w:r>
          </w:p>
        </w:tc>
        <w:tc>
          <w:tcPr>
            <w:tcW w:w="1120" w:type="dxa"/>
            <w:vAlign w:val="bottom"/>
            <w:gridSpan w:val="3"/>
          </w:tcPr>
          <w:p>
            <w:pPr>
              <w:ind w:left="300"/>
              <w:spacing w:after="0"/>
              <w:rPr>
                <w:sz w:val="20"/>
                <w:szCs w:val="20"/>
                <w:color w:val="auto"/>
              </w:rPr>
            </w:pPr>
            <w:r>
              <w:rPr>
                <w:rFonts w:ascii="Arial" w:cs="Arial" w:eastAsia="Arial" w:hAnsi="Arial"/>
                <w:sz w:val="12"/>
                <w:szCs w:val="12"/>
                <w:b w:val="1"/>
                <w:bCs w:val="1"/>
                <w:color w:val="auto"/>
                <w:w w:val="88"/>
              </w:rPr>
              <w:t>commitments</w:t>
            </w:r>
            <w:r>
              <w:rPr>
                <w:rFonts w:ascii="Arial" w:cs="Arial" w:eastAsia="Arial" w:hAnsi="Arial"/>
                <w:sz w:val="10"/>
                <w:szCs w:val="10"/>
                <w:b w:val="1"/>
                <w:bCs w:val="1"/>
                <w:color w:val="auto"/>
                <w:w w:val="88"/>
              </w:rPr>
              <w:t>(1)</w:t>
            </w:r>
          </w:p>
        </w:tc>
        <w:tc>
          <w:tcPr>
            <w:tcW w:w="1360" w:type="dxa"/>
            <w:vAlign w:val="bottom"/>
            <w:gridSpan w:val="4"/>
          </w:tcPr>
          <w:p>
            <w:pPr>
              <w:ind w:left="620"/>
              <w:spacing w:after="0"/>
              <w:rPr>
                <w:sz w:val="20"/>
                <w:szCs w:val="20"/>
                <w:color w:val="auto"/>
              </w:rPr>
            </w:pPr>
            <w:r>
              <w:rPr>
                <w:rFonts w:ascii="Arial" w:cs="Arial" w:eastAsia="Arial" w:hAnsi="Arial"/>
                <w:sz w:val="12"/>
                <w:szCs w:val="12"/>
                <w:b w:val="1"/>
                <w:bCs w:val="1"/>
                <w:color w:val="auto"/>
                <w:w w:val="92"/>
              </w:rPr>
              <w:t>commitments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Year ended December 31:</w:t>
            </w: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2018</w:t>
            </w:r>
          </w:p>
        </w:tc>
        <w:tc>
          <w:tcPr>
            <w:tcW w:w="88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108.3</w:t>
            </w:r>
          </w:p>
        </w:tc>
        <w:tc>
          <w:tcPr>
            <w:tcW w:w="340" w:type="dxa"/>
            <w:vAlign w:val="bottom"/>
          </w:tcPr>
          <w:p>
            <w:pPr>
              <w:spacing w:after="0"/>
              <w:rPr>
                <w:sz w:val="15"/>
                <w:szCs w:val="15"/>
                <w:color w:val="auto"/>
              </w:rPr>
            </w:pPr>
          </w:p>
        </w:tc>
        <w:tc>
          <w:tcPr>
            <w:tcW w:w="4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91.5</w:t>
            </w:r>
          </w:p>
        </w:tc>
        <w:tc>
          <w:tcPr>
            <w:tcW w:w="7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2020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2022</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Thereafter</w:t>
            </w:r>
          </w:p>
        </w:tc>
        <w:tc>
          <w:tcPr>
            <w:tcW w:w="7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812.6</w:t>
            </w:r>
          </w:p>
        </w:tc>
        <w:tc>
          <w:tcPr>
            <w:tcW w:w="6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color w:val="auto"/>
              </w:rPr>
              <w:t>Future minimum payments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182.0</w:t>
            </w:r>
          </w:p>
        </w:tc>
        <w:tc>
          <w:tcPr>
            <w:tcW w:w="340" w:type="dxa"/>
            <w:vAlign w:val="bottom"/>
          </w:tcPr>
          <w:p>
            <w:pPr>
              <w:spacing w:after="0"/>
              <w:rPr>
                <w:sz w:val="15"/>
                <w:szCs w:val="15"/>
                <w:color w:val="auto"/>
              </w:rPr>
            </w:pPr>
          </w:p>
        </w:tc>
        <w:tc>
          <w:tcPr>
            <w:tcW w:w="4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1,349.9</w:t>
            </w:r>
          </w:p>
        </w:tc>
        <w:tc>
          <w:tcPr>
            <w:tcW w:w="7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9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Less interest and taxes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line="167" w:lineRule="exact"/>
              <w:rPr>
                <w:sz w:val="20"/>
                <w:szCs w:val="20"/>
                <w:color w:val="auto"/>
              </w:rPr>
            </w:pPr>
            <w:r>
              <w:rPr>
                <w:rFonts w:ascii="Arial" w:cs="Arial" w:eastAsia="Arial" w:hAnsi="Arial"/>
                <w:sz w:val="15"/>
                <w:szCs w:val="15"/>
                <w:color w:val="auto"/>
              </w:rPr>
              <w:t>(7.7)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Less current portion of the present value of minimum lease payments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(102.7)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net of current portion</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80" w:hanging="368"/>
        <w:spacing w:after="0" w:line="263" w:lineRule="auto"/>
        <w:tabs>
          <w:tab w:leader="none" w:pos="1480" w:val="left"/>
        </w:tabs>
        <w:numPr>
          <w:ilvl w:val="0"/>
          <w:numId w:val="113"/>
        </w:numPr>
        <w:rPr>
          <w:rFonts w:ascii="Arial" w:cs="Arial" w:eastAsia="Arial" w:hAnsi="Arial"/>
          <w:sz w:val="13"/>
          <w:szCs w:val="13"/>
          <w:color w:val="auto"/>
        </w:rPr>
      </w:pPr>
      <w:r>
        <w:rPr>
          <w:rFonts w:ascii="Arial" w:cs="Arial" w:eastAsia="Arial" w:hAnsi="Arial"/>
          <w:sz w:val="15"/>
          <w:szCs w:val="15"/>
          <w:color w:val="auto"/>
        </w:rPr>
        <w:t>Consists of future non-cancelable minimum rental payments under operating leases for the Company’s offices and datacenters, excluding rent payments from the Company’s sub-tenants and variable operating expenses. Non-cancelable rent payments from the Company’s sub-tenants as of December 31, 2017, are expected to be $72.1 million through 2023.</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320"/>
          </w:cols>
          <w:pgMar w:left="240" w:top="408" w:right="133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Legal matters</w:t>
      </w:r>
    </w:p>
    <w:p>
      <w:pPr>
        <w:spacing w:after="0" w:line="98"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Indemnification</w:t>
      </w:r>
    </w:p>
    <w:p>
      <w:pPr>
        <w:spacing w:after="0" w:line="98"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11. Stockholders’ Equity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color w:val="auto"/>
        </w:rPr>
        <w:t>The Company’s amended and restated certificate of incorporation authorizes the issuance of Class A common stock and Class B common stock. The Company is authorized to issue 533,333,333 shares of Class A common stock and 466,666,666 shares of Class B common stock. Holders of Class A common stock and Class B common stock are entitled to dividends on a pro rata basis, when, as, and if declared by the Company’s Board of Directors, subject to the rights of the holders of the Company’s preferred stock. Holders of Class A common stock are entitled to one vote per share, and holders of Class B common stock are entitled to 10 votes per share. Upon a liquidation event, as defined in the amended and restated certificate of incorporation, after payments are made to holders of the Company’s preferred stock, any distribution of proceeds to common stockholders will be made on a pro rata basis to the holders of Class A common stock and Class B common stock. Following the completion of an initial public offering of the Company, shares of Class B common stock will automatically convert into shares of Class A common stock upon a sale or transfer (other than with respect to certain estate planning transfers).</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w:t>
      </w:r>
    </w:p>
    <w:p>
      <w:pPr>
        <w:spacing w:after="0" w:line="98"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The Company is authorized to issue 151,212,292 shares of preferred stock. The following table summarizes the convertible preferred stock outstanding and liquidation preferences as of December 31, 2017:</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vMerge w:val="restart"/>
          </w:tcPr>
          <w:p>
            <w:pPr>
              <w:jc w:val="right"/>
              <w:ind w:right="590"/>
              <w:spacing w:after="0"/>
              <w:rPr>
                <w:sz w:val="20"/>
                <w:szCs w:val="20"/>
                <w:color w:val="auto"/>
              </w:rPr>
            </w:pPr>
            <w:r>
              <w:rPr>
                <w:rFonts w:ascii="Arial" w:cs="Arial" w:eastAsia="Arial" w:hAnsi="Arial"/>
                <w:sz w:val="12"/>
                <w:szCs w:val="12"/>
                <w:b w:val="1"/>
                <w:bCs w:val="1"/>
                <w:color w:val="auto"/>
                <w:w w:val="94"/>
              </w:rPr>
              <w:t>Shares</w:t>
            </w:r>
          </w:p>
        </w:tc>
        <w:tc>
          <w:tcPr>
            <w:tcW w:w="1140" w:type="dxa"/>
            <w:vAlign w:val="bottom"/>
            <w:gridSpan w:val="2"/>
          </w:tcPr>
          <w:p>
            <w:pPr>
              <w:ind w:left="440"/>
              <w:spacing w:after="0"/>
              <w:rPr>
                <w:sz w:val="20"/>
                <w:szCs w:val="20"/>
                <w:color w:val="auto"/>
              </w:rPr>
            </w:pPr>
            <w:r>
              <w:rPr>
                <w:rFonts w:ascii="Arial" w:cs="Arial" w:eastAsia="Arial" w:hAnsi="Arial"/>
                <w:sz w:val="12"/>
                <w:szCs w:val="12"/>
                <w:b w:val="1"/>
                <w:bCs w:val="1"/>
                <w:color w:val="auto"/>
              </w:rPr>
              <w:t>Per share</w:t>
            </w:r>
          </w:p>
        </w:tc>
        <w:tc>
          <w:tcPr>
            <w:tcW w:w="2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Aggregate</w:t>
            </w:r>
          </w:p>
        </w:tc>
        <w:tc>
          <w:tcPr>
            <w:tcW w:w="960" w:type="dxa"/>
            <w:vAlign w:val="bottom"/>
            <w:gridSpan w:val="3"/>
          </w:tcPr>
          <w:p>
            <w:pPr>
              <w:ind w:left="440"/>
              <w:spacing w:after="0"/>
              <w:rPr>
                <w:sz w:val="20"/>
                <w:szCs w:val="20"/>
                <w:color w:val="auto"/>
              </w:rPr>
            </w:pPr>
            <w:r>
              <w:rPr>
                <w:rFonts w:ascii="Arial" w:cs="Arial" w:eastAsia="Arial" w:hAnsi="Arial"/>
                <w:sz w:val="12"/>
                <w:szCs w:val="12"/>
                <w:b w:val="1"/>
                <w:bCs w:val="1"/>
                <w:color w:val="auto"/>
                <w:w w:val="98"/>
              </w:rPr>
              <w:t>Dividend</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1140" w:type="dxa"/>
            <w:vAlign w:val="bottom"/>
            <w:gridSpan w:val="2"/>
            <w:vMerge w:val="restart"/>
          </w:tcPr>
          <w:p>
            <w:pPr>
              <w:jc w:val="right"/>
              <w:ind w:right="185"/>
              <w:spacing w:after="0" w:line="124" w:lineRule="exact"/>
              <w:rPr>
                <w:sz w:val="20"/>
                <w:szCs w:val="20"/>
                <w:color w:val="auto"/>
              </w:rPr>
            </w:pPr>
            <w:r>
              <w:rPr>
                <w:rFonts w:ascii="Arial" w:cs="Arial" w:eastAsia="Arial" w:hAnsi="Arial"/>
                <w:sz w:val="12"/>
                <w:szCs w:val="12"/>
                <w:b w:val="1"/>
                <w:bCs w:val="1"/>
                <w:color w:val="auto"/>
              </w:rPr>
              <w:t>price at</w:t>
            </w:r>
          </w:p>
        </w:tc>
        <w:tc>
          <w:tcPr>
            <w:tcW w:w="780" w:type="dxa"/>
            <w:vAlign w:val="bottom"/>
            <w:gridSpan w:val="3"/>
            <w:vMerge w:val="restart"/>
          </w:tcPr>
          <w:p>
            <w:pPr>
              <w:ind w:left="220"/>
              <w:spacing w:after="0" w:line="124" w:lineRule="exact"/>
              <w:rPr>
                <w:sz w:val="20"/>
                <w:szCs w:val="20"/>
                <w:color w:val="auto"/>
              </w:rPr>
            </w:pPr>
            <w:r>
              <w:rPr>
                <w:rFonts w:ascii="Arial" w:cs="Arial" w:eastAsia="Arial" w:hAnsi="Arial"/>
                <w:sz w:val="12"/>
                <w:szCs w:val="12"/>
                <w:b w:val="1"/>
                <w:bCs w:val="1"/>
                <w:color w:val="auto"/>
                <w:w w:val="88"/>
              </w:rPr>
              <w:t>liquidation</w:t>
            </w:r>
          </w:p>
        </w:tc>
        <w:tc>
          <w:tcPr>
            <w:tcW w:w="960" w:type="dxa"/>
            <w:vAlign w:val="bottom"/>
            <w:gridSpan w:val="3"/>
            <w:vMerge w:val="restart"/>
          </w:tcPr>
          <w:p>
            <w:pPr>
              <w:jc w:val="right"/>
              <w:ind w:right="60"/>
              <w:spacing w:after="0" w:line="124" w:lineRule="exact"/>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Authorized</w:t>
            </w:r>
          </w:p>
        </w:tc>
        <w:tc>
          <w:tcPr>
            <w:tcW w:w="10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Outstanding</w:t>
            </w:r>
          </w:p>
        </w:tc>
        <w:tc>
          <w:tcPr>
            <w:tcW w:w="1140" w:type="dxa"/>
            <w:vAlign w:val="bottom"/>
            <w:gridSpan w:val="2"/>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54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rPr>
              <w:t>issuance</w:t>
            </w:r>
          </w:p>
        </w:tc>
        <w:tc>
          <w:tcPr>
            <w:tcW w:w="2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87"/>
              </w:rPr>
              <w:t>preference</w:t>
            </w: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560" w:type="dxa"/>
            <w:vAlign w:val="bottom"/>
            <w:tcBorders>
              <w:top w:val="single" w:sz="8" w:color="auto"/>
            </w:tcBorders>
            <w:gridSpan w:val="6"/>
          </w:tcPr>
          <w:p>
            <w:pPr>
              <w:jc w:val="right"/>
              <w:ind w:right="225"/>
              <w:spacing w:after="0" w:line="115" w:lineRule="exact"/>
              <w:rPr>
                <w:sz w:val="20"/>
                <w:szCs w:val="20"/>
                <w:color w:val="auto"/>
              </w:rPr>
            </w:pPr>
            <w:r>
              <w:rPr>
                <w:rFonts w:ascii="Arial" w:cs="Arial" w:eastAsia="Arial" w:hAnsi="Arial"/>
                <w:sz w:val="12"/>
                <w:szCs w:val="12"/>
                <w:i w:val="1"/>
                <w:iCs w:val="1"/>
                <w:color w:val="auto"/>
                <w:w w:val="99"/>
              </w:rPr>
              <w:t>(In millions, except for per share amounts)</w:t>
            </w: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Series 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5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0.09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5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5"/>
                <w:szCs w:val="15"/>
                <w:color w:val="auto"/>
              </w:rPr>
              <w:t>Series A-1</w:t>
            </w:r>
          </w:p>
        </w:tc>
        <w:tc>
          <w:tcPr>
            <w:tcW w:w="2720" w:type="dxa"/>
            <w:vAlign w:val="bottom"/>
            <w:gridSpan w:val="2"/>
          </w:tcPr>
          <w:p>
            <w:pPr>
              <w:jc w:val="right"/>
              <w:spacing w:after="0"/>
              <w:rPr>
                <w:sz w:val="20"/>
                <w:szCs w:val="20"/>
                <w:color w:val="auto"/>
              </w:rPr>
            </w:pPr>
            <w:r>
              <w:rPr>
                <w:rFonts w:ascii="Arial" w:cs="Arial" w:eastAsia="Arial" w:hAnsi="Arial"/>
                <w:sz w:val="15"/>
                <w:szCs w:val="15"/>
                <w:color w:val="auto"/>
              </w:rPr>
              <w:t>52.0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51.9</w:t>
            </w:r>
          </w:p>
        </w:tc>
        <w:tc>
          <w:tcPr>
            <w:tcW w:w="540" w:type="dxa"/>
            <w:vAlign w:val="bottom"/>
          </w:tcPr>
          <w:p>
            <w:pPr>
              <w:spacing w:after="0"/>
              <w:rPr>
                <w:sz w:val="15"/>
                <w:szCs w:val="15"/>
                <w:color w:val="auto"/>
              </w:rPr>
            </w:pPr>
          </w:p>
        </w:tc>
        <w:tc>
          <w:tcPr>
            <w:tcW w:w="600" w:type="dxa"/>
            <w:vAlign w:val="bottom"/>
          </w:tcPr>
          <w:p>
            <w:pPr>
              <w:jc w:val="right"/>
              <w:ind w:right="145"/>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1.3</w:t>
            </w:r>
          </w:p>
        </w:tc>
        <w:tc>
          <w:tcPr>
            <w:tcW w:w="5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Series B</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13.58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264.8</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20"/>
                <w:szCs w:val="20"/>
                <w:color w:val="auto"/>
              </w:rPr>
            </w:pPr>
            <w:r>
              <w:rPr>
                <w:rFonts w:ascii="Arial" w:cs="Arial" w:eastAsia="Arial" w:hAnsi="Arial"/>
                <w:sz w:val="15"/>
                <w:szCs w:val="15"/>
                <w:color w:val="auto"/>
              </w:rPr>
              <w:t>Series C</w:t>
            </w:r>
          </w:p>
        </w:tc>
        <w:tc>
          <w:tcPr>
            <w:tcW w:w="21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4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540" w:type="dxa"/>
            <w:vAlign w:val="bottom"/>
          </w:tcPr>
          <w:p>
            <w:pPr>
              <w:ind w:left="42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45"/>
              <w:spacing w:after="0"/>
              <w:rPr>
                <w:sz w:val="20"/>
                <w:szCs w:val="20"/>
                <w:color w:val="auto"/>
              </w:rPr>
            </w:pPr>
            <w:r>
              <w:rPr>
                <w:rFonts w:ascii="Arial" w:cs="Arial" w:eastAsia="Arial" w:hAnsi="Arial"/>
                <w:sz w:val="15"/>
                <w:szCs w:val="15"/>
                <w:color w:val="auto"/>
                <w:w w:val="95"/>
              </w:rPr>
              <w:t>28.65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352.6</w:t>
            </w:r>
          </w:p>
        </w:tc>
        <w:tc>
          <w:tcPr>
            <w:tcW w:w="580" w:type="dxa"/>
            <w:vAlign w:val="bottom"/>
          </w:tcPr>
          <w:p>
            <w:pPr>
              <w:ind w:left="42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2.30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624.7</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540" w:type="dxa"/>
            <w:vAlign w:val="bottom"/>
          </w:tcPr>
          <w:p>
            <w:pPr>
              <w:spacing w:after="0"/>
              <w:rPr>
                <w:sz w:val="24"/>
                <w:szCs w:val="24"/>
                <w:color w:val="auto"/>
              </w:rPr>
            </w:pPr>
          </w:p>
        </w:tc>
        <w:tc>
          <w:tcPr>
            <w:tcW w:w="2720" w:type="dxa"/>
            <w:vAlign w:val="bottom"/>
            <w:gridSpan w:val="2"/>
          </w:tcPr>
          <w:p>
            <w:pPr>
              <w:jc w:val="right"/>
              <w:ind w:right="445"/>
              <w:spacing w:after="0"/>
              <w:rPr>
                <w:sz w:val="20"/>
                <w:szCs w:val="20"/>
                <w:color w:val="auto"/>
              </w:rPr>
            </w:pPr>
            <w:r>
              <w:rPr>
                <w:rFonts w:ascii="Arial" w:cs="Arial" w:eastAsia="Arial" w:hAnsi="Arial"/>
                <w:sz w:val="15"/>
                <w:szCs w:val="15"/>
                <w:color w:val="auto"/>
              </w:rPr>
              <w:t>F-25</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8" w:right="133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Significant terms of the convertible preferred stock are as follows:</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Liquidation preference</w:t>
      </w:r>
    </w:p>
    <w:p>
      <w:pPr>
        <w:spacing w:after="0" w:line="98"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Upon a liquidation event, as defined in the amended and restated certificate of incorporation, the holders of Series A, Series A-1, Series B, and Series C convertible preferred stock are entitled to receive, prior to and in preference to any distribution of the proceeds of such liquidation to common stockholders, an amount per share equal to $0.09, $0.03, $13.58 and $28.65, respectively, plus any declared but unpaid dividends on such shares. If the proceeds distributed among the holders of the preferred stock are insufficient to permit the Series A, Series A-1, Series B, and Series C convertible preferred stock holders to receive the full payment noted above, then the entire proceeds legally available for distribution shall be distributed ratably among the holders of the preferred stock in proportion to the full preferential amount that each such holder is otherwise entitled to receive.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Dividends</w:t>
      </w:r>
    </w:p>
    <w:p>
      <w:pPr>
        <w:spacing w:after="0" w:line="98"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Holders of the Company’s preferred stock are entitled to receive dividends, when, as and if declared by the Company’s Board of Directors, at the applicable dividend rate of $0.02, $0.02, $1.08, and $2.30 for each share of Series A, Series A-1, Series B, and Series C convertible preferred stock, respectively, prior to and in preference of any dividend paid to holders of the Company’s common stock (other than a stock dividend declared and paid on the Class A common stock that is payable in shares of Class A common stock or on the Class B common stock that is payable in shares of Class B common stock). Such dividends shall not be cumulative or mandatory. No dividends have been declared in any period presented.</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Voting</w:t>
      </w:r>
    </w:p>
    <w:p>
      <w:pPr>
        <w:spacing w:after="0" w:line="98" w:lineRule="exact"/>
        <w:rPr>
          <w:sz w:val="20"/>
          <w:szCs w:val="20"/>
          <w:color w:val="auto"/>
        </w:rPr>
      </w:pPr>
    </w:p>
    <w:p>
      <w:pPr>
        <w:ind w:left="1120" w:right="100" w:firstLine="368"/>
        <w:spacing w:after="0" w:line="311" w:lineRule="auto"/>
        <w:rPr>
          <w:sz w:val="20"/>
          <w:szCs w:val="20"/>
          <w:color w:val="auto"/>
        </w:rPr>
      </w:pPr>
      <w:r>
        <w:rPr>
          <w:rFonts w:ascii="Arial" w:cs="Arial" w:eastAsia="Arial" w:hAnsi="Arial"/>
          <w:sz w:val="13"/>
          <w:szCs w:val="13"/>
          <w:color w:val="auto"/>
        </w:rPr>
        <w:t>Each holder of preferred stock shall have the right to 10 votes for each share of Class B common stock into which the shares of preferred stock held by such holder could then be converted. In addition, so long as at least 30.0 million shares of preferred stock are outstanding, the holders of the preferred stock shall be entitled to elect one director of Dropbox. The holders of the shares of outstanding Class A common stock and Class B common stock representing at least a majority in voting power of the then-issued common stock shall be entitled to elect seven directors of Dropbox.</w:t>
      </w:r>
    </w:p>
    <w:p>
      <w:pPr>
        <w:spacing w:after="0" w:line="21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Conversion</w:t>
      </w:r>
    </w:p>
    <w:p>
      <w:pPr>
        <w:spacing w:after="0" w:line="98"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 xml:space="preserve">At the option of the holder thereof, each share of preferred stock is convertible into a number of shares of Class B common stock that results from dividing the applicable original issue price for such series by the applicable conversion price in effect on the date of conversion (the “Conversion Rate”). Each share of preferred stock will be automatically converted into shares of Class B common stock at the Conversion Rate at the time in effect for such series of preferred stock upon the earlier of (i) immediately prior to the closing of a firm commitment underwritten public offering of Dropbox’s common stock on an internationally recognized securities exchange or trading system pursuant to a registration statement under the Securities Act of 1933, as amended, with gross proceeds of not less than $35.0 million in the aggregate (a “Qualified IPO”), or (ii) the date specified by written consent or agreement of the holders of a majority of the outstanding preferred stock, voting together as a single class; </w:t>
      </w:r>
      <w:r>
        <w:rPr>
          <w:rFonts w:ascii="Arial" w:cs="Arial" w:eastAsia="Arial" w:hAnsi="Arial"/>
          <w:sz w:val="13"/>
          <w:szCs w:val="13"/>
          <w:i w:val="1"/>
          <w:iCs w:val="1"/>
          <w:color w:val="auto"/>
        </w:rPr>
        <w:t>provided</w:t>
      </w:r>
      <w:r>
        <w:rPr>
          <w:rFonts w:ascii="Arial" w:cs="Arial" w:eastAsia="Arial" w:hAnsi="Arial"/>
          <w:sz w:val="13"/>
          <w:szCs w:val="13"/>
          <w:color w:val="auto"/>
        </w:rPr>
        <w:t>, that other than pursuant to a Qualified IPO (x) so long as a majority of the shares of Series B convertible preferred stock originally issued remains outstanding, the consent of the holders of 70% of the shares of the Series B convertible preferred stock, voting together as a single class, is required to convert any shares of Series B convertible preferred stock into Class B common stock and (y) so long as a majority of the shares of Series C convertible preferred stock originally issued remains outstanding, the consent of the holders of a majority of the shares of the Series C convertible preferred stock, voting together as a single class, is required to convert any shares of Series C convertible preferred stock into Class B common stock.</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300"/>
          </w:cols>
          <w:pgMar w:left="240" w:top="408" w:right="135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incentive plans</w:t>
      </w:r>
    </w:p>
    <w:p>
      <w:pPr>
        <w:spacing w:after="0" w:line="98" w:lineRule="exact"/>
        <w:rPr>
          <w:sz w:val="20"/>
          <w:szCs w:val="20"/>
          <w:color w:val="auto"/>
        </w:rPr>
      </w:pPr>
    </w:p>
    <w:p>
      <w:pPr>
        <w:ind w:left="1120" w:right="40" w:firstLine="368"/>
        <w:spacing w:after="0" w:line="274" w:lineRule="auto"/>
        <w:rPr>
          <w:sz w:val="20"/>
          <w:szCs w:val="20"/>
          <w:color w:val="auto"/>
        </w:rPr>
      </w:pPr>
      <w:r>
        <w:rPr>
          <w:rFonts w:ascii="Arial" w:cs="Arial" w:eastAsia="Arial" w:hAnsi="Arial"/>
          <w:sz w:val="14"/>
          <w:szCs w:val="14"/>
          <w:color w:val="auto"/>
        </w:rPr>
        <w:t>Under the Company’s 2017 Equity Incentive Plan (the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RSAs are also granted under the Plan. The Plan will terminate 10 years after the later of (i) its adoption or (ii) the most recent stockholder-approved increase in the number of shares reserved under the Plan, unless terminated earlier by the Dropbox Board of Directors. This Plan was adopted on March 8, 2017, and replaced the Company’s 2008 Equity Incentive Plan (the “Prior Plan”). In August 2017, the Company increased the number of shares of common stock reserved for grant under the 2017 Plan by 6,666,666 shares. As of December 31, 2017, there were 59.9 million shares issued and outstanding under the Plan and the Prior Plan. Shares available for issuance under the Plans were 9.0 million as of December 31, 2017.</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and restricted stock activity for the Plans was as follows for the years ended December 31, 2015, 2016, and 2017:</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88"/>
              </w:rPr>
              <w:t>Options outstanding</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7"/>
              </w:rPr>
              <w:t>Restricted stock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color w:val="auto"/>
                <w:w w:val="92"/>
              </w:rPr>
              <w:t>Number of</w:t>
            </w: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2"/>
                <w:szCs w:val="12"/>
                <w:b w:val="1"/>
                <w:bCs w:val="1"/>
                <w:color w:val="auto"/>
                <w:w w:val="87"/>
              </w:rPr>
              <w:t>outstanding</w:t>
            </w: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jc w:val="center"/>
              <w:spacing w:after="0" w:line="100" w:lineRule="exact"/>
              <w:rPr>
                <w:sz w:val="20"/>
                <w:szCs w:val="20"/>
                <w:color w:val="auto"/>
              </w:rPr>
            </w:pPr>
            <w:r>
              <w:rPr>
                <w:rFonts w:ascii="Arial" w:cs="Arial" w:eastAsia="Arial" w:hAnsi="Arial"/>
                <w:sz w:val="11"/>
                <w:szCs w:val="11"/>
                <w:color w:val="auto"/>
                <w:w w:val="99"/>
              </w:rPr>
              <w:t>Weighted-</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83"/>
              </w:rPr>
              <w:t>shares</w:t>
            </w: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2"/>
                <w:szCs w:val="12"/>
                <w:color w:val="auto"/>
                <w:w w:val="92"/>
              </w:rPr>
              <w:t>Number of</w:t>
            </w:r>
          </w:p>
        </w:tc>
        <w:tc>
          <w:tcPr>
            <w:tcW w:w="900" w:type="dxa"/>
            <w:vAlign w:val="bottom"/>
            <w:gridSpan w:val="2"/>
          </w:tcPr>
          <w:p>
            <w:pPr>
              <w:ind w:left="140"/>
              <w:spacing w:after="0" w:line="124" w:lineRule="exact"/>
              <w:rPr>
                <w:sz w:val="20"/>
                <w:szCs w:val="20"/>
                <w:color w:val="auto"/>
              </w:rPr>
            </w:pPr>
            <w:r>
              <w:rPr>
                <w:rFonts w:ascii="Arial" w:cs="Arial" w:eastAsia="Arial" w:hAnsi="Arial"/>
                <w:sz w:val="12"/>
                <w:szCs w:val="12"/>
                <w:color w:val="auto"/>
              </w:rPr>
              <w:t>Weighted-</w:t>
            </w: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82"/>
              </w:rPr>
              <w:t>average</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20"/>
              <w:spacing w:after="0" w:line="124" w:lineRule="exact"/>
              <w:rPr>
                <w:sz w:val="20"/>
                <w:szCs w:val="20"/>
                <w:color w:val="auto"/>
              </w:rPr>
            </w:pPr>
            <w:r>
              <w:rPr>
                <w:rFonts w:ascii="Arial" w:cs="Arial" w:eastAsia="Arial" w:hAnsi="Arial"/>
                <w:sz w:val="12"/>
                <w:szCs w:val="12"/>
                <w:color w:val="auto"/>
                <w:w w:val="98"/>
              </w:rPr>
              <w:t>Weighted-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gridSpan w:val="3"/>
          </w:tcPr>
          <w:p>
            <w:pPr>
              <w:jc w:val="center"/>
              <w:ind w:left="26"/>
              <w:spacing w:after="0" w:line="124" w:lineRule="exact"/>
              <w:rPr>
                <w:sz w:val="20"/>
                <w:szCs w:val="20"/>
                <w:color w:val="auto"/>
              </w:rPr>
            </w:pPr>
            <w:r>
              <w:rPr>
                <w:rFonts w:ascii="Arial" w:cs="Arial" w:eastAsia="Arial" w:hAnsi="Arial"/>
                <w:sz w:val="12"/>
                <w:szCs w:val="12"/>
                <w:color w:val="auto"/>
                <w:w w:val="92"/>
              </w:rPr>
              <w:t>available for</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83"/>
              </w:rPr>
              <w:t>shares</w:t>
            </w:r>
          </w:p>
        </w:tc>
        <w:tc>
          <w:tcPr>
            <w:tcW w:w="900" w:type="dxa"/>
            <w:vAlign w:val="bottom"/>
            <w:gridSpan w:val="2"/>
          </w:tcPr>
          <w:p>
            <w:pPr>
              <w:jc w:val="center"/>
              <w:ind w:right="46"/>
              <w:spacing w:after="0" w:line="124" w:lineRule="exact"/>
              <w:rPr>
                <w:sz w:val="20"/>
                <w:szCs w:val="20"/>
                <w:color w:val="auto"/>
              </w:rPr>
            </w:pPr>
            <w:r>
              <w:rPr>
                <w:rFonts w:ascii="Arial" w:cs="Arial" w:eastAsia="Arial" w:hAnsi="Arial"/>
                <w:sz w:val="12"/>
                <w:szCs w:val="12"/>
                <w:color w:val="auto"/>
                <w:w w:val="87"/>
              </w:rPr>
              <w:t>average</w:t>
            </w: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91"/>
              </w:rPr>
              <w:t>remaining</w:t>
            </w:r>
          </w:p>
        </w:tc>
        <w:tc>
          <w:tcPr>
            <w:tcW w:w="20" w:type="dxa"/>
            <w:vAlign w:val="bottom"/>
          </w:tcPr>
          <w:p>
            <w:pPr>
              <w:spacing w:after="0"/>
              <w:rPr>
                <w:sz w:val="10"/>
                <w:szCs w:val="10"/>
                <w:color w:val="auto"/>
              </w:rPr>
            </w:pPr>
          </w:p>
        </w:tc>
        <w:tc>
          <w:tcPr>
            <w:tcW w:w="76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92"/>
              </w:rPr>
              <w:t>Number of</w:t>
            </w:r>
          </w:p>
        </w:tc>
        <w:tc>
          <w:tcPr>
            <w:tcW w:w="6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87"/>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88"/>
              </w:rPr>
              <w:t>issuance</w:t>
            </w:r>
          </w:p>
        </w:tc>
        <w:tc>
          <w:tcPr>
            <w:tcW w:w="8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0"/>
              </w:rPr>
              <w:t>outstanding</w:t>
            </w:r>
          </w:p>
        </w:tc>
        <w:tc>
          <w:tcPr>
            <w:tcW w:w="900" w:type="dxa"/>
            <w:vAlign w:val="bottom"/>
            <w:gridSpan w:val="2"/>
          </w:tcPr>
          <w:p>
            <w:pPr>
              <w:jc w:val="center"/>
              <w:ind w:right="66"/>
              <w:spacing w:after="0" w:line="124" w:lineRule="exact"/>
              <w:rPr>
                <w:sz w:val="20"/>
                <w:szCs w:val="20"/>
                <w:color w:val="auto"/>
              </w:rPr>
            </w:pPr>
            <w:r>
              <w:rPr>
                <w:rFonts w:ascii="Arial" w:cs="Arial" w:eastAsia="Arial" w:hAnsi="Arial"/>
                <w:sz w:val="12"/>
                <w:szCs w:val="12"/>
                <w:color w:val="auto"/>
                <w:w w:val="89"/>
              </w:rPr>
              <w:t>exercise</w:t>
            </w:r>
          </w:p>
        </w:tc>
        <w:tc>
          <w:tcPr>
            <w:tcW w:w="80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w w:val="88"/>
              </w:rPr>
              <w:t>contractual</w:t>
            </w:r>
          </w:p>
        </w:tc>
        <w:tc>
          <w:tcPr>
            <w:tcW w:w="20" w:type="dxa"/>
            <w:vAlign w:val="bottom"/>
          </w:tcPr>
          <w:p>
            <w:pPr>
              <w:spacing w:after="0"/>
              <w:rPr>
                <w:sz w:val="10"/>
                <w:szCs w:val="10"/>
                <w:color w:val="auto"/>
              </w:rPr>
            </w:pPr>
          </w:p>
        </w:tc>
        <w:tc>
          <w:tcPr>
            <w:tcW w:w="760" w:type="dxa"/>
            <w:vAlign w:val="bottom"/>
            <w:gridSpan w:val="2"/>
          </w:tcPr>
          <w:p>
            <w:pPr>
              <w:jc w:val="center"/>
              <w:ind w:right="220"/>
              <w:spacing w:after="0" w:line="124" w:lineRule="exact"/>
              <w:rPr>
                <w:sz w:val="20"/>
                <w:szCs w:val="20"/>
                <w:color w:val="auto"/>
              </w:rPr>
            </w:pPr>
            <w:r>
              <w:rPr>
                <w:rFonts w:ascii="Arial" w:cs="Arial" w:eastAsia="Arial" w:hAnsi="Arial"/>
                <w:sz w:val="12"/>
                <w:szCs w:val="12"/>
                <w:color w:val="auto"/>
                <w:w w:val="91"/>
              </w:rPr>
              <w:t>Plan</w:t>
            </w:r>
          </w:p>
        </w:tc>
        <w:tc>
          <w:tcPr>
            <w:tcW w:w="680" w:type="dxa"/>
            <w:vAlign w:val="bottom"/>
            <w:gridSpan w:val="3"/>
          </w:tcPr>
          <w:p>
            <w:pPr>
              <w:ind w:left="140"/>
              <w:spacing w:after="0" w:line="124" w:lineRule="exact"/>
              <w:rPr>
                <w:sz w:val="20"/>
                <w:szCs w:val="20"/>
                <w:color w:val="auto"/>
              </w:rPr>
            </w:pPr>
            <w:r>
              <w:rPr>
                <w:rFonts w:ascii="Arial" w:cs="Arial" w:eastAsia="Arial" w:hAnsi="Arial"/>
                <w:sz w:val="12"/>
                <w:szCs w:val="12"/>
                <w:color w:val="auto"/>
                <w:w w:val="96"/>
              </w:rPr>
              <w:t>grant date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90"/>
              </w:rPr>
              <w:t>under the</w:t>
            </w: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2"/>
                <w:szCs w:val="12"/>
                <w:color w:val="auto"/>
                <w:w w:val="86"/>
              </w:rPr>
              <w:t>under the</w:t>
            </w:r>
          </w:p>
        </w:tc>
        <w:tc>
          <w:tcPr>
            <w:tcW w:w="240" w:type="dxa"/>
            <w:vAlign w:val="bottom"/>
          </w:tcPr>
          <w:p>
            <w:pPr>
              <w:spacing w:after="0"/>
              <w:rPr>
                <w:sz w:val="10"/>
                <w:szCs w:val="10"/>
                <w:color w:val="auto"/>
              </w:rPr>
            </w:pPr>
          </w:p>
        </w:tc>
        <w:tc>
          <w:tcPr>
            <w:tcW w:w="660" w:type="dxa"/>
            <w:vAlign w:val="bottom"/>
          </w:tcPr>
          <w:p>
            <w:pPr>
              <w:jc w:val="center"/>
              <w:ind w:right="306"/>
              <w:spacing w:after="0" w:line="124" w:lineRule="exact"/>
              <w:rPr>
                <w:sz w:val="20"/>
                <w:szCs w:val="20"/>
                <w:color w:val="auto"/>
              </w:rPr>
            </w:pPr>
            <w:r>
              <w:rPr>
                <w:rFonts w:ascii="Arial" w:cs="Arial" w:eastAsia="Arial" w:hAnsi="Arial"/>
                <w:sz w:val="12"/>
                <w:szCs w:val="12"/>
                <w:color w:val="auto"/>
                <w:w w:val="92"/>
              </w:rPr>
              <w:t>price</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color w:val="auto"/>
                <w:w w:val="91"/>
              </w:rPr>
              <w:t>term</w:t>
            </w:r>
          </w:p>
        </w:tc>
        <w:tc>
          <w:tcPr>
            <w:tcW w:w="20" w:type="dxa"/>
            <w:vAlign w:val="bottom"/>
          </w:tcPr>
          <w:p>
            <w:pPr>
              <w:spacing w:after="0"/>
              <w:rPr>
                <w:sz w:val="10"/>
                <w:szCs w:val="10"/>
                <w:color w:val="auto"/>
              </w:rPr>
            </w:pPr>
          </w:p>
        </w:tc>
        <w:tc>
          <w:tcPr>
            <w:tcW w:w="760" w:type="dxa"/>
            <w:vAlign w:val="bottom"/>
            <w:gridSpan w:val="2"/>
          </w:tcPr>
          <w:p>
            <w:pPr>
              <w:jc w:val="center"/>
              <w:ind w:right="180"/>
              <w:spacing w:after="0" w:line="124" w:lineRule="exact"/>
              <w:rPr>
                <w:sz w:val="20"/>
                <w:szCs w:val="20"/>
                <w:color w:val="auto"/>
              </w:rPr>
            </w:pPr>
            <w:r>
              <w:rPr>
                <w:rFonts w:ascii="Arial" w:cs="Arial" w:eastAsia="Arial" w:hAnsi="Arial"/>
                <w:sz w:val="12"/>
                <w:szCs w:val="12"/>
                <w:color w:val="auto"/>
                <w:w w:val="83"/>
              </w:rPr>
              <w:t>shares</w:t>
            </w:r>
          </w:p>
        </w:tc>
        <w:tc>
          <w:tcPr>
            <w:tcW w:w="6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4"/>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Plans</w:t>
            </w:r>
          </w:p>
        </w:tc>
        <w:tc>
          <w:tcPr>
            <w:tcW w:w="14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Plans</w:t>
            </w:r>
          </w:p>
        </w:tc>
        <w:tc>
          <w:tcPr>
            <w:tcW w:w="900" w:type="dxa"/>
            <w:vAlign w:val="bottom"/>
            <w:gridSpan w:val="2"/>
          </w:tcPr>
          <w:p>
            <w:pPr>
              <w:jc w:val="center"/>
              <w:ind w:right="66"/>
              <w:spacing w:after="0"/>
              <w:rPr>
                <w:sz w:val="20"/>
                <w:szCs w:val="20"/>
                <w:color w:val="auto"/>
              </w:rPr>
            </w:pPr>
            <w:r>
              <w:rPr>
                <w:rFonts w:ascii="Arial" w:cs="Arial" w:eastAsia="Arial" w:hAnsi="Arial"/>
                <w:sz w:val="12"/>
                <w:szCs w:val="12"/>
                <w:color w:val="auto"/>
                <w:w w:val="86"/>
              </w:rPr>
              <w:t>per share</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(In years)</w:t>
            </w:r>
          </w:p>
        </w:tc>
        <w:tc>
          <w:tcPr>
            <w:tcW w:w="780" w:type="dxa"/>
            <w:vAlign w:val="bottom"/>
            <w:gridSpan w:val="3"/>
          </w:tcPr>
          <w:p>
            <w:pPr>
              <w:jc w:val="center"/>
              <w:ind w:right="180"/>
              <w:spacing w:after="0"/>
              <w:rPr>
                <w:sz w:val="20"/>
                <w:szCs w:val="20"/>
                <w:color w:val="auto"/>
              </w:rPr>
            </w:pPr>
            <w:r>
              <w:rPr>
                <w:rFonts w:ascii="Arial" w:cs="Arial" w:eastAsia="Arial" w:hAnsi="Arial"/>
                <w:sz w:val="12"/>
                <w:szCs w:val="12"/>
                <w:color w:val="auto"/>
                <w:w w:val="90"/>
              </w:rPr>
              <w:t>outstanding</w:t>
            </w:r>
          </w:p>
        </w:tc>
        <w:tc>
          <w:tcPr>
            <w:tcW w:w="680" w:type="dxa"/>
            <w:vAlign w:val="bottom"/>
            <w:gridSpan w:val="3"/>
          </w:tcPr>
          <w:p>
            <w:pPr>
              <w:jc w:val="center"/>
              <w:ind w:left="12"/>
              <w:spacing w:after="0"/>
              <w:rPr>
                <w:sz w:val="20"/>
                <w:szCs w:val="20"/>
                <w:color w:val="auto"/>
              </w:rPr>
            </w:pPr>
            <w:r>
              <w:rPr>
                <w:rFonts w:ascii="Arial" w:cs="Arial" w:eastAsia="Arial" w:hAnsi="Arial"/>
                <w:sz w:val="12"/>
                <w:szCs w:val="12"/>
                <w:color w:val="auto"/>
                <w:w w:val="86"/>
              </w:rPr>
              <w:t>per share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gridSpan w:val="6"/>
          </w:tcPr>
          <w:p>
            <w:pPr>
              <w:ind w:left="520"/>
              <w:spacing w:after="0" w:line="115" w:lineRule="exact"/>
              <w:rPr>
                <w:sz w:val="20"/>
                <w:szCs w:val="20"/>
                <w:color w:val="auto"/>
              </w:rPr>
            </w:pPr>
            <w:r>
              <w:rPr>
                <w:rFonts w:ascii="Arial" w:cs="Arial" w:eastAsia="Arial" w:hAnsi="Arial"/>
                <w:sz w:val="12"/>
                <w:szCs w:val="12"/>
                <w:i w:val="1"/>
                <w:iCs w:val="1"/>
                <w:color w:val="auto"/>
                <w:w w:val="91"/>
              </w:rPr>
              <w:t>(In millions, except per share amounts)</w:t>
            </w: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15.92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13.70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Additional shares authorized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granted</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25.23</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(21.0)</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22.74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and RSAs exercised</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(0.4)</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6.77</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(1.7)</w:t>
            </w:r>
          </w:p>
        </w:tc>
        <w:tc>
          <w:tcPr>
            <w:tcW w:w="240" w:type="dxa"/>
            <w:vAlign w:val="bottom"/>
          </w:tcPr>
          <w:p>
            <w:pPr>
              <w:spacing w:after="0"/>
              <w:rPr>
                <w:sz w:val="15"/>
                <w:szCs w:val="15"/>
                <w:color w:val="auto"/>
              </w:rPr>
            </w:pP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16.31</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Repurchased under the Plan</w:t>
            </w:r>
          </w:p>
        </w:tc>
        <w:tc>
          <w:tcPr>
            <w:tcW w:w="2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5"/>
                <w:szCs w:val="15"/>
                <w:color w:val="auto"/>
              </w:rPr>
              <w:t>Balance at December 31, 2015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14.6</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17.51</w:t>
            </w:r>
          </w:p>
        </w:tc>
        <w:tc>
          <w:tcPr>
            <w:tcW w:w="560" w:type="dxa"/>
            <w:vAlign w:val="bottom"/>
          </w:tcPr>
          <w:p>
            <w:pPr>
              <w:jc w:val="right"/>
              <w:spacing w:after="0"/>
              <w:rPr>
                <w:sz w:val="20"/>
                <w:szCs w:val="20"/>
                <w:color w:val="auto"/>
              </w:rPr>
            </w:pPr>
            <w:r>
              <w:rPr>
                <w:rFonts w:ascii="Arial" w:cs="Arial" w:eastAsia="Arial" w:hAnsi="Arial"/>
                <w:sz w:val="15"/>
                <w:szCs w:val="15"/>
                <w:color w:val="auto"/>
              </w:rPr>
              <w:t>8.1</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(8.0)</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22.04</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(6.1)</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20.06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(16.6)</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16.6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2016</w:t>
            </w:r>
          </w:p>
        </w:tc>
        <w:tc>
          <w:tcPr>
            <w:tcW w:w="2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10.68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16.41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Additional shares authorized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exercised and RSUs released</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6.00</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(14.6)</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17.12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5"/>
                <w:szCs w:val="15"/>
                <w:color w:val="auto"/>
              </w:rPr>
            </w:pP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17.44</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(6.0)</w:t>
            </w: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5"/>
              </w:rPr>
              <w:t>Shares repurchased for tax withholdings on release of restricted</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(21.5)</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15.70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2017</w:t>
            </w:r>
          </w:p>
        </w:tc>
        <w:tc>
          <w:tcPr>
            <w:tcW w:w="280" w:type="dxa"/>
            <w:vAlign w:val="bottom"/>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10.52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15.60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Vested at December 31, 2017</w:t>
            </w: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ind w:right="186"/>
              <w:spacing w:after="0"/>
              <w:rPr>
                <w:sz w:val="20"/>
                <w:szCs w:val="20"/>
                <w:color w:val="auto"/>
              </w:rPr>
            </w:pPr>
            <w:r>
              <w:rPr>
                <w:rFonts w:ascii="Arial" w:cs="Arial" w:eastAsia="Arial" w:hAnsi="Arial"/>
                <w:sz w:val="15"/>
                <w:szCs w:val="15"/>
                <w:color w:val="auto"/>
              </w:rPr>
              <w:t>10.11</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5"/>
        </w:trPr>
        <w:tc>
          <w:tcPr>
            <w:tcW w:w="4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5"/>
                <w:szCs w:val="15"/>
                <w:color w:val="auto"/>
              </w:rPr>
              <w:t>4.8</w:t>
            </w:r>
          </w:p>
        </w:tc>
        <w:tc>
          <w:tcPr>
            <w:tcW w:w="1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60"/>
              <w:spacing w:after="0" w:line="165" w:lineRule="exact"/>
              <w:rPr>
                <w:sz w:val="20"/>
                <w:szCs w:val="20"/>
                <w:color w:val="auto"/>
              </w:rPr>
            </w:pPr>
            <w:r>
              <w:rPr>
                <w:rFonts w:ascii="Arial" w:cs="Arial" w:eastAsia="Arial" w:hAnsi="Arial"/>
                <w:sz w:val="15"/>
                <w:szCs w:val="15"/>
                <w:color w:val="auto"/>
              </w:rPr>
              <w:t>—</w:t>
            </w:r>
          </w:p>
        </w:tc>
        <w:tc>
          <w:tcPr>
            <w:tcW w:w="2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Unvested at December 31, 2017</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line="167" w:lineRule="exact"/>
              <w:rPr>
                <w:sz w:val="20"/>
                <w:szCs w:val="20"/>
                <w:color w:val="auto"/>
              </w:rPr>
            </w:pPr>
            <w:r>
              <w:rPr>
                <w:rFonts w:ascii="Arial" w:cs="Arial" w:eastAsia="Arial" w:hAnsi="Arial"/>
                <w:sz w:val="15"/>
                <w:szCs w:val="15"/>
                <w:color w:val="auto"/>
              </w:rPr>
              <w:t>21.11</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ind w:left="120"/>
              <w:spacing w:after="0" w:line="167"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0"/>
              </w:rPr>
              <w:t>15.60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Two-tier RSUs are included in the unvested share counts in the table above as the Performance Vesting Condition was not probable.</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320"/>
          </w:cols>
          <w:pgMar w:left="240" w:top="408" w:right="133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The following table summarizes information about the pre-tax intrinsic value of options exercised and the weighted-average grant date fair value per share of options granted during the years ended December 31, 2015, 2016, and 2017:</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Year ended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6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2"/>
                <w:szCs w:val="12"/>
                <w:b w:val="1"/>
                <w:bCs w:val="1"/>
                <w:color w:val="auto"/>
                <w:w w:val="89"/>
              </w:rPr>
              <w:t>December 31,</w:t>
            </w: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w w:val="82"/>
              </w:rPr>
              <w:t>2015</w:t>
            </w:r>
          </w:p>
        </w:tc>
        <w:tc>
          <w:tcPr>
            <w:tcW w:w="52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0"/>
                <w:szCs w:val="10"/>
                <w:color w:val="auto"/>
              </w:rPr>
            </w:pPr>
          </w:p>
        </w:tc>
        <w:tc>
          <w:tcPr>
            <w:tcW w:w="36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61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Intrinsic value of options exercised</w:t>
            </w:r>
          </w:p>
        </w:tc>
        <w:tc>
          <w:tcPr>
            <w:tcW w:w="1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83"/>
              </w:rPr>
              <w:t>$ 1.2</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6100" w:type="dxa"/>
            <w:vAlign w:val="bottom"/>
          </w:tcPr>
          <w:p>
            <w:pPr>
              <w:spacing w:after="0"/>
              <w:rPr>
                <w:sz w:val="20"/>
                <w:szCs w:val="20"/>
                <w:color w:val="auto"/>
              </w:rPr>
            </w:pPr>
            <w:r>
              <w:rPr>
                <w:rFonts w:ascii="Arial" w:cs="Arial" w:eastAsia="Arial" w:hAnsi="Arial"/>
                <w:sz w:val="15"/>
                <w:szCs w:val="15"/>
                <w:color w:val="auto"/>
              </w:rPr>
              <w:t>Weighted-average grant date fair value per share of stock options granted</w:t>
            </w:r>
            <w:r>
              <w:rPr>
                <w:rFonts w:ascii="Arial" w:cs="Arial" w:eastAsia="Arial" w:hAnsi="Arial"/>
                <w:sz w:val="12"/>
                <w:szCs w:val="12"/>
                <w:color w:val="auto"/>
              </w:rPr>
              <w:t>(1)</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85"/>
              </w:rPr>
              <w:t>12.27</w:t>
            </w:r>
          </w:p>
        </w:tc>
        <w:tc>
          <w:tcPr>
            <w:tcW w:w="70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400" w:type="dxa"/>
            <w:vAlign w:val="bottom"/>
            <w:gridSpan w:val="3"/>
          </w:tcPr>
          <w:p>
            <w:pPr>
              <w:ind w:left="40"/>
              <w:spacing w:after="0"/>
              <w:rPr>
                <w:sz w:val="20"/>
                <w:szCs w:val="20"/>
                <w:color w:val="auto"/>
              </w:rPr>
            </w:pPr>
            <w:r>
              <w:rPr>
                <w:rFonts w:ascii="Arial" w:cs="Arial" w:eastAsia="Arial" w:hAnsi="Arial"/>
                <w:sz w:val="15"/>
                <w:szCs w:val="15"/>
                <w:color w:val="auto"/>
              </w:rPr>
              <w:t>$—</w:t>
            </w:r>
          </w:p>
        </w:tc>
      </w:tr>
    </w:tbl>
    <w:p>
      <w:pPr>
        <w:spacing w:after="0" w:line="183" w:lineRule="exact"/>
        <w:rPr>
          <w:sz w:val="20"/>
          <w:szCs w:val="20"/>
          <w:color w:val="auto"/>
        </w:rPr>
      </w:pPr>
    </w:p>
    <w:p>
      <w:pPr>
        <w:ind w:left="1480" w:right="20" w:hanging="368"/>
        <w:spacing w:after="0" w:line="275" w:lineRule="auto"/>
        <w:tabs>
          <w:tab w:leader="none" w:pos="148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The weighted-average grant date fair value per share of stock options granted is calculated, as of the stock option grant date, using the BSM option pricing model. The Company did not grant stock options during the years ended December 31, 2016 and 2017.</w:t>
      </w:r>
    </w:p>
    <w:p>
      <w:pPr>
        <w:spacing w:after="0" w:line="146"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As of December 31, 2017, unamortized stock-based compensation expense related to unvested stock options, restricted stock awards (excluding the Co-Founder Grants), and one-tier RSUs was $386.8 million. The weighted-average period over which such compensation expense will be recognized if the requisite service is provided is approximately 2.8 years as of December 31, 2017.</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As of December 31, 2017, all compensation expense related to the Company’s two-tier RSUs remained unrecognized because the Performance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Vesting Condition was not satisfied. Approximately 26.1 million two-tier RSUs had met their service-based vesting condition as of December 31, 2017,</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but not the Performance Vesting Condition. If the Performance Vesting Condition had been satisfied on December 31, 2017, the Company would have</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recorded $415.6 million of stock-based compensation expense using the accelerated attribution method related to the two-tier RSUs. As of</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December 31, 2017, approximately 2.1 million two-tier RSUs had not met their service-based vesting condition. If the Performance Vesting Condition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had been satisfied on these two-tier RSUs as of December 31, 2017, unamortized stock-based compensation expense of $5.6 million would be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recognized over a weighted-average period of approximately one year if the requisite service is provided.</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Co-Founder Grants</w:t>
      </w:r>
    </w:p>
    <w:p>
      <w:pPr>
        <w:spacing w:after="0" w:line="98"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within these financial statements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12 as the right to the cumulative declared dividends is forfeitable if the service condition is not met.</w:t>
      </w:r>
    </w:p>
    <w:p>
      <w:pPr>
        <w:spacing w:after="0" w:line="162" w:lineRule="exact"/>
        <w:rPr>
          <w:sz w:val="20"/>
          <w:szCs w:val="20"/>
          <w:color w:val="auto"/>
        </w:rPr>
      </w:pPr>
    </w:p>
    <w:p>
      <w:pPr>
        <w:ind w:left="1120" w:right="80" w:firstLine="368"/>
        <w:spacing w:after="0" w:line="276" w:lineRule="auto"/>
        <w:rPr>
          <w:sz w:val="20"/>
          <w:szCs w:val="20"/>
          <w:color w:val="auto"/>
        </w:rPr>
      </w:pPr>
      <w:r>
        <w:rPr>
          <w:rFonts w:ascii="Arial" w:cs="Arial" w:eastAsia="Arial" w:hAnsi="Arial"/>
          <w:sz w:val="14"/>
          <w:szCs w:val="14"/>
          <w:color w:val="auto"/>
        </w:rPr>
        <w:t>The Co-Founder Grants are eligible to vest over the ten-year period following the closing of this offering. The Co-Founder Grants comprise nine tranches that are eligible to vest based on the achievement of stock price goals, or, each, a Stock Price Target, measured over a consecutive thirty-day trading period during the Performance Period. The Performance Period begins on the first trading day following the later of (a) the expiration of the lock-up period following the first date the Company’s shares are traded on an established national securities exchange or automated quotation system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320"/>
          </w:cols>
          <w:pgMar w:left="240" w:top="408" w:right="133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23" w:lineRule="exact"/>
        <w:rPr>
          <w:sz w:val="20"/>
          <w:szCs w:val="20"/>
          <w:color w:val="auto"/>
        </w:rPr>
      </w:pPr>
    </w:p>
    <w:p>
      <w:pPr>
        <w:jc w:val="both"/>
        <w:ind w:left="1120" w:firstLine="368"/>
        <w:spacing w:after="0" w:line="290" w:lineRule="auto"/>
        <w:rPr>
          <w:sz w:val="20"/>
          <w:szCs w:val="20"/>
          <w:color w:val="auto"/>
        </w:rPr>
      </w:pPr>
      <w:r>
        <w:rPr>
          <w:rFonts w:ascii="Arial" w:cs="Arial" w:eastAsia="Arial" w:hAnsi="Arial"/>
          <w:sz w:val="14"/>
          <w:szCs w:val="14"/>
          <w:color w:val="auto"/>
        </w:rPr>
        <w:t>The Co-Founder Grants contain an implied performance-based vesting condition satisfied upon the IPO Date, because no shares subject to the Co-Founder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38"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Award modifications</w:t>
      </w:r>
    </w:p>
    <w:p>
      <w:pPr>
        <w:spacing w:after="0" w:line="98" w:lineRule="exact"/>
        <w:rPr>
          <w:sz w:val="20"/>
          <w:szCs w:val="20"/>
          <w:color w:val="auto"/>
        </w:rPr>
      </w:pPr>
    </w:p>
    <w:p>
      <w:pPr>
        <w:ind w:left="1120" w:right="100" w:firstLine="368"/>
        <w:spacing w:after="0" w:line="297" w:lineRule="auto"/>
        <w:rPr>
          <w:sz w:val="20"/>
          <w:szCs w:val="20"/>
          <w:color w:val="auto"/>
        </w:rPr>
      </w:pPr>
      <w:r>
        <w:rPr>
          <w:rFonts w:ascii="Arial" w:cs="Arial" w:eastAsia="Arial" w:hAnsi="Arial"/>
          <w:sz w:val="13"/>
          <w:szCs w:val="13"/>
          <w:color w:val="auto"/>
        </w:rPr>
        <w:t>During the year ended December 31, 2016, the Company’s Board of Directors voted to approve the exchange of stock options previously granted to an executive officer under the Plan for one-tier RSUs. In total, options to purchase 4.3 million shares of common stock were exchanged for</w:t>
      </w:r>
    </w:p>
    <w:p>
      <w:pPr>
        <w:ind w:left="1120" w:right="180"/>
        <w:spacing w:after="0" w:line="253" w:lineRule="auto"/>
        <w:rPr>
          <w:sz w:val="20"/>
          <w:szCs w:val="20"/>
          <w:color w:val="auto"/>
        </w:rPr>
      </w:pPr>
      <w:r>
        <w:rPr>
          <w:rFonts w:ascii="Arial" w:cs="Arial" w:eastAsia="Arial" w:hAnsi="Arial"/>
          <w:sz w:val="15"/>
          <w:szCs w:val="15"/>
          <w:color w:val="auto"/>
        </w:rPr>
        <w:t>2.2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The Company will recognize approximately $2.4 million in stock-based compensation expense per quarter related to these awards. As of December 31, 2017, the total unamortized expense relating to these awards was $2.4 million.</w:t>
      </w:r>
    </w:p>
    <w:p>
      <w:pPr>
        <w:spacing w:after="0" w:line="164" w:lineRule="exact"/>
        <w:rPr>
          <w:sz w:val="20"/>
          <w:szCs w:val="20"/>
          <w:color w:val="auto"/>
        </w:rPr>
      </w:pPr>
    </w:p>
    <w:p>
      <w:pPr>
        <w:ind w:left="1120" w:right="140" w:firstLine="368"/>
        <w:spacing w:after="0" w:line="277" w:lineRule="auto"/>
        <w:rPr>
          <w:sz w:val="20"/>
          <w:szCs w:val="20"/>
          <w:color w:val="auto"/>
        </w:rPr>
      </w:pPr>
      <w:r>
        <w:rPr>
          <w:rFonts w:ascii="Arial" w:cs="Arial" w:eastAsia="Arial" w:hAnsi="Arial"/>
          <w:sz w:val="14"/>
          <w:szCs w:val="14"/>
          <w:color w:val="auto"/>
        </w:rPr>
        <w:t>Additionally, during the year ended December 31, 2016, the Board of Directors voted to approve a continuation of vesting upon change in employment status clause for an executive officer who had previously provided services to the Company. Under this clause, 0.4 million RSUs previously granted to the former executive officer will continue to vest for a pre-determined period of time. The continuation of vesting was accounted for as a modification of the terms of the original award. As a result, the Company recognized an incremental $4.2 million of stock-based compensation expense. An additional $1.5 million of stock-based compensation expense may be recognized in future periods for the former executive officers’ two-tier RSUs if the initial qualifying liquidity event defined under the award agreement occurs.</w:t>
      </w:r>
    </w:p>
    <w:p>
      <w:pPr>
        <w:spacing w:after="0" w:line="148"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During the year ended December 31, 2017, the Company’s Board of Directors voted to approve a modification of vesting schedules for certain unvested one-tier and two-tier RSUs to align the vesting schedules for all RSUs to vest once per quarter. As a result of this modification, the Company’s unamortized stock-based compensation expense related to one-tier RSUs increased by $3.2 million, which will be recognized over a weighted-average period of 2.8 years if and when the awards vest. The total unamortized stock-based compensation expense related to two-tier RSUs decreased by $9.5 million. The unamortized amount will be recognized over a period of 0.9 years if and when the awards vest.</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320"/>
          </w:cols>
          <w:pgMar w:left="240" w:top="408" w:right="133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12. Net Loss Per Share</w:t>
      </w:r>
    </w:p>
    <w:p>
      <w:pPr>
        <w:spacing w:after="0" w:line="102"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2"/>
              </w:rPr>
              <w:t>2015</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2"/>
              </w:rPr>
              <w:t>2017</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4"/>
          </w:tcPr>
          <w:p>
            <w:pPr>
              <w:jc w:val="center"/>
              <w:ind w:right="80"/>
              <w:spacing w:after="0" w:line="115" w:lineRule="exact"/>
              <w:rPr>
                <w:sz w:val="20"/>
                <w:szCs w:val="20"/>
                <w:color w:val="auto"/>
              </w:rPr>
            </w:pPr>
            <w:r>
              <w:rPr>
                <w:rFonts w:ascii="Arial" w:cs="Arial" w:eastAsia="Arial" w:hAnsi="Arial"/>
                <w:sz w:val="12"/>
                <w:szCs w:val="12"/>
                <w:i w:val="1"/>
                <w:iCs w:val="1"/>
                <w:color w:val="auto"/>
                <w:w w:val="90"/>
              </w:rPr>
              <w:t>(In millions, except per share amounts)</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580" w:type="dxa"/>
            <w:vAlign w:val="bottom"/>
            <w:gridSpan w:val="3"/>
          </w:tcPr>
          <w:p>
            <w:pPr>
              <w:jc w:val="right"/>
              <w:ind w:right="160"/>
              <w:spacing w:after="0" w:line="115" w:lineRule="exact"/>
              <w:rPr>
                <w:sz w:val="20"/>
                <w:szCs w:val="20"/>
                <w:color w:val="auto"/>
              </w:rPr>
            </w:pPr>
            <w:r>
              <w:rPr>
                <w:rFonts w:ascii="Arial" w:cs="Arial" w:eastAsia="Arial" w:hAnsi="Arial"/>
                <w:sz w:val="12"/>
                <w:szCs w:val="12"/>
                <w:color w:val="auto"/>
                <w:w w:val="96"/>
              </w:rPr>
              <w:t>Class B</w:t>
            </w:r>
          </w:p>
        </w:tc>
        <w:tc>
          <w:tcPr>
            <w:tcW w:w="16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660" w:type="dxa"/>
            <w:vAlign w:val="bottom"/>
            <w:gridSpan w:val="3"/>
          </w:tcPr>
          <w:p>
            <w:pPr>
              <w:jc w:val="right"/>
              <w:ind w:right="240"/>
              <w:spacing w:after="0" w:line="115" w:lineRule="exact"/>
              <w:rPr>
                <w:sz w:val="20"/>
                <w:szCs w:val="20"/>
                <w:color w:val="auto"/>
              </w:rPr>
            </w:pPr>
            <w:r>
              <w:rPr>
                <w:rFonts w:ascii="Arial" w:cs="Arial" w:eastAsia="Arial" w:hAnsi="Arial"/>
                <w:sz w:val="12"/>
                <w:szCs w:val="12"/>
                <w:color w:val="auto"/>
                <w:w w:val="96"/>
              </w:rPr>
              <w:t>Class B</w:t>
            </w:r>
          </w:p>
        </w:tc>
        <w:tc>
          <w:tcPr>
            <w:tcW w:w="10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480" w:type="dxa"/>
            <w:vAlign w:val="bottom"/>
            <w:gridSpan w:val="2"/>
          </w:tcPr>
          <w:p>
            <w:pPr>
              <w:jc w:val="right"/>
              <w:spacing w:after="0" w:line="115" w:lineRule="exact"/>
              <w:rPr>
                <w:sz w:val="20"/>
                <w:szCs w:val="20"/>
                <w:color w:val="auto"/>
              </w:rPr>
            </w:pPr>
            <w:r>
              <w:rPr>
                <w:rFonts w:ascii="Arial" w:cs="Arial" w:eastAsia="Arial" w:hAnsi="Arial"/>
                <w:sz w:val="12"/>
                <w:szCs w:val="12"/>
                <w:color w:val="auto"/>
                <w:w w:val="96"/>
              </w:rPr>
              <w:t>Class B</w:t>
            </w:r>
          </w:p>
        </w:tc>
        <w:tc>
          <w:tcPr>
            <w:tcW w:w="80" w:type="dxa"/>
            <w:vAlign w:val="bottom"/>
          </w:tcPr>
          <w:p>
            <w:pPr>
              <w:spacing w:after="0"/>
              <w:rPr>
                <w:sz w:val="10"/>
                <w:szCs w:val="10"/>
                <w:color w:val="auto"/>
              </w:rPr>
            </w:pPr>
          </w:p>
        </w:tc>
      </w:tr>
      <w:tr>
        <w:trPr>
          <w:trHeight w:val="160"/>
        </w:trPr>
        <w:tc>
          <w:tcPr>
            <w:tcW w:w="50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Numerator:</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80"/>
        </w:trPr>
        <w:tc>
          <w:tcPr>
            <w:tcW w:w="504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(9.7)</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(316.2)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(204.1)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(108.1)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0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Denominator:</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0"/>
        </w:trPr>
        <w:tc>
          <w:tcPr>
            <w:tcW w:w="5040" w:type="dxa"/>
            <w:vAlign w:val="bottom"/>
          </w:tcPr>
          <w:p>
            <w:pPr>
              <w:spacing w:after="0" w:line="170" w:lineRule="exact"/>
              <w:rPr>
                <w:sz w:val="20"/>
                <w:szCs w:val="20"/>
                <w:color w:val="auto"/>
              </w:rPr>
            </w:pPr>
            <w:r>
              <w:rPr>
                <w:rFonts w:ascii="Arial" w:cs="Arial" w:eastAsia="Arial" w:hAnsi="Arial"/>
                <w:sz w:val="15"/>
                <w:szCs w:val="15"/>
                <w:color w:val="auto"/>
                <w:w w:val="90"/>
              </w:rPr>
              <w:t>Weighted-average number of common shares outstanding used in computing basic</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5040" w:type="dxa"/>
            <w:vAlign w:val="bottom"/>
          </w:tcPr>
          <w:p>
            <w:pPr>
              <w:ind w:left="140"/>
              <w:spacing w:after="0"/>
              <w:rPr>
                <w:sz w:val="20"/>
                <w:szCs w:val="20"/>
                <w:color w:val="auto"/>
              </w:rPr>
            </w:pPr>
            <w:r>
              <w:rPr>
                <w:rFonts w:ascii="Arial" w:cs="Arial" w:eastAsia="Arial" w:hAnsi="Arial"/>
                <w:sz w:val="15"/>
                <w:szCs w:val="15"/>
                <w:color w:val="auto"/>
              </w:rPr>
              <w:t>and diluted net loss per common share</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189.6</w:t>
            </w:r>
          </w:p>
        </w:tc>
        <w:tc>
          <w:tcPr>
            <w:tcW w:w="80" w:type="dxa"/>
            <w:vAlign w:val="bottom"/>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0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common share, basic and diluted</w:t>
            </w:r>
          </w:p>
        </w:tc>
        <w:tc>
          <w:tcPr>
            <w:tcW w:w="18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(1.77)</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5"/>
                <w:szCs w:val="15"/>
                <w:u w:val="single" w:color="auto"/>
                <w:color w:val="auto"/>
                <w:w w:val="71"/>
              </w:rPr>
              <w:t>$</w:t>
            </w:r>
          </w:p>
        </w:tc>
        <w:tc>
          <w:tcPr>
            <w:tcW w:w="36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86"/>
              </w:rPr>
              <w:t>(1.11)</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(1.11)</w:t>
            </w:r>
          </w:p>
        </w:tc>
        <w:tc>
          <w:tcPr>
            <w:tcW w:w="16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(0.57)</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were as follows: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920" w:type="dxa"/>
            <w:vAlign w:val="bottom"/>
          </w:tcPr>
          <w:p>
            <w:pPr>
              <w:spacing w:after="0"/>
              <w:rPr>
                <w:sz w:val="12"/>
                <w:szCs w:val="12"/>
                <w:color w:val="auto"/>
              </w:rPr>
            </w:pPr>
          </w:p>
        </w:tc>
        <w:tc>
          <w:tcPr>
            <w:tcW w:w="1820" w:type="dxa"/>
            <w:vAlign w:val="bottom"/>
            <w:tcBorders>
              <w:bottom w:val="single" w:sz="8" w:color="auto"/>
            </w:tcBorders>
            <w:gridSpan w:val="5"/>
          </w:tcPr>
          <w:p>
            <w:pPr>
              <w:jc w:val="center"/>
              <w:ind w:left="329"/>
              <w:spacing w:after="0"/>
              <w:rPr>
                <w:sz w:val="20"/>
                <w:szCs w:val="20"/>
                <w:color w:val="auto"/>
              </w:rPr>
            </w:pPr>
            <w:r>
              <w:rPr>
                <w:rFonts w:ascii="Arial" w:cs="Arial" w:eastAsia="Arial" w:hAnsi="Arial"/>
                <w:sz w:val="12"/>
                <w:szCs w:val="12"/>
                <w:b w:val="1"/>
                <w:bCs w:val="1"/>
                <w:color w:val="auto"/>
                <w:w w:val="88"/>
              </w:rPr>
              <w:t>Year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920" w:type="dxa"/>
            <w:vAlign w:val="bottom"/>
          </w:tcPr>
          <w:p>
            <w:pPr>
              <w:spacing w:after="0"/>
              <w:rPr>
                <w:sz w:val="10"/>
                <w:szCs w:val="10"/>
                <w:color w:val="auto"/>
              </w:rPr>
            </w:pPr>
          </w:p>
        </w:tc>
        <w:tc>
          <w:tcPr>
            <w:tcW w:w="48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rPr>
              <w:t>2015</w:t>
            </w:r>
          </w:p>
        </w:tc>
        <w:tc>
          <w:tcPr>
            <w:tcW w:w="880" w:type="dxa"/>
            <w:vAlign w:val="bottom"/>
            <w:tcBorders>
              <w:bottom w:val="single" w:sz="8" w:color="auto"/>
            </w:tcBorders>
            <w:gridSpan w:val="2"/>
          </w:tcPr>
          <w:p>
            <w:pPr>
              <w:jc w:val="center"/>
              <w:ind w:left="290"/>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0"/>
                <w:szCs w:val="10"/>
                <w:color w:val="auto"/>
              </w:rPr>
            </w:pPr>
          </w:p>
        </w:tc>
      </w:tr>
      <w:tr>
        <w:trPr>
          <w:trHeight w:val="127"/>
        </w:trPr>
        <w:tc>
          <w:tcPr>
            <w:tcW w:w="6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jc w:val="center"/>
              <w:ind w:right="80"/>
              <w:spacing w:after="0" w:line="127" w:lineRule="exact"/>
              <w:rPr>
                <w:sz w:val="20"/>
                <w:szCs w:val="20"/>
                <w:color w:val="auto"/>
              </w:rPr>
            </w:pPr>
            <w:r>
              <w:rPr>
                <w:rFonts w:ascii="Arial" w:cs="Arial" w:eastAsia="Arial" w:hAnsi="Arial"/>
                <w:sz w:val="12"/>
                <w:szCs w:val="12"/>
                <w:i w:val="1"/>
                <w:iCs w:val="1"/>
                <w:color w:val="auto"/>
                <w:w w:val="92"/>
              </w:rPr>
              <w:t>(Shares in millions)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Convertible preferred stock</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4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Arial" w:cs="Arial" w:eastAsia="Arial" w:hAnsi="Arial"/>
                <w:sz w:val="15"/>
                <w:szCs w:val="15"/>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5"/>
                <w:szCs w:val="15"/>
                <w:color w:val="auto"/>
              </w:rPr>
              <w:t>34.1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47.9</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52.7</w:t>
            </w:r>
          </w:p>
        </w:tc>
        <w:tc>
          <w:tcPr>
            <w:tcW w:w="4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Options to purchase shares of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Arial" w:cs="Arial" w:eastAsia="Arial" w:hAnsi="Arial"/>
                <w:sz w:val="15"/>
                <w:szCs w:val="15"/>
                <w:color w:val="auto"/>
              </w:rPr>
              <w:t>Co-Founder Grants</w:t>
            </w:r>
            <w:r>
              <w:rPr>
                <w:rFonts w:ascii="Arial" w:cs="Arial" w:eastAsia="Arial" w:hAnsi="Arial"/>
                <w:sz w:val="12"/>
                <w:szCs w:val="12"/>
                <w:color w:val="auto"/>
              </w:rPr>
              <w:t>(1)</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Shares subject to repurchase from early-exercised options and unvested restricted stock</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4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4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5"/>
                <w:szCs w:val="15"/>
                <w:color w:val="auto"/>
              </w:rPr>
            </w:pPr>
          </w:p>
        </w:tc>
      </w:tr>
      <w:tr>
        <w:trPr>
          <w:trHeight w:val="182"/>
        </w:trPr>
        <w:tc>
          <w:tcPr>
            <w:tcW w:w="6920" w:type="dxa"/>
            <w:vAlign w:val="bottom"/>
          </w:tcPr>
          <w:p>
            <w:pPr>
              <w:spacing w:after="0"/>
              <w:rPr>
                <w:sz w:val="20"/>
                <w:szCs w:val="20"/>
                <w:color w:val="auto"/>
              </w:rPr>
            </w:pPr>
            <w:r>
              <w:rPr>
                <w:rFonts w:ascii="Arial" w:cs="Arial" w:eastAsia="Arial" w:hAnsi="Arial"/>
                <w:sz w:val="15"/>
                <w:szCs w:val="15"/>
                <w:color w:val="auto"/>
              </w:rPr>
              <w:t>Total</w:t>
            </w:r>
          </w:p>
        </w:tc>
        <w:tc>
          <w:tcPr>
            <w:tcW w:w="480" w:type="dxa"/>
            <w:vAlign w:val="bottom"/>
          </w:tcPr>
          <w:p>
            <w:pPr>
              <w:jc w:val="right"/>
              <w:spacing w:after="0"/>
              <w:rPr>
                <w:sz w:val="20"/>
                <w:szCs w:val="20"/>
                <w:color w:val="auto"/>
              </w:rPr>
            </w:pPr>
            <w:r>
              <w:rPr>
                <w:rFonts w:ascii="Arial" w:cs="Arial" w:eastAsia="Arial" w:hAnsi="Arial"/>
                <w:sz w:val="15"/>
                <w:szCs w:val="15"/>
                <w:color w:val="auto"/>
              </w:rPr>
              <w:t>199.3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204.3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206.4</w:t>
            </w:r>
          </w:p>
        </w:tc>
        <w:tc>
          <w:tcPr>
            <w:tcW w:w="40" w:type="dxa"/>
            <w:vAlign w:val="bottom"/>
          </w:tcPr>
          <w:p>
            <w:pPr>
              <w:spacing w:after="0"/>
              <w:rPr>
                <w:sz w:val="15"/>
                <w:szCs w:val="15"/>
                <w:color w:val="auto"/>
              </w:rPr>
            </w:pPr>
          </w:p>
        </w:tc>
      </w:tr>
      <w:tr>
        <w:trPr>
          <w:trHeight w:val="20"/>
        </w:trPr>
        <w:tc>
          <w:tcPr>
            <w:tcW w:w="6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180" w:hanging="368"/>
        <w:spacing w:after="0" w:line="275" w:lineRule="auto"/>
        <w:tabs>
          <w:tab w:leader="none" w:pos="148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A total of 14.7 million shares of Class A common stock associated with the Co-Founder Grants could potentially dilute earnings per share in the future if the requisite vesting conditions are met.</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13. Unaudited Pro Forma Net Loss Per Share</w:t>
      </w:r>
    </w:p>
    <w:p>
      <w:pPr>
        <w:spacing w:after="0" w:line="102"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Pro forma net loss per share was computed to give effect to the automatic conversion of all series of convertible preferred stock using the if-converted method as though the conversion had occurred as of the beginning of the period or the date of issuance, if later. Subject to the satisfaction of certain conditions, immediately prior to the completion of the Company’s initial public offering, 147,310,563 shares of convertible preferred stock will convert into an equivalent number of shares of Class B common stock. Further, pursuant to transfer agreements with certain of the Company’s stockholders, 258,620 shares of the Company’s preferred stock and 2,609,951 shares of the Company’s Class B common stock will automatically convert into an equivalent number of shares of Class A common stock. In addition, the pro forma share amounts give effect to the weighted-average issuance of two-tier RSUs that have satisfied the service-based vesting condition and the Performance Vesting Condition as of December 31, 2017. The Company’s Board of Directors has approved the acceleration of the Performance Vesting Condition for two-tier RSUs for which the service condition was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320"/>
          </w:cols>
          <w:pgMar w:left="240" w:top="407" w:right="133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55" w:lineRule="auto"/>
        <w:rPr>
          <w:sz w:val="20"/>
          <w:szCs w:val="20"/>
          <w:color w:val="auto"/>
        </w:rPr>
      </w:pPr>
      <w:r>
        <w:rPr>
          <w:rFonts w:ascii="Arial" w:cs="Arial" w:eastAsia="Arial" w:hAnsi="Arial"/>
          <w:sz w:val="15"/>
          <w:szCs w:val="15"/>
          <w:color w:val="auto"/>
        </w:rPr>
        <w:t>satisfied as of December 31, 2017, to occur upon the effectiveness of its registration statement related to this offering. The Company will repurchase the number of shares necessary to satisfy the tax withholding obligations, based on the fair value of its common stock on the date of the initial public offering. The Company currently expects that the average of these withholding tax rates will be approximately 39%. For two-tier RSUs for which the service-based vesting condition and the Performance Vesting Condition was satisfied as of December 31, 2017, the pro forma shares outstanding for the year ended December 31, 2017 includes the weighted-average issuance of 15,897,254 shares of Class B common stock, net of 10,163,817 shares repurchased to satisfy tax withholding obligations.</w:t>
      </w:r>
    </w:p>
    <w:p>
      <w:pPr>
        <w:spacing w:after="0" w:line="164"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net loss used in computing pro forma net loss per share amount in the table below does not give effect to the stock-based compensation expense associated with two-tier RSUs that have both a service-based vesting condition and the Performance Vesting Condition. If an initial public offering had been completed on December 31, 2017, the Company would have recognized approximately $415.6 million of stock-based compensation expense on the effective date, and would have approximately $5.6 million of additional future period expense that would be recognized over a weighted-average period of approximately one year if the requisite service is provided.</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calculation of pro forma net loss attributable to common stockholders per share, basic and diluted:</w:t>
      </w:r>
    </w:p>
    <w:p>
      <w:pPr>
        <w:spacing w:after="0" w:line="202" w:lineRule="exact"/>
        <w:rPr>
          <w:sz w:val="20"/>
          <w:szCs w:val="20"/>
          <w:color w:val="auto"/>
        </w:rPr>
      </w:pPr>
    </w:p>
    <w:p>
      <w:pPr>
        <w:jc w:val="center"/>
        <w:ind w:left="6340"/>
        <w:spacing w:after="0"/>
        <w:rPr>
          <w:sz w:val="20"/>
          <w:szCs w:val="20"/>
          <w:color w:val="auto"/>
        </w:rPr>
      </w:pPr>
      <w:r>
        <w:rPr>
          <w:rFonts w:ascii="Arial" w:cs="Arial" w:eastAsia="Arial" w:hAnsi="Arial"/>
          <w:sz w:val="12"/>
          <w:szCs w:val="12"/>
          <w:b w:val="1"/>
          <w:bCs w:val="1"/>
          <w:color w:val="auto"/>
        </w:rPr>
        <w:t>Year ended December 31,</w:t>
      </w:r>
    </w:p>
    <w:p>
      <w:pPr>
        <w:jc w:val="center"/>
        <w:ind w:left="6340"/>
        <w:spacing w:after="0" w:line="225" w:lineRule="auto"/>
        <w:rPr>
          <w:sz w:val="20"/>
          <w:szCs w:val="20"/>
          <w:color w:val="auto"/>
        </w:rPr>
      </w:pPr>
      <w:r>
        <w:rPr>
          <w:rFonts w:ascii="Arial" w:cs="Arial" w:eastAsia="Arial" w:hAnsi="Arial"/>
          <w:sz w:val="12"/>
          <w:szCs w:val="12"/>
          <w:b w:val="1"/>
          <w:bCs w:val="1"/>
          <w:color w:val="auto"/>
        </w:rPr>
        <w:t>2017</w:t>
      </w:r>
    </w:p>
    <w:tbl>
      <w:tblPr>
        <w:tblLayout w:type="fixed"/>
        <w:tblInd w:w="112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2540" w:type="dxa"/>
            <w:vAlign w:val="bottom"/>
            <w:tcBorders>
              <w:top w:val="single" w:sz="8" w:color="auto"/>
              <w:bottom w:val="single" w:sz="8" w:color="auto"/>
            </w:tcBorders>
            <w:gridSpan w:val="5"/>
          </w:tcPr>
          <w:p>
            <w:pPr>
              <w:jc w:val="right"/>
              <w:ind w:right="346"/>
              <w:spacing w:after="0" w:line="115" w:lineRule="exact"/>
              <w:rPr>
                <w:sz w:val="20"/>
                <w:szCs w:val="20"/>
                <w:color w:val="auto"/>
              </w:rPr>
            </w:pPr>
            <w:r>
              <w:rPr>
                <w:rFonts w:ascii="Arial" w:cs="Arial" w:eastAsia="Arial" w:hAnsi="Arial"/>
                <w:sz w:val="12"/>
                <w:szCs w:val="12"/>
                <w:i w:val="1"/>
                <w:iCs w:val="1"/>
                <w:color w:val="auto"/>
              </w:rPr>
              <w:t>(In millions, except per share amounts)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740"/>
              <w:spacing w:after="0" w:line="115" w:lineRule="exact"/>
              <w:rPr>
                <w:sz w:val="20"/>
                <w:szCs w:val="20"/>
                <w:color w:val="auto"/>
              </w:rPr>
            </w:pPr>
            <w:r>
              <w:rPr>
                <w:rFonts w:ascii="Arial" w:cs="Arial" w:eastAsia="Arial" w:hAnsi="Arial"/>
                <w:sz w:val="12"/>
                <w:szCs w:val="12"/>
                <w:color w:val="auto"/>
              </w:rPr>
              <w:t>Class A</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86"/>
              <w:spacing w:after="0" w:line="115" w:lineRule="exact"/>
              <w:rPr>
                <w:sz w:val="20"/>
                <w:szCs w:val="20"/>
                <w:color w:val="auto"/>
              </w:rPr>
            </w:pPr>
            <w:r>
              <w:rPr>
                <w:rFonts w:ascii="Arial" w:cs="Arial" w:eastAsia="Arial" w:hAnsi="Arial"/>
                <w:sz w:val="12"/>
                <w:szCs w:val="12"/>
                <w:color w:val="auto"/>
              </w:rPr>
              <w:t>Class B</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Numerator:</w:t>
            </w:r>
          </w:p>
        </w:tc>
        <w:tc>
          <w:tcPr>
            <w:tcW w:w="5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300"/>
              <w:spacing w:after="0"/>
              <w:rPr>
                <w:sz w:val="20"/>
                <w:szCs w:val="20"/>
                <w:color w:val="auto"/>
              </w:rPr>
            </w:pPr>
            <w:r>
              <w:rPr>
                <w:rFonts w:ascii="Arial" w:cs="Arial" w:eastAsia="Arial" w:hAnsi="Arial"/>
                <w:sz w:val="15"/>
                <w:szCs w:val="15"/>
                <w:color w:val="auto"/>
              </w:rPr>
              <w:t>Net loss as reported</w:t>
            </w:r>
          </w:p>
        </w:tc>
        <w:tc>
          <w:tcPr>
            <w:tcW w:w="56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5"/>
                <w:szCs w:val="15"/>
                <w:color w:val="auto"/>
              </w:rPr>
              <w:t>(3.6)</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Reallocation of net loss due to pro forma adjustments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70"/>
        </w:trPr>
        <w:tc>
          <w:tcPr>
            <w:tcW w:w="5860" w:type="dxa"/>
            <w:vAlign w:val="bottom"/>
          </w:tcPr>
          <w:p>
            <w:pPr>
              <w:ind w:left="600"/>
              <w:spacing w:after="0" w:line="170" w:lineRule="exact"/>
              <w:rPr>
                <w:sz w:val="20"/>
                <w:szCs w:val="20"/>
                <w:color w:val="auto"/>
              </w:rPr>
            </w:pPr>
            <w:r>
              <w:rPr>
                <w:rFonts w:ascii="Arial" w:cs="Arial" w:eastAsia="Arial" w:hAnsi="Arial"/>
                <w:sz w:val="15"/>
                <w:szCs w:val="15"/>
                <w:color w:val="auto"/>
              </w:rPr>
              <w:t>Net loss attributable to common stockholders for pro forma net loss 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computation, basic and diluted</w:t>
            </w:r>
          </w:p>
        </w:tc>
        <w:tc>
          <w:tcPr>
            <w:tcW w:w="72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5"/>
                <w:szCs w:val="15"/>
                <w:color w:val="auto"/>
              </w:rPr>
              <w:t>(2.9)</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Denominator:</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300"/>
              <w:spacing w:after="0" w:line="170" w:lineRule="exact"/>
              <w:rPr>
                <w:sz w:val="20"/>
                <w:szCs w:val="20"/>
                <w:color w:val="auto"/>
              </w:rPr>
            </w:pPr>
            <w:r>
              <w:rPr>
                <w:rFonts w:ascii="Arial" w:cs="Arial" w:eastAsia="Arial" w:hAnsi="Arial"/>
                <w:sz w:val="15"/>
                <w:szCs w:val="15"/>
                <w:color w:val="auto"/>
              </w:rPr>
              <w:t>Weighted-average shares of common stock used in computing net loss 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440"/>
              <w:spacing w:after="0"/>
              <w:rPr>
                <w:sz w:val="20"/>
                <w:szCs w:val="20"/>
                <w:color w:val="auto"/>
              </w:rPr>
            </w:pPr>
            <w:r>
              <w:rPr>
                <w:rFonts w:ascii="Arial" w:cs="Arial" w:eastAsia="Arial" w:hAnsi="Arial"/>
                <w:sz w:val="15"/>
                <w:szCs w:val="15"/>
                <w:color w:val="auto"/>
              </w:rPr>
              <w:t>attributable to common stockholders, basic and diluted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Weighted-average pro forma adjustment to reflect conversion of convertible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preferred stock</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600"/>
              <w:spacing w:after="0" w:line="170" w:lineRule="exact"/>
              <w:rPr>
                <w:sz w:val="20"/>
                <w:szCs w:val="20"/>
                <w:color w:val="auto"/>
              </w:rPr>
            </w:pPr>
            <w:r>
              <w:rPr>
                <w:rFonts w:ascii="Arial" w:cs="Arial" w:eastAsia="Arial" w:hAnsi="Arial"/>
                <w:sz w:val="15"/>
                <w:szCs w:val="15"/>
                <w:color w:val="auto"/>
              </w:rPr>
              <w:t>Weighted-average pro forma adjustment to reflect assumed vesting of two-tier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RSUs, net of shares repurchased to satisfy tax withholding obligations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Weighted-average pro forma adjustment of conversions of Class B to Class A</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common stock</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600"/>
              <w:spacing w:after="0"/>
              <w:rPr>
                <w:sz w:val="20"/>
                <w:szCs w:val="20"/>
                <w:color w:val="auto"/>
              </w:rPr>
            </w:pPr>
            <w:r>
              <w:rPr>
                <w:rFonts w:ascii="Arial" w:cs="Arial" w:eastAsia="Arial" w:hAnsi="Arial"/>
                <w:sz w:val="15"/>
                <w:szCs w:val="15"/>
                <w:color w:val="auto"/>
              </w:rPr>
              <w:t>Weighted-average shares used in computing pro forma net loss per share</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attributable to common stockholders, basic and diluted</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attributable to common stockholders per share, basic and diluted</w:t>
            </w:r>
          </w:p>
        </w:tc>
        <w:tc>
          <w:tcPr>
            <w:tcW w:w="720" w:type="dxa"/>
            <w:vAlign w:val="bottom"/>
            <w:gridSpan w:val="2"/>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480"/>
              <w:spacing w:after="0" w:line="167" w:lineRule="exact"/>
              <w:rPr>
                <w:sz w:val="20"/>
                <w:szCs w:val="20"/>
                <w:color w:val="auto"/>
              </w:rPr>
            </w:pPr>
            <w:r>
              <w:rPr>
                <w:rFonts w:ascii="Arial" w:cs="Arial" w:eastAsia="Arial" w:hAnsi="Arial"/>
                <w:sz w:val="15"/>
                <w:szCs w:val="15"/>
                <w:color w:val="auto"/>
              </w:rPr>
              <w:t>(0.31)</w:t>
            </w:r>
          </w:p>
        </w:tc>
        <w:tc>
          <w:tcPr>
            <w:tcW w:w="640" w:type="dxa"/>
            <w:vAlign w:val="bottom"/>
            <w:gridSpan w:val="2"/>
            <w:shd w:val="clear" w:color="auto" w:fill="CCEEFF"/>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460"/>
              <w:spacing w:after="0"/>
              <w:rPr>
                <w:sz w:val="20"/>
                <w:szCs w:val="20"/>
                <w:color w:val="auto"/>
              </w:rPr>
            </w:pPr>
            <w:r>
              <w:rPr>
                <w:rFonts w:ascii="Arial" w:cs="Arial" w:eastAsia="Arial" w:hAnsi="Arial"/>
                <w:sz w:val="15"/>
                <w:szCs w:val="15"/>
                <w:color w:val="auto"/>
              </w:rPr>
              <w:t>F-31</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8" w:right="133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14. Income Taxes</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For the years ended December 31, 2015, 2016, and 2017 the Company’s loss from continuing operations before provision for income taxes was as follows:</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88"/>
              </w:rPr>
              <w:t>Year ended December 31,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50"/>
              <w:spacing w:after="0" w:line="115"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97"/>
              </w:rPr>
              <w:t>2016</w:t>
            </w:r>
          </w:p>
        </w:tc>
        <w:tc>
          <w:tcPr>
            <w:tcW w:w="4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9"/>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Domestic</w:t>
            </w:r>
          </w:p>
        </w:tc>
        <w:tc>
          <w:tcPr>
            <w:tcW w:w="15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 (176.9)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(76.9)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5"/>
                <w:szCs w:val="15"/>
                <w:color w:val="auto"/>
              </w:rPr>
              <w:t>Foreign</w:t>
            </w:r>
          </w:p>
        </w:tc>
        <w:tc>
          <w:tcPr>
            <w:tcW w:w="15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(148.7)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5"/>
                <w:szCs w:val="15"/>
                <w:color w:val="auto"/>
                <w:w w:val="92"/>
              </w:rPr>
              <w:t>(110.6)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Loss before income taxes</w:t>
            </w:r>
          </w:p>
        </w:tc>
        <w:tc>
          <w:tcPr>
            <w:tcW w:w="22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 (325.6)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w w:val="92"/>
              </w:rPr>
              <w:t>(205.0)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components of the provision for income taxes in the years ended December 31, 2015, 2016, and 2017 were as follows:</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93"/>
              </w:rPr>
              <w:t>Year ended December 31,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line="115"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Federal</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(1.5)</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(0.5)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Deferred:</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Federal</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Income tax benefit attributable to loss from continuing operations differed from the amounts computed by applying the statutory U.S. federal income tax rate of 34% to pretax loss from continuing operations as a result of the following:</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w w:val="91"/>
              </w:rPr>
              <w:t>Year ended December 31,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2016</w:t>
            </w:r>
          </w:p>
        </w:tc>
        <w:tc>
          <w:tcPr>
            <w:tcW w:w="5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Tax benefit at federal statutory rate of 34%</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110.7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Foreign rate differential</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(50.7)</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Research and other credits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Permanent differences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Tax Cuts and Jobs Act impact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Other nondeductible items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5"/>
                <w:szCs w:val="15"/>
                <w:color w:val="auto"/>
              </w:rPr>
              <w:t>Provision for income taxes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(0.3)</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(5.2)</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60" w:type="dxa"/>
            <w:vAlign w:val="bottom"/>
          </w:tcPr>
          <w:p>
            <w:pPr>
              <w:spacing w:after="0"/>
              <w:rPr>
                <w:sz w:val="24"/>
                <w:szCs w:val="24"/>
                <w:color w:val="auto"/>
              </w:rPr>
            </w:pPr>
          </w:p>
        </w:tc>
        <w:tc>
          <w:tcPr>
            <w:tcW w:w="1440" w:type="dxa"/>
            <w:vAlign w:val="bottom"/>
            <w:gridSpan w:val="2"/>
          </w:tcPr>
          <w:p>
            <w:pPr>
              <w:jc w:val="right"/>
              <w:ind w:right="685"/>
              <w:spacing w:after="0"/>
              <w:rPr>
                <w:sz w:val="20"/>
                <w:szCs w:val="20"/>
                <w:color w:val="auto"/>
              </w:rPr>
            </w:pPr>
            <w:r>
              <w:rPr>
                <w:rFonts w:ascii="Arial" w:cs="Arial" w:eastAsia="Arial" w:hAnsi="Arial"/>
                <w:sz w:val="15"/>
                <w:szCs w:val="15"/>
                <w:color w:val="auto"/>
              </w:rPr>
              <w:t>F-32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408" w:right="137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deferred tax assets and liabilities as of December 31, 2016 and 2017 were as follows:</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97"/>
              </w:rPr>
              <w:t>2016</w:t>
            </w:r>
          </w:p>
        </w:tc>
        <w:tc>
          <w:tcPr>
            <w:tcW w:w="26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Deferred tax assets:</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Net operating loss carryforwards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127.9</w:t>
            </w: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credit carryforwards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Stock-based compensation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Accruals and reserves</w:t>
            </w:r>
          </w:p>
        </w:tc>
        <w:tc>
          <w:tcPr>
            <w:tcW w:w="1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Gross deferred tax 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283.4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(259.7)</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(233.7)</w:t>
            </w:r>
          </w:p>
        </w:tc>
        <w:tc>
          <w:tcPr>
            <w:tcW w:w="0" w:type="dxa"/>
            <w:vAlign w:val="bottom"/>
          </w:tcPr>
          <w:p>
            <w:pPr>
              <w:spacing w:after="0"/>
              <w:rPr>
                <w:sz w:val="1"/>
                <w:szCs w:val="1"/>
                <w:color w:val="auto"/>
              </w:rPr>
            </w:pPr>
          </w:p>
        </w:tc>
      </w:tr>
      <w:tr>
        <w:trPr>
          <w:trHeight w:val="182"/>
        </w:trPr>
        <w:tc>
          <w:tcPr>
            <w:tcW w:w="4280" w:type="dxa"/>
            <w:vAlign w:val="bottom"/>
            <w:gridSpan w:val="2"/>
          </w:tcPr>
          <w:p>
            <w:pPr>
              <w:spacing w:after="0"/>
              <w:rPr>
                <w:sz w:val="20"/>
                <w:szCs w:val="20"/>
                <w:color w:val="auto"/>
              </w:rPr>
            </w:pPr>
            <w:r>
              <w:rPr>
                <w:rFonts w:ascii="Arial" w:cs="Arial" w:eastAsia="Arial" w:hAnsi="Arial"/>
                <w:sz w:val="15"/>
                <w:szCs w:val="15"/>
                <w:color w:val="auto"/>
              </w:rPr>
              <w:t>Total deferred tax assets, net of valuation allowance</w:t>
            </w:r>
          </w:p>
        </w:tc>
        <w:tc>
          <w:tcPr>
            <w:tcW w:w="1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Fixed assets and intangible 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Total deferred tax liability</w:t>
            </w:r>
          </w:p>
        </w:tc>
        <w:tc>
          <w:tcPr>
            <w:tcW w:w="1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180" w:firstLine="368"/>
        <w:spacing w:after="0" w:line="259" w:lineRule="auto"/>
        <w:rPr>
          <w:sz w:val="20"/>
          <w:szCs w:val="20"/>
          <w:color w:val="auto"/>
        </w:rPr>
      </w:pPr>
      <w:r>
        <w:rPr>
          <w:rFonts w:ascii="Arial" w:cs="Arial" w:eastAsia="Arial" w:hAnsi="Arial"/>
          <w:sz w:val="15"/>
          <w:szCs w:val="15"/>
          <w:color w:val="auto"/>
        </w:rPr>
        <w:t>For the years ended December 31, 2016 and 2017, based on all available objective evidence, including the existence of cumulative losses, the Company determined that it was not more likely than not that the U.S., Ireland, and Israel net deferred tax assets were fully realizable as of December 31, 2016 and 2017. Accordingly, the Company established a full valuation allowance against its U.S. and Ireland deferred tax assets and a partial valuation allowance against its Israeli deferred tax assets.</w:t>
      </w:r>
    </w:p>
    <w:p>
      <w:pPr>
        <w:spacing w:after="0" w:line="15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As of December 31, 2017, the Company had $312.2 million of federal and $143.0 million of state net operating loss carryforwards available to reduce future taxable income, which will begin to expire in 2031 for federal and 2030 for state tax purposes.</w:t>
      </w:r>
    </w:p>
    <w:p>
      <w:pPr>
        <w:spacing w:after="0" w:line="146"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color w:val="auto"/>
        </w:rPr>
        <w:t>As of December 31, 2017, the Company had research credit carryforwards of $59.2 million and $34.6 million for federal and state income tax purposes, respectively, of which $14.7 million and $8.6 million is the unrecognized tax benefit portion related to the research credit carryforwards for federal and state, respectively. The federal credit carryforward will begin to expire in 2027. The state research credits have no expiration date. The Company also had $3.7 million of state enterprise zone credit carryforwards, which will begin to expire in 2023.</w:t>
      </w:r>
    </w:p>
    <w:p>
      <w:pPr>
        <w:spacing w:after="0" w:line="143"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color w:val="auto"/>
        </w:rPr>
        <w:t>As of December 31, 2017, the Company also had $289.3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55" w:lineRule="exact"/>
        <w:rPr>
          <w:sz w:val="20"/>
          <w:szCs w:val="20"/>
          <w:color w:val="auto"/>
        </w:rPr>
      </w:pPr>
    </w:p>
    <w:p>
      <w:pPr>
        <w:ind w:left="1120" w:firstLine="368"/>
        <w:spacing w:after="0" w:line="300" w:lineRule="auto"/>
        <w:rPr>
          <w:sz w:val="20"/>
          <w:szCs w:val="20"/>
          <w:color w:val="auto"/>
        </w:rPr>
      </w:pPr>
      <w:r>
        <w:rPr>
          <w:rFonts w:ascii="Arial" w:cs="Arial" w:eastAsia="Arial" w:hAnsi="Arial"/>
          <w:sz w:val="13"/>
          <w:szCs w:val="13"/>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December 31, 2017,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40"/>
          </w:cols>
          <w:pgMar w:left="240" w:top="408" w:right="141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0" w:firstLine="368"/>
        <w:spacing w:after="0" w:line="354" w:lineRule="auto"/>
        <w:rPr>
          <w:sz w:val="20"/>
          <w:szCs w:val="20"/>
          <w:color w:val="auto"/>
        </w:rPr>
      </w:pPr>
      <w:r>
        <w:rPr>
          <w:rFonts w:ascii="Arial" w:cs="Arial" w:eastAsia="Arial" w:hAnsi="Arial"/>
          <w:sz w:val="13"/>
          <w:szCs w:val="13"/>
          <w:color w:val="auto"/>
        </w:rPr>
        <w:t>As of December 31, 2017, the balance of unrecognized tax benefits was $25.6 million of which $2.3 million, if recognized, would affect the effective tax rate and $23.3 million would result in adjustment to deferred tax assets with corresponding adjustments to the valuation allowance.</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beginning and ending amount of unrecognized tax benefit is as follows: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7"/>
          </w:tcPr>
          <w:p>
            <w:pPr>
              <w:ind w:left="220"/>
              <w:spacing w:after="0"/>
              <w:rPr>
                <w:sz w:val="20"/>
                <w:szCs w:val="20"/>
                <w:color w:val="auto"/>
              </w:rPr>
            </w:pPr>
            <w:r>
              <w:rPr>
                <w:rFonts w:ascii="Arial" w:cs="Arial" w:eastAsia="Arial" w:hAnsi="Arial"/>
                <w:sz w:val="12"/>
                <w:szCs w:val="12"/>
                <w:b w:val="1"/>
                <w:bCs w:val="1"/>
                <w:color w:val="auto"/>
              </w:rPr>
              <w:t>Year ended December 31,</w:t>
            </w:r>
          </w:p>
        </w:tc>
      </w:tr>
      <w:tr>
        <w:trPr>
          <w:trHeight w:val="115"/>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7"/>
              </w:rPr>
              <w:t>2015</w:t>
            </w:r>
          </w:p>
        </w:tc>
        <w:tc>
          <w:tcPr>
            <w:tcW w:w="820" w:type="dxa"/>
            <w:vAlign w:val="bottom"/>
            <w:tcBorders>
              <w:top w:val="single" w:sz="8" w:color="auto"/>
            </w:tcBorders>
            <w:gridSpan w:val="3"/>
          </w:tcPr>
          <w:p>
            <w:pPr>
              <w:jc w:val="right"/>
              <w:ind w:right="5"/>
              <w:spacing w:after="0" w:line="115" w:lineRule="exact"/>
              <w:rPr>
                <w:sz w:val="20"/>
                <w:szCs w:val="20"/>
                <w:color w:val="auto"/>
              </w:rPr>
            </w:pPr>
            <w:r>
              <w:rPr>
                <w:rFonts w:ascii="Arial" w:cs="Arial" w:eastAsia="Arial" w:hAnsi="Arial"/>
                <w:sz w:val="12"/>
                <w:szCs w:val="12"/>
                <w:b w:val="1"/>
                <w:bCs w:val="1"/>
                <w:color w:val="auto"/>
              </w:rPr>
              <w:t>2016</w:t>
            </w:r>
          </w:p>
        </w:tc>
        <w:tc>
          <w:tcPr>
            <w:tcW w:w="8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64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Balance of gross unrecognized tax benefits at the beginning of the fiscal year</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4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1"/>
              </w:rPr>
              <w:t>$ 15.7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Gross increases related to prior period tax positions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2.2</w:t>
            </w:r>
          </w:p>
        </w:tc>
        <w:tc>
          <w:tcPr>
            <w:tcW w:w="4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0"/>
        </w:trPr>
        <w:tc>
          <w:tcPr>
            <w:tcW w:w="20" w:type="dxa"/>
            <w:vAlign w:val="bottom"/>
          </w:tcPr>
          <w:p>
            <w:pPr>
              <w:spacing w:after="0"/>
              <w:rPr>
                <w:sz w:val="15"/>
                <w:szCs w:val="15"/>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Gross increases related to current period tax positions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4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40" w:type="dxa"/>
            <w:vAlign w:val="bottom"/>
            <w:shd w:val="clear" w:color="auto" w:fill="CCEEFF"/>
          </w:tcPr>
          <w:p>
            <w:pPr>
              <w:spacing w:after="0"/>
              <w:rPr>
                <w:sz w:val="15"/>
                <w:szCs w:val="15"/>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5"/>
                <w:szCs w:val="15"/>
                <w:color w:val="auto"/>
              </w:rPr>
              <w:t>Balance of gross unrecognized tax benefits at the end of the fiscal year</w:t>
            </w:r>
          </w:p>
        </w:tc>
        <w:tc>
          <w:tcPr>
            <w:tcW w:w="12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7.9</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82"/>
              </w:rPr>
              <w:t>15.7</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$ 25.6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The Company recognizes interest and/or penalties related to income tax matters as a component of income tax expense. As of December 31, 2017, the amount of accrued interest and penalties related to uncertain tax positions was $0.6 million. Interest and penalties recognized for the year ended December 31, 2016 and 2017, was $0.4 million and $0.2 million, respectively, and the Company did not recognize any interest and penalties for the year ended December 31, 2015.</w:t>
      </w:r>
    </w:p>
    <w:p>
      <w:pPr>
        <w:spacing w:after="0" w:line="158"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4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2017,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Impact of The Tax Cuts and Jobs Act</w:t>
      </w:r>
    </w:p>
    <w:p>
      <w:pPr>
        <w:spacing w:after="0" w:line="98" w:lineRule="exact"/>
        <w:rPr>
          <w:sz w:val="20"/>
          <w:szCs w:val="20"/>
          <w:color w:val="auto"/>
        </w:rPr>
      </w:pPr>
    </w:p>
    <w:p>
      <w:pPr>
        <w:ind w:left="1120" w:right="20" w:firstLine="368"/>
        <w:spacing w:after="0" w:line="297" w:lineRule="auto"/>
        <w:rPr>
          <w:sz w:val="20"/>
          <w:szCs w:val="20"/>
          <w:color w:val="auto"/>
        </w:rPr>
      </w:pPr>
      <w:r>
        <w:rPr>
          <w:rFonts w:ascii="Arial" w:cs="Arial" w:eastAsia="Arial" w:hAnsi="Arial"/>
          <w:sz w:val="13"/>
          <w:szCs w:val="13"/>
          <w:color w:val="auto"/>
        </w:rPr>
        <w:t>The Tax Cuts and Jobs Act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the Company in future years. Since the Tax Reform Act was recently finalized and ongoing guidance and accounting interpretation is expected over the next twelve months, the Company has made certain provisional accounting estimates, as permitted under Staff Accounting Bulletin No. 118, and continues to analyze its accounting policies in this area. The U.S. Treasury Department, the IRS, and other standard-setting bodies could interpret or issue guidance on how provisions of the Tax Reform Act will be applied or otherwise administered that is different from the Company’s interpretation. As the Company completes its analysis of the Tax Reform Act, collects and prepares necessary data, and interprets any additional guidance, the Company may make adjustments to provisional amounts that it has recorded that may be material in the period in which the adjustments are made. The final accounting analysis will occur no later than one year from the date the Tax Reform Act was enacted.</w:t>
      </w:r>
    </w:p>
    <w:p>
      <w:pPr>
        <w:spacing w:after="0" w:line="140" w:lineRule="exact"/>
        <w:rPr>
          <w:sz w:val="20"/>
          <w:szCs w:val="20"/>
          <w:color w:val="auto"/>
        </w:rPr>
      </w:pPr>
    </w:p>
    <w:p>
      <w:pPr>
        <w:ind w:left="1120" w:right="60" w:firstLine="368"/>
        <w:spacing w:after="0" w:line="290" w:lineRule="auto"/>
        <w:rPr>
          <w:sz w:val="20"/>
          <w:szCs w:val="20"/>
          <w:color w:val="auto"/>
        </w:rPr>
      </w:pPr>
      <w:r>
        <w:rPr>
          <w:rFonts w:ascii="Arial" w:cs="Arial" w:eastAsia="Arial" w:hAnsi="Arial"/>
          <w:sz w:val="14"/>
          <w:szCs w:val="14"/>
          <w:color w:val="auto"/>
        </w:rPr>
        <w:t>As a result of the reduction in the corporate rate, the Company has remeasured its U.S. deferred tax assets and liabilities as of December 31, 2017 to reflect the lower rate expected to apply when these temporary differences reverse. The Company provisionally estimates that the remeasurement resulted in a reduction in deferred tax assets of $63.1 million, which was fully offset by a corresponding change to the Company’s</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300"/>
          </w:cols>
          <w:pgMar w:left="240" w:top="408" w:right="135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color w:val="auto"/>
        </w:rPr>
        <w:t>valuation allowance. Although the tax rate reduction is known, the Company has not collected all of the necessary data to complete its analysis of the effect of the Tax Reform Act on the underlying deferred taxes and as such, the amounts recorded as of December 31, 2017 are provisional. However, the Company anticipates that any adjustment to provisional amounts recorded would be fully offset by a corresponding change to the Company’s valuation allowance.</w:t>
      </w:r>
    </w:p>
    <w:p>
      <w:pPr>
        <w:spacing w:after="0" w:line="15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The Tax Reform Act repeals the corporate alternative minimum tax (“AMT”) effective beginning in 2018 and permits AMT credit carryforwards to be refunded to the extent unused through 2021. Since the Company does not anticipate the use of these credits to reduce future federal taxes, it recognized an income tax benefit and established an income tax receivable to reflect anticipated refunds of $1.4 million for its 2016 AMT credit carryforward during the year ended December 31, 2017. The Company has not collected all of the necessary data to complete its analysis of the classification of the AMT tax credit as a receivable and as such, the amounts recorded as an income tax receivable as of December 31, 2017 are provisional.</w:t>
      </w:r>
    </w:p>
    <w:p>
      <w:pPr>
        <w:spacing w:after="0" w:line="164" w:lineRule="exact"/>
        <w:rPr>
          <w:sz w:val="20"/>
          <w:szCs w:val="20"/>
          <w:color w:val="auto"/>
        </w:rPr>
      </w:pPr>
    </w:p>
    <w:p>
      <w:pPr>
        <w:ind w:left="1120" w:right="360" w:firstLine="368"/>
        <w:spacing w:after="0" w:line="263" w:lineRule="auto"/>
        <w:rPr>
          <w:sz w:val="20"/>
          <w:szCs w:val="20"/>
          <w:color w:val="auto"/>
        </w:rPr>
      </w:pPr>
      <w:r>
        <w:rPr>
          <w:rFonts w:ascii="Arial" w:cs="Arial" w:eastAsia="Arial" w:hAnsi="Arial"/>
          <w:sz w:val="15"/>
          <w:szCs w:val="15"/>
          <w:color w:val="auto"/>
        </w:rPr>
        <w:t>The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estimates that it will have no Transition Tax inclusion.</w:t>
      </w:r>
    </w:p>
    <w:p>
      <w:pPr>
        <w:spacing w:after="0" w:line="155"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The Company continues to evaluate its accounting policy for recording deferred taxes, if any, that would arise as a result of other new provisions including the global intangible low-taxed income tax and the base erosion tax regimes established under the Tax Reform Act. This evaluation will be completed no later than one year from the date the Tax Reform Act was enacted.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15. Related Party Transactions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Dropbox Charitable Foundation</w:t>
      </w:r>
    </w:p>
    <w:p>
      <w:pPr>
        <w:spacing w:after="0" w:line="9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164"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During the year ended December 31, 2017, the Company recorded $9.4 million of expense for a non-cash charitable contribution, whereby the Company donated Class B common shares to initially fund the Foundation. The expense was recorded to general and administrative expenses based on the Company’s estimate of the then current fair value of the contributed shares. Additionally, during the year ended December 31, 2017, the Company made cash contributions of $1.9 million to the Foundation.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Hewlett Packard Enterprise</w:t>
      </w:r>
    </w:p>
    <w:p>
      <w:pPr>
        <w:spacing w:after="0" w:line="98" w:lineRule="exact"/>
        <w:rPr>
          <w:sz w:val="20"/>
          <w:szCs w:val="20"/>
          <w:color w:val="auto"/>
        </w:rPr>
      </w:pPr>
    </w:p>
    <w:p>
      <w:pPr>
        <w:ind w:left="1120" w:right="60" w:firstLine="368"/>
        <w:spacing w:after="0" w:line="293" w:lineRule="auto"/>
        <w:rPr>
          <w:sz w:val="20"/>
          <w:szCs w:val="20"/>
          <w:color w:val="auto"/>
        </w:rPr>
      </w:pPr>
      <w:r>
        <w:rPr>
          <w:rFonts w:ascii="Arial" w:cs="Arial" w:eastAsia="Arial" w:hAnsi="Arial"/>
          <w:sz w:val="13"/>
          <w:szCs w:val="13"/>
          <w:color w:val="auto"/>
        </w:rPr>
        <w:t>The Company has engaged in various commercial relationships with Hewlett Packard Enterprise (“HPE”), whose chief executive officer was appointed to the Dropbox Board of Directors in September 2017. These commercial relationships include infrastructure equipment under capital leases, the purchase of commercial products and other services, and a multi-year subscription agreement for access to the Dropbox platform. From the date of appointment of HPE’s chief executive officer to the Dropbox Board of Directors through December 31, 2017, the Company made payments of</w:t>
      </w:r>
    </w:p>
    <w:p>
      <w:pPr>
        <w:spacing w:after="0" w:line="1" w:lineRule="exact"/>
        <w:rPr>
          <w:sz w:val="20"/>
          <w:szCs w:val="20"/>
          <w:color w:val="auto"/>
        </w:rPr>
      </w:pPr>
    </w:p>
    <w:p>
      <w:pPr>
        <w:ind w:left="1120" w:right="120"/>
        <w:spacing w:after="0" w:line="298" w:lineRule="auto"/>
        <w:rPr>
          <w:sz w:val="20"/>
          <w:szCs w:val="20"/>
          <w:color w:val="auto"/>
        </w:rPr>
      </w:pPr>
      <w:r>
        <w:rPr>
          <w:rFonts w:ascii="Arial" w:cs="Arial" w:eastAsia="Arial" w:hAnsi="Arial"/>
          <w:sz w:val="14"/>
          <w:szCs w:val="14"/>
          <w:color w:val="auto"/>
        </w:rPr>
        <w:t>$18.4 million for infrastructure equipment under capital leases and commercial products and services provided by HPE. As of December 31, 2017, the Company had a remaining obligation of $87.1 million for equipment under capital lease from HPE. Related to the multi-year</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80"/>
          </w:cols>
          <w:pgMar w:left="240" w:top="407" w:right="137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subscription agreement, the Company recognized an immaterial amount of revenue from the date of appointment of HPE’s chief executive officer to the Dropbox Board of Directors through December 31, 2017, and had an immaterial balance of deferred revenue and outstanding trade receivables as of December 31, 2017.</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16. Geographic Areas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long-lived assets by geographic area:</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380" w:type="dxa"/>
            <w:vAlign w:val="bottom"/>
          </w:tcPr>
          <w:p>
            <w:pPr>
              <w:spacing w:after="0"/>
              <w:rPr>
                <w:sz w:val="12"/>
                <w:szCs w:val="12"/>
                <w:color w:val="auto"/>
              </w:rPr>
            </w:pPr>
          </w:p>
        </w:tc>
        <w:tc>
          <w:tcPr>
            <w:tcW w:w="1340" w:type="dxa"/>
            <w:vAlign w:val="bottom"/>
            <w:gridSpan w:val="5"/>
          </w:tcPr>
          <w:p>
            <w:pPr>
              <w:ind w:left="1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380" w:type="dxa"/>
            <w:vAlign w:val="bottom"/>
          </w:tcPr>
          <w:p>
            <w:pPr>
              <w:spacing w:after="0"/>
              <w:rPr>
                <w:sz w:val="10"/>
                <w:szCs w:val="10"/>
                <w:color w:val="auto"/>
              </w:rPr>
            </w:pPr>
          </w:p>
        </w:tc>
        <w:tc>
          <w:tcPr>
            <w:tcW w:w="420" w:type="dxa"/>
            <w:vAlign w:val="bottom"/>
            <w:tcBorders>
              <w:top w:val="single" w:sz="8" w:color="auto"/>
            </w:tcBorders>
          </w:tcPr>
          <w:p>
            <w:pPr>
              <w:jc w:val="right"/>
              <w:ind w:right="31"/>
              <w:spacing w:after="0" w:line="115"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5"/>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6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United States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$ 425.1</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$ 323.7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380" w:type="dxa"/>
            <w:vAlign w:val="bottom"/>
          </w:tcPr>
          <w:p>
            <w:pPr>
              <w:spacing w:after="0"/>
              <w:rPr>
                <w:sz w:val="20"/>
                <w:szCs w:val="20"/>
                <w:color w:val="auto"/>
              </w:rPr>
            </w:pPr>
            <w:r>
              <w:rPr>
                <w:rFonts w:ascii="Arial" w:cs="Arial" w:eastAsia="Arial" w:hAnsi="Arial"/>
                <w:sz w:val="15"/>
                <w:szCs w:val="15"/>
                <w:color w:val="auto"/>
              </w:rPr>
              <w:t>International</w:t>
            </w:r>
            <w:r>
              <w:rPr>
                <w:rFonts w:ascii="Arial" w:cs="Arial" w:eastAsia="Arial" w:hAnsi="Arial"/>
                <w:sz w:val="12"/>
                <w:szCs w:val="12"/>
                <w:color w:val="auto"/>
              </w:rPr>
              <w:t>(1)</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18.9</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18.2</w:t>
            </w:r>
          </w:p>
        </w:tc>
      </w:tr>
      <w:tr>
        <w:trPr>
          <w:trHeight w:val="23"/>
        </w:trPr>
        <w:tc>
          <w:tcPr>
            <w:tcW w:w="6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Total property and equipment, net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u w:val="single" w:color="auto"/>
                <w:color w:val="auto"/>
                <w:w w:val="79"/>
              </w:rPr>
              <w:t>$</w:t>
            </w:r>
            <w:r>
              <w:rPr>
                <w:rFonts w:ascii="Arial" w:cs="Arial" w:eastAsia="Arial" w:hAnsi="Arial"/>
                <w:sz w:val="15"/>
                <w:szCs w:val="15"/>
                <w:color w:val="auto"/>
                <w:w w:val="79"/>
              </w:rPr>
              <w:t xml:space="preserve"> 444.0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$ 341.9</w:t>
            </w:r>
          </w:p>
        </w:tc>
      </w:tr>
      <w:tr>
        <w:trPr>
          <w:trHeight w:val="20"/>
        </w:trPr>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80" w:hanging="368"/>
        <w:spacing w:after="0" w:line="275" w:lineRule="auto"/>
        <w:tabs>
          <w:tab w:leader="none" w:pos="14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No single country other than the United States had a property and equipment balance greater than 10% of total property and equipment, net, as of December 31, 2016 and 2017.</w:t>
      </w:r>
    </w:p>
    <w:p>
      <w:pPr>
        <w:spacing w:after="0" w:line="236" w:lineRule="exact"/>
        <w:rPr>
          <w:rFonts w:ascii="Arial" w:cs="Arial" w:eastAsia="Arial" w:hAnsi="Arial"/>
          <w:sz w:val="13"/>
          <w:szCs w:val="13"/>
          <w:color w:val="auto"/>
        </w:rPr>
      </w:pPr>
    </w:p>
    <w:p>
      <w:pPr>
        <w:ind w:left="1480"/>
        <w:spacing w:after="0"/>
        <w:rPr>
          <w:rFonts w:ascii="Arial" w:cs="Arial" w:eastAsia="Arial" w:hAnsi="Arial"/>
          <w:sz w:val="13"/>
          <w:szCs w:val="13"/>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Revenue by geography is generally based on the address of the customer as defined in the Company’s subscription agreement. The following table sets forth revenue by geographic area for the years ended December 31, 2015, 2016, and 2017.</w:t>
      </w:r>
    </w:p>
    <w:p>
      <w:pPr>
        <w:spacing w:after="0" w:line="160"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88"/>
              </w:rPr>
              <w:t>Year ended December 31,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25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9"/>
              <w:spacing w:after="0" w:line="115" w:lineRule="exact"/>
              <w:rPr>
                <w:sz w:val="20"/>
                <w:szCs w:val="20"/>
                <w:color w:val="auto"/>
              </w:rPr>
            </w:pPr>
            <w:r>
              <w:rPr>
                <w:rFonts w:ascii="Arial" w:cs="Arial" w:eastAsia="Arial" w:hAnsi="Arial"/>
                <w:sz w:val="12"/>
                <w:szCs w:val="12"/>
                <w:b w:val="1"/>
                <w:bCs w:val="1"/>
                <w:color w:val="auto"/>
                <w:w w:val="89"/>
              </w:rPr>
              <w:t>2015</w:t>
            </w:r>
          </w:p>
        </w:tc>
        <w:tc>
          <w:tcPr>
            <w:tcW w:w="4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89"/>
              </w:rPr>
              <w:t>2016</w:t>
            </w:r>
          </w:p>
        </w:tc>
        <w:tc>
          <w:tcPr>
            <w:tcW w:w="4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United States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326.1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455.9</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575.7</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International</w:t>
            </w:r>
            <w:r>
              <w:rPr>
                <w:rFonts w:ascii="Arial" w:cs="Arial" w:eastAsia="Arial" w:hAnsi="Arial"/>
                <w:sz w:val="12"/>
                <w:szCs w:val="12"/>
                <w:color w:val="auto"/>
              </w:rPr>
              <w:t>(1)</w:t>
            </w: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277.7</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388.9</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531.1</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603.8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844.8</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1,106.8</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240" w:hanging="368"/>
        <w:spacing w:after="0" w:line="275" w:lineRule="auto"/>
        <w:tabs>
          <w:tab w:leader="none" w:pos="1480" w:val="left"/>
        </w:tabs>
        <w:numPr>
          <w:ilvl w:val="0"/>
          <w:numId w:val="117"/>
        </w:numPr>
        <w:rPr>
          <w:rFonts w:ascii="Arial" w:cs="Arial" w:eastAsia="Arial" w:hAnsi="Arial"/>
          <w:sz w:val="13"/>
          <w:szCs w:val="13"/>
          <w:color w:val="auto"/>
        </w:rPr>
      </w:pPr>
      <w:r>
        <w:rPr>
          <w:rFonts w:ascii="Arial" w:cs="Arial" w:eastAsia="Arial" w:hAnsi="Arial"/>
          <w:sz w:val="15"/>
          <w:szCs w:val="15"/>
          <w:color w:val="auto"/>
        </w:rPr>
        <w:t>No single country outside of the United States accounted for more than 10 percent of total revenue during the years ended December 31, 2015, 2016, and 2017</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17. Subsequent Events</w:t>
      </w:r>
    </w:p>
    <w:p>
      <w:pPr>
        <w:spacing w:after="0" w:line="102" w:lineRule="exact"/>
        <w:rPr>
          <w:sz w:val="20"/>
          <w:szCs w:val="20"/>
          <w:color w:val="auto"/>
        </w:rPr>
      </w:pPr>
    </w:p>
    <w:p>
      <w:pPr>
        <w:ind w:left="1120" w:right="260" w:firstLine="368"/>
        <w:spacing w:after="0" w:line="312" w:lineRule="auto"/>
        <w:rPr>
          <w:sz w:val="20"/>
          <w:szCs w:val="20"/>
          <w:color w:val="auto"/>
        </w:rPr>
      </w:pPr>
      <w:r>
        <w:rPr>
          <w:rFonts w:ascii="Arial" w:cs="Arial" w:eastAsia="Arial" w:hAnsi="Arial"/>
          <w:sz w:val="14"/>
          <w:szCs w:val="14"/>
          <w:color w:val="auto"/>
        </w:rPr>
        <w:t>The Company has evaluated subsequent events through February 23, 2018, the date that the independent auditor’s report as of and for the year ended December 31, 2017 was originally issued and the audited annual consolidated financial statements were available for issuance.</w:t>
      </w:r>
    </w:p>
    <w:p>
      <w:pPr>
        <w:spacing w:after="0" w:line="123"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also increased its borrowing capacity under the revolving credit facility from $600.0 million to $725.0 million. The Company may from time to time request increases in its borrowing capacity under its revolving credit facility of up to $275.0 million, provided no event of default has occurred or is continuing or would result from such increase.</w:t>
      </w:r>
    </w:p>
    <w:p>
      <w:pPr>
        <w:spacing w:after="0" w:line="159"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In February 2018, the Board of Directors approved grants of RSUs of 9,909,986. These RSUs will result in estimated stock-based compensation of $170.2 million, which is expected to be recognized over a weighted-average period of 3.9 years from the grant date.</w:t>
      </w:r>
    </w:p>
    <w:p>
      <w:pPr>
        <w:spacing w:after="0" w:line="146" w:lineRule="exact"/>
        <w:rPr>
          <w:sz w:val="20"/>
          <w:szCs w:val="20"/>
          <w:color w:val="auto"/>
        </w:rPr>
      </w:pPr>
    </w:p>
    <w:p>
      <w:pPr>
        <w:ind w:left="1120" w:right="120" w:firstLine="368"/>
        <w:spacing w:after="0" w:line="312" w:lineRule="auto"/>
        <w:rPr>
          <w:sz w:val="20"/>
          <w:szCs w:val="20"/>
          <w:color w:val="auto"/>
        </w:rPr>
      </w:pPr>
      <w:r>
        <w:rPr>
          <w:rFonts w:ascii="Arial" w:cs="Arial" w:eastAsia="Arial" w:hAnsi="Arial"/>
          <w:sz w:val="14"/>
          <w:szCs w:val="14"/>
          <w:color w:val="auto"/>
        </w:rPr>
        <w:t>In February 2018, the Company’s Board of Directors also approved the acceleration of the Performance Vesting Condition for two-tier RSUs for which the service condition was satisfied, to occur upon the effectiveness of the registration statement related to this offering.</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300"/>
          </w:cols>
          <w:pgMar w:left="240" w:top="408" w:right="135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18. Subsequent Events (unaudited)</w:t>
      </w:r>
    </w:p>
    <w:p>
      <w:pPr>
        <w:spacing w:after="0" w:line="102" w:lineRule="exact"/>
        <w:rPr>
          <w:sz w:val="20"/>
          <w:szCs w:val="20"/>
          <w:color w:val="auto"/>
        </w:rPr>
      </w:pPr>
    </w:p>
    <w:p>
      <w:pPr>
        <w:ind w:left="1120" w:right="239" w:firstLine="368"/>
        <w:spacing w:after="0" w:line="275" w:lineRule="auto"/>
        <w:rPr>
          <w:sz w:val="20"/>
          <w:szCs w:val="20"/>
          <w:color w:val="auto"/>
        </w:rPr>
      </w:pPr>
      <w:r>
        <w:rPr>
          <w:rFonts w:ascii="Arial" w:cs="Arial" w:eastAsia="Arial" w:hAnsi="Arial"/>
          <w:sz w:val="15"/>
          <w:szCs w:val="15"/>
          <w:color w:val="auto"/>
        </w:rPr>
        <w:t>The Company has evaluated subsequent events through March 12, 2018, the date the consolidated financial statements as of and for the years ended December 31, 2017 were available for issuance.</w:t>
      </w:r>
    </w:p>
    <w:p>
      <w:pPr>
        <w:spacing w:after="0" w:line="146" w:lineRule="exact"/>
        <w:rPr>
          <w:sz w:val="20"/>
          <w:szCs w:val="20"/>
          <w:color w:val="auto"/>
        </w:rPr>
      </w:pPr>
    </w:p>
    <w:p>
      <w:pPr>
        <w:ind w:left="1120" w:right="59" w:firstLine="368"/>
        <w:spacing w:after="0" w:line="275" w:lineRule="auto"/>
        <w:rPr>
          <w:sz w:val="20"/>
          <w:szCs w:val="20"/>
          <w:color w:val="auto"/>
        </w:rPr>
      </w:pPr>
      <w:r>
        <w:rPr>
          <w:rFonts w:ascii="Arial" w:cs="Arial" w:eastAsia="Arial" w:hAnsi="Arial"/>
          <w:sz w:val="15"/>
          <w:szCs w:val="15"/>
          <w:color w:val="auto"/>
        </w:rPr>
        <w:t>In March 2018, the Board of Directors approved grants of RSUs of 1,011,430. These RSUs will result in estimated stock-based compensation of $17.4 million, which is expected to be recognized over a weighted-average period of 3.8 years from the grant date.</w:t>
      </w:r>
    </w:p>
    <w:p>
      <w:pPr>
        <w:spacing w:after="0" w:line="146" w:lineRule="exact"/>
        <w:rPr>
          <w:sz w:val="20"/>
          <w:szCs w:val="20"/>
          <w:color w:val="auto"/>
        </w:rPr>
      </w:pPr>
    </w:p>
    <w:p>
      <w:pPr>
        <w:jc w:val="both"/>
        <w:ind w:left="1120" w:right="159" w:firstLine="368"/>
        <w:spacing w:after="0" w:line="263" w:lineRule="auto"/>
        <w:rPr>
          <w:sz w:val="20"/>
          <w:szCs w:val="20"/>
          <w:color w:val="auto"/>
        </w:rPr>
      </w:pPr>
      <w:r>
        <w:rPr>
          <w:rFonts w:ascii="Arial" w:cs="Arial" w:eastAsia="Arial" w:hAnsi="Arial"/>
          <w:sz w:val="15"/>
          <w:szCs w:val="15"/>
          <w:color w:val="auto"/>
        </w:rPr>
        <w:t>In March 2018, the Company entered in to a purchase agreement with Salesforce Ventures LLC to purchase $100.0 million of the Company’s Class A common stock in a private placement at the price per share equal to the initial public offering price. The purchase of the Company’s Class A shares will occur immediately subsequent to the closing of the Company’s initial public offering.</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19"/>
          </w:cols>
          <w:pgMar w:left="240" w:top="408" w:right="1440"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2591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869815" cy="6259195"/>
                    </a:xfrm>
                    <a:prstGeom prst="rect">
                      <a:avLst/>
                    </a:prstGeom>
                    <a:noFill/>
                  </pic:spPr>
                </pic:pic>
              </a:graphicData>
            </a:graphic>
          </wp:anchor>
        </w:drawing>
      </w:r>
    </w:p>
    <w:p>
      <w:pPr>
        <w:sectPr>
          <w:pgSz w:w="11900" w:h="16838" w:orient="portrait"/>
          <w:cols w:equalWidth="0" w:num="1">
            <w:col w:w="10219"/>
          </w:cols>
          <w:pgMar w:left="240" w:top="408" w:right="1440"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PART II</w:t>
      </w:r>
    </w:p>
    <w:p>
      <w:pPr>
        <w:spacing w:after="0" w:line="188"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following table sets forth all expenses to be paid by us, other than underwriting discounts and commissions, upon completion of this offering.</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All amounts shown are estimates except for the SEC registration fee, the FINRA filing fee and the exchange listing fee.</w:t>
      </w:r>
    </w:p>
    <w:p>
      <w:pPr>
        <w:spacing w:after="0" w:line="179" w:lineRule="exact"/>
        <w:rPr>
          <w:sz w:val="20"/>
          <w:szCs w:val="20"/>
          <w:color w:val="auto"/>
        </w:rPr>
      </w:pPr>
    </w:p>
    <w:tbl>
      <w:tblPr>
        <w:tblLayout w:type="fixed"/>
        <w:tblInd w:w="2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Amount</w:t>
            </w:r>
          </w:p>
        </w:tc>
      </w:tr>
      <w:tr>
        <w:trPr>
          <w:trHeight w:val="144"/>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to be paid</w:t>
            </w:r>
          </w:p>
        </w:tc>
      </w:tr>
      <w:tr>
        <w:trPr>
          <w:trHeight w:val="172"/>
        </w:trPr>
        <w:tc>
          <w:tcPr>
            <w:tcW w:w="20" w:type="dxa"/>
            <w:vAlign w:val="bottom"/>
          </w:tcPr>
          <w:p>
            <w:pPr>
              <w:spacing w:after="0"/>
              <w:rPr>
                <w:sz w:val="14"/>
                <w:szCs w:val="14"/>
                <w:color w:val="auto"/>
              </w:rPr>
            </w:pPr>
          </w:p>
        </w:tc>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SEC registration fee</w:t>
            </w:r>
          </w:p>
        </w:tc>
        <w:tc>
          <w:tcPr>
            <w:tcW w:w="1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92,778</w:t>
            </w:r>
          </w:p>
        </w:tc>
        <w:tc>
          <w:tcPr>
            <w:tcW w:w="60" w:type="dxa"/>
            <w:vAlign w:val="bottom"/>
            <w:tcBorders>
              <w:top w:val="single" w:sz="8" w:color="CCEEFF"/>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FINRA filing fee</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112,280</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Exchange listing fee</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Printing and engraving expenses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850,000</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2,000,000</w:t>
            </w:r>
          </w:p>
        </w:tc>
        <w:tc>
          <w:tcPr>
            <w:tcW w:w="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2,500,000</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Transfer agent and registrar fees</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6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Miscellaneous</w:t>
            </w:r>
          </w:p>
        </w:tc>
        <w:tc>
          <w:tcPr>
            <w:tcW w:w="1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209,942</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6,000,000</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02"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Section 145 of the Delaware General Corporation Law authorizes a corporation’s board of directors to grant, and authorizes a court to award, indemnity to officers, directors, and other corporate agents.</w:t>
      </w:r>
    </w:p>
    <w:p>
      <w:pPr>
        <w:spacing w:after="0" w:line="146"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9" w:lineRule="exact"/>
        <w:rPr>
          <w:sz w:val="20"/>
          <w:szCs w:val="20"/>
          <w:color w:val="auto"/>
        </w:rPr>
      </w:pPr>
    </w:p>
    <w:p>
      <w:pPr>
        <w:ind w:left="1840" w:hanging="276"/>
        <w:spacing w:after="0"/>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109" w:lineRule="exact"/>
        <w:rPr>
          <w:rFonts w:ascii="Arial" w:cs="Arial" w:eastAsia="Arial" w:hAnsi="Arial"/>
          <w:sz w:val="15"/>
          <w:szCs w:val="15"/>
          <w:color w:val="auto"/>
        </w:rPr>
      </w:pPr>
    </w:p>
    <w:p>
      <w:pPr>
        <w:ind w:left="1840" w:right="560" w:hanging="276"/>
        <w:spacing w:after="0" w:line="275" w:lineRule="auto"/>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8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8" w:lineRule="exact"/>
        <w:rPr>
          <w:sz w:val="20"/>
          <w:szCs w:val="20"/>
          <w:color w:val="auto"/>
        </w:rPr>
      </w:pPr>
    </w:p>
    <w:p>
      <w:pPr>
        <w:ind w:left="1120" w:right="160" w:firstLine="368"/>
        <w:spacing w:after="0" w:line="263"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60"/>
          </w:cols>
          <w:pgMar w:left="240" w:top="407" w:right="139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2" w:lineRule="auto"/>
        <w:rPr>
          <w:sz w:val="20"/>
          <w:szCs w:val="20"/>
          <w:color w:val="auto"/>
        </w:rPr>
      </w:pPr>
      <w:r>
        <w:rPr>
          <w:rFonts w:ascii="Arial" w:cs="Arial" w:eastAsia="Arial" w:hAnsi="Arial"/>
          <w:sz w:val="13"/>
          <w:szCs w:val="13"/>
          <w:color w:val="auto"/>
        </w:rPr>
        <w:t>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34"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0"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8"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146"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January 1, 2014, we have issued the following unregistered securities:</w:t>
      </w:r>
    </w:p>
    <w:p>
      <w:pPr>
        <w:spacing w:after="0" w:line="9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Preferred Stock Issuances</w:t>
      </w:r>
    </w:p>
    <w:p>
      <w:pPr>
        <w:spacing w:after="0" w:line="102"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From January 2014 through April 2014, we sold an aggregate of 12,307,226 shares of our Series C convertible preferred stock to 55 accredited investors at a purchase price of approximately $28.65 per share, for an aggregate purchase price of $352,625,362.</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300"/>
          </w:cols>
          <w:pgMar w:left="240" w:top="407" w:right="135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Option and RSU Issuances</w:t>
      </w:r>
    </w:p>
    <w:p>
      <w:pPr>
        <w:spacing w:after="0" w:line="102"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From January 1, 2014 to December 31, 2017, we granted to our directors, officers, employees, consultants, and other service providers options to purchase an aggregate of 10,295,142 shares of our Class B common stock under our 2008 Plan at exercise prices ranging from approximately $20.76 to $25.23 per share.</w:t>
      </w:r>
    </w:p>
    <w:p>
      <w:pPr>
        <w:spacing w:after="0" w:line="155"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From January 1, 2014 to December 31, 2017, we granted to our directors, officers, employees, consultants, and other service providers an aggregate of 19,186,292 RSUs to be settled in shares of our Class A common stock under our 2017 Plan and an aggregate of 51,321,122 RSUs to be settled in shares of our Class B common stock under our 2008 Plan.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RSA Grants</w:t>
      </w:r>
    </w:p>
    <w:p>
      <w:pPr>
        <w:spacing w:after="0" w:line="102" w:lineRule="exact"/>
        <w:rPr>
          <w:sz w:val="20"/>
          <w:szCs w:val="20"/>
          <w:color w:val="auto"/>
        </w:rPr>
      </w:pPr>
    </w:p>
    <w:p>
      <w:pPr>
        <w:ind w:left="1120" w:right="160" w:firstLine="368"/>
        <w:spacing w:after="0" w:line="354" w:lineRule="auto"/>
        <w:rPr>
          <w:sz w:val="20"/>
          <w:szCs w:val="20"/>
          <w:color w:val="auto"/>
        </w:rPr>
      </w:pPr>
      <w:r>
        <w:rPr>
          <w:rFonts w:ascii="Arial" w:cs="Arial" w:eastAsia="Arial" w:hAnsi="Arial"/>
          <w:sz w:val="13"/>
          <w:szCs w:val="13"/>
          <w:color w:val="auto"/>
        </w:rPr>
        <w:t>In December 2017, we granted RSAs with respect to 14.7 million shares of Class A common stock, of which 10.3 million RSAs were granted to Mr. Houston, our co-founder and Chief Executive Officer, and 4.4 million RSAs were granted to Mr. Ferdowsi, our co-founder and Director.</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Shares Issued in Connection with Third-Party Tender Offer</w:t>
      </w:r>
    </w:p>
    <w:p>
      <w:pPr>
        <w:spacing w:after="0" w:line="102"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From January 1, 2014 to December 31, 2017, we issued an aggregate of 5,452,108 shares of our Class A common stock in connection with a third-party tender offer to purchase shares of our capital stock from certain holders of our Class B common stock and convertible preferred stock. Each share of our Class B common stock and convertible preferred stock transferred in connection with the tender offer was automatically converted to one share of our Class A common stock.</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Shares Issued in Connection with Acquisitions</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From January 1, 2014 to December 31, 2017, we issued an aggregate of 4,177,085 shares of our Class B common stock in connection with our acquisitions of certain companies or their assets and as consideration to individuals and entities who were former service providers and/or stockholders of such companies.</w:t>
      </w:r>
    </w:p>
    <w:p>
      <w:pPr>
        <w:spacing w:after="0" w:line="155"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09" w:lineRule="exact"/>
        <w:rPr>
          <w:sz w:val="20"/>
          <w:szCs w:val="20"/>
          <w:color w:val="auto"/>
        </w:rPr>
      </w:pPr>
    </w:p>
    <w:p>
      <w:pPr>
        <w:ind w:left="1480" w:hanging="368"/>
        <w:spacing w:after="0"/>
        <w:tabs>
          <w:tab w:leader="none" w:pos="148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02"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See the Exhibit Index immediately preceding the signature page hereto for a list of exhibits filed as part of this registration statement on Form S-1, which Exhibit Index is incorporated herein by reference.</w:t>
      </w:r>
    </w:p>
    <w:p>
      <w:pPr>
        <w:spacing w:after="0" w:line="266" w:lineRule="exact"/>
        <w:rPr>
          <w:sz w:val="20"/>
          <w:szCs w:val="20"/>
          <w:color w:val="auto"/>
        </w:rPr>
      </w:pPr>
    </w:p>
    <w:p>
      <w:pPr>
        <w:ind w:left="1480" w:hanging="368"/>
        <w:spacing w:after="0"/>
        <w:tabs>
          <w:tab w:leader="none" w:pos="1480"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statement schedules.</w:t>
      </w:r>
    </w:p>
    <w:p>
      <w:pPr>
        <w:spacing w:after="0" w:line="102" w:lineRule="exact"/>
        <w:rPr>
          <w:sz w:val="20"/>
          <w:szCs w:val="20"/>
          <w:color w:val="auto"/>
        </w:rPr>
      </w:pPr>
    </w:p>
    <w:p>
      <w:pPr>
        <w:ind w:left="1120" w:right="280" w:firstLine="368"/>
        <w:spacing w:after="0" w:line="275" w:lineRule="auto"/>
        <w:rPr>
          <w:sz w:val="20"/>
          <w:szCs w:val="20"/>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notes thereto.</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0320"/>
          </w:cols>
          <w:pgMar w:left="240" w:top="408" w:right="133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17. UNDERTAKINGS.</w:t>
      </w:r>
    </w:p>
    <w:p>
      <w:pPr>
        <w:spacing w:after="0" w:line="102" w:lineRule="exact"/>
        <w:rPr>
          <w:sz w:val="20"/>
          <w:szCs w:val="20"/>
          <w:color w:val="auto"/>
        </w:rPr>
      </w:pPr>
    </w:p>
    <w:p>
      <w:pPr>
        <w:ind w:left="1120" w:right="60" w:firstLine="368"/>
        <w:spacing w:after="0" w:line="312" w:lineRule="auto"/>
        <w:rPr>
          <w:sz w:val="20"/>
          <w:szCs w:val="20"/>
          <w:color w:val="auto"/>
        </w:rPr>
      </w:pPr>
      <w:r>
        <w:rPr>
          <w:rFonts w:ascii="Arial" w:cs="Arial" w:eastAsia="Arial" w:hAnsi="Arial"/>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3"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09" w:lineRule="exact"/>
        <w:rPr>
          <w:sz w:val="20"/>
          <w:szCs w:val="20"/>
          <w:color w:val="auto"/>
        </w:rPr>
      </w:pPr>
    </w:p>
    <w:p>
      <w:pPr>
        <w:ind w:left="1840" w:hanging="367"/>
        <w:spacing w:after="0" w:line="322" w:lineRule="auto"/>
        <w:tabs>
          <w:tab w:leader="none" w:pos="18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3"/>
          <w:szCs w:val="13"/>
          <w:color w:val="auto"/>
        </w:rPr>
      </w:pPr>
    </w:p>
    <w:p>
      <w:pPr>
        <w:ind w:left="1840" w:right="180" w:hanging="367"/>
        <w:spacing w:after="0" w:line="263" w:lineRule="auto"/>
        <w:tabs>
          <w:tab w:leader="none" w:pos="18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280"/>
          </w:cols>
          <w:pgMar w:left="240" w:top="408" w:right="137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60" w:type="dxa"/>
            <w:vAlign w:val="bottom"/>
            <w:gridSpan w:val="26"/>
          </w:tcPr>
          <w:p>
            <w:pPr>
              <w:jc w:val="center"/>
              <w:ind w:right="2720"/>
              <w:spacing w:after="0"/>
              <w:rPr>
                <w:sz w:val="20"/>
                <w:szCs w:val="20"/>
                <w:color w:val="auto"/>
              </w:rPr>
            </w:pPr>
            <w:r>
              <w:rPr>
                <w:rFonts w:ascii="Arial" w:cs="Arial" w:eastAsia="Arial" w:hAnsi="Arial"/>
                <w:sz w:val="15"/>
                <w:szCs w:val="15"/>
                <w:b w:val="1"/>
                <w:bCs w:val="1"/>
                <w:color w:val="auto"/>
              </w:rPr>
              <w:t>EXHIBIT INDEX</w:t>
            </w:r>
          </w:p>
        </w:tc>
        <w:tc>
          <w:tcPr>
            <w:tcW w:w="0" w:type="dxa"/>
            <w:vAlign w:val="bottom"/>
          </w:tcPr>
          <w:p>
            <w:pPr>
              <w:spacing w:after="0"/>
              <w:rPr>
                <w:sz w:val="1"/>
                <w:szCs w:val="1"/>
                <w:color w:val="auto"/>
              </w:rPr>
            </w:pPr>
          </w:p>
        </w:tc>
      </w:tr>
      <w:tr>
        <w:trPr>
          <w:trHeight w:val="31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5"/>
            <w:vMerge w:val="restart"/>
          </w:tcPr>
          <w:p>
            <w:pPr>
              <w:spacing w:after="0"/>
              <w:rPr>
                <w:sz w:val="20"/>
                <w:szCs w:val="20"/>
                <w:color w:val="auto"/>
              </w:rPr>
            </w:pPr>
            <w:r>
              <w:rPr>
                <w:rFonts w:ascii="Arial" w:cs="Arial" w:eastAsia="Arial" w:hAnsi="Arial"/>
                <w:sz w:val="12"/>
                <w:szCs w:val="12"/>
                <w:b w:val="1"/>
                <w:bCs w:val="1"/>
                <w:color w:val="auto"/>
                <w:w w:val="87"/>
              </w:rPr>
              <w:t>Description</w:t>
            </w:r>
          </w:p>
        </w:tc>
        <w:tc>
          <w:tcPr>
            <w:tcW w:w="344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line="127" w:lineRule="exact"/>
              <w:rPr>
                <w:sz w:val="20"/>
                <w:szCs w:val="20"/>
                <w:color w:val="auto"/>
              </w:rPr>
            </w:pPr>
            <w:r>
              <w:rPr>
                <w:rFonts w:ascii="Arial" w:cs="Arial" w:eastAsia="Arial" w:hAnsi="Arial"/>
                <w:sz w:val="12"/>
                <w:szCs w:val="12"/>
                <w:b w:val="1"/>
                <w:bCs w:val="1"/>
                <w:color w:val="auto"/>
                <w:w w:val="83"/>
              </w:rPr>
              <w:t>Number</w:t>
            </w: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gridSpan w:val="5"/>
            <w:vMerge w:val="continue"/>
          </w:tcPr>
          <w:p>
            <w:pPr>
              <w:spacing w:after="0"/>
              <w:rPr>
                <w:sz w:val="11"/>
                <w:szCs w:val="11"/>
                <w:color w:val="auto"/>
              </w:rPr>
            </w:pPr>
          </w:p>
        </w:tc>
        <w:tc>
          <w:tcPr>
            <w:tcW w:w="344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rPr>
              <w:t>Form of Underwriting Agreement.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40" w:type="dxa"/>
            <w:vAlign w:val="bottom"/>
            <w:tcBorders>
              <w:bottom w:val="single" w:sz="8" w:color="0000EE"/>
            </w:tcBorders>
            <w:gridSpan w:val="17"/>
          </w:tcPr>
          <w:p>
            <w:pPr>
              <w:spacing w:after="0"/>
              <w:rPr>
                <w:rFonts w:ascii="Arial" w:cs="Arial" w:eastAsia="Arial" w:hAnsi="Arial"/>
                <w:sz w:val="15"/>
                <w:szCs w:val="15"/>
                <w:color w:val="0000EE"/>
                <w:w w:val="90"/>
              </w:rPr>
            </w:pPr>
            <w:hyperlink r:id="rId346">
              <w:r>
                <w:rPr>
                  <w:rFonts w:ascii="Arial" w:cs="Arial" w:eastAsia="Arial" w:hAnsi="Arial"/>
                  <w:sz w:val="15"/>
                  <w:szCs w:val="15"/>
                  <w:color w:val="0000EE"/>
                  <w:w w:val="90"/>
                </w:rPr>
                <w:t>Restated Certificate of Incorporation of the Registrant, as amended and currently in effect.</w:t>
              </w:r>
            </w:hyperlink>
          </w:p>
        </w:tc>
        <w:tc>
          <w:tcPr>
            <w:tcW w:w="24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47">
              <w:r>
                <w:rPr>
                  <w:rFonts w:ascii="Arial" w:cs="Arial" w:eastAsia="Arial" w:hAnsi="Arial"/>
                  <w:sz w:val="15"/>
                  <w:szCs w:val="15"/>
                  <w:color w:val="0000EE"/>
                </w:rPr>
                <w:t>Certificate of Amendment to the Restated Certificate of Incorporation, as filed on April 4, 2014.</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80" w:type="dxa"/>
            <w:vAlign w:val="bottom"/>
            <w:tcBorders>
              <w:bottom w:val="single" w:sz="8" w:color="0000EE"/>
            </w:tcBorders>
            <w:gridSpan w:val="20"/>
          </w:tcPr>
          <w:p>
            <w:pPr>
              <w:spacing w:after="0"/>
              <w:rPr>
                <w:rFonts w:ascii="Arial" w:cs="Arial" w:eastAsia="Arial" w:hAnsi="Arial"/>
                <w:sz w:val="15"/>
                <w:szCs w:val="15"/>
                <w:color w:val="0000EE"/>
                <w:w w:val="92"/>
              </w:rPr>
            </w:pPr>
            <w:hyperlink r:id="rId348">
              <w:r>
                <w:rPr>
                  <w:rFonts w:ascii="Arial" w:cs="Arial" w:eastAsia="Arial" w:hAnsi="Arial"/>
                  <w:sz w:val="15"/>
                  <w:szCs w:val="15"/>
                  <w:color w:val="0000EE"/>
                  <w:w w:val="92"/>
                </w:rPr>
                <w:t>Certificate of Amendment to the Restated Certificate of Incorporation, as filed on April 21, 2016.</w:t>
              </w:r>
            </w:hyperlink>
          </w:p>
        </w:tc>
        <w:tc>
          <w:tcPr>
            <w:tcW w:w="19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rPr>
              <w:t>Certificate of Amendment to the Restated Certificate of Incorporation, as filed on March 7, 2018.</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w w:val="95"/>
              </w:rPr>
              <w:t>Form of Amended and Restated Certificate of Incorporation of the Registrant, to be in effect upon completion of this offering.</w:t>
            </w: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580" w:type="dxa"/>
            <w:vAlign w:val="bottom"/>
            <w:tcBorders>
              <w:top w:val="single" w:sz="8" w:color="0000EE"/>
            </w:tcBorders>
            <w:gridSpan w:val="26"/>
          </w:tcPr>
          <w:p>
            <w:pPr>
              <w:spacing w:after="0"/>
              <w:rPr>
                <w:rFonts w:ascii="Arial" w:cs="Arial" w:eastAsia="Arial" w:hAnsi="Arial"/>
                <w:sz w:val="15"/>
                <w:szCs w:val="15"/>
                <w:color w:val="0000EE"/>
              </w:rPr>
            </w:pPr>
            <w:hyperlink r:id="rId349">
              <w:r>
                <w:rPr>
                  <w:rFonts w:ascii="Arial" w:cs="Arial" w:eastAsia="Arial" w:hAnsi="Arial"/>
                  <w:sz w:val="15"/>
                  <w:szCs w:val="15"/>
                  <w:color w:val="0000EE"/>
                </w:rPr>
                <w:t>Bylaws of the Registrant, as amended and currently in effect.</w:t>
              </w:r>
            </w:hyperlink>
          </w:p>
        </w:tc>
        <w:tc>
          <w:tcPr>
            <w:tcW w:w="2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5"/>
                <w:szCs w:val="15"/>
                <w:color w:val="0000EE"/>
                <w:w w:val="92"/>
              </w:rPr>
              <w:t>Form of Class A common stock certificate of the Registrant.</w:t>
            </w:r>
          </w:p>
        </w:tc>
        <w:tc>
          <w:tcPr>
            <w:tcW w:w="2700" w:type="dxa"/>
            <w:vAlign w:val="bottom"/>
            <w:tcBorders>
              <w:top w:val="single" w:sz="8" w:color="0000EE"/>
            </w:tcBorders>
            <w:gridSpan w:val="16"/>
          </w:tcPr>
          <w:p>
            <w:pPr>
              <w:spacing w:after="0"/>
              <w:rPr>
                <w:sz w:val="21"/>
                <w:szCs w:val="21"/>
                <w:color w:val="auto"/>
              </w:rPr>
            </w:pPr>
          </w:p>
        </w:tc>
        <w:tc>
          <w:tcPr>
            <w:tcW w:w="14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w w:val="93"/>
              </w:rPr>
            </w:pPr>
            <w:hyperlink r:id="rId350">
              <w:r>
                <w:rPr>
                  <w:rFonts w:ascii="Arial" w:cs="Arial" w:eastAsia="Arial" w:hAnsi="Arial"/>
                  <w:sz w:val="15"/>
                  <w:szCs w:val="15"/>
                  <w:color w:val="0000EE"/>
                  <w:w w:val="93"/>
                </w:rPr>
                <w:t>Amended and Restated Investors’ Rights Agreement among the Registrant and certain holders of its capital stock, dated as of</w:t>
              </w:r>
            </w:hyperlink>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tcBorders>
              <w:top w:val="single" w:sz="8" w:color="0000EE"/>
              <w:bottom w:val="single" w:sz="8" w:color="0000EE"/>
            </w:tcBorders>
          </w:tcPr>
          <w:p>
            <w:pPr>
              <w:spacing w:after="0" w:line="161" w:lineRule="exact"/>
              <w:rPr>
                <w:rFonts w:ascii="Arial" w:cs="Arial" w:eastAsia="Arial" w:hAnsi="Arial"/>
                <w:sz w:val="15"/>
                <w:szCs w:val="15"/>
                <w:color w:val="0000EE"/>
                <w:w w:val="87"/>
              </w:rPr>
            </w:pPr>
            <w:hyperlink r:id="rId350">
              <w:r>
                <w:rPr>
                  <w:rFonts w:ascii="Arial" w:cs="Arial" w:eastAsia="Arial" w:hAnsi="Arial"/>
                  <w:sz w:val="15"/>
                  <w:szCs w:val="15"/>
                  <w:color w:val="0000EE"/>
                  <w:w w:val="87"/>
                </w:rPr>
                <w:t>January 30, 2014, as amended.</w:t>
              </w:r>
            </w:hyperlink>
          </w:p>
        </w:tc>
        <w:tc>
          <w:tcPr>
            <w:tcW w:w="5680" w:type="dxa"/>
            <w:vAlign w:val="bottom"/>
            <w:tcBorders>
              <w:top w:val="single" w:sz="8" w:color="0000EE"/>
            </w:tcBorders>
            <w:gridSpan w:val="24"/>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2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92"/>
              </w:rPr>
              <w:t>Opinion of Wilson Sonsini Goodrich &amp; Rosati, P.C.</w:t>
            </w:r>
          </w:p>
        </w:tc>
        <w:tc>
          <w:tcPr>
            <w:tcW w:w="472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1">
              <w:r>
                <w:rPr>
                  <w:rFonts w:ascii="Arial" w:cs="Arial" w:eastAsia="Arial" w:hAnsi="Arial"/>
                  <w:sz w:val="15"/>
                  <w:szCs w:val="15"/>
                  <w:color w:val="0000EE"/>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20" w:type="dxa"/>
            <w:vAlign w:val="bottom"/>
            <w:tcBorders>
              <w:top w:val="single" w:sz="8" w:color="0000EE"/>
              <w:bottom w:val="single" w:sz="8" w:color="0000EE"/>
            </w:tcBorders>
            <w:gridSpan w:val="10"/>
          </w:tcPr>
          <w:p>
            <w:pPr>
              <w:spacing w:after="0"/>
              <w:rPr>
                <w:rFonts w:ascii="Arial" w:cs="Arial" w:eastAsia="Arial" w:hAnsi="Arial"/>
                <w:sz w:val="15"/>
                <w:szCs w:val="15"/>
                <w:color w:val="0000EE"/>
                <w:w w:val="91"/>
              </w:rPr>
            </w:pPr>
            <w:hyperlink r:id="rId352">
              <w:r>
                <w:rPr>
                  <w:rFonts w:ascii="Arial" w:cs="Arial" w:eastAsia="Arial" w:hAnsi="Arial"/>
                  <w:sz w:val="15"/>
                  <w:szCs w:val="15"/>
                  <w:color w:val="0000EE"/>
                  <w:w w:val="91"/>
                </w:rPr>
                <w:t>Dropbox, Inc. 2018 Equity Incentive Plan and related form agreements.</w:t>
              </w:r>
            </w:hyperlink>
          </w:p>
        </w:tc>
        <w:tc>
          <w:tcPr>
            <w:tcW w:w="2160" w:type="dxa"/>
            <w:vAlign w:val="bottom"/>
            <w:tcBorders>
              <w:top w:val="single" w:sz="8" w:color="0000EE"/>
            </w:tcBorders>
            <w:gridSpan w:val="12"/>
          </w:tcPr>
          <w:p>
            <w:pPr>
              <w:spacing w:after="0"/>
              <w:rPr>
                <w:sz w:val="21"/>
                <w:szCs w:val="21"/>
                <w:color w:val="auto"/>
              </w:rPr>
            </w:pPr>
          </w:p>
        </w:tc>
        <w:tc>
          <w:tcPr>
            <w:tcW w:w="13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3">
              <w:r>
                <w:rPr>
                  <w:rFonts w:ascii="Arial" w:cs="Arial" w:eastAsia="Arial" w:hAnsi="Arial"/>
                  <w:sz w:val="15"/>
                  <w:szCs w:val="15"/>
                  <w:color w:val="0000EE"/>
                </w:rPr>
                <w:t>Dropbox, Inc. 2018 Employee Stock Purchase Plan and related form agreements</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8"/>
              </w:rPr>
              <w:t>10.4+ #</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760" w:type="dxa"/>
            <w:vAlign w:val="bottom"/>
            <w:tcBorders>
              <w:top w:val="single" w:sz="8" w:color="0000EE"/>
              <w:bottom w:val="single" w:sz="8" w:color="0000EE"/>
            </w:tcBorders>
            <w:gridSpan w:val="13"/>
          </w:tcPr>
          <w:p>
            <w:pPr>
              <w:spacing w:after="0"/>
              <w:rPr>
                <w:rFonts w:ascii="Arial" w:cs="Arial" w:eastAsia="Arial" w:hAnsi="Arial"/>
                <w:sz w:val="15"/>
                <w:szCs w:val="15"/>
                <w:color w:val="0000EE"/>
                <w:w w:val="90"/>
              </w:rPr>
            </w:pPr>
            <w:hyperlink r:id="rId354">
              <w:r>
                <w:rPr>
                  <w:rFonts w:ascii="Arial" w:cs="Arial" w:eastAsia="Arial" w:hAnsi="Arial"/>
                  <w:sz w:val="15"/>
                  <w:szCs w:val="15"/>
                  <w:color w:val="0000EE"/>
                  <w:w w:val="90"/>
                </w:rPr>
                <w:t>Dropbox, Inc. 2018 Class C Stock Incentive Plan and related form agreements.</w:t>
              </w:r>
            </w:hyperlink>
          </w:p>
        </w:tc>
        <w:tc>
          <w:tcPr>
            <w:tcW w:w="80" w:type="dxa"/>
            <w:vAlign w:val="bottom"/>
            <w:tcBorders>
              <w:top w:val="single" w:sz="8" w:color="0000EE"/>
            </w:tcBorders>
          </w:tcPr>
          <w:p>
            <w:pPr>
              <w:spacing w:after="0"/>
              <w:rPr>
                <w:sz w:val="21"/>
                <w:szCs w:val="21"/>
                <w:color w:val="auto"/>
              </w:rPr>
            </w:pPr>
          </w:p>
        </w:tc>
        <w:tc>
          <w:tcPr>
            <w:tcW w:w="30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5">
              <w:r>
                <w:rPr>
                  <w:rFonts w:ascii="Arial" w:cs="Arial" w:eastAsia="Arial" w:hAnsi="Arial"/>
                  <w:sz w:val="15"/>
                  <w:szCs w:val="15"/>
                  <w:color w:val="0000EE"/>
                </w:rPr>
                <w:t>Dropbox, Inc. 2018 Class C Employee Stock Purchase Plan and related form agreements.</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20" w:type="dxa"/>
            <w:vAlign w:val="bottom"/>
            <w:tcBorders>
              <w:top w:val="single" w:sz="8" w:color="0000EE"/>
              <w:bottom w:val="single" w:sz="8" w:color="0000EE"/>
            </w:tcBorders>
            <w:gridSpan w:val="10"/>
          </w:tcPr>
          <w:p>
            <w:pPr>
              <w:spacing w:after="0"/>
              <w:rPr>
                <w:rFonts w:ascii="Arial" w:cs="Arial" w:eastAsia="Arial" w:hAnsi="Arial"/>
                <w:sz w:val="15"/>
                <w:szCs w:val="15"/>
                <w:color w:val="0000EE"/>
                <w:w w:val="91"/>
              </w:rPr>
            </w:pPr>
            <w:hyperlink r:id="rId356">
              <w:r>
                <w:rPr>
                  <w:rFonts w:ascii="Arial" w:cs="Arial" w:eastAsia="Arial" w:hAnsi="Arial"/>
                  <w:sz w:val="15"/>
                  <w:szCs w:val="15"/>
                  <w:color w:val="0000EE"/>
                  <w:w w:val="91"/>
                </w:rPr>
                <w:t>Dropbox, Inc. 2017 Equity Incentive Plan and related form agreements.</w:t>
              </w:r>
            </w:hyperlink>
          </w:p>
        </w:tc>
        <w:tc>
          <w:tcPr>
            <w:tcW w:w="1060" w:type="dxa"/>
            <w:vAlign w:val="bottom"/>
            <w:tcBorders>
              <w:top w:val="single" w:sz="8" w:color="0000EE"/>
            </w:tcBorders>
            <w:gridSpan w:val="6"/>
          </w:tcPr>
          <w:p>
            <w:pPr>
              <w:spacing w:after="0"/>
              <w:rPr>
                <w:sz w:val="21"/>
                <w:szCs w:val="21"/>
                <w:color w:val="auto"/>
              </w:rPr>
            </w:pPr>
          </w:p>
        </w:tc>
        <w:tc>
          <w:tcPr>
            <w:tcW w:w="24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40" w:type="dxa"/>
            <w:vAlign w:val="bottom"/>
            <w:tcBorders>
              <w:bottom w:val="single" w:sz="8" w:color="0000EE"/>
            </w:tcBorders>
            <w:gridSpan w:val="15"/>
          </w:tcPr>
          <w:p>
            <w:pPr>
              <w:spacing w:after="0"/>
              <w:rPr>
                <w:rFonts w:ascii="Arial" w:cs="Arial" w:eastAsia="Arial" w:hAnsi="Arial"/>
                <w:sz w:val="15"/>
                <w:szCs w:val="15"/>
                <w:color w:val="0000EE"/>
                <w:w w:val="90"/>
              </w:rPr>
            </w:pPr>
            <w:hyperlink r:id="rId357">
              <w:r>
                <w:rPr>
                  <w:rFonts w:ascii="Arial" w:cs="Arial" w:eastAsia="Arial" w:hAnsi="Arial"/>
                  <w:sz w:val="15"/>
                  <w:szCs w:val="15"/>
                  <w:color w:val="0000EE"/>
                  <w:w w:val="90"/>
                </w:rPr>
                <w:t>Dropbox, Inc. 2008 Equity Incentive Plan, as amended, and related form agreements.</w:t>
              </w:r>
            </w:hyperlink>
          </w:p>
        </w:tc>
        <w:tc>
          <w:tcPr>
            <w:tcW w:w="270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8">
              <w:r>
                <w:rPr>
                  <w:rFonts w:ascii="Arial" w:cs="Arial" w:eastAsia="Arial" w:hAnsi="Arial"/>
                  <w:sz w:val="15"/>
                  <w:szCs w:val="15"/>
                  <w:color w:val="0000EE"/>
                </w:rPr>
                <w:t>Dropbox, Inc. Amended and Restated Cash Bonus Plan.</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9">
              <w:r>
                <w:rPr>
                  <w:rFonts w:ascii="Arial" w:cs="Arial" w:eastAsia="Arial" w:hAnsi="Arial"/>
                  <w:sz w:val="15"/>
                  <w:szCs w:val="15"/>
                  <w:color w:val="0000EE"/>
                </w:rPr>
                <w:t>Restricted Stock Agreement between the Registrant and Andrew W. Houston.</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80" w:type="dxa"/>
            <w:vAlign w:val="bottom"/>
            <w:tcBorders>
              <w:top w:val="single" w:sz="8" w:color="0000EE"/>
            </w:tcBorders>
            <w:gridSpan w:val="12"/>
          </w:tcPr>
          <w:p>
            <w:pPr>
              <w:spacing w:after="0"/>
              <w:rPr>
                <w:rFonts w:ascii="Arial" w:cs="Arial" w:eastAsia="Arial" w:hAnsi="Arial"/>
                <w:sz w:val="15"/>
                <w:szCs w:val="15"/>
                <w:color w:val="0000EE"/>
                <w:w w:val="95"/>
              </w:rPr>
            </w:pPr>
            <w:hyperlink r:id="rId360">
              <w:r>
                <w:rPr>
                  <w:rFonts w:ascii="Arial" w:cs="Arial" w:eastAsia="Arial" w:hAnsi="Arial"/>
                  <w:sz w:val="15"/>
                  <w:szCs w:val="15"/>
                  <w:color w:val="0000EE"/>
                  <w:w w:val="95"/>
                </w:rPr>
                <w:t>Restricted Stock Agreement between the Registrant and Arash Ferdowsi.</w:t>
              </w:r>
            </w:hyperlink>
          </w:p>
        </w:tc>
        <w:tc>
          <w:tcPr>
            <w:tcW w:w="31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61">
              <w:r>
                <w:rPr>
                  <w:rFonts w:ascii="Arial" w:cs="Arial" w:eastAsia="Arial" w:hAnsi="Arial"/>
                  <w:sz w:val="15"/>
                  <w:szCs w:val="15"/>
                  <w:color w:val="0000EE"/>
                </w:rPr>
                <w:t>Form of Change of Control and Severance Agreement between the Registrant and certain executive officers.</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5"/>
                <w:szCs w:val="15"/>
                <w:color w:val="0000EE"/>
                <w:w w:val="90"/>
              </w:rPr>
              <w:t>Employment Letter between the Registrant and Andrew W. Houston.</w:t>
            </w:r>
          </w:p>
        </w:tc>
        <w:tc>
          <w:tcPr>
            <w:tcW w:w="2360" w:type="dxa"/>
            <w:vAlign w:val="bottom"/>
            <w:tcBorders>
              <w:top w:val="single" w:sz="8" w:color="0000EE"/>
            </w:tcBorders>
            <w:gridSpan w:val="14"/>
          </w:tcPr>
          <w:p>
            <w:pPr>
              <w:spacing w:after="0"/>
              <w:rPr>
                <w:sz w:val="21"/>
                <w:szCs w:val="21"/>
                <w:color w:val="auto"/>
              </w:rPr>
            </w:pPr>
          </w:p>
        </w:tc>
        <w:tc>
          <w:tcPr>
            <w:tcW w:w="13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rPr>
              <w:t>Employment Letter between the Registrant and Arash Ferdowsi.</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2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w w:val="90"/>
              </w:rPr>
              <w:t>Employment Letter between the Registrant and Quentin J. Clark.</w:t>
            </w:r>
          </w:p>
        </w:tc>
        <w:tc>
          <w:tcPr>
            <w:tcW w:w="392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62">
              <w:r>
                <w:rPr>
                  <w:rFonts w:ascii="Arial" w:cs="Arial" w:eastAsia="Arial" w:hAnsi="Arial"/>
                  <w:sz w:val="15"/>
                  <w:szCs w:val="15"/>
                  <w:color w:val="0000EE"/>
                </w:rPr>
                <w:t>Office Lease between the Registrant and Kilroy Realty Finance Partnership, L.P., dated as of January 31, 2014.</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80" w:type="dxa"/>
            <w:vAlign w:val="bottom"/>
            <w:gridSpan w:val="24"/>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w w:val="92"/>
              </w:rPr>
            </w:pPr>
            <w:hyperlink r:id="rId363">
              <w:r>
                <w:rPr>
                  <w:rFonts w:ascii="Arial" w:cs="Arial" w:eastAsia="Arial" w:hAnsi="Arial"/>
                  <w:sz w:val="15"/>
                  <w:szCs w:val="15"/>
                  <w:color w:val="0000EE"/>
                  <w:w w:val="92"/>
                </w:rPr>
                <w:t>First Amendment to Office Lease between the Registrant and Kilroy Realty Finance Partnership, L.P., dated as of June 5, 2015.</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60" w:type="dxa"/>
            <w:vAlign w:val="bottom"/>
            <w:gridSpan w:val="2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tcBorders>
              <w:bottom w:val="single" w:sz="8" w:color="0000EE"/>
            </w:tcBorders>
            <w:gridSpan w:val="28"/>
          </w:tcPr>
          <w:p>
            <w:pPr>
              <w:spacing w:after="0"/>
              <w:rPr>
                <w:rFonts w:ascii="Arial" w:cs="Arial" w:eastAsia="Arial" w:hAnsi="Arial"/>
                <w:sz w:val="15"/>
                <w:szCs w:val="15"/>
                <w:color w:val="0000EE"/>
                <w:w w:val="90"/>
              </w:rPr>
            </w:pPr>
            <w:hyperlink r:id="rId364">
              <w:r>
                <w:rPr>
                  <w:rFonts w:ascii="Arial" w:cs="Arial" w:eastAsia="Arial" w:hAnsi="Arial"/>
                  <w:sz w:val="15"/>
                  <w:szCs w:val="15"/>
                  <w:color w:val="0000EE"/>
                  <w:w w:val="90"/>
                </w:rPr>
                <w:t>Second Amendment to Office Lease between the Registrant and Kilroy Realty Finance Partnership, L.P., dated as of May 3, 2016.</w:t>
              </w:r>
            </w:hyperlink>
          </w:p>
        </w:tc>
        <w:tc>
          <w:tcPr>
            <w:tcW w:w="0" w:type="dxa"/>
            <w:vAlign w:val="bottom"/>
          </w:tcPr>
          <w:p>
            <w:pPr>
              <w:spacing w:after="0"/>
              <w:rPr>
                <w:sz w:val="1"/>
                <w:szCs w:val="1"/>
                <w:color w:val="auto"/>
              </w:rPr>
            </w:pPr>
          </w:p>
        </w:tc>
      </w:tr>
      <w:tr>
        <w:trPr>
          <w:trHeight w:val="31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24"/>
          </w:tcPr>
          <w:p>
            <w:pPr>
              <w:jc w:val="center"/>
              <w:ind w:right="4040"/>
              <w:spacing w:after="0"/>
              <w:rPr>
                <w:sz w:val="20"/>
                <w:szCs w:val="20"/>
                <w:color w:val="auto"/>
              </w:rPr>
            </w:pPr>
            <w:r>
              <w:rPr>
                <w:rFonts w:ascii="Arial" w:cs="Arial" w:eastAsia="Arial" w:hAnsi="Arial"/>
                <w:sz w:val="15"/>
                <w:szCs w:val="15"/>
                <w:color w:val="auto"/>
              </w:rPr>
              <w:t>II-5</w:t>
            </w:r>
          </w:p>
        </w:tc>
        <w:tc>
          <w:tcPr>
            <w:tcW w:w="0" w:type="dxa"/>
            <w:vAlign w:val="bottom"/>
          </w:tcPr>
          <w:p>
            <w:pPr>
              <w:spacing w:after="0"/>
              <w:rPr>
                <w:sz w:val="1"/>
                <w:szCs w:val="1"/>
                <w:color w:val="auto"/>
              </w:rPr>
            </w:pPr>
          </w:p>
        </w:tc>
      </w:tr>
    </w:tbl>
    <w:p>
      <w:pPr>
        <w:sectPr>
          <w:pgSz w:w="11900" w:h="16838" w:orient="portrait"/>
          <w:cols w:equalWidth="0" w:num="1">
            <w:col w:w="10219"/>
          </w:cols>
          <w:pgMar w:left="240" w:top="408" w:right="1440"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w w:val="87"/>
              </w:rPr>
              <w:t>Description</w:t>
            </w:r>
          </w:p>
        </w:tc>
        <w:tc>
          <w:tcPr>
            <w:tcW w:w="37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line="127" w:lineRule="exact"/>
              <w:rPr>
                <w:sz w:val="20"/>
                <w:szCs w:val="20"/>
                <w:color w:val="auto"/>
              </w:rPr>
            </w:pPr>
            <w:r>
              <w:rPr>
                <w:rFonts w:ascii="Arial" w:cs="Arial" w:eastAsia="Arial" w:hAnsi="Arial"/>
                <w:sz w:val="12"/>
                <w:szCs w:val="12"/>
                <w:b w:val="1"/>
                <w:bCs w:val="1"/>
                <w:color w:val="auto"/>
                <w:w w:val="79"/>
              </w:rPr>
              <w:t>Number</w:t>
            </w: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37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60" w:type="dxa"/>
            <w:vAlign w:val="bottom"/>
            <w:gridSpan w:val="3"/>
          </w:tcPr>
          <w:p>
            <w:pPr>
              <w:spacing w:after="0"/>
              <w:rPr>
                <w:sz w:val="20"/>
                <w:szCs w:val="20"/>
                <w:color w:val="auto"/>
              </w:rPr>
            </w:pPr>
            <w:r>
              <w:rPr>
                <w:rFonts w:ascii="Arial" w:cs="Arial" w:eastAsia="Arial" w:hAnsi="Arial"/>
                <w:sz w:val="15"/>
                <w:szCs w:val="15"/>
                <w:color w:val="auto"/>
                <w:w w:val="95"/>
              </w:rPr>
              <w:t>10.18#</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940" w:type="dxa"/>
            <w:vAlign w:val="bottom"/>
            <w:tcBorders>
              <w:bottom w:val="single" w:sz="8" w:color="0000EE"/>
            </w:tcBorders>
            <w:gridSpan w:val="12"/>
          </w:tcPr>
          <w:p>
            <w:pPr>
              <w:spacing w:after="0"/>
              <w:rPr>
                <w:rFonts w:ascii="Arial" w:cs="Arial" w:eastAsia="Arial" w:hAnsi="Arial"/>
                <w:sz w:val="15"/>
                <w:szCs w:val="15"/>
                <w:color w:val="0000EE"/>
                <w:w w:val="90"/>
              </w:rPr>
            </w:pPr>
            <w:hyperlink r:id="rId366">
              <w:r>
                <w:rPr>
                  <w:rFonts w:ascii="Arial" w:cs="Arial" w:eastAsia="Arial" w:hAnsi="Arial"/>
                  <w:sz w:val="15"/>
                  <w:szCs w:val="15"/>
                  <w:color w:val="0000EE"/>
                  <w:w w:val="90"/>
                </w:rPr>
                <w:t>Third Amendment to Office Lease between the Registrant and Kilroy Realty Finance Partnership, L.P., dated as of October 6, 2017.</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w w:val="95"/>
              </w:rPr>
              <w:t>10.19#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20" w:type="dxa"/>
            <w:vAlign w:val="bottom"/>
            <w:tcBorders>
              <w:bottom w:val="single" w:sz="8" w:color="0000EE"/>
            </w:tcBorders>
            <w:gridSpan w:val="11"/>
          </w:tcPr>
          <w:p>
            <w:pPr>
              <w:spacing w:after="0"/>
              <w:rPr>
                <w:rFonts w:ascii="Arial" w:cs="Arial" w:eastAsia="Arial" w:hAnsi="Arial"/>
                <w:sz w:val="15"/>
                <w:szCs w:val="15"/>
                <w:color w:val="0000EE"/>
                <w:w w:val="90"/>
              </w:rPr>
            </w:pPr>
            <w:hyperlink r:id="rId367">
              <w:r>
                <w:rPr>
                  <w:rFonts w:ascii="Arial" w:cs="Arial" w:eastAsia="Arial" w:hAnsi="Arial"/>
                  <w:sz w:val="15"/>
                  <w:szCs w:val="15"/>
                  <w:color w:val="0000EE"/>
                  <w:w w:val="90"/>
                </w:rPr>
                <w:t>Office Lease between the Registrant and KR Mission Bay, LLC, dated as of October 6, 2017.</w:t>
              </w:r>
            </w:hyperlink>
          </w:p>
        </w:tc>
        <w:tc>
          <w:tcPr>
            <w:tcW w:w="25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w w:val="95"/>
              </w:rPr>
              <w:t>10.20#</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40" w:type="dxa"/>
            <w:vAlign w:val="bottom"/>
            <w:tcBorders>
              <w:bottom w:val="single" w:sz="8" w:color="0000EE"/>
            </w:tcBorders>
            <w:gridSpan w:val="14"/>
          </w:tcPr>
          <w:p>
            <w:pPr>
              <w:spacing w:after="0"/>
              <w:rPr>
                <w:rFonts w:ascii="Arial" w:cs="Arial" w:eastAsia="Arial" w:hAnsi="Arial"/>
                <w:sz w:val="15"/>
                <w:szCs w:val="15"/>
                <w:color w:val="0000EE"/>
                <w:w w:val="90"/>
              </w:rPr>
            </w:pPr>
            <w:hyperlink r:id="rId368">
              <w:r>
                <w:rPr>
                  <w:rFonts w:ascii="Arial" w:cs="Arial" w:eastAsia="Arial" w:hAnsi="Arial"/>
                  <w:sz w:val="15"/>
                  <w:szCs w:val="15"/>
                  <w:color w:val="0000EE"/>
                  <w:w w:val="90"/>
                </w:rPr>
                <w:t>Second Amendment and Restatement to the Revolving Credit and Guaranty Agreement among the Registrant, the lenders party thereto</w:t>
              </w:r>
            </w:hyperlink>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Borders>
              <w:bottom w:val="single" w:sz="8" w:color="0000EE"/>
            </w:tcBorders>
            <w:gridSpan w:val="10"/>
          </w:tcPr>
          <w:p>
            <w:pPr>
              <w:spacing w:after="0" w:line="161" w:lineRule="exact"/>
              <w:rPr>
                <w:rFonts w:ascii="Arial" w:cs="Arial" w:eastAsia="Arial" w:hAnsi="Arial"/>
                <w:sz w:val="15"/>
                <w:szCs w:val="15"/>
                <w:color w:val="0000EE"/>
                <w:w w:val="91"/>
              </w:rPr>
            </w:pPr>
            <w:hyperlink r:id="rId368">
              <w:r>
                <w:rPr>
                  <w:rFonts w:ascii="Arial" w:cs="Arial" w:eastAsia="Arial" w:hAnsi="Arial"/>
                  <w:sz w:val="15"/>
                  <w:szCs w:val="15"/>
                  <w:color w:val="0000EE"/>
                  <w:w w:val="91"/>
                </w:rPr>
                <w:t>and JPMorgan Chase Bank, N.A., as Administrative Agent, dated as of April 3, 2017.</w:t>
              </w:r>
            </w:hyperlink>
          </w:p>
        </w:tc>
        <w:tc>
          <w:tcPr>
            <w:tcW w:w="29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w w:val="95"/>
              </w:rPr>
              <w:t>10.21#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60" w:type="dxa"/>
            <w:vAlign w:val="bottom"/>
            <w:tcBorders>
              <w:bottom w:val="single" w:sz="8" w:color="0000EE"/>
            </w:tcBorders>
            <w:gridSpan w:val="13"/>
          </w:tcPr>
          <w:p>
            <w:pPr>
              <w:spacing w:after="0"/>
              <w:rPr>
                <w:rFonts w:ascii="Arial" w:cs="Arial" w:eastAsia="Arial" w:hAnsi="Arial"/>
                <w:sz w:val="15"/>
                <w:szCs w:val="15"/>
                <w:color w:val="0000EE"/>
                <w:w w:val="90"/>
              </w:rPr>
            </w:pPr>
            <w:hyperlink r:id="rId369">
              <w:r>
                <w:rPr>
                  <w:rFonts w:ascii="Arial" w:cs="Arial" w:eastAsia="Arial" w:hAnsi="Arial"/>
                  <w:sz w:val="15"/>
                  <w:szCs w:val="15"/>
                  <w:color w:val="0000EE"/>
                  <w:w w:val="90"/>
                </w:rPr>
                <w:t>Incremental Facility and Amendment Agreement among the Registrant, the lenders party thereto and JPMorgan Chase Bank, N.A., as</w:t>
              </w:r>
            </w:hyperlink>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140" w:type="dxa"/>
            <w:vAlign w:val="bottom"/>
            <w:gridSpan w:val="14"/>
          </w:tcPr>
          <w:p>
            <w:pPr>
              <w:spacing w:after="0" w:line="161" w:lineRule="exact"/>
              <w:rPr>
                <w:rFonts w:ascii="Arial" w:cs="Arial" w:eastAsia="Arial" w:hAnsi="Arial"/>
                <w:sz w:val="15"/>
                <w:szCs w:val="15"/>
                <w:color w:val="0000EE"/>
              </w:rPr>
            </w:pPr>
            <w:hyperlink r:id="rId369">
              <w:r>
                <w:rPr>
                  <w:rFonts w:ascii="Arial" w:cs="Arial" w:eastAsia="Arial" w:hAnsi="Arial"/>
                  <w:sz w:val="15"/>
                  <w:szCs w:val="15"/>
                  <w:color w:val="0000EE"/>
                </w:rPr>
                <w:t>Administrative Agent, dated as of February 9, 2018.</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rPr>
              <w:t>10.22</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40" w:type="dxa"/>
            <w:vAlign w:val="bottom"/>
            <w:tcBorders>
              <w:bottom w:val="single" w:sz="8" w:color="0000EE"/>
            </w:tcBorders>
            <w:gridSpan w:val="14"/>
          </w:tcPr>
          <w:p>
            <w:pPr>
              <w:spacing w:after="0"/>
              <w:rPr>
                <w:sz w:val="20"/>
                <w:szCs w:val="20"/>
                <w:color w:val="auto"/>
              </w:rPr>
            </w:pPr>
            <w:r>
              <w:rPr>
                <w:rFonts w:ascii="Arial" w:cs="Arial" w:eastAsia="Arial" w:hAnsi="Arial"/>
                <w:sz w:val="15"/>
                <w:szCs w:val="15"/>
                <w:color w:val="0000EE"/>
                <w:w w:val="89"/>
              </w:rPr>
              <w:t>Class A Common Stock Purchase Agreement by and among the Registrant, salesforce.com, inc. and Salesforce Ventures LLC, dated as</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140" w:type="dxa"/>
            <w:vAlign w:val="bottom"/>
            <w:gridSpan w:val="14"/>
          </w:tcPr>
          <w:p>
            <w:pPr>
              <w:spacing w:after="0" w:line="161" w:lineRule="exact"/>
              <w:rPr>
                <w:sz w:val="20"/>
                <w:szCs w:val="20"/>
                <w:color w:val="auto"/>
              </w:rPr>
            </w:pPr>
            <w:r>
              <w:rPr>
                <w:rFonts w:ascii="Arial" w:cs="Arial" w:eastAsia="Arial" w:hAnsi="Arial"/>
                <w:sz w:val="15"/>
                <w:szCs w:val="15"/>
                <w:color w:val="0000EE"/>
              </w:rPr>
              <w:t>of March 7, 2018.</w:t>
            </w: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w w:val="94"/>
              </w:rPr>
              <w:t>10.23+</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40" w:type="dxa"/>
            <w:vAlign w:val="bottom"/>
            <w:gridSpan w:val="14"/>
          </w:tcPr>
          <w:p>
            <w:pPr>
              <w:spacing w:after="0"/>
              <w:rPr>
                <w:sz w:val="20"/>
                <w:szCs w:val="20"/>
                <w:color w:val="auto"/>
              </w:rPr>
            </w:pPr>
            <w:r>
              <w:rPr>
                <w:rFonts w:ascii="Arial" w:cs="Arial" w:eastAsia="Arial" w:hAnsi="Arial"/>
                <w:sz w:val="15"/>
                <w:szCs w:val="15"/>
                <w:color w:val="0000EE"/>
              </w:rPr>
              <w:t>Dropbox, Inc. Outside Director Compensation Policy and related form agreements.</w:t>
            </w:r>
          </w:p>
        </w:tc>
        <w:tc>
          <w:tcPr>
            <w:tcW w:w="0" w:type="dxa"/>
            <w:vAlign w:val="bottom"/>
          </w:tcPr>
          <w:p>
            <w:pPr>
              <w:spacing w:after="0"/>
              <w:rPr>
                <w:sz w:val="1"/>
                <w:szCs w:val="1"/>
                <w:color w:val="auto"/>
              </w:rPr>
            </w:pPr>
          </w:p>
        </w:tc>
      </w:tr>
      <w:tr>
        <w:trPr>
          <w:trHeight w:val="262"/>
        </w:trPr>
        <w:tc>
          <w:tcPr>
            <w:tcW w:w="460" w:type="dxa"/>
            <w:vAlign w:val="bottom"/>
            <w:gridSpan w:val="3"/>
          </w:tcPr>
          <w:p>
            <w:pPr>
              <w:spacing w:after="0"/>
              <w:rPr>
                <w:sz w:val="20"/>
                <w:szCs w:val="20"/>
                <w:color w:val="auto"/>
              </w:rPr>
            </w:pPr>
            <w:r>
              <w:rPr>
                <w:rFonts w:ascii="Arial" w:cs="Arial" w:eastAsia="Arial" w:hAnsi="Arial"/>
                <w:sz w:val="15"/>
                <w:szCs w:val="15"/>
                <w:color w:val="auto"/>
              </w:rPr>
              <w:t>21.1#</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0" w:type="dxa"/>
            <w:vAlign w:val="bottom"/>
            <w:tcBorders>
              <w:top w:val="single" w:sz="8" w:color="0000EE"/>
            </w:tcBorders>
            <w:gridSpan w:val="9"/>
          </w:tcPr>
          <w:p>
            <w:pPr>
              <w:spacing w:after="0"/>
              <w:rPr>
                <w:rFonts w:ascii="Arial" w:cs="Arial" w:eastAsia="Arial" w:hAnsi="Arial"/>
                <w:sz w:val="15"/>
                <w:szCs w:val="15"/>
                <w:color w:val="0000EE"/>
              </w:rPr>
            </w:pPr>
            <w:hyperlink r:id="rId370">
              <w:r>
                <w:rPr>
                  <w:rFonts w:ascii="Arial" w:cs="Arial" w:eastAsia="Arial" w:hAnsi="Arial"/>
                  <w:sz w:val="15"/>
                  <w:szCs w:val="15"/>
                  <w:color w:val="0000EE"/>
                </w:rPr>
                <w:t>List of subsidiaries of the Registrant.</w:t>
              </w:r>
            </w:hyperlink>
          </w:p>
        </w:tc>
        <w:tc>
          <w:tcPr>
            <w:tcW w:w="3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rPr>
              <w:t>23.1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92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w w:val="91"/>
              </w:rPr>
              <w:t>Consent of Ernst &amp; Young LLP, Independent Registered Public Accounting Firm.</w:t>
            </w:r>
          </w:p>
        </w:tc>
        <w:tc>
          <w:tcPr>
            <w:tcW w:w="3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rPr>
              <w:t>23.2</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40" w:type="dxa"/>
            <w:vAlign w:val="bottom"/>
            <w:gridSpan w:val="14"/>
          </w:tcPr>
          <w:p>
            <w:pPr>
              <w:spacing w:after="0"/>
              <w:rPr>
                <w:sz w:val="20"/>
                <w:szCs w:val="20"/>
                <w:color w:val="auto"/>
              </w:rPr>
            </w:pPr>
            <w:r>
              <w:rPr>
                <w:rFonts w:ascii="Arial" w:cs="Arial" w:eastAsia="Arial" w:hAnsi="Arial"/>
                <w:sz w:val="15"/>
                <w:szCs w:val="15"/>
                <w:color w:val="0000EE"/>
              </w:rPr>
              <w:t>Consent of Wilson Sonsini Goodrich &amp; Rosati, P.C. (included in Exhibit 5.1).</w:t>
            </w:r>
          </w:p>
        </w:tc>
        <w:tc>
          <w:tcPr>
            <w:tcW w:w="0" w:type="dxa"/>
            <w:vAlign w:val="bottom"/>
          </w:tcPr>
          <w:p>
            <w:pPr>
              <w:spacing w:after="0"/>
              <w:rPr>
                <w:sz w:val="1"/>
                <w:szCs w:val="1"/>
                <w:color w:val="auto"/>
              </w:rPr>
            </w:pPr>
          </w:p>
        </w:tc>
      </w:tr>
      <w:tr>
        <w:trPr>
          <w:trHeight w:val="251"/>
        </w:trPr>
        <w:tc>
          <w:tcPr>
            <w:tcW w:w="460" w:type="dxa"/>
            <w:vAlign w:val="bottom"/>
            <w:gridSpan w:val="3"/>
          </w:tcPr>
          <w:p>
            <w:pPr>
              <w:spacing w:after="0"/>
              <w:rPr>
                <w:sz w:val="20"/>
                <w:szCs w:val="20"/>
                <w:color w:val="auto"/>
              </w:rPr>
            </w:pPr>
            <w:r>
              <w:rPr>
                <w:rFonts w:ascii="Arial" w:cs="Arial" w:eastAsia="Arial" w:hAnsi="Arial"/>
                <w:sz w:val="15"/>
                <w:szCs w:val="15"/>
                <w:color w:val="auto"/>
              </w:rPr>
              <w:t>24.1#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2"/>
              </w:rPr>
            </w:pPr>
            <w:hyperlink r:id="rId371">
              <w:r>
                <w:rPr>
                  <w:rFonts w:ascii="Arial" w:cs="Arial" w:eastAsia="Arial" w:hAnsi="Arial"/>
                  <w:sz w:val="15"/>
                  <w:szCs w:val="15"/>
                  <w:color w:val="0000EE"/>
                  <w:w w:val="92"/>
                </w:rPr>
                <w:t>Power of Attorney (included on page II-7).</w:t>
              </w:r>
            </w:hyperlink>
          </w:p>
        </w:tc>
        <w:tc>
          <w:tcPr>
            <w:tcW w:w="2060" w:type="dxa"/>
            <w:vAlign w:val="bottom"/>
            <w:tcBorders>
              <w:top w:val="single" w:sz="8" w:color="0000EE"/>
            </w:tcBorders>
            <w:gridSpan w:val="4"/>
          </w:tcPr>
          <w:p>
            <w:pPr>
              <w:spacing w:after="0"/>
              <w:rPr>
                <w:sz w:val="21"/>
                <w:szCs w:val="21"/>
                <w:color w:val="auto"/>
              </w:rPr>
            </w:pPr>
          </w:p>
        </w:tc>
        <w:tc>
          <w:tcPr>
            <w:tcW w:w="348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85725</wp:posOffset>
            </wp:positionV>
            <wp:extent cx="58039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Previously filed.</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Indicates management contract or compensatory plan.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0260"/>
          </w:cols>
          <w:pgMar w:left="240" w:top="407" w:right="139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SIGNATURES</w:t>
      </w:r>
    </w:p>
    <w:p>
      <w:pPr>
        <w:spacing w:after="0" w:line="192" w:lineRule="exact"/>
        <w:rPr>
          <w:sz w:val="20"/>
          <w:szCs w:val="20"/>
          <w:color w:val="auto"/>
        </w:rPr>
      </w:pPr>
    </w:p>
    <w:p>
      <w:pPr>
        <w:ind w:left="1120" w:right="19" w:firstLine="368"/>
        <w:spacing w:after="0" w:line="312"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San Francisco, California, on the 12th day of March, 2018.</w:t>
      </w:r>
    </w:p>
    <w:p>
      <w:pPr>
        <w:spacing w:after="0" w:line="141"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By: /s/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12065</wp:posOffset>
            </wp:positionV>
            <wp:extent cx="214122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2141220" cy="6985"/>
                    </a:xfrm>
                    <a:prstGeom prst="rect">
                      <a:avLst/>
                    </a:prstGeom>
                    <a:noFill/>
                  </pic:spPr>
                </pic:pic>
              </a:graphicData>
            </a:graphic>
          </wp:anchor>
        </w:drawing>
      </w:r>
    </w:p>
    <w:p>
      <w:pPr>
        <w:spacing w:after="0" w:line="11" w:lineRule="exact"/>
        <w:rPr>
          <w:sz w:val="20"/>
          <w:szCs w:val="20"/>
          <w:color w:val="auto"/>
        </w:rPr>
      </w:pPr>
    </w:p>
    <w:p>
      <w:pPr>
        <w:ind w:left="6940"/>
        <w:spacing w:after="0"/>
        <w:rPr>
          <w:sz w:val="20"/>
          <w:szCs w:val="20"/>
          <w:color w:val="auto"/>
        </w:rPr>
      </w:pPr>
      <w:r>
        <w:rPr>
          <w:rFonts w:ascii="Arial" w:cs="Arial" w:eastAsia="Arial" w:hAnsi="Arial"/>
          <w:sz w:val="15"/>
          <w:szCs w:val="15"/>
          <w:color w:val="auto"/>
        </w:rPr>
        <w:t>Andrew W. Houston</w:t>
      </w:r>
    </w:p>
    <w:p>
      <w:pPr>
        <w:spacing w:after="0" w:line="17" w:lineRule="exact"/>
        <w:rPr>
          <w:sz w:val="20"/>
          <w:szCs w:val="20"/>
          <w:color w:val="auto"/>
        </w:rPr>
      </w:pPr>
    </w:p>
    <w:p>
      <w:pPr>
        <w:ind w:left="6940"/>
        <w:spacing w:after="0"/>
        <w:rPr>
          <w:sz w:val="20"/>
          <w:szCs w:val="20"/>
          <w:color w:val="auto"/>
        </w:rPr>
      </w:pPr>
      <w:r>
        <w:rPr>
          <w:rFonts w:ascii="Arial" w:cs="Arial" w:eastAsia="Arial" w:hAnsi="Arial"/>
          <w:sz w:val="15"/>
          <w:szCs w:val="15"/>
          <w:color w:val="auto"/>
        </w:rPr>
        <w:t>Chief Executive Officer</w:t>
      </w:r>
    </w:p>
    <w:p>
      <w:pPr>
        <w:spacing w:after="0" w:line="179" w:lineRule="exact"/>
        <w:rPr>
          <w:sz w:val="20"/>
          <w:szCs w:val="20"/>
          <w:color w:val="auto"/>
        </w:rPr>
      </w:pPr>
    </w:p>
    <w:p>
      <w:pPr>
        <w:ind w:left="1120" w:right="19" w:firstLine="368"/>
        <w:spacing w:after="0" w:line="275" w:lineRule="auto"/>
        <w:rPr>
          <w:sz w:val="20"/>
          <w:szCs w:val="20"/>
          <w:color w:val="auto"/>
        </w:rPr>
      </w:pPr>
      <w:r>
        <w:rPr>
          <w:rFonts w:ascii="Arial" w:cs="Arial" w:eastAsia="Arial" w:hAnsi="Arial"/>
          <w:sz w:val="15"/>
          <w:szCs w:val="15"/>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10219"/>
          </w:cols>
          <w:pgMar w:left="240" w:top="408" w:right="1440" w:bottom="1440" w:gutter="0" w:footer="0" w:header="0"/>
        </w:sectPr>
      </w:pPr>
    </w:p>
    <w:p>
      <w:pPr>
        <w:spacing w:after="0" w:line="160" w:lineRule="exact"/>
        <w:rPr>
          <w:sz w:val="20"/>
          <w:szCs w:val="20"/>
          <w:color w:val="auto"/>
        </w:rPr>
      </w:pPr>
    </w:p>
    <w:p>
      <w:pPr>
        <w:jc w:val="center"/>
        <w:ind w:left="1740"/>
        <w:spacing w:after="0"/>
        <w:rPr>
          <w:sz w:val="20"/>
          <w:szCs w:val="20"/>
          <w:color w:val="auto"/>
        </w:rPr>
      </w:pPr>
      <w:r>
        <w:rPr>
          <w:rFonts w:ascii="Arial" w:cs="Arial" w:eastAsia="Arial" w:hAnsi="Arial"/>
          <w:sz w:val="12"/>
          <w:szCs w:val="12"/>
          <w:b w:val="1"/>
          <w:bCs w:val="1"/>
          <w:u w:val="single" w:color="auto"/>
          <w:color w:val="auto"/>
        </w:rPr>
        <w:t>Signature</w:t>
      </w:r>
    </w:p>
    <w:p>
      <w:pPr>
        <w:spacing w:after="0" w:line="176" w:lineRule="exact"/>
        <w:rPr>
          <w:sz w:val="20"/>
          <w:szCs w:val="20"/>
          <w:color w:val="auto"/>
        </w:rPr>
      </w:pPr>
    </w:p>
    <w:p>
      <w:pPr>
        <w:jc w:val="center"/>
        <w:ind w:left="1740"/>
        <w:spacing w:after="0"/>
        <w:rPr>
          <w:sz w:val="20"/>
          <w:szCs w:val="20"/>
          <w:color w:val="auto"/>
        </w:rPr>
      </w:pPr>
      <w:r>
        <w:rPr>
          <w:rFonts w:ascii="Arial" w:cs="Arial" w:eastAsia="Arial" w:hAnsi="Arial"/>
          <w:sz w:val="13"/>
          <w:szCs w:val="13"/>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26670</wp:posOffset>
            </wp:positionV>
            <wp:extent cx="189039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spacing w:after="0" w:line="22"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Andrew W. Houston</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Ajay V. Vashee</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Timothy J. Regan</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Donald W. Blair</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Arash Ferdowsi</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Paul E. Jacobs</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Robert J. Mylod, Jr.</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Condoleezza Rice</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R. Bryan Schreier</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4"/>
          <w:szCs w:val="14"/>
          <w:color w:val="auto"/>
        </w:rPr>
        <w:t>Margaret C. Whitman</w:t>
      </w:r>
    </w:p>
    <w:p>
      <w:pPr>
        <w:spacing w:after="0" w:line="211" w:lineRule="exact"/>
        <w:rPr>
          <w:sz w:val="20"/>
          <w:szCs w:val="20"/>
          <w:color w:val="auto"/>
        </w:rPr>
      </w:pPr>
    </w:p>
    <w:p>
      <w:pPr>
        <w:ind w:left="1980" w:right="240" w:hanging="870"/>
        <w:spacing w:after="0" w:line="315" w:lineRule="auto"/>
        <w:rPr>
          <w:sz w:val="20"/>
          <w:szCs w:val="20"/>
          <w:color w:val="auto"/>
        </w:rPr>
      </w:pPr>
      <w:r>
        <w:rPr>
          <w:rFonts w:ascii="Arial" w:cs="Arial" w:eastAsia="Arial" w:hAnsi="Arial"/>
          <w:sz w:val="13"/>
          <w:szCs w:val="13"/>
          <w:color w:val="auto"/>
        </w:rPr>
        <w:t>*By: /s/ Andrew W. Houston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-127000</wp:posOffset>
            </wp:positionV>
            <wp:extent cx="189039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020"/>
        <w:spacing w:after="0"/>
        <w:rPr>
          <w:sz w:val="20"/>
          <w:szCs w:val="20"/>
          <w:color w:val="auto"/>
        </w:rPr>
      </w:pPr>
      <w:r>
        <w:rPr>
          <w:rFonts w:ascii="Arial" w:cs="Arial" w:eastAsia="Arial" w:hAnsi="Arial"/>
          <w:sz w:val="12"/>
          <w:szCs w:val="12"/>
          <w:b w:val="1"/>
          <w:bCs w:val="1"/>
          <w:u w:val="single" w:color="auto"/>
          <w:color w:val="auto"/>
        </w:rPr>
        <w:t>Title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and Chairman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Executive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Financial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Chief Accounting Officer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2"/>
          <w:szCs w:val="12"/>
          <w:b w:val="1"/>
          <w:bCs w:val="1"/>
          <w:u w:val="single" w:color="auto"/>
          <w:color w:val="auto"/>
        </w:rPr>
        <w:t>Date</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12, 2018</w:t>
      </w:r>
    </w:p>
    <w:p>
      <w:pPr>
        <w:sectPr>
          <w:pgSz w:w="11900" w:h="16838" w:orient="portrait"/>
          <w:cols w:equalWidth="0" w:num="3">
            <w:col w:w="3460" w:space="720"/>
            <w:col w:w="4100" w:space="720"/>
            <w:col w:w="1219"/>
          </w:cols>
          <w:pgMar w:left="240" w:top="408" w:right="1440"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5"/>
          <w:szCs w:val="15"/>
          <w:b w:val="1"/>
          <w:bCs w:val="1"/>
          <w:color w:val="auto"/>
        </w:rPr>
        <w:t>Exhibit 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 A Common Stock, $0.00001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200660</wp:posOffset>
            </wp:positionV>
            <wp:extent cx="152527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1525270" cy="69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Underwriting Agreement</w:t>
      </w:r>
    </w:p>
    <w:p>
      <w:pPr>
        <w:spacing w:after="0" w:line="192" w:lineRule="exact"/>
        <w:rPr>
          <w:sz w:val="20"/>
          <w:szCs w:val="20"/>
          <w:color w:val="auto"/>
        </w:rPr>
      </w:pPr>
    </w:p>
    <w:p>
      <w:pPr>
        <w:ind w:left="10880"/>
        <w:spacing w:after="0"/>
        <w:rPr>
          <w:sz w:val="20"/>
          <w:szCs w:val="20"/>
          <w:color w:val="auto"/>
        </w:rPr>
      </w:pPr>
      <w:r>
        <w:rPr>
          <w:rFonts w:ascii="Arial" w:cs="Arial" w:eastAsia="Arial" w:hAnsi="Arial"/>
          <w:sz w:val="14"/>
          <w:szCs w:val="14"/>
          <w:color w:val="auto"/>
        </w:rPr>
        <w:t>[●], 2018</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of the several Underwriters named in Schedule I hereto,</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10282-2198</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383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10179</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8" w:lineRule="exact"/>
        <w:rPr>
          <w:sz w:val="20"/>
          <w:szCs w:val="20"/>
          <w:color w:val="auto"/>
        </w:rPr>
      </w:pPr>
    </w:p>
    <w:p>
      <w:pPr>
        <w:ind w:right="80" w:firstLine="458"/>
        <w:spacing w:after="0" w:line="302" w:lineRule="auto"/>
        <w:rPr>
          <w:sz w:val="20"/>
          <w:szCs w:val="20"/>
          <w:color w:val="auto"/>
        </w:rPr>
      </w:pPr>
      <w:r>
        <w:rPr>
          <w:rFonts w:ascii="Arial" w:cs="Arial" w:eastAsia="Arial" w:hAnsi="Arial"/>
          <w:sz w:val="13"/>
          <w:szCs w:val="13"/>
          <w:color w:val="auto"/>
        </w:rPr>
        <w:t>Dropbox,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proposes, subject to the terms and conditions stated in this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to issue and sell to the Underwriters named in Schedule I hereto (the “</w:t>
      </w:r>
      <w:r>
        <w:rPr>
          <w:rFonts w:ascii="Arial" w:cs="Arial" w:eastAsia="Arial" w:hAnsi="Arial"/>
          <w:sz w:val="13"/>
          <w:szCs w:val="13"/>
          <w:u w:val="single" w:color="auto"/>
          <w:color w:val="auto"/>
        </w:rPr>
        <w:t>Underwriters</w:t>
      </w:r>
      <w:r>
        <w:rPr>
          <w:rFonts w:ascii="Arial" w:cs="Arial" w:eastAsia="Arial" w:hAnsi="Arial"/>
          <w:sz w:val="13"/>
          <w:szCs w:val="13"/>
          <w:color w:val="auto"/>
        </w:rPr>
        <w:t>”), for whom Goldman Sachs &amp; Co. LLC and J.P. Morgan Securities LLC are acting as representatives (the “</w:t>
      </w:r>
      <w:r>
        <w:rPr>
          <w:rFonts w:ascii="Arial" w:cs="Arial" w:eastAsia="Arial" w:hAnsi="Arial"/>
          <w:sz w:val="13"/>
          <w:szCs w:val="13"/>
          <w:u w:val="single" w:color="auto"/>
          <w:color w:val="auto"/>
        </w:rPr>
        <w:t>Representatives</w:t>
      </w:r>
      <w:r>
        <w:rPr>
          <w:rFonts w:ascii="Arial" w:cs="Arial" w:eastAsia="Arial" w:hAnsi="Arial"/>
          <w:sz w:val="13"/>
          <w:szCs w:val="13"/>
          <w:color w:val="auto"/>
        </w:rPr>
        <w:t>”), an aggregate of [●] shares and, at the election of the Underwriters, up to [●] additional shares of Class A common stock (the “</w:t>
      </w:r>
      <w:r>
        <w:rPr>
          <w:rFonts w:ascii="Arial" w:cs="Arial" w:eastAsia="Arial" w:hAnsi="Arial"/>
          <w:sz w:val="13"/>
          <w:szCs w:val="13"/>
          <w:u w:val="single" w:color="auto"/>
          <w:color w:val="auto"/>
        </w:rPr>
        <w:t>Stock</w:t>
      </w:r>
      <w:r>
        <w:rPr>
          <w:rFonts w:ascii="Arial" w:cs="Arial" w:eastAsia="Arial" w:hAnsi="Arial"/>
          <w:sz w:val="13"/>
          <w:szCs w:val="13"/>
          <w:color w:val="auto"/>
        </w:rPr>
        <w:t>”) of the Company, and the stockholders of the Company named in Schedule II hereto (the “</w:t>
      </w:r>
      <w:r>
        <w:rPr>
          <w:rFonts w:ascii="Arial" w:cs="Arial" w:eastAsia="Arial" w:hAnsi="Arial"/>
          <w:sz w:val="13"/>
          <w:szCs w:val="13"/>
          <w:u w:val="single" w:color="auto"/>
          <w:color w:val="auto"/>
        </w:rPr>
        <w:t>Selling Stockholders</w:t>
      </w:r>
      <w:r>
        <w:rPr>
          <w:rFonts w:ascii="Arial" w:cs="Arial" w:eastAsia="Arial" w:hAnsi="Arial"/>
          <w:sz w:val="13"/>
          <w:szCs w:val="13"/>
          <w:color w:val="auto"/>
        </w:rPr>
        <w:t>”) propose, subject to the terms and conditions stated in this Agreement to sell to the Underwriters an aggregate of [●] shares. The aggregate of [●] shares to be sold by the Company and the Selling Stockholders is herein called the “</w:t>
      </w:r>
      <w:r>
        <w:rPr>
          <w:rFonts w:ascii="Arial" w:cs="Arial" w:eastAsia="Arial" w:hAnsi="Arial"/>
          <w:sz w:val="13"/>
          <w:szCs w:val="13"/>
          <w:u w:val="single" w:color="auto"/>
          <w:color w:val="auto"/>
        </w:rPr>
        <w:t>Firm Shares</w:t>
      </w:r>
      <w:r>
        <w:rPr>
          <w:rFonts w:ascii="Arial" w:cs="Arial" w:eastAsia="Arial" w:hAnsi="Arial"/>
          <w:sz w:val="13"/>
          <w:szCs w:val="13"/>
          <w:color w:val="auto"/>
        </w:rPr>
        <w:t>” and the aggregate of [●] additional shares to be sold by the Company is herein called the “</w:t>
      </w:r>
      <w:r>
        <w:rPr>
          <w:rFonts w:ascii="Arial" w:cs="Arial" w:eastAsia="Arial" w:hAnsi="Arial"/>
          <w:sz w:val="13"/>
          <w:szCs w:val="13"/>
          <w:u w:val="single" w:color="auto"/>
          <w:color w:val="auto"/>
        </w:rPr>
        <w:t>Optional Shares</w:t>
      </w:r>
      <w:r>
        <w:rPr>
          <w:rFonts w:ascii="Arial" w:cs="Arial" w:eastAsia="Arial" w:hAnsi="Arial"/>
          <w:sz w:val="13"/>
          <w:szCs w:val="13"/>
          <w:color w:val="auto"/>
        </w:rPr>
        <w:t>”. The Firm Shares and the Optional Shares that the Underwriters elect to purchase pursuant to Section 2 hereof are herein collectively called the “</w:t>
      </w:r>
      <w:r>
        <w:rPr>
          <w:rFonts w:ascii="Arial" w:cs="Arial" w:eastAsia="Arial" w:hAnsi="Arial"/>
          <w:sz w:val="13"/>
          <w:szCs w:val="13"/>
          <w:u w:val="single" w:color="auto"/>
          <w:color w:val="auto"/>
        </w:rPr>
        <w:t>Shares</w:t>
      </w:r>
      <w:r>
        <w:rPr>
          <w:rFonts w:ascii="Arial" w:cs="Arial" w:eastAsia="Arial" w:hAnsi="Arial"/>
          <w:sz w:val="13"/>
          <w:szCs w:val="13"/>
          <w:color w:val="auto"/>
        </w:rPr>
        <w:t>”.</w:t>
      </w:r>
    </w:p>
    <w:p>
      <w:pPr>
        <w:spacing w:after="0" w:line="134" w:lineRule="exact"/>
        <w:rPr>
          <w:sz w:val="20"/>
          <w:szCs w:val="20"/>
          <w:color w:val="auto"/>
        </w:rPr>
      </w:pPr>
    </w:p>
    <w:p>
      <w:pPr>
        <w:ind w:right="240" w:firstLine="458"/>
        <w:spacing w:after="0" w:line="263" w:lineRule="auto"/>
        <w:rPr>
          <w:sz w:val="20"/>
          <w:szCs w:val="20"/>
          <w:color w:val="auto"/>
        </w:rPr>
      </w:pPr>
      <w:r>
        <w:rPr>
          <w:rFonts w:ascii="Arial" w:cs="Arial" w:eastAsia="Arial" w:hAnsi="Arial"/>
          <w:sz w:val="15"/>
          <w:szCs w:val="15"/>
          <w:color w:val="auto"/>
        </w:rPr>
        <w:t>The Company and the Underwriters, in accordance with the requirements of Rule 5121 of Financial Industry Regulatory Authority Inc. (“</w:t>
      </w:r>
      <w:r>
        <w:rPr>
          <w:rFonts w:ascii="Arial" w:cs="Arial" w:eastAsia="Arial" w:hAnsi="Arial"/>
          <w:sz w:val="15"/>
          <w:szCs w:val="15"/>
          <w:u w:val="single" w:color="auto"/>
          <w:color w:val="auto"/>
        </w:rPr>
        <w:t>Rule 5121</w:t>
      </w:r>
      <w:r>
        <w:rPr>
          <w:rFonts w:ascii="Arial" w:cs="Arial" w:eastAsia="Arial" w:hAnsi="Arial"/>
          <w:sz w:val="15"/>
          <w:szCs w:val="15"/>
          <w:color w:val="auto"/>
        </w:rPr>
        <w:t>”) and subject to the terms and conditions stated herein, also hereby confirm the engagement of the services of Allen &amp; Company LLC (“</w:t>
      </w:r>
      <w:r>
        <w:rPr>
          <w:rFonts w:ascii="Arial" w:cs="Arial" w:eastAsia="Arial" w:hAnsi="Arial"/>
          <w:sz w:val="15"/>
          <w:szCs w:val="15"/>
          <w:u w:val="single" w:color="auto"/>
          <w:color w:val="auto"/>
        </w:rPr>
        <w:t>Allen &amp; Co.</w:t>
      </w:r>
      <w:r>
        <w:rPr>
          <w:rFonts w:ascii="Arial" w:cs="Arial" w:eastAsia="Arial" w:hAnsi="Arial"/>
          <w:sz w:val="15"/>
          <w:szCs w:val="15"/>
          <w:color w:val="auto"/>
        </w:rPr>
        <w:t>”) as a “qualified independent underwriter” (the “</w:t>
      </w:r>
      <w:r>
        <w:rPr>
          <w:rFonts w:ascii="Arial" w:cs="Arial" w:eastAsia="Arial" w:hAnsi="Arial"/>
          <w:sz w:val="15"/>
          <w:szCs w:val="15"/>
          <w:u w:val="single" w:color="auto"/>
          <w:color w:val="auto"/>
        </w:rPr>
        <w:t>QIU</w:t>
      </w:r>
      <w:r>
        <w:rPr>
          <w:rFonts w:ascii="Arial" w:cs="Arial" w:eastAsia="Arial" w:hAnsi="Arial"/>
          <w:sz w:val="15"/>
          <w:szCs w:val="15"/>
          <w:color w:val="auto"/>
        </w:rPr>
        <w:t>”) within the meaning of Rule 5121 in connection with the offering and sale of the Shares. No compensation will be paid to the QIU for its services.</w:t>
      </w:r>
    </w:p>
    <w:p>
      <w:pPr>
        <w:spacing w:after="0" w:line="155" w:lineRule="exact"/>
        <w:rPr>
          <w:sz w:val="20"/>
          <w:szCs w:val="20"/>
          <w:color w:val="auto"/>
        </w:rPr>
      </w:pPr>
    </w:p>
    <w:p>
      <w:pPr>
        <w:ind w:left="720" w:hanging="272"/>
        <w:spacing w:after="0"/>
        <w:tabs>
          <w:tab w:leader="none" w:pos="72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(a) The Company represents and warrants to, and agrees with, each of the Underwriters that:</w:t>
      </w:r>
    </w:p>
    <w:p>
      <w:pPr>
        <w:spacing w:after="0" w:line="98" w:lineRule="exact"/>
        <w:rPr>
          <w:rFonts w:ascii="Arial" w:cs="Arial" w:eastAsia="Arial" w:hAnsi="Arial"/>
          <w:sz w:val="15"/>
          <w:szCs w:val="15"/>
          <w:color w:val="auto"/>
        </w:rPr>
      </w:pPr>
    </w:p>
    <w:p>
      <w:pPr>
        <w:ind w:left="5680" w:right="620" w:hanging="4792"/>
        <w:spacing w:after="0" w:line="448" w:lineRule="auto"/>
        <w:tabs>
          <w:tab w:leader="none" w:pos="1175" w:val="left"/>
        </w:tabs>
        <w:numPr>
          <w:ilvl w:val="1"/>
          <w:numId w:val="122"/>
        </w:numPr>
        <w:rPr>
          <w:rFonts w:ascii="Arial" w:cs="Arial" w:eastAsia="Arial" w:hAnsi="Arial"/>
          <w:sz w:val="15"/>
          <w:szCs w:val="15"/>
          <w:color w:val="auto"/>
        </w:rPr>
      </w:pPr>
      <w:r>
        <w:rPr>
          <w:rFonts w:ascii="Arial" w:cs="Arial" w:eastAsia="Arial" w:hAnsi="Arial"/>
          <w:sz w:val="15"/>
          <w:szCs w:val="15"/>
          <w:color w:val="auto"/>
        </w:rPr>
        <w:t>A registration statement on Form S–1 (File No. 333-223182) (the “</w:t>
      </w:r>
      <w:r>
        <w:rPr>
          <w:rFonts w:ascii="Arial" w:cs="Arial" w:eastAsia="Arial" w:hAnsi="Arial"/>
          <w:sz w:val="15"/>
          <w:szCs w:val="15"/>
          <w:u w:val="single" w:color="auto"/>
          <w:color w:val="auto"/>
        </w:rPr>
        <w:t>Initial Registration Statement</w:t>
      </w:r>
      <w:r>
        <w:rPr>
          <w:rFonts w:ascii="Arial" w:cs="Arial" w:eastAsia="Arial" w:hAnsi="Arial"/>
          <w:sz w:val="15"/>
          <w:szCs w:val="15"/>
          <w:color w:val="auto"/>
        </w:rPr>
        <w:t>”) in respect of the Shares has been filed with the Securities and 1</w:t>
      </w:r>
    </w:p>
    <w:p>
      <w:pPr>
        <w:sectPr>
          <w:pgSz w:w="11900" w:h="16838" w:orient="portrait"/>
          <w:cols w:equalWidth="0" w:num="1">
            <w:col w:w="11440"/>
          </w:cols>
          <w:pgMar w:left="240" w:top="125" w:right="219" w:bottom="1440" w:gutter="0" w:footer="0" w:header="0"/>
        </w:sectPr>
      </w:pPr>
    </w:p>
    <w:bookmarkStart w:id="249" w:name="page250"/>
    <w:bookmarkEnd w:id="249"/>
    <w:p>
      <w:pPr>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Exchange Commission (the “</w:t>
      </w:r>
      <w:r>
        <w:rPr>
          <w:rFonts w:ascii="Arial" w:cs="Arial" w:eastAsia="Arial" w:hAnsi="Arial"/>
          <w:sz w:val="13"/>
          <w:szCs w:val="13"/>
          <w:u w:val="single" w:color="auto"/>
          <w:color w:val="auto"/>
        </w:rPr>
        <w:t>Commission</w:t>
      </w:r>
      <w:r>
        <w:rPr>
          <w:rFonts w:ascii="Arial" w:cs="Arial" w:eastAsia="Arial" w:hAnsi="Arial"/>
          <w:sz w:val="13"/>
          <w:szCs w:val="13"/>
          <w:color w:val="auto"/>
        </w:rPr>
        <w:t>”); the Initial Registration Statement and any post-effective amendment thereto, each in the form heretofore delivered to the Representatives, have been declared effective by the Commission in such form; other than a registration statement, if any, increasing the size of the offering (a “</w:t>
      </w:r>
      <w:r>
        <w:rPr>
          <w:rFonts w:ascii="Arial" w:cs="Arial" w:eastAsia="Arial" w:hAnsi="Arial"/>
          <w:sz w:val="13"/>
          <w:szCs w:val="13"/>
          <w:u w:val="single" w:color="auto"/>
          <w:color w:val="auto"/>
        </w:rPr>
        <w:t>Rule 462(b) Registration Statement</w:t>
      </w:r>
      <w:r>
        <w:rPr>
          <w:rFonts w:ascii="Arial" w:cs="Arial" w:eastAsia="Arial" w:hAnsi="Arial"/>
          <w:sz w:val="13"/>
          <w:szCs w:val="13"/>
          <w:color w:val="auto"/>
        </w:rPr>
        <w:t>”), filed pursuant to Rule 462(b) under the Securities Act of 1933, as amended (the “</w:t>
      </w:r>
      <w:r>
        <w:rPr>
          <w:rFonts w:ascii="Arial" w:cs="Arial" w:eastAsia="Arial" w:hAnsi="Arial"/>
          <w:sz w:val="13"/>
          <w:szCs w:val="13"/>
          <w:u w:val="single" w:color="auto"/>
          <w:color w:val="auto"/>
        </w:rPr>
        <w:t>Act</w:t>
      </w:r>
      <w:r>
        <w:rPr>
          <w:rFonts w:ascii="Arial" w:cs="Arial" w:eastAsia="Arial" w:hAnsi="Arial"/>
          <w:sz w:val="13"/>
          <w:szCs w:val="13"/>
          <w:color w:val="auto"/>
        </w:rPr>
        <w: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w:t>
      </w:r>
      <w:r>
        <w:rPr>
          <w:rFonts w:ascii="Arial" w:cs="Arial" w:eastAsia="Arial" w:hAnsi="Arial"/>
          <w:sz w:val="13"/>
          <w:szCs w:val="13"/>
          <w:u w:val="single" w:color="auto"/>
          <w:color w:val="auto"/>
        </w:rPr>
        <w:t>Preliminary Prospectus</w:t>
      </w:r>
      <w:r>
        <w:rPr>
          <w:rFonts w:ascii="Arial" w:cs="Arial" w:eastAsia="Arial" w:hAnsi="Arial"/>
          <w:sz w:val="13"/>
          <w:szCs w:val="13"/>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the Preliminary Prospectus relating to the Shares that was included in the Registration Statement immediately prior to the Applicable Time (as defined in Section 1(a)(iii) hereof) is hereinafter called the “</w:t>
      </w:r>
      <w:r>
        <w:rPr>
          <w:rFonts w:ascii="Arial" w:cs="Arial" w:eastAsia="Arial" w:hAnsi="Arial"/>
          <w:sz w:val="13"/>
          <w:szCs w:val="13"/>
          <w:u w:val="single" w:color="auto"/>
          <w:color w:val="auto"/>
        </w:rPr>
        <w:t>Pricing Prospectus</w:t>
      </w:r>
      <w:r>
        <w:rPr>
          <w:rFonts w:ascii="Arial" w:cs="Arial" w:eastAsia="Arial" w:hAnsi="Arial"/>
          <w:sz w:val="13"/>
          <w:szCs w:val="13"/>
          <w:color w:val="auto"/>
        </w:rPr>
        <w:t>”; such final prospectus, in the form first filed pursuant to Rule 424(b) under the Act, is hereinafter called the “</w:t>
      </w:r>
      <w:r>
        <w:rPr>
          <w:rFonts w:ascii="Arial" w:cs="Arial" w:eastAsia="Arial" w:hAnsi="Arial"/>
          <w:sz w:val="13"/>
          <w:szCs w:val="13"/>
          <w:u w:val="single" w:color="auto"/>
          <w:color w:val="auto"/>
        </w:rPr>
        <w:t>Prospectus</w:t>
      </w:r>
      <w:r>
        <w:rPr>
          <w:rFonts w:ascii="Arial" w:cs="Arial" w:eastAsia="Arial" w:hAnsi="Arial"/>
          <w:sz w:val="13"/>
          <w:szCs w:val="13"/>
          <w:color w:val="auto"/>
        </w:rPr>
        <w:t>”; any oral or written communication with potential investors undertaken in reliance on Section 5(d) of the Act is hereinafter called a “</w:t>
      </w:r>
      <w:r>
        <w:rPr>
          <w:rFonts w:ascii="Arial" w:cs="Arial" w:eastAsia="Arial" w:hAnsi="Arial"/>
          <w:sz w:val="13"/>
          <w:szCs w:val="13"/>
          <w:u w:val="single" w:color="auto"/>
          <w:color w:val="auto"/>
        </w:rPr>
        <w:t>Section 5(d)</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Communication</w:t>
      </w:r>
      <w:r>
        <w:rPr>
          <w:rFonts w:ascii="Arial" w:cs="Arial" w:eastAsia="Arial" w:hAnsi="Arial"/>
          <w:sz w:val="13"/>
          <w:szCs w:val="13"/>
          <w:color w:val="auto"/>
        </w:rPr>
        <w:t>”; and any Section 5(d) Communication that is a written communication within the meaning of Rule 405 under the Act is hereinafter called a “</w:t>
      </w:r>
      <w:r>
        <w:rPr>
          <w:rFonts w:ascii="Arial" w:cs="Arial" w:eastAsia="Arial" w:hAnsi="Arial"/>
          <w:sz w:val="13"/>
          <w:szCs w:val="13"/>
          <w:u w:val="single" w:color="auto"/>
          <w:color w:val="auto"/>
        </w:rPr>
        <w:t>Section 5(d) Writing</w:t>
      </w:r>
      <w:r>
        <w:rPr>
          <w:rFonts w:ascii="Arial" w:cs="Arial" w:eastAsia="Arial" w:hAnsi="Arial"/>
          <w:sz w:val="13"/>
          <w:szCs w:val="13"/>
          <w:color w:val="auto"/>
        </w:rPr>
        <w:t>”; and any “issuer free writing prospectus” as defined in Rule 433 under the Act relating to the Shares is hereinafter called an “</w:t>
      </w:r>
      <w:r>
        <w:rPr>
          <w:rFonts w:ascii="Arial" w:cs="Arial" w:eastAsia="Arial" w:hAnsi="Arial"/>
          <w:sz w:val="13"/>
          <w:szCs w:val="13"/>
          <w:u w:val="single" w:color="auto"/>
          <w:color w:val="auto"/>
        </w:rPr>
        <w:t>Issuer Free Writing Prospectus</w:t>
      </w:r>
      <w:r>
        <w:rPr>
          <w:rFonts w:ascii="Arial" w:cs="Arial" w:eastAsia="Arial" w:hAnsi="Arial"/>
          <w:sz w:val="13"/>
          <w:szCs w:val="13"/>
          <w:color w:val="auto"/>
        </w:rPr>
        <w:t>”);</w:t>
      </w:r>
    </w:p>
    <w:p>
      <w:pPr>
        <w:spacing w:after="0" w:line="50" w:lineRule="exact"/>
        <w:rPr>
          <w:sz w:val="20"/>
          <w:szCs w:val="20"/>
          <w:color w:val="auto"/>
        </w:rPr>
      </w:pPr>
    </w:p>
    <w:p>
      <w:pPr>
        <w:ind w:right="20" w:firstLine="448"/>
        <w:spacing w:after="0" w:line="255" w:lineRule="auto"/>
        <w:tabs>
          <w:tab w:leader="none" w:pos="77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9(c) of this Agreement) or any Selling Stockholder Information (as defined in Section 1(b)(vi) hereof);</w:t>
      </w:r>
    </w:p>
    <w:p>
      <w:pPr>
        <w:spacing w:after="0" w:line="73" w:lineRule="exact"/>
        <w:rPr>
          <w:rFonts w:ascii="Arial" w:cs="Arial" w:eastAsia="Arial" w:hAnsi="Arial"/>
          <w:sz w:val="15"/>
          <w:szCs w:val="15"/>
          <w:color w:val="auto"/>
        </w:rPr>
      </w:pPr>
    </w:p>
    <w:p>
      <w:pPr>
        <w:ind w:right="40" w:firstLine="448"/>
        <w:spacing w:after="0" w:line="257" w:lineRule="auto"/>
        <w:tabs>
          <w:tab w:leader="none" w:pos="81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For the purposes of this Agreement, the “</w:t>
      </w:r>
      <w:r>
        <w:rPr>
          <w:rFonts w:ascii="Arial" w:cs="Arial" w:eastAsia="Arial" w:hAnsi="Arial"/>
          <w:sz w:val="15"/>
          <w:szCs w:val="15"/>
          <w:u w:val="single" w:color="auto"/>
          <w:color w:val="auto"/>
        </w:rPr>
        <w:t>Applicable Time</w:t>
      </w:r>
      <w:r>
        <w:rPr>
          <w:rFonts w:ascii="Arial" w:cs="Arial" w:eastAsia="Arial" w:hAnsi="Arial"/>
          <w:sz w:val="15"/>
          <w:szCs w:val="15"/>
          <w:color w:val="auto"/>
        </w:rPr>
        <w:t>” is [___:___ __] (Eastern time) on the date of this Agreement; the Pricing Prospectus, as supplemented by the information listed on Schedule III(b) hereto, taken together (collectively, the “</w:t>
      </w:r>
      <w:r>
        <w:rPr>
          <w:rFonts w:ascii="Arial" w:cs="Arial" w:eastAsia="Arial" w:hAnsi="Arial"/>
          <w:sz w:val="15"/>
          <w:szCs w:val="15"/>
          <w:u w:val="single" w:color="auto"/>
          <w:color w:val="auto"/>
        </w:rPr>
        <w:t>Pricing Disclosure Package</w:t>
      </w:r>
      <w:r>
        <w:rPr>
          <w:rFonts w:ascii="Arial" w:cs="Arial" w:eastAsia="Arial" w:hAnsi="Arial"/>
          <w:sz w:val="15"/>
          <w:szCs w:val="15"/>
          <w:color w:val="auto"/>
        </w:rPr>
        <w:t>”),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and each Section 5(d) Writing listed on Schedule III(c) hereto does not conflict with the information contained in the Registration Statement, the Pricing Prospectus or the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000"/>
          </w:cols>
          <w:pgMar w:left="680" w:top="253" w:right="219" w:bottom="1440" w:gutter="0" w:footer="0" w:header="0"/>
        </w:sectPr>
      </w:pPr>
    </w:p>
    <w:bookmarkStart w:id="250" w:name="page251"/>
    <w:bookmarkEnd w:id="250"/>
    <w:p>
      <w:pPr>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Prospectus, and each Issuer Free Writing Prospectus and each Section 5(d) Writing listed on Schedule III(c) hereto,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or the Selling Stockholder Information;</w:t>
      </w:r>
    </w:p>
    <w:p>
      <w:pPr>
        <w:spacing w:after="0" w:line="67" w:lineRule="exact"/>
        <w:rPr>
          <w:sz w:val="20"/>
          <w:szCs w:val="20"/>
          <w:color w:val="auto"/>
        </w:rPr>
      </w:pPr>
    </w:p>
    <w:p>
      <w:pPr>
        <w:ind w:right="40" w:firstLine="448"/>
        <w:spacing w:after="0" w:line="305" w:lineRule="auto"/>
        <w:tabs>
          <w:tab w:leader="none" w:pos="804"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or the Selling Stockholder Information;</w:t>
      </w:r>
    </w:p>
    <w:p>
      <w:pPr>
        <w:spacing w:after="0" w:line="42" w:lineRule="exact"/>
        <w:rPr>
          <w:rFonts w:ascii="Arial" w:cs="Arial" w:eastAsia="Arial" w:hAnsi="Arial"/>
          <w:sz w:val="13"/>
          <w:szCs w:val="13"/>
          <w:color w:val="auto"/>
        </w:rPr>
      </w:pPr>
    </w:p>
    <w:p>
      <w:pPr>
        <w:ind w:right="80" w:firstLine="448"/>
        <w:spacing w:after="0" w:line="292" w:lineRule="auto"/>
        <w:tabs>
          <w:tab w:leader="none" w:pos="765" w:val="left"/>
        </w:tabs>
        <w:numPr>
          <w:ilvl w:val="1"/>
          <w:numId w:val="124"/>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w:t>
      </w:r>
    </w:p>
    <w:p>
      <w:pPr>
        <w:spacing w:after="0" w:line="2" w:lineRule="exact"/>
        <w:rPr>
          <w:rFonts w:ascii="Arial" w:cs="Arial" w:eastAsia="Arial" w:hAnsi="Arial"/>
          <w:sz w:val="13"/>
          <w:szCs w:val="13"/>
          <w:color w:val="auto"/>
        </w:rPr>
      </w:pPr>
    </w:p>
    <w:p>
      <w:pPr>
        <w:ind w:right="100" w:firstLine="8"/>
        <w:spacing w:after="0" w:line="252" w:lineRule="auto"/>
        <w:tabs>
          <w:tab w:leader="none" w:pos="21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change in the capital stock (other than as a result of (i) the exercise or settlement (including any “net” or “cashless” exercises or settlements) of stock options or restricted stock units or the award, if any, of stock options or restricted stock units in the ordinary course of business, in each case pursuant to the Company’s equity plans that are described in the Pricing Prospectus, (ii) the repurchase of shares of capital stock pursuant to agreements providing for an option to repurchase or a right of first refusal on behalf of the Company pursuant to the Company’s repurchase rights or (iii) the issuance, if any, of stock upon conversion of Company securities as described in the Pricing Prospectus) or long-term debt of the Company or any of its subsidiaries or (y) any Material Adverse Effect (as defined below); as used in this Agreement, “</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shall mean any material adverse change or effect, or any development involving a prospective material adverse change or effect, in or affecting the business, management, consolidated financial position, consolidated stockholders’ equity or consolidated results of operations of the Company and its subsidiaries, taken as a whole, except as set forth or contemplated in the Pricing Prospectus;</w:t>
      </w:r>
    </w:p>
    <w:p>
      <w:pPr>
        <w:spacing w:after="0" w:line="75" w:lineRule="exact"/>
        <w:rPr>
          <w:rFonts w:ascii="Arial" w:cs="Arial" w:eastAsia="Arial" w:hAnsi="Arial"/>
          <w:sz w:val="15"/>
          <w:szCs w:val="15"/>
          <w:color w:val="auto"/>
        </w:rPr>
      </w:pPr>
    </w:p>
    <w:p>
      <w:pPr>
        <w:ind w:right="260" w:firstLine="448"/>
        <w:spacing w:after="0" w:line="263" w:lineRule="auto"/>
        <w:tabs>
          <w:tab w:leader="none" w:pos="804" w:val="left"/>
        </w:tabs>
        <w:numPr>
          <w:ilvl w:val="1"/>
          <w:numId w:val="125"/>
        </w:numPr>
        <w:rPr>
          <w:rFonts w:ascii="Arial" w:cs="Arial" w:eastAsia="Arial" w:hAnsi="Arial"/>
          <w:sz w:val="15"/>
          <w:szCs w:val="15"/>
          <w:color w:val="auto"/>
        </w:rPr>
      </w:pPr>
      <w:r>
        <w:rPr>
          <w:rFonts w:ascii="Arial" w:cs="Arial" w:eastAsia="Arial" w:hAnsi="Arial"/>
          <w:sz w:val="15"/>
          <w:szCs w:val="15"/>
          <w:color w:val="auto"/>
        </w:rPr>
        <w:t>The Company and its subsidiaries do not own any real property. Except as would not reasonably be expected to have a Material Adverse Effect, the Company and its subsidiaries have good and marketable title to all personal property owned by them (other than with respect to Intellectual Property, title to which is addressed exclusively in subsection (xxvi)), free and clear of all liens, encumbrances and defects, and any real property and</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000"/>
          </w:cols>
          <w:pgMar w:left="680" w:top="253" w:right="219" w:bottom="1440" w:gutter="0" w:footer="0" w:header="0"/>
        </w:sectPr>
      </w:pPr>
    </w:p>
    <w:bookmarkStart w:id="251" w:name="page252"/>
    <w:bookmarkEnd w:id="251"/>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buildings held under lease by the Company and its subsidiaries are held by them under, to the Company’s knowledge, valid, subsisting and enforceable leases (subject to the effects of</w:t>
      </w:r>
    </w:p>
    <w:p>
      <w:pPr>
        <w:spacing w:after="0" w:line="40" w:lineRule="exact"/>
        <w:rPr>
          <w:sz w:val="20"/>
          <w:szCs w:val="20"/>
          <w:color w:val="auto"/>
        </w:rPr>
      </w:pPr>
    </w:p>
    <w:p>
      <w:pPr>
        <w:ind w:left="180" w:hanging="172"/>
        <w:spacing w:after="0"/>
        <w:tabs>
          <w:tab w:leader="none" w:pos="1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bankruptcy, insolvency, fraudulent conveyance, fraudulent transfer, reorganization, moratorium or other similar laws relating to or affecting the rights or remedies of creditors</w:t>
      </w:r>
    </w:p>
    <w:p>
      <w:pPr>
        <w:spacing w:after="0" w:line="19" w:lineRule="exact"/>
        <w:rPr>
          <w:rFonts w:ascii="Arial" w:cs="Arial" w:eastAsia="Arial" w:hAnsi="Arial"/>
          <w:sz w:val="14"/>
          <w:szCs w:val="14"/>
          <w:color w:val="auto"/>
        </w:rPr>
      </w:pPr>
    </w:p>
    <w:p>
      <w:pPr>
        <w:ind w:right="140"/>
        <w:spacing w:after="0" w:line="298" w:lineRule="auto"/>
        <w:rPr>
          <w:rFonts w:ascii="Arial" w:cs="Arial" w:eastAsia="Arial" w:hAnsi="Arial"/>
          <w:sz w:val="14"/>
          <w:szCs w:val="14"/>
          <w:color w:val="auto"/>
        </w:rPr>
      </w:pPr>
      <w:r>
        <w:rPr>
          <w:rFonts w:ascii="Arial" w:cs="Arial" w:eastAsia="Arial" w:hAnsi="Arial"/>
          <w:sz w:val="14"/>
          <w:szCs w:val="14"/>
          <w:color w:val="auto"/>
        </w:rPr>
        <w:t>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w:t>
      </w:r>
    </w:p>
    <w:p>
      <w:pPr>
        <w:spacing w:after="0" w:line="41" w:lineRule="exact"/>
        <w:rPr>
          <w:rFonts w:ascii="Arial" w:cs="Arial" w:eastAsia="Arial" w:hAnsi="Arial"/>
          <w:sz w:val="14"/>
          <w:szCs w:val="14"/>
          <w:color w:val="auto"/>
        </w:rPr>
      </w:pPr>
    </w:p>
    <w:p>
      <w:pPr>
        <w:ind w:right="40" w:firstLine="448"/>
        <w:spacing w:after="0" w:line="300" w:lineRule="auto"/>
        <w:tabs>
          <w:tab w:leader="none" w:pos="846" w:val="left"/>
        </w:tabs>
        <w:numPr>
          <w:ilvl w:val="1"/>
          <w:numId w:val="126"/>
        </w:numPr>
        <w:rPr>
          <w:rFonts w:ascii="Arial" w:cs="Arial" w:eastAsia="Arial" w:hAnsi="Arial"/>
          <w:sz w:val="13"/>
          <w:szCs w:val="13"/>
          <w:color w:val="auto"/>
        </w:rPr>
      </w:pPr>
      <w:r>
        <w:rPr>
          <w:rFonts w:ascii="Arial" w:cs="Arial" w:eastAsia="Arial" w:hAnsi="Arial"/>
          <w:sz w:val="13"/>
          <w:szCs w:val="13"/>
          <w:color w:val="auto"/>
        </w:rPr>
        <w:t>The Company has been (i) duly incorporated and is validly existing and in good standing under the laws of the state of Delaware,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of the Company’s subsidiaries has been duly organized and is validly existing as a corporation or other entity, as applicable, and in good standing (or the foreign equivalent) under the laws of its jurisdiction of organization, with power and authority (corporate and otherwise) to own its properties and conduct its business as described in the Pricing Prospectus, except where the failure to be in good standing (or the foreign equivalent) would not, individually or in the aggregate, reasonably be expected to have a Material Adverse Effect;</w:t>
      </w:r>
    </w:p>
    <w:p>
      <w:pPr>
        <w:spacing w:after="0" w:line="45" w:lineRule="exact"/>
        <w:rPr>
          <w:rFonts w:ascii="Arial" w:cs="Arial" w:eastAsia="Arial" w:hAnsi="Arial"/>
          <w:sz w:val="13"/>
          <w:szCs w:val="13"/>
          <w:color w:val="auto"/>
        </w:rPr>
      </w:pPr>
    </w:p>
    <w:p>
      <w:pPr>
        <w:ind w:firstLine="448"/>
        <w:spacing w:after="0" w:line="305" w:lineRule="auto"/>
        <w:tabs>
          <w:tab w:leader="none" w:pos="888" w:val="left"/>
        </w:tabs>
        <w:numPr>
          <w:ilvl w:val="1"/>
          <w:numId w:val="126"/>
        </w:numPr>
        <w:rPr>
          <w:rFonts w:ascii="Arial" w:cs="Arial" w:eastAsia="Arial" w:hAnsi="Arial"/>
          <w:sz w:val="13"/>
          <w:szCs w:val="13"/>
          <w:color w:val="auto"/>
        </w:rPr>
      </w:pPr>
      <w:r>
        <w:rPr>
          <w:rFonts w:ascii="Arial" w:cs="Arial" w:eastAsia="Arial" w:hAnsi="Arial"/>
          <w:sz w:val="13"/>
          <w:szCs w:val="13"/>
          <w:color w:val="auto"/>
        </w:rPr>
        <w:t>The Company has an authorized capitalization as set forth in the Pricing Prospectus and all of the issued shares of capital stock of the Company, including the Shares to be sold by the Selling Stockholders, have been duly and validly authorized and issued and are fully paid and non-assessable and conform in all material respects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42" w:lineRule="exact"/>
        <w:rPr>
          <w:rFonts w:ascii="Arial" w:cs="Arial" w:eastAsia="Arial" w:hAnsi="Arial"/>
          <w:sz w:val="13"/>
          <w:szCs w:val="13"/>
          <w:color w:val="auto"/>
        </w:rPr>
      </w:pPr>
    </w:p>
    <w:p>
      <w:pPr>
        <w:jc w:val="both"/>
        <w:ind w:right="60" w:firstLine="448"/>
        <w:spacing w:after="0" w:line="259" w:lineRule="auto"/>
        <w:tabs>
          <w:tab w:leader="none" w:pos="804"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Prospectus and the Prospectus; and the issuance of the Shares is not subject to any preemptive, registration or similar rights, in each case other than rights which have been complied with or waived in writing;</w:t>
      </w:r>
    </w:p>
    <w:p>
      <w:pPr>
        <w:spacing w:after="0" w:line="67" w:lineRule="exact"/>
        <w:rPr>
          <w:rFonts w:ascii="Arial" w:cs="Arial" w:eastAsia="Arial" w:hAnsi="Arial"/>
          <w:sz w:val="15"/>
          <w:szCs w:val="15"/>
          <w:color w:val="auto"/>
        </w:rPr>
      </w:pPr>
    </w:p>
    <w:p>
      <w:pPr>
        <w:ind w:right="180" w:firstLine="448"/>
        <w:spacing w:after="0" w:line="297" w:lineRule="auto"/>
        <w:tabs>
          <w:tab w:leader="none" w:pos="762" w:val="left"/>
        </w:tabs>
        <w:numPr>
          <w:ilvl w:val="1"/>
          <w:numId w:val="126"/>
        </w:numPr>
        <w:rPr>
          <w:rFonts w:ascii="Arial" w:cs="Arial" w:eastAsia="Arial" w:hAnsi="Arial"/>
          <w:sz w:val="13"/>
          <w:szCs w:val="13"/>
          <w:color w:val="auto"/>
        </w:rPr>
      </w:pPr>
      <w:r>
        <w:rPr>
          <w:rFonts w:ascii="Arial" w:cs="Arial" w:eastAsia="Arial" w:hAnsi="Arial"/>
          <w:sz w:val="13"/>
          <w:szCs w:val="13"/>
          <w:color w:val="auto"/>
        </w:rPr>
        <w:t>The issue and sale of the Shares to be sold by the Company and the compliance by the Company with this Agreement and the consummation of the transactions contemplated in this Agreement and the Pricing Prospectus will not conflict with or result in a breach or violation of any of the terms or provisions of, or constitute a default under,</w:t>
      </w:r>
    </w:p>
    <w:p>
      <w:pPr>
        <w:ind w:right="560"/>
        <w:spacing w:after="0" w:line="262" w:lineRule="auto"/>
        <w:rPr>
          <w:rFonts w:ascii="Arial" w:cs="Arial" w:eastAsia="Arial" w:hAnsi="Arial"/>
          <w:sz w:val="13"/>
          <w:szCs w:val="13"/>
          <w:color w:val="auto"/>
        </w:rPr>
      </w:pPr>
      <w:r>
        <w:rPr>
          <w:rFonts w:ascii="Arial" w:cs="Arial" w:eastAsia="Arial" w:hAnsi="Arial"/>
          <w:sz w:val="15"/>
          <w:szCs w:val="15"/>
          <w:color w:val="auto"/>
        </w:rPr>
        <w:t>(A)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980"/>
          </w:cols>
          <w:pgMar w:left="680" w:top="253" w:right="239" w:bottom="1440" w:gutter="0" w:footer="0" w:header="0"/>
        </w:sectPr>
      </w:pPr>
    </w:p>
    <w:bookmarkStart w:id="252" w:name="page253"/>
    <w:bookmarkEnd w:id="252"/>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subsidiaries is subject, (B) the certificate of incorporation or by-laws of (1) the Company or (2) any of its subsidiaries, or (C) any statute or any judgment, order, rule or regulation of any court or governmental agency or body having jurisdiction over the Company or any of its subsidiaries or any of their properties, except in the case of (A), (B)(2) and (C) for such violations that would not individually or in the aggregate, reasonably be expected to have a Material Adverse Effect or materially impair the ability of the Company to perform its obligations under this Agreement, including the issuance and sale of the Shares, or to consummate the transactions contemplated in the Pricing Prospectus and the Prospectus; and no consent, approval, authorization, order, registration or qualification of or with any such court or governmental agency or body is required for the issue of the Shares to be sold by the Company and the sale of the Shares or the consummation by the Company of the transactions contemplated by this Agreement, except such as have been obtained under the Act, the approval by the Financial Industry Regulatory Authority (“</w:t>
      </w:r>
      <w:r>
        <w:rPr>
          <w:rFonts w:ascii="Arial" w:cs="Arial" w:eastAsia="Arial" w:hAnsi="Arial"/>
          <w:sz w:val="14"/>
          <w:szCs w:val="14"/>
          <w:u w:val="single" w:color="auto"/>
          <w:color w:val="auto"/>
        </w:rPr>
        <w:t>FINRA</w:t>
      </w:r>
      <w:r>
        <w:rPr>
          <w:rFonts w:ascii="Arial" w:cs="Arial" w:eastAsia="Arial" w:hAnsi="Arial"/>
          <w:sz w:val="14"/>
          <w:szCs w:val="14"/>
          <w:color w:val="auto"/>
        </w:rPr>
        <w:t>”) of the underwriting terms and arrangements, the approval for listing on the Nasdaq Stock Market Inc.’s National Market (“</w:t>
      </w:r>
      <w:r>
        <w:rPr>
          <w:rFonts w:ascii="Arial" w:cs="Arial" w:eastAsia="Arial" w:hAnsi="Arial"/>
          <w:sz w:val="14"/>
          <w:szCs w:val="14"/>
          <w:u w:val="single" w:color="auto"/>
          <w:color w:val="auto"/>
        </w:rPr>
        <w:t>NASDAQ</w:t>
      </w:r>
      <w:r>
        <w:rPr>
          <w:rFonts w:ascii="Arial" w:cs="Arial" w:eastAsia="Arial" w:hAnsi="Arial"/>
          <w:sz w:val="14"/>
          <w:szCs w:val="14"/>
          <w:color w:val="auto"/>
        </w:rPr>
        <w:t>”) and such consents, approvals, authorizations, orders, registrations or qualifications as may be required under state securities or Blue Sky laws in connection with the purchase and distribution of the Shares by the Underwriters;</w:t>
      </w:r>
    </w:p>
    <w:p>
      <w:pPr>
        <w:spacing w:after="0" w:line="60" w:lineRule="exact"/>
        <w:rPr>
          <w:sz w:val="20"/>
          <w:szCs w:val="20"/>
          <w:color w:val="auto"/>
        </w:rPr>
      </w:pPr>
    </w:p>
    <w:p>
      <w:pPr>
        <w:ind w:left="820" w:hanging="372"/>
        <w:spacing w:after="0"/>
        <w:tabs>
          <w:tab w:leader="none" w:pos="82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Neither the Company nor any of its subsidiaries is (i) in violation of its certificate of incorporation or by-laws or other applicable organizational document, as applicable</w:t>
      </w:r>
    </w:p>
    <w:p>
      <w:pPr>
        <w:spacing w:after="0" w:line="40" w:lineRule="exact"/>
        <w:rPr>
          <w:rFonts w:ascii="Arial" w:cs="Arial" w:eastAsia="Arial" w:hAnsi="Arial"/>
          <w:sz w:val="13"/>
          <w:szCs w:val="13"/>
          <w:color w:val="auto"/>
        </w:rPr>
      </w:pPr>
    </w:p>
    <w:p>
      <w:pPr>
        <w:jc w:val="both"/>
        <w:ind w:right="20" w:firstLine="8"/>
        <w:spacing w:after="0" w:line="289" w:lineRule="auto"/>
        <w:tabs>
          <w:tab w:leader="none" w:pos="22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w:t>
      </w:r>
    </w:p>
    <w:p>
      <w:pPr>
        <w:spacing w:after="0" w:line="1" w:lineRule="exact"/>
        <w:rPr>
          <w:rFonts w:ascii="Arial" w:cs="Arial" w:eastAsia="Arial" w:hAnsi="Arial"/>
          <w:sz w:val="13"/>
          <w:szCs w:val="13"/>
          <w:color w:val="auto"/>
        </w:rPr>
      </w:pPr>
    </w:p>
    <w:p>
      <w:pPr>
        <w:ind w:right="480" w:firstLine="8"/>
        <w:spacing w:after="0" w:line="262" w:lineRule="auto"/>
        <w:tabs>
          <w:tab w:leader="none" w:pos="26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and, with respect to the Company’s subsidiaries in the case of clause (i), for such defaults as would not, individually or in the aggregate, reasonably be expected to have a Material Adverse Effect;</w:t>
      </w:r>
    </w:p>
    <w:p>
      <w:pPr>
        <w:spacing w:after="0" w:line="65" w:lineRule="exact"/>
        <w:rPr>
          <w:rFonts w:ascii="Arial" w:cs="Arial" w:eastAsia="Arial" w:hAnsi="Arial"/>
          <w:sz w:val="15"/>
          <w:szCs w:val="15"/>
          <w:color w:val="auto"/>
        </w:rPr>
      </w:pPr>
    </w:p>
    <w:p>
      <w:pPr>
        <w:ind w:right="60" w:firstLine="448"/>
        <w:spacing w:after="0" w:line="259" w:lineRule="auto"/>
        <w:tabs>
          <w:tab w:leader="none" w:pos="846" w:val="left"/>
        </w:tabs>
        <w:numPr>
          <w:ilvl w:val="1"/>
          <w:numId w:val="128"/>
        </w:numPr>
        <w:rPr>
          <w:rFonts w:ascii="Arial" w:cs="Arial" w:eastAsia="Arial" w:hAnsi="Arial"/>
          <w:sz w:val="15"/>
          <w:szCs w:val="15"/>
          <w:color w:val="auto"/>
        </w:rPr>
      </w:pPr>
      <w:r>
        <w:rPr>
          <w:rFonts w:ascii="Arial" w:cs="Arial" w:eastAsia="Arial" w:hAnsi="Arial"/>
          <w:sz w:val="15"/>
          <w:szCs w:val="15"/>
          <w:color w:val="auto"/>
        </w:rPr>
        <w:t>The statements set forth in the Pricing Prospectus and the Prospectus under the caption “Description of Capital Stock”, insofar as they purport to constitute a summary of the terms of the Stock</w:t>
      </w:r>
      <w:r>
        <w:rPr>
          <w:rFonts w:ascii="Arial" w:cs="Arial" w:eastAsia="Arial" w:hAnsi="Arial"/>
          <w:sz w:val="15"/>
          <w:szCs w:val="15"/>
          <w:b w:val="1"/>
          <w:bCs w:val="1"/>
          <w:color w:val="auto"/>
        </w:rPr>
        <w:t>,</w:t>
      </w:r>
      <w:r>
        <w:rPr>
          <w:rFonts w:ascii="Arial" w:cs="Arial" w:eastAsia="Arial" w:hAnsi="Arial"/>
          <w:sz w:val="15"/>
          <w:szCs w:val="15"/>
          <w:color w:val="auto"/>
        </w:rPr>
        <w:t xml:space="preserve"> under the caption “Material U.S. Federal Income Tax Consequences to Non-U.S. Holders of Our Class A Common Stock”, and under the caption “Underwriting (Conflicts of Interest)”, insofar as they purport to describe the provisions of the laws and documents referred to therein, are accurate, complete and fair in all material respects;</w:t>
      </w:r>
    </w:p>
    <w:p>
      <w:pPr>
        <w:spacing w:after="0" w:line="67" w:lineRule="exact"/>
        <w:rPr>
          <w:rFonts w:ascii="Arial" w:cs="Arial" w:eastAsia="Arial" w:hAnsi="Arial"/>
          <w:sz w:val="15"/>
          <w:szCs w:val="15"/>
          <w:color w:val="auto"/>
        </w:rPr>
      </w:pPr>
    </w:p>
    <w:p>
      <w:pPr>
        <w:ind w:right="80" w:firstLine="448"/>
        <w:spacing w:after="0" w:line="257" w:lineRule="auto"/>
        <w:tabs>
          <w:tab w:leader="none" w:pos="890" w:val="left"/>
        </w:tabs>
        <w:numPr>
          <w:ilvl w:val="1"/>
          <w:numId w:val="128"/>
        </w:numPr>
        <w:rPr>
          <w:rFonts w:ascii="Arial" w:cs="Arial" w:eastAsia="Arial" w:hAnsi="Arial"/>
          <w:sz w:val="15"/>
          <w:szCs w:val="15"/>
          <w:color w:val="auto"/>
        </w:rPr>
      </w:pPr>
      <w:r>
        <w:rPr>
          <w:rFonts w:ascii="Arial" w:cs="Arial" w:eastAsia="Arial" w:hAnsi="Arial"/>
          <w:sz w:val="15"/>
          <w:szCs w:val="15"/>
          <w:color w:val="auto"/>
        </w:rPr>
        <w:t>Other than as set forth in the Pricing Prospectus,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threatened by others;</w:t>
      </w:r>
    </w:p>
    <w:p>
      <w:pPr>
        <w:spacing w:after="0" w:line="68" w:lineRule="exact"/>
        <w:rPr>
          <w:rFonts w:ascii="Arial" w:cs="Arial" w:eastAsia="Arial" w:hAnsi="Arial"/>
          <w:sz w:val="15"/>
          <w:szCs w:val="15"/>
          <w:color w:val="auto"/>
        </w:rPr>
      </w:pPr>
    </w:p>
    <w:p>
      <w:pPr>
        <w:ind w:right="380" w:firstLine="448"/>
        <w:spacing w:after="0" w:line="312" w:lineRule="auto"/>
        <w:tabs>
          <w:tab w:leader="none" w:pos="879" w:val="left"/>
        </w:tabs>
        <w:numPr>
          <w:ilvl w:val="1"/>
          <w:numId w:val="128"/>
        </w:numPr>
        <w:rPr>
          <w:rFonts w:ascii="Arial" w:cs="Arial" w:eastAsia="Arial" w:hAnsi="Arial"/>
          <w:sz w:val="14"/>
          <w:szCs w:val="14"/>
          <w:color w:val="auto"/>
        </w:rPr>
      </w:pPr>
      <w:r>
        <w:rPr>
          <w:rFonts w:ascii="Arial" w:cs="Arial" w:eastAsia="Arial" w:hAnsi="Arial"/>
          <w:sz w:val="14"/>
          <w:szCs w:val="14"/>
          <w:color w:val="auto"/>
        </w:rPr>
        <w:t>The Company is not and, immediately after giving effect to the offering and sale of the Shares and the application of the proceeds thereof, will not be required to register as an “investment company”, as such term is defined in the Investment Company Act of 1940, as amended (the “</w:t>
      </w:r>
      <w:r>
        <w:rPr>
          <w:rFonts w:ascii="Arial" w:cs="Arial" w:eastAsia="Arial" w:hAnsi="Arial"/>
          <w:sz w:val="14"/>
          <w:szCs w:val="14"/>
          <w:u w:val="single" w:color="auto"/>
          <w:color w:val="auto"/>
        </w:rPr>
        <w:t>Investment Company Act</w:t>
      </w:r>
      <w:r>
        <w:rPr>
          <w:rFonts w:ascii="Arial" w:cs="Arial" w:eastAsia="Arial" w:hAnsi="Arial"/>
          <w:sz w:val="14"/>
          <w:szCs w:val="14"/>
          <w:color w:val="auto"/>
        </w:rPr>
        <w:t>”);</w:t>
      </w:r>
    </w:p>
    <w:p>
      <w:pPr>
        <w:spacing w:after="0" w:line="66"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940"/>
          </w:cols>
          <w:pgMar w:left="680" w:top="253" w:right="279" w:bottom="1440" w:gutter="0" w:footer="0" w:header="0"/>
        </w:sectPr>
      </w:pPr>
    </w:p>
    <w:bookmarkStart w:id="253" w:name="page254"/>
    <w:bookmarkEnd w:id="253"/>
    <w:p>
      <w:pPr>
        <w:ind w:left="440"/>
        <w:spacing w:after="0"/>
        <w:tabs>
          <w:tab w:leader="none" w:pos="82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(xv)</w:t>
      </w:r>
      <w:r>
        <w:rPr>
          <w:sz w:val="20"/>
          <w:szCs w:val="20"/>
          <w:color w:val="auto"/>
        </w:rPr>
        <w:tab/>
      </w:r>
      <w:r>
        <w:rPr>
          <w:rFonts w:ascii="Arial" w:cs="Arial" w:eastAsia="Arial" w:hAnsi="Arial"/>
          <w:sz w:val="13"/>
          <w:szCs w:val="13"/>
          <w:color w:val="auto"/>
        </w:rPr>
        <w:t>At the time of filing the Initial Registration Statement and at the date hereof, the Company was not and is not an “ineligible issuer,” as defined under Rule 405 under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Act;</w:t>
      </w:r>
    </w:p>
    <w:p>
      <w:pPr>
        <w:spacing w:after="0" w:line="89" w:lineRule="exact"/>
        <w:rPr>
          <w:sz w:val="20"/>
          <w:szCs w:val="20"/>
          <w:color w:val="auto"/>
        </w:rPr>
      </w:pPr>
    </w:p>
    <w:p>
      <w:pPr>
        <w:ind w:right="40" w:firstLine="448"/>
        <w:spacing w:after="0" w:line="275" w:lineRule="auto"/>
        <w:tabs>
          <w:tab w:leader="none" w:pos="88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Ernst &amp; Young LLP, who has certified certain financial statements of the Company and its subsidiaries, is an independent registered public accounting firm as required by the Act and the rules and regulations of the Commission thereunder;</w:t>
      </w:r>
    </w:p>
    <w:p>
      <w:pPr>
        <w:spacing w:after="0" w:line="55" w:lineRule="exact"/>
        <w:rPr>
          <w:rFonts w:ascii="Arial" w:cs="Arial" w:eastAsia="Arial" w:hAnsi="Arial"/>
          <w:sz w:val="15"/>
          <w:szCs w:val="15"/>
          <w:color w:val="auto"/>
        </w:rPr>
      </w:pPr>
    </w:p>
    <w:p>
      <w:pPr>
        <w:ind w:firstLine="448"/>
        <w:spacing w:after="0" w:line="253" w:lineRule="auto"/>
        <w:tabs>
          <w:tab w:leader="none" w:pos="92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Company maintains a system of internal control over financial reporting (as such term is defined in Rule 13a-15(f)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that (i) complies with the requirements of the Exchange Act applicable to the Company, (ii) has been designed by the Company’s principal executive officer and principal financial officer, or under their supervision</w:t>
      </w:r>
      <w:r>
        <w:rPr>
          <w:rFonts w:ascii="Arial" w:cs="Arial" w:eastAsia="Arial" w:hAnsi="Arial"/>
          <w:sz w:val="15"/>
          <w:szCs w:val="15"/>
          <w:b w:val="1"/>
          <w:bCs w:val="1"/>
          <w:color w:val="auto"/>
        </w:rPr>
        <w:t>,</w:t>
      </w:r>
      <w:r>
        <w:rPr>
          <w:rFonts w:ascii="Arial" w:cs="Arial" w:eastAsia="Arial" w:hAnsi="Arial"/>
          <w:sz w:val="15"/>
          <w:szCs w:val="15"/>
          <w:color w:val="auto"/>
        </w:rPr>
        <w:t xml:space="preserve">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Pricing Prospectus, the Company is not aware of any material weaknesses in its internal control over financial reporting (it being understood that this subsection shall not require the Company to comply with Section 404 of the Sarbanes-Oxley Act of 2002 as of an earlier date than it would otherwise be required to so comply under applicable law);</w:t>
      </w:r>
    </w:p>
    <w:p>
      <w:pPr>
        <w:spacing w:after="0" w:line="76" w:lineRule="exact"/>
        <w:rPr>
          <w:rFonts w:ascii="Arial" w:cs="Arial" w:eastAsia="Arial" w:hAnsi="Arial"/>
          <w:sz w:val="15"/>
          <w:szCs w:val="15"/>
          <w:color w:val="auto"/>
        </w:rPr>
      </w:pPr>
    </w:p>
    <w:p>
      <w:pPr>
        <w:ind w:right="40" w:firstLine="448"/>
        <w:spacing w:after="0" w:line="312" w:lineRule="auto"/>
        <w:tabs>
          <w:tab w:leader="none" w:pos="100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32" w:lineRule="exact"/>
        <w:rPr>
          <w:rFonts w:ascii="Arial" w:cs="Arial" w:eastAsia="Arial" w:hAnsi="Arial"/>
          <w:sz w:val="14"/>
          <w:szCs w:val="14"/>
          <w:color w:val="auto"/>
        </w:rPr>
      </w:pPr>
    </w:p>
    <w:p>
      <w:pPr>
        <w:ind w:right="120" w:firstLine="448"/>
        <w:spacing w:after="0" w:line="259" w:lineRule="auto"/>
        <w:tabs>
          <w:tab w:leader="none" w:pos="87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67" w:lineRule="exact"/>
        <w:rPr>
          <w:rFonts w:ascii="Arial" w:cs="Arial" w:eastAsia="Arial" w:hAnsi="Arial"/>
          <w:sz w:val="15"/>
          <w:szCs w:val="15"/>
          <w:color w:val="auto"/>
        </w:rPr>
      </w:pPr>
    </w:p>
    <w:p>
      <w:pPr>
        <w:ind w:left="840" w:hanging="392"/>
        <w:spacing w:after="0"/>
        <w:tabs>
          <w:tab w:leader="none" w:pos="8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This Agreement has been duly authorized, executed and delivered by the Company;</w:t>
      </w:r>
    </w:p>
    <w:p>
      <w:pPr>
        <w:spacing w:after="0" w:line="98" w:lineRule="exact"/>
        <w:rPr>
          <w:rFonts w:ascii="Arial" w:cs="Arial" w:eastAsia="Arial" w:hAnsi="Arial"/>
          <w:sz w:val="15"/>
          <w:szCs w:val="15"/>
          <w:color w:val="auto"/>
        </w:rPr>
      </w:pPr>
    </w:p>
    <w:p>
      <w:pPr>
        <w:ind w:firstLine="448"/>
        <w:spacing w:after="0" w:line="279" w:lineRule="auto"/>
        <w:tabs>
          <w:tab w:leader="none" w:pos="882" w:val="left"/>
        </w:tabs>
        <w:numPr>
          <w:ilvl w:val="0"/>
          <w:numId w:val="129"/>
        </w:numPr>
        <w:rPr>
          <w:rFonts w:ascii="Arial" w:cs="Arial" w:eastAsia="Arial" w:hAnsi="Arial"/>
          <w:sz w:val="14"/>
          <w:szCs w:val="14"/>
          <w:color w:val="auto"/>
        </w:rPr>
      </w:pPr>
      <w:r>
        <w:rPr>
          <w:rFonts w:ascii="Arial" w:cs="Arial" w:eastAsia="Arial" w:hAnsi="Arial"/>
          <w:sz w:val="14"/>
          <w:szCs w:val="14"/>
          <w:color w:val="auto"/>
        </w:rPr>
        <w:t>None of the Company or any of its subsidiaries nor, to the knowledge of the Company, any director, officer, agent, employee, affiliate or other person, while acting on behalf of the Company or any of its subsidiaries has (i) made, offered, promised or authorized any unlawful contribution, gift, entertainment or other unlawful expense; (ii) made, offered, promised or authorized any direct or indirect unlawful payment to any foreign or domestic government official or employee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from corporate funds; or (iii) violated or is in</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960"/>
          </w:cols>
          <w:pgMar w:left="680" w:top="253" w:right="259" w:bottom="1440" w:gutter="0" w:footer="0" w:header="0"/>
        </w:sectPr>
      </w:pPr>
    </w:p>
    <w:bookmarkStart w:id="254" w:name="page255"/>
    <w:bookmarkEnd w:id="254"/>
    <w:p>
      <w:pPr>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violation of any provision of the Foreign Corrupt Practices Act of 1977, the Bribery Act 2010 of the United Kingdom or any other applicable anti-bribery or anti-corruption law applicable to the Company; and the Company and its subsidiaries conduct their business in compliance with applicable anti-corruption laws in all material respects and have instituted and maintained policies and procedures designed to promote and achieve compliance with such laws in all material respects;</w:t>
      </w:r>
    </w:p>
    <w:p>
      <w:pPr>
        <w:spacing w:after="0" w:line="65" w:lineRule="exact"/>
        <w:rPr>
          <w:sz w:val="20"/>
          <w:szCs w:val="20"/>
          <w:color w:val="auto"/>
        </w:rPr>
      </w:pPr>
    </w:p>
    <w:p>
      <w:pPr>
        <w:ind w:right="40" w:firstLine="448"/>
        <w:spacing w:after="0" w:line="257" w:lineRule="auto"/>
        <w:tabs>
          <w:tab w:leader="none" w:pos="921"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(collectively, the “</w:t>
      </w:r>
      <w:r>
        <w:rPr>
          <w:rFonts w:ascii="Arial" w:cs="Arial" w:eastAsia="Arial" w:hAnsi="Arial"/>
          <w:sz w:val="15"/>
          <w:szCs w:val="15"/>
          <w:u w:val="single" w:color="auto"/>
          <w:color w:val="auto"/>
        </w:rPr>
        <w:t>Money Laundering Laws</w:t>
      </w:r>
      <w:r>
        <w:rPr>
          <w:rFonts w:ascii="Arial" w:cs="Arial" w:eastAsia="Arial" w:hAnsi="Arial"/>
          <w:sz w:val="15"/>
          <w:szCs w:val="15"/>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8" w:lineRule="exact"/>
        <w:rPr>
          <w:rFonts w:ascii="Arial" w:cs="Arial" w:eastAsia="Arial" w:hAnsi="Arial"/>
          <w:sz w:val="15"/>
          <w:szCs w:val="15"/>
          <w:color w:val="auto"/>
        </w:rPr>
      </w:pPr>
    </w:p>
    <w:p>
      <w:pPr>
        <w:ind w:right="40" w:firstLine="448"/>
        <w:spacing w:after="0" w:line="254" w:lineRule="auto"/>
        <w:tabs>
          <w:tab w:leader="none" w:pos="966" w:val="left"/>
        </w:tabs>
        <w:numPr>
          <w:ilvl w:val="0"/>
          <w:numId w:val="130"/>
        </w:numPr>
        <w:rPr>
          <w:rFonts w:ascii="Arial" w:cs="Arial" w:eastAsia="Arial" w:hAnsi="Arial"/>
          <w:sz w:val="15"/>
          <w:szCs w:val="15"/>
          <w:color w:val="auto"/>
        </w:rPr>
      </w:pPr>
      <w:r>
        <w:rPr>
          <w:rFonts w:ascii="Arial" w:cs="Arial" w:eastAsia="Arial" w:hAnsi="Arial"/>
          <w:sz w:val="15"/>
          <w:szCs w:val="15"/>
          <w:color w:val="auto"/>
        </w:rPr>
        <w:t>None of the Company or any of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or other relevant sanctions authority (collectively, “</w:t>
      </w:r>
      <w:r>
        <w:rPr>
          <w:rFonts w:ascii="Arial" w:cs="Arial" w:eastAsia="Arial" w:hAnsi="Arial"/>
          <w:sz w:val="15"/>
          <w:szCs w:val="15"/>
          <w:u w:val="single" w:color="auto"/>
          <w:color w:val="auto"/>
        </w:rPr>
        <w:t>Sanctions</w:t>
      </w:r>
      <w:r>
        <w:rPr>
          <w:rFonts w:ascii="Arial" w:cs="Arial" w:eastAsia="Arial" w:hAnsi="Arial"/>
          <w:sz w:val="15"/>
          <w:szCs w:val="15"/>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Except for any violations that have been disclosed in the Pricing Prospectus or are otherwise related to the Voluntary Self Disclosure filings that have been identified in the Pricing Prospectus, for the past five years, the Company and its subsidiaries have not engaged in and are not now knowingly engaged in any dealings or transactions in violation of U.S. Sanctions;</w:t>
      </w:r>
    </w:p>
    <w:p>
      <w:pPr>
        <w:spacing w:after="0" w:line="71" w:lineRule="exact"/>
        <w:rPr>
          <w:rFonts w:ascii="Arial" w:cs="Arial" w:eastAsia="Arial" w:hAnsi="Arial"/>
          <w:sz w:val="15"/>
          <w:szCs w:val="15"/>
          <w:color w:val="auto"/>
        </w:rPr>
      </w:pPr>
    </w:p>
    <w:p>
      <w:pPr>
        <w:ind w:right="60" w:firstLine="448"/>
        <w:spacing w:after="0" w:line="275" w:lineRule="auto"/>
        <w:tabs>
          <w:tab w:leader="none" w:pos="95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financial statements, together with the related schedules and notes, included in the Registration Statement, the Pricing Prospectus and the Prospectus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throughout the periods involved. The supporting schedules, if any, included in the Registration Statement, the Pricing Prospectus and the Prospectus, present fairly in all material respects the information required to be stated therein in accordance with GAAP. The selected financial data and the summary financial information included in the Registration Statement, the Pricing Prospectus and the Prospectus present fairly the information shown therein and have been compiled on a basis consistent with that of the audited financial statements included therein. No other historical or pro forma financial statements or supporting schedules are required to be included in the Registration Statement, the Pricing Prospectus or the Prospectus under the Act or the rules and regulations</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980"/>
          </w:cols>
          <w:pgMar w:left="680" w:top="253" w:right="239" w:bottom="1440" w:gutter="0" w:footer="0" w:header="0"/>
        </w:sectPr>
      </w:pPr>
    </w:p>
    <w:bookmarkStart w:id="255" w:name="page256"/>
    <w:bookmarkEnd w:id="255"/>
    <w:p>
      <w:pPr>
        <w:ind w:right="8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65" w:lineRule="exact"/>
        <w:rPr>
          <w:sz w:val="20"/>
          <w:szCs w:val="20"/>
          <w:color w:val="auto"/>
        </w:rPr>
      </w:pPr>
    </w:p>
    <w:p>
      <w:pPr>
        <w:ind w:right="120" w:firstLine="448"/>
        <w:spacing w:after="0" w:line="263" w:lineRule="auto"/>
        <w:tabs>
          <w:tab w:leader="none" w:pos="90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At time of initial confidential submission of a registration statement relating to the Shares with the Commission (or, if earlier, the first date on which a Section 5(d) Communication was made), the Company was an “emerging growth company” as defined in Section 2(a)(19) of the Act (an “</w:t>
      </w:r>
      <w:r>
        <w:rPr>
          <w:rFonts w:ascii="Arial" w:cs="Arial" w:eastAsia="Arial" w:hAnsi="Arial"/>
          <w:sz w:val="15"/>
          <w:szCs w:val="15"/>
          <w:u w:val="single" w:color="auto"/>
          <w:color w:val="auto"/>
        </w:rPr>
        <w:t>Emerging Growth Company</w:t>
      </w:r>
      <w:r>
        <w:rPr>
          <w:rFonts w:ascii="Arial" w:cs="Arial" w:eastAsia="Arial" w:hAnsi="Arial"/>
          <w:sz w:val="15"/>
          <w:szCs w:val="15"/>
          <w:color w:val="auto"/>
        </w:rPr>
        <w:t>”), and continued to be an “emerging growth company” through December 31, 2017;</w:t>
      </w:r>
    </w:p>
    <w:p>
      <w:pPr>
        <w:spacing w:after="0" w:line="64" w:lineRule="exact"/>
        <w:rPr>
          <w:rFonts w:ascii="Arial" w:cs="Arial" w:eastAsia="Arial" w:hAnsi="Arial"/>
          <w:sz w:val="15"/>
          <w:szCs w:val="15"/>
          <w:color w:val="auto"/>
        </w:rPr>
      </w:pPr>
    </w:p>
    <w:p>
      <w:pPr>
        <w:ind w:firstLine="448"/>
        <w:spacing w:after="0" w:line="297" w:lineRule="auto"/>
        <w:tabs>
          <w:tab w:leader="none" w:pos="955"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To the Company’s knowledge (solely with respect to third party patents and patent rights), the Company and its subsidiaries own or possess, or can acquire on commercially reasonable terms, sufficient rights to use all patents, copyrights, know-how (including trade secrets and other unpatented and/or unpatentable proprietary or confidential information, systems or procedures), trademarks, service marks and trade names, Internet domain names and all goodwill associated therewith and other technology and intellectual property rights (collectively, the “</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used in the conduct of their respective businesses as currently conducted, except where the failure to own or possess any of the foregoing would not reasonably be expected to have a Material Adverse Effect. Except as disclosed in the Pricing Prospectus, neither the Company nor any of its subsidiaries has received any written notice of any claim of infringement, misappropriation or conflict with, asserted rights of others with respect to any Intellectual Property which, individually or in the aggregate, if the subject of an unfavorable decision, ruling or finding, would reasonably be expected to have a Material Adverse Effect; and except as would not reasonably be expected to have a Material Adverse Effect, to the Company’s knowledge, (A) the conduct of the business of the Company and its subsidiaries does not infringe, misappropriate or violate the Intellectual Property of others and (B) no third party is infringing any Intellectual Property owned by the Company or its subsidiaries;</w:t>
      </w:r>
    </w:p>
    <w:p>
      <w:pPr>
        <w:spacing w:after="0" w:line="49" w:lineRule="exact"/>
        <w:rPr>
          <w:rFonts w:ascii="Arial" w:cs="Arial" w:eastAsia="Arial" w:hAnsi="Arial"/>
          <w:sz w:val="13"/>
          <w:szCs w:val="13"/>
          <w:color w:val="auto"/>
        </w:rPr>
      </w:pPr>
    </w:p>
    <w:p>
      <w:pPr>
        <w:ind w:left="1000" w:hanging="552"/>
        <w:spacing w:after="0"/>
        <w:tabs>
          <w:tab w:leader="none" w:pos="10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No material labor disputes against the Company or any of its subsidiaries exists or, to the knowledge of the Company, is threatened;</w:t>
      </w:r>
    </w:p>
    <w:p>
      <w:pPr>
        <w:spacing w:after="0" w:line="98" w:lineRule="exact"/>
        <w:rPr>
          <w:rFonts w:ascii="Arial" w:cs="Arial" w:eastAsia="Arial" w:hAnsi="Arial"/>
          <w:sz w:val="15"/>
          <w:szCs w:val="15"/>
          <w:color w:val="auto"/>
        </w:rPr>
      </w:pPr>
    </w:p>
    <w:p>
      <w:pPr>
        <w:ind w:right="20" w:firstLine="448"/>
        <w:spacing w:after="0" w:line="279" w:lineRule="auto"/>
        <w:tabs>
          <w:tab w:leader="none" w:pos="1041" w:val="left"/>
        </w:tabs>
        <w:numPr>
          <w:ilvl w:val="0"/>
          <w:numId w:val="131"/>
        </w:numPr>
        <w:rPr>
          <w:rFonts w:ascii="Arial" w:cs="Arial" w:eastAsia="Arial" w:hAnsi="Arial"/>
          <w:sz w:val="14"/>
          <w:szCs w:val="14"/>
          <w:color w:val="auto"/>
        </w:rPr>
      </w:pPr>
      <w:r>
        <w:rPr>
          <w:rFonts w:ascii="Arial" w:cs="Arial" w:eastAsia="Arial" w:hAnsi="Arial"/>
          <w:sz w:val="14"/>
          <w:szCs w:val="14"/>
          <w:color w:val="auto"/>
        </w:rPr>
        <w:t>Except as would not, individually or in the aggregate, have a Material Adverse Effect, the Company reasonably believes that (i) the Company and its subsidiaries own or have a valid right to access and use all computer systems, networks, hardware, software, databases, websites, and equipment used to process, store, maintain and operate data, information, and functions used in connection with the business of the Company and its subsidiaries (the “</w:t>
      </w:r>
      <w:r>
        <w:rPr>
          <w:rFonts w:ascii="Arial" w:cs="Arial" w:eastAsia="Arial" w:hAnsi="Arial"/>
          <w:sz w:val="14"/>
          <w:szCs w:val="14"/>
          <w:u w:val="single" w:color="auto"/>
          <w:color w:val="auto"/>
        </w:rPr>
        <w:t>Company IT Systems</w:t>
      </w:r>
      <w:r>
        <w:rPr>
          <w:rFonts w:ascii="Arial" w:cs="Arial" w:eastAsia="Arial" w:hAnsi="Arial"/>
          <w:sz w:val="14"/>
          <w:szCs w:val="14"/>
          <w:color w:val="auto"/>
        </w:rPr>
        <w:t>”), (ii) the Company IT Systems are adequate for, and operate and perform as required in connection with, the operation of the business of the Company and its subsidiaries as currently conducted and (iii) the Company and its subsidiaries have implemented reasonable backup, security and disaster recovery technology consistent with applicable regulatory standards;</w:t>
      </w:r>
    </w:p>
    <w:p>
      <w:pPr>
        <w:spacing w:after="0" w:line="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5"/>
          <w:szCs w:val="15"/>
          <w:color w:val="auto"/>
        </w:rPr>
        <w:t>(xxvix) Except as described in the Pricing Prospectus, the Company has not sold or issued any shares of capital stock during the six-month period preceding the date of the Prospectus, including any sales pursuant to Rule 144A under, or Regulations D or S of, the Act, other than shares issued pursuant to employee benefit plans, stock option plans or other employee compensation plans or pursuant to outstanding options, restricted stock units, rights or warrants;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960"/>
          </w:cols>
          <w:pgMar w:left="680" w:top="253" w:right="259" w:bottom="1440" w:gutter="0" w:footer="0" w:header="0"/>
        </w:sectPr>
      </w:pPr>
    </w:p>
    <w:bookmarkStart w:id="256" w:name="page257"/>
    <w:bookmarkEnd w:id="256"/>
    <w:p>
      <w:pPr>
        <w:ind w:right="140" w:firstLine="448"/>
        <w:spacing w:after="0" w:line="259" w:lineRule="auto"/>
        <w:tabs>
          <w:tab w:leader="none" w:pos="913" w:val="left"/>
        </w:tabs>
        <w:numPr>
          <w:ilvl w:val="0"/>
          <w:numId w:val="13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Company and its subsidiaries taken as a whole are insured by insurers of recognized financial responsibility against such losses and risks and in such amounts as are, in the Company’s reasonable judgment, prudent and customary in the business in which it is engaged; and none of the Company 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67" w:lineRule="exact"/>
        <w:rPr>
          <w:rFonts w:ascii="Arial" w:cs="Arial" w:eastAsia="Arial" w:hAnsi="Arial"/>
          <w:sz w:val="15"/>
          <w:szCs w:val="15"/>
          <w:color w:val="auto"/>
        </w:rPr>
      </w:pPr>
    </w:p>
    <w:p>
      <w:pPr>
        <w:ind w:right="20" w:firstLine="448"/>
        <w:spacing w:after="0" w:line="275" w:lineRule="auto"/>
        <w:tabs>
          <w:tab w:leader="none" w:pos="95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Company and each of its subsidiaries (i) are in compliance with all applicable laws, regulations, ordinances, rules, orders, judgments, decrees, permits or other legal requirements of any governmental authority, including without limitation any international, national, state, provincial, regional, or local authority, relating to the protection of human health or safety, the environment, or natural resources, or to hazardous or toxic substances or wastes, pollutants or contaminants (“</w:t>
      </w:r>
      <w:r>
        <w:rPr>
          <w:rFonts w:ascii="Arial" w:cs="Arial" w:eastAsia="Arial" w:hAnsi="Arial"/>
          <w:sz w:val="14"/>
          <w:szCs w:val="14"/>
          <w:u w:val="single" w:color="auto"/>
          <w:color w:val="auto"/>
        </w:rPr>
        <w:t>Environmental Laws</w:t>
      </w:r>
      <w:r>
        <w:rPr>
          <w:rFonts w:ascii="Arial" w:cs="Arial" w:eastAsia="Arial" w:hAnsi="Arial"/>
          <w:sz w:val="14"/>
          <w:szCs w:val="14"/>
          <w:color w:val="auto"/>
        </w:rPr>
        <w:t>”), (ii) have received all permits, licenses or other approvals required of them under applicable Environmental Laws to conduct their respective businesses, (iii) are in compliance with all terms and conditions of any such permit, license or approval, and (iv) the Company has not received notice of any proceedings that are pending or threatened against the Company or any of its subsidiaries under Environmental Laws in which a governmental authority is also a party, except where such non-compliance with Environmental Laws, or where any claim, request, notice, proceeding, investigation,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58" w:lineRule="exact"/>
        <w:rPr>
          <w:rFonts w:ascii="Arial" w:cs="Arial" w:eastAsia="Arial" w:hAnsi="Arial"/>
          <w:sz w:val="14"/>
          <w:szCs w:val="14"/>
          <w:color w:val="auto"/>
        </w:rPr>
      </w:pPr>
    </w:p>
    <w:p>
      <w:pPr>
        <w:ind w:firstLine="448"/>
        <w:spacing w:after="0" w:line="263" w:lineRule="auto"/>
        <w:tabs>
          <w:tab w:leader="none" w:pos="99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Except as would not, either individually or in the aggregate, have a Material Adverse Effect, the Company and its subsidiaries possess, and are in compliance with the terms of, all certificates, authorizations, franchises, licenses and permits (“</w:t>
      </w:r>
      <w:r>
        <w:rPr>
          <w:rFonts w:ascii="Arial" w:cs="Arial" w:eastAsia="Arial" w:hAnsi="Arial"/>
          <w:sz w:val="15"/>
          <w:szCs w:val="15"/>
          <w:u w:val="single" w:color="auto"/>
          <w:color w:val="auto"/>
        </w:rPr>
        <w:t>Business Licenses</w:t>
      </w:r>
      <w:r>
        <w:rPr>
          <w:rFonts w:ascii="Arial" w:cs="Arial" w:eastAsia="Arial" w:hAnsi="Arial"/>
          <w:sz w:val="15"/>
          <w:szCs w:val="15"/>
          <w:color w:val="auto"/>
        </w:rPr>
        <w:t>”) necessary to the conduct of the business now conducted and the Company and its subsidiaries have not received any notice of proceedings relating to the revocation or modification of any Business Licenses;</w:t>
      </w:r>
    </w:p>
    <w:p>
      <w:pPr>
        <w:spacing w:after="0" w:line="64" w:lineRule="exact"/>
        <w:rPr>
          <w:rFonts w:ascii="Arial" w:cs="Arial" w:eastAsia="Arial" w:hAnsi="Arial"/>
          <w:sz w:val="15"/>
          <w:szCs w:val="15"/>
          <w:color w:val="auto"/>
        </w:rPr>
      </w:pPr>
    </w:p>
    <w:p>
      <w:pPr>
        <w:ind w:right="180" w:firstLine="448"/>
        <w:spacing w:after="0" w:line="275" w:lineRule="auto"/>
        <w:tabs>
          <w:tab w:leader="none" w:pos="103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statistical and market-related data included in the Pricing Prospectus and the Prospectus are based on or derived from estimates and sources that the Company believes to be reliable and accurate in all material respects;</w:t>
      </w:r>
    </w:p>
    <w:p>
      <w:pPr>
        <w:spacing w:after="0" w:line="55" w:lineRule="exact"/>
        <w:rPr>
          <w:rFonts w:ascii="Arial" w:cs="Arial" w:eastAsia="Arial" w:hAnsi="Arial"/>
          <w:sz w:val="15"/>
          <w:szCs w:val="15"/>
          <w:color w:val="auto"/>
        </w:rPr>
      </w:pPr>
    </w:p>
    <w:p>
      <w:pPr>
        <w:ind w:right="180" w:firstLine="448"/>
        <w:spacing w:after="0" w:line="263" w:lineRule="auto"/>
        <w:tabs>
          <w:tab w:leader="none" w:pos="92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Company has not, directly or indirectly, including through any subsidiary, extended or maintained credit, or arranged for the extension of credit, or renewed any extension of credit, in the form of a personal loan to or for any of its directors or executive officers that was outstanding at or after the time of the first filing of the Registration Statement with the Commission;</w:t>
      </w:r>
    </w:p>
    <w:p>
      <w:pPr>
        <w:spacing w:after="0" w:line="64" w:lineRule="exact"/>
        <w:rPr>
          <w:rFonts w:ascii="Arial" w:cs="Arial" w:eastAsia="Arial" w:hAnsi="Arial"/>
          <w:sz w:val="15"/>
          <w:szCs w:val="15"/>
          <w:color w:val="auto"/>
        </w:rPr>
      </w:pPr>
    </w:p>
    <w:p>
      <w:pPr>
        <w:ind w:right="140" w:firstLine="448"/>
        <w:spacing w:after="0" w:line="257" w:lineRule="auto"/>
        <w:tabs>
          <w:tab w:leader="none" w:pos="991"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Except for cases in which the failure to file or pay would not, individually or in the aggregate, reasonably be expected to have a Material Adverse Effect, the Company and each of its subsidiaries have filed all federal, state, local and foreign income and franchise tax returns required to be filed through the date hereof, subject to permitted extensions, and have paid all taxes due thereon. Except for cases where a tax deficiency would not, individually or in the aggregate, reasonably be expected to have a Material Adverse Effect, (i) no tax deficiency has been determined adversely to the Company or any of its subsidiaries, and (ii) the Company has not received any written notice from any taxing authorities asserting any tax deficiency against the Company and its subsidiaries;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000"/>
          </w:cols>
          <w:pgMar w:left="680" w:top="253" w:right="219" w:bottom="1440" w:gutter="0" w:footer="0" w:header="0"/>
        </w:sectPr>
      </w:pPr>
    </w:p>
    <w:bookmarkStart w:id="257" w:name="page258"/>
    <w:bookmarkEnd w:id="257"/>
    <w:p>
      <w:pPr>
        <w:ind w:right="120" w:firstLine="448"/>
        <w:spacing w:after="0" w:line="275" w:lineRule="auto"/>
        <w:tabs>
          <w:tab w:leader="none" w:pos="1032" w:val="left"/>
        </w:tabs>
        <w:numPr>
          <w:ilvl w:val="1"/>
          <w:numId w:val="1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Neither the Company nor any of its subsidiaries has taken, directly or indirectly, any action that was designed to or that has constituted or that might reasonably be expected to cause or result in the manipulation of the price of any security of the Company to facilitate the sale of the Shares;</w:t>
      </w:r>
    </w:p>
    <w:p>
      <w:pPr>
        <w:spacing w:after="0" w:line="55" w:lineRule="exact"/>
        <w:rPr>
          <w:rFonts w:ascii="Arial" w:cs="Arial" w:eastAsia="Arial" w:hAnsi="Arial"/>
          <w:sz w:val="15"/>
          <w:szCs w:val="15"/>
          <w:color w:val="auto"/>
        </w:rPr>
      </w:pPr>
    </w:p>
    <w:p>
      <w:pPr>
        <w:ind w:right="200" w:firstLine="448"/>
        <w:spacing w:after="0" w:line="275" w:lineRule="auto"/>
        <w:tabs>
          <w:tab w:leader="none" w:pos="1071"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There are no contracts or other documents of a character required to be described in the Registration Statement, the Pricing Prospectus or the Prospectus or to be filed as an exhibit to the Registration Statement which are not described or filed as required pursuant to the requirements of Form S-1;</w:t>
      </w:r>
    </w:p>
    <w:p>
      <w:pPr>
        <w:spacing w:after="0" w:line="55" w:lineRule="exact"/>
        <w:rPr>
          <w:rFonts w:ascii="Arial" w:cs="Arial" w:eastAsia="Arial" w:hAnsi="Arial"/>
          <w:sz w:val="15"/>
          <w:szCs w:val="15"/>
          <w:color w:val="auto"/>
        </w:rPr>
      </w:pPr>
    </w:p>
    <w:p>
      <w:pPr>
        <w:ind w:left="1120" w:hanging="672"/>
        <w:spacing w:after="0"/>
        <w:tabs>
          <w:tab w:leader="none" w:pos="112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Except as would not, individually or in the aggregate, reasonably be expected to have a Material Adverse Effect, (i) the Company and its subsidiaries have</w:t>
      </w:r>
    </w:p>
    <w:p>
      <w:pPr>
        <w:spacing w:after="0" w:line="28" w:lineRule="exact"/>
        <w:rPr>
          <w:rFonts w:ascii="Arial" w:cs="Arial" w:eastAsia="Arial" w:hAnsi="Arial"/>
          <w:sz w:val="14"/>
          <w:szCs w:val="14"/>
          <w:color w:val="auto"/>
        </w:rPr>
      </w:pPr>
    </w:p>
    <w:p>
      <w:pPr>
        <w:ind w:right="140" w:firstLine="8"/>
        <w:spacing w:after="0" w:line="289" w:lineRule="auto"/>
        <w:tabs>
          <w:tab w:leader="none" w:pos="246"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operated and currently operate their respective businesses in a manner compliant with all applicable foreign, federal, state and local laws and regulations, all contractual obligations and all Company policies (internal and posted) related to privacy and data security applicable to the Company’s, and its subsidiaries’, collection, use, handling, transfer, transmission, storage, disclosure and/or disposal of the data of their respective customers, employees and other third parties (the “</w:t>
      </w:r>
      <w:r>
        <w:rPr>
          <w:rFonts w:ascii="Arial" w:cs="Arial" w:eastAsia="Arial" w:hAnsi="Arial"/>
          <w:sz w:val="13"/>
          <w:szCs w:val="13"/>
          <w:u w:val="single" w:color="auto"/>
          <w:color w:val="auto"/>
        </w:rPr>
        <w:t>Privacy and Data Security Laws</w:t>
      </w:r>
      <w:r>
        <w:rPr>
          <w:rFonts w:ascii="Arial" w:cs="Arial" w:eastAsia="Arial" w:hAnsi="Arial"/>
          <w:sz w:val="13"/>
          <w:szCs w:val="13"/>
          <w:color w:val="auto"/>
        </w:rPr>
        <w:t>”) and</w:t>
      </w:r>
    </w:p>
    <w:p>
      <w:pPr>
        <w:spacing w:after="0" w:line="1" w:lineRule="exact"/>
        <w:rPr>
          <w:rFonts w:ascii="Arial" w:cs="Arial" w:eastAsia="Arial" w:hAnsi="Arial"/>
          <w:sz w:val="13"/>
          <w:szCs w:val="13"/>
          <w:color w:val="auto"/>
        </w:rPr>
      </w:pPr>
    </w:p>
    <w:p>
      <w:pPr>
        <w:jc w:val="both"/>
        <w:ind w:right="60" w:firstLine="8"/>
        <w:spacing w:after="0" w:line="278" w:lineRule="auto"/>
        <w:tabs>
          <w:tab w:leader="none" w:pos="238"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implemented, monitored and have been and are in compliance with, applicable administrative, technical and physical safeguards and policies and procedures designed to ensure compliance with Privacy and Data Security Laws and (ii) except as described in the Pricing Prospectus, there has been no loss or unauthorized access, use, modification or breach of security of customer, employee or third party data maintained by or on behalf of the Company and its subsidiaries, and neither the Company nor any of its subsidiaries has notified, nor has the current intention to notify, any customer, governmental entity or the media of any such event with regard to any material data breach;</w:t>
      </w:r>
    </w:p>
    <w:p>
      <w:pPr>
        <w:spacing w:after="0" w:line="56" w:lineRule="exact"/>
        <w:rPr>
          <w:rFonts w:ascii="Arial" w:cs="Arial" w:eastAsia="Arial" w:hAnsi="Arial"/>
          <w:sz w:val="14"/>
          <w:szCs w:val="14"/>
          <w:color w:val="auto"/>
        </w:rPr>
      </w:pPr>
    </w:p>
    <w:p>
      <w:pPr>
        <w:ind w:firstLine="448"/>
        <w:spacing w:after="0" w:line="272" w:lineRule="auto"/>
        <w:tabs>
          <w:tab w:leader="none" w:pos="1032" w:val="left"/>
        </w:tabs>
        <w:numPr>
          <w:ilvl w:val="1"/>
          <w:numId w:val="134"/>
        </w:numPr>
        <w:rPr>
          <w:rFonts w:ascii="Arial" w:cs="Arial" w:eastAsia="Arial" w:hAnsi="Arial"/>
          <w:sz w:val="14"/>
          <w:szCs w:val="14"/>
          <w:color w:val="auto"/>
        </w:rPr>
      </w:pPr>
      <w:r>
        <w:rPr>
          <w:rFonts w:ascii="Arial" w:cs="Arial" w:eastAsia="Arial" w:hAnsi="Arial"/>
          <w:sz w:val="14"/>
          <w:szCs w:val="14"/>
          <w:color w:val="auto"/>
        </w:rPr>
        <w:t>(i) Each employee benefit plan, within the meaning of Section 3(3) of the Employee Retirement Income Security Act of 1974, as amended (“</w:t>
      </w:r>
      <w:r>
        <w:rPr>
          <w:rFonts w:ascii="Arial" w:cs="Arial" w:eastAsia="Arial" w:hAnsi="Arial"/>
          <w:sz w:val="14"/>
          <w:szCs w:val="14"/>
          <w:u w:val="single" w:color="auto"/>
          <w:color w:val="auto"/>
        </w:rPr>
        <w:t>ERISA</w:t>
      </w:r>
      <w:r>
        <w:rPr>
          <w:rFonts w:ascii="Arial" w:cs="Arial" w:eastAsia="Arial" w:hAnsi="Arial"/>
          <w:sz w:val="14"/>
          <w:szCs w:val="14"/>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4"/>
          <w:szCs w:val="14"/>
          <w:u w:val="single" w:color="auto"/>
          <w:color w:val="auto"/>
        </w:rPr>
        <w:t>Code</w:t>
      </w:r>
      <w:r>
        <w:rPr>
          <w:rFonts w:ascii="Arial" w:cs="Arial" w:eastAsia="Arial" w:hAnsi="Arial"/>
          <w:sz w:val="14"/>
          <w:szCs w:val="14"/>
          <w:color w:val="auto"/>
        </w:rPr>
        <w:t>”)) may have any liability (each, a “</w:t>
      </w:r>
      <w:r>
        <w:rPr>
          <w:rFonts w:ascii="Arial" w:cs="Arial" w:eastAsia="Arial" w:hAnsi="Arial"/>
          <w:sz w:val="14"/>
          <w:szCs w:val="14"/>
          <w:u w:val="single" w:color="auto"/>
          <w:color w:val="auto"/>
        </w:rPr>
        <w:t>Plan</w:t>
      </w:r>
      <w:r>
        <w:rPr>
          <w:rFonts w:ascii="Arial" w:cs="Arial" w:eastAsia="Arial" w:hAnsi="Arial"/>
          <w:sz w:val="14"/>
          <w:szCs w:val="14"/>
          <w:color w:val="auto"/>
        </w:rPr>
        <w:t>”) has been maintained in compliance with its terms and the requirements of any applicable statutes, orders, rules and regulations, including but not limited to, ERISA and the Code, except for such noncompliance that, individually or in the aggregate, would not have a Material Adverse Effect; (ii) for each Plan that is subject to the funding rules of Section 412 of the Code or Section 302 of ERISA, the minimum funding standard of Section 412 of the Code or Section 302 of ERISA, as applicable, has been satisfied and is reasonably expected to be satisfied in the future (without taking into account any waiver thereof or extension of any amortization period); (iii) no “reportable event” (within the meaning of Section 4043(c) of ERISA) has occurred or is reasonably expected to occur with respect to any Plan that, individually or in the aggregate, would have a Material Adverse Effect; (iv) neither the Company nor any member of the Controlled Group has incurred, or reasonably expects to incur, any liability under Title IV of ERISA (other than for Pension Benefit Guaranty Corporation (“</w:t>
      </w:r>
      <w:r>
        <w:rPr>
          <w:rFonts w:ascii="Arial" w:cs="Arial" w:eastAsia="Arial" w:hAnsi="Arial"/>
          <w:sz w:val="14"/>
          <w:szCs w:val="14"/>
          <w:u w:val="single" w:color="auto"/>
          <w:color w:val="auto"/>
        </w:rPr>
        <w:t>PBGC</w:t>
      </w:r>
      <w:r>
        <w:rPr>
          <w:rFonts w:ascii="Arial" w:cs="Arial" w:eastAsia="Arial" w:hAnsi="Arial"/>
          <w:sz w:val="14"/>
          <w:szCs w:val="14"/>
          <w:color w:val="auto"/>
        </w:rPr>
        <w:t>”) premiums due but not delinquent under Section 4007 of ERISA) with respect to any Plan (including a “multiemployer plan”, within the meaning of Section 4001(a)(3) of ERISA);(v) there is no pending or, to the Company’s knowledge, threatened audit or investigation by the Internal Revenue Service, the U.S. Department of Labor, the PBGC or any other governmental agency or any foreign regulatory agency with respect to any Plan that, individually or in the aggregate, would have a Material Adverse Effect; and (vi) none of the following events has occurred or is reasonably</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940"/>
          </w:cols>
          <w:pgMar w:left="680" w:top="253" w:right="279" w:bottom="1440" w:gutter="0" w:footer="0" w:header="0"/>
        </w:sectPr>
      </w:pPr>
    </w:p>
    <w:bookmarkStart w:id="258" w:name="page259"/>
    <w:bookmarkEnd w:id="258"/>
    <w:p>
      <w:pPr>
        <w:ind w:right="80"/>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likely to occur: (x) a material increase in the aggregate amount of contributions required to be made to all Plans by the Company in the current fiscal year of the Company compared to the amount of such contributions made in the Company’s recently completed fiscal year; or (y) a material increase in the Company “accumulated post-retirement benefit obligations” (within the meaning of Statement of Financial Accounting Standards 106) compared to the amount of such obligations in the Company’s most recently completed fiscal year;</w:t>
      </w:r>
    </w:p>
    <w:p>
      <w:pPr>
        <w:spacing w:after="0" w:line="67" w:lineRule="exact"/>
        <w:rPr>
          <w:sz w:val="20"/>
          <w:szCs w:val="20"/>
          <w:color w:val="auto"/>
        </w:rPr>
      </w:pPr>
    </w:p>
    <w:p>
      <w:pPr>
        <w:ind w:right="80" w:firstLine="440"/>
        <w:spacing w:after="0" w:line="275" w:lineRule="auto"/>
        <w:rPr>
          <w:sz w:val="20"/>
          <w:szCs w:val="20"/>
          <w:color w:val="auto"/>
        </w:rPr>
      </w:pPr>
      <w:r>
        <w:rPr>
          <w:rFonts w:ascii="Arial" w:cs="Arial" w:eastAsia="Arial" w:hAnsi="Arial"/>
          <w:sz w:val="15"/>
          <w:szCs w:val="15"/>
          <w:color w:val="auto"/>
        </w:rPr>
        <w:t>(xl) There are no debt securities or preferred stock of, or guaranteed by, the Company that are rated by a “nationally recognized statistical rating organization,” as such term is defined in Section 3(a)(62) of the Exchange Act;</w:t>
      </w:r>
    </w:p>
    <w:p>
      <w:pPr>
        <w:spacing w:after="0" w:line="56" w:lineRule="exact"/>
        <w:rPr>
          <w:sz w:val="20"/>
          <w:szCs w:val="20"/>
          <w:color w:val="auto"/>
        </w:rPr>
      </w:pPr>
    </w:p>
    <w:p>
      <w:pPr>
        <w:ind w:right="480" w:firstLine="440"/>
        <w:spacing w:after="0" w:line="275" w:lineRule="auto"/>
        <w:rPr>
          <w:sz w:val="20"/>
          <w:szCs w:val="20"/>
          <w:color w:val="auto"/>
        </w:rPr>
      </w:pPr>
      <w:r>
        <w:rPr>
          <w:rFonts w:ascii="Arial" w:cs="Arial" w:eastAsia="Arial" w:hAnsi="Arial"/>
          <w:sz w:val="15"/>
          <w:szCs w:val="15"/>
          <w:color w:val="auto"/>
        </w:rPr>
        <w:t>(xli) Each of the holders listed on Schedule IV hereto represent over 0.125% of the outstanding equity securities of the Company or securities convertible into equity securities of the Company.</w:t>
      </w:r>
    </w:p>
    <w:p>
      <w:pPr>
        <w:spacing w:after="0" w:line="56"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Each of the Selling Stockholders severally and not jointly represents and warrants to, and agrees with, each of the Underwriters and the Company that:</w:t>
      </w:r>
    </w:p>
    <w:p>
      <w:pPr>
        <w:spacing w:after="0" w:line="98" w:lineRule="exact"/>
        <w:rPr>
          <w:rFonts w:ascii="Arial" w:cs="Arial" w:eastAsia="Arial" w:hAnsi="Arial"/>
          <w:sz w:val="15"/>
          <w:szCs w:val="15"/>
          <w:color w:val="auto"/>
        </w:rPr>
      </w:pPr>
    </w:p>
    <w:p>
      <w:pPr>
        <w:ind w:firstLine="448"/>
        <w:spacing w:after="0" w:line="279" w:lineRule="auto"/>
        <w:tabs>
          <w:tab w:leader="none" w:pos="723" w:val="left"/>
        </w:tabs>
        <w:numPr>
          <w:ilvl w:val="1"/>
          <w:numId w:val="135"/>
        </w:numPr>
        <w:rPr>
          <w:rFonts w:ascii="Arial" w:cs="Arial" w:eastAsia="Arial" w:hAnsi="Arial"/>
          <w:sz w:val="14"/>
          <w:szCs w:val="14"/>
          <w:color w:val="auto"/>
        </w:rPr>
      </w:pPr>
      <w:r>
        <w:rPr>
          <w:rFonts w:ascii="Arial" w:cs="Arial" w:eastAsia="Arial" w:hAnsi="Arial"/>
          <w:sz w:val="14"/>
          <w:szCs w:val="14"/>
          <w:color w:val="auto"/>
        </w:rPr>
        <w:t>All consents, approvals, authorizations and orders necessary for the execution and delivery by such Selling Stockholder of this Agreement and the Power of Attorney and the Custody Agreement referred to below, and for the sale and delivery of the Shares to be sold by such Selling Stockholder hereunder, have been obtained (except for the registration under the Act of the Shares and such consents, approvals, authorizations and orders as may be required under state securities or Blue Sky laws, the rules and regulations of FINRA or the approval for listing on the NASDAQ); and such Selling Stockholder has full right, power and authority to enter into this Agreement, the Power of Attorney and the Custody Agreement and to sell, assign, transfer and deliver the Shares to be sold by such Selling Stockholder hereunder;</w:t>
      </w:r>
    </w:p>
    <w:p>
      <w:pPr>
        <w:spacing w:after="0" w:line="56" w:lineRule="exact"/>
        <w:rPr>
          <w:rFonts w:ascii="Arial" w:cs="Arial" w:eastAsia="Arial" w:hAnsi="Arial"/>
          <w:sz w:val="14"/>
          <w:szCs w:val="14"/>
          <w:color w:val="auto"/>
        </w:rPr>
      </w:pPr>
    </w:p>
    <w:p>
      <w:pPr>
        <w:ind w:firstLine="448"/>
        <w:spacing w:after="0" w:line="292" w:lineRule="auto"/>
        <w:tabs>
          <w:tab w:leader="none" w:pos="771"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The sale of the Shares to be sold by such Selling Stockholder hereunder and the compliance by such Selling Stockholder with this Agreement, the Power of Attorney and the Custody Agreement and the consummation of the transactions herein and therein contemplated will not (A) conflict with or result in a breach or violation of any of the terms or provisions of, or constitute a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(B) result in any violation of the provisions of the organizational documents of any entity of such Selling Stockholder or (C) result in any violation of any statute or any judgment, order, rule or regulation of any court or governmental agency or body having jurisdiction over such Selling Stockholder or any of its subsidiaries or any property or assets of such Selling Stockholder, except in the case of</w:t>
      </w:r>
    </w:p>
    <w:p>
      <w:pPr>
        <w:ind w:right="80"/>
        <w:spacing w:after="0" w:line="252" w:lineRule="auto"/>
        <w:rPr>
          <w:rFonts w:ascii="Arial" w:cs="Arial" w:eastAsia="Arial" w:hAnsi="Arial"/>
          <w:sz w:val="13"/>
          <w:szCs w:val="13"/>
          <w:color w:val="auto"/>
        </w:rPr>
      </w:pPr>
      <w:r>
        <w:rPr>
          <w:rFonts w:ascii="Arial" w:cs="Arial" w:eastAsia="Arial" w:hAnsi="Arial"/>
          <w:sz w:val="15"/>
          <w:szCs w:val="15"/>
          <w:color w:val="auto"/>
        </w:rPr>
        <w:t xml:space="preserve">(A) and (C), for such violations that individually or in the aggregate would not impair the ability of such Selling Stockholder to </w:t>
      </w:r>
      <w:r>
        <w:rPr>
          <w:rFonts w:ascii="Arial" w:cs="Arial" w:eastAsia="Arial" w:hAnsi="Arial"/>
          <w:sz w:val="15"/>
          <w:szCs w:val="15"/>
          <w:i w:val="1"/>
          <w:iCs w:val="1"/>
          <w:color w:val="auto"/>
        </w:rPr>
        <w:t>consummate</w:t>
      </w:r>
      <w:r>
        <w:rPr>
          <w:rFonts w:ascii="Arial" w:cs="Arial" w:eastAsia="Arial" w:hAnsi="Arial"/>
          <w:sz w:val="15"/>
          <w:szCs w:val="15"/>
          <w:color w:val="auto"/>
        </w:rPr>
        <w:t xml:space="preserve"> the transactions contemplated by this Agreement; and no consent, approval, authorization, order, registration or qualification of or with any such court or governmental body or agency is required for the performance by such Selling Stockholder of its obligations under this Agreement, the Power of Attorney and the Custody Agreement and the consummation by such Selling Stockholder of the transactions contemplated by this Agreement, the Power of Attorney and the Custody Agreement in connection with the Shares to be sold by such Selling Stockholder hereunder, except the registration under the Act of the Shares, the approval by FINRA of the underwriting terms and arrangements, the approval for listing on the NASDAQ and such consents, approvals, authorizations, orders, registrations or qualifications as may be required under state securities or Blue Sky laws in connection with the purchase and distribution of the Shares by the Underwriters;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960"/>
          </w:cols>
          <w:pgMar w:left="680" w:top="253" w:right="259" w:bottom="1440" w:gutter="0" w:footer="0" w:header="0"/>
        </w:sectPr>
      </w:pPr>
    </w:p>
    <w:bookmarkStart w:id="259" w:name="page260"/>
    <w:bookmarkEnd w:id="259"/>
    <w:p>
      <w:pPr>
        <w:ind w:right="80" w:firstLine="448"/>
        <w:spacing w:after="0" w:line="283" w:lineRule="auto"/>
        <w:tabs>
          <w:tab w:leader="none" w:pos="815" w:val="left"/>
        </w:tabs>
        <w:numPr>
          <w:ilvl w:val="0"/>
          <w:numId w:val="1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Such Selling Stockholder has, and immediately prior to each Time of Delivery (as defined in Section 4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52" w:lineRule="exact"/>
        <w:rPr>
          <w:rFonts w:ascii="Arial" w:cs="Arial" w:eastAsia="Arial" w:hAnsi="Arial"/>
          <w:sz w:val="14"/>
          <w:szCs w:val="14"/>
          <w:color w:val="auto"/>
        </w:rPr>
      </w:pPr>
    </w:p>
    <w:p>
      <w:pPr>
        <w:ind w:right="340" w:firstLine="448"/>
        <w:spacing w:after="0" w:line="275" w:lineRule="auto"/>
        <w:tabs>
          <w:tab w:leader="none" w:pos="80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On or prior to the date of the Pricing Prospectus, such Selling Stockholder has executed and delivered to the Underwriters an agreement substantially in the form of Annex IV hereto.</w:t>
      </w:r>
    </w:p>
    <w:p>
      <w:pPr>
        <w:spacing w:after="0" w:line="55" w:lineRule="exact"/>
        <w:rPr>
          <w:rFonts w:ascii="Arial" w:cs="Arial" w:eastAsia="Arial" w:hAnsi="Arial"/>
          <w:sz w:val="15"/>
          <w:szCs w:val="15"/>
          <w:color w:val="auto"/>
        </w:rPr>
      </w:pPr>
    </w:p>
    <w:p>
      <w:pPr>
        <w:ind w:right="200" w:firstLine="448"/>
        <w:spacing w:after="0" w:line="275" w:lineRule="auto"/>
        <w:tabs>
          <w:tab w:leader="none" w:pos="765" w:val="left"/>
        </w:tabs>
        <w:numPr>
          <w:ilvl w:val="0"/>
          <w:numId w:val="136"/>
        </w:numPr>
        <w:rPr>
          <w:rFonts w:ascii="Arial" w:cs="Arial" w:eastAsia="Arial" w:hAnsi="Arial"/>
          <w:sz w:val="15"/>
          <w:szCs w:val="15"/>
          <w:color w:val="auto"/>
        </w:rPr>
      </w:pPr>
      <w:r>
        <w:rPr>
          <w:rFonts w:ascii="Arial" w:cs="Arial" w:eastAsia="Arial" w:hAnsi="Arial"/>
          <w:sz w:val="15"/>
          <w:szCs w:val="15"/>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w:t>
      </w:r>
    </w:p>
    <w:p>
      <w:pPr>
        <w:spacing w:after="0" w:line="55" w:lineRule="exact"/>
        <w:rPr>
          <w:rFonts w:ascii="Arial" w:cs="Arial" w:eastAsia="Arial" w:hAnsi="Arial"/>
          <w:sz w:val="15"/>
          <w:szCs w:val="15"/>
          <w:color w:val="auto"/>
        </w:rPr>
      </w:pPr>
    </w:p>
    <w:p>
      <w:pPr>
        <w:ind w:firstLine="448"/>
        <w:spacing w:after="0" w:line="273" w:lineRule="auto"/>
        <w:tabs>
          <w:tab w:leader="none" w:pos="804"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Registration Statement and Pricing Prospectus did, and the Prospectus and any further amendments or supplements to the Registration Statement and the Prospectus will, when they become effective or are filed with the Commission, as the case may be, conform in all material respects to the requirements of the Act and the rules and regulations of the Commission thereunder and not contain any untrue statement of a material fact or omit to state any material fact required to be stated therein or necessary to make the statements therein not misleading; provided that such representations and warranties set forth in this clause (vi) apply, with respect to a Selling Stockholder, only to statements or omissions made in the Registration Statement, the Pricing Prospectus, the Prospectus and any further amendments or supplements to the Registration Statement, the Pricing Prospectus and the Prospectus that are made in reliance upon and in conformity with written information furnished to the Company by such Selling Stockholder in writing expressly for use therein; provided, further, that it is agreed that such information furnished by such Selling Stockholder to the Company consists only of (A) the legal name, address and the number of Shares owned by such Selling Stockholder before and after the offering, (B) the other information with respect to such Selling Stockholder (excluding percentages) which appear in the table (and corresponding footnotes) under the caption “Principal and Selling Stockholders,” and (C) with respect to any Selling Stockholder that is an executive officer of the Company or a member of the Company’s board of directors, the biography of such Selling Stockholder set forth under the caption “Management” in the Pricing Prospectus or the Prospectus (with respect to such Selling Stockholder, the “</w:t>
      </w:r>
      <w:r>
        <w:rPr>
          <w:rFonts w:ascii="Arial" w:cs="Arial" w:eastAsia="Arial" w:hAnsi="Arial"/>
          <w:sz w:val="14"/>
          <w:szCs w:val="14"/>
          <w:u w:val="single" w:color="auto"/>
          <w:color w:val="auto"/>
        </w:rPr>
        <w:t>Selling Stockholder Information</w:t>
      </w:r>
      <w:r>
        <w:rPr>
          <w:rFonts w:ascii="Arial" w:cs="Arial" w:eastAsia="Arial" w:hAnsi="Arial"/>
          <w:sz w:val="14"/>
          <w:szCs w:val="14"/>
          <w:color w:val="auto"/>
        </w:rPr>
        <w:t>”);</w:t>
      </w:r>
    </w:p>
    <w:p>
      <w:pPr>
        <w:spacing w:after="0" w:line="60" w:lineRule="exact"/>
        <w:rPr>
          <w:rFonts w:ascii="Arial" w:cs="Arial" w:eastAsia="Arial" w:hAnsi="Arial"/>
          <w:sz w:val="14"/>
          <w:szCs w:val="14"/>
          <w:color w:val="auto"/>
        </w:rPr>
      </w:pPr>
    </w:p>
    <w:p>
      <w:pPr>
        <w:ind w:right="80" w:firstLine="448"/>
        <w:spacing w:after="0" w:line="263" w:lineRule="auto"/>
        <w:tabs>
          <w:tab w:leader="none" w:pos="849"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First Time of Delivery a properly completed and executed United States Treasury Department Form W-9 (or other applicable form or statement specified by Treasury Department regulations in lieu thereof);</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000"/>
          </w:cols>
          <w:pgMar w:left="680" w:top="253" w:right="219" w:bottom="1440" w:gutter="0" w:footer="0" w:header="0"/>
        </w:sectPr>
      </w:pPr>
    </w:p>
    <w:bookmarkStart w:id="260" w:name="page261"/>
    <w:bookmarkEnd w:id="260"/>
    <w:p>
      <w:pPr>
        <w:ind w:right="40" w:firstLine="448"/>
        <w:spacing w:after="0" w:line="276" w:lineRule="auto"/>
        <w:tabs>
          <w:tab w:leader="none" w:pos="890" w:val="left"/>
        </w:tabs>
        <w:numPr>
          <w:ilvl w:val="0"/>
          <w:numId w:val="13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Certificates in negotiable form or book-entry securities entitlements representing the Shares to be sold by such Selling Stockholder hereunder have been placed in custody under a Custody Agreement, in the form heretofore furnished to you (the “</w:t>
      </w:r>
      <w:r>
        <w:rPr>
          <w:rFonts w:ascii="Arial" w:cs="Arial" w:eastAsia="Arial" w:hAnsi="Arial"/>
          <w:sz w:val="14"/>
          <w:szCs w:val="14"/>
          <w:u w:val="single" w:color="auto"/>
          <w:color w:val="auto"/>
        </w:rPr>
        <w:t>Custody Agreement</w:t>
      </w:r>
      <w:r>
        <w:rPr>
          <w:rFonts w:ascii="Arial" w:cs="Arial" w:eastAsia="Arial" w:hAnsi="Arial"/>
          <w:sz w:val="14"/>
          <w:szCs w:val="14"/>
          <w:color w:val="auto"/>
        </w:rPr>
        <w:t>”), duly executed and delivered by such Selling Stockholder to Computershare Trust Company, N.A., as custodian (the “</w:t>
      </w:r>
      <w:r>
        <w:rPr>
          <w:rFonts w:ascii="Arial" w:cs="Arial" w:eastAsia="Arial" w:hAnsi="Arial"/>
          <w:sz w:val="14"/>
          <w:szCs w:val="14"/>
          <w:u w:val="single" w:color="auto"/>
          <w:color w:val="auto"/>
        </w:rPr>
        <w:t>Custodian</w:t>
      </w:r>
      <w:r>
        <w:rPr>
          <w:rFonts w:ascii="Arial" w:cs="Arial" w:eastAsia="Arial" w:hAnsi="Arial"/>
          <w:sz w:val="14"/>
          <w:szCs w:val="14"/>
          <w:color w:val="auto"/>
        </w:rPr>
        <w:t>”), and such Selling Stockholder has duly executed and delivered a Power of Attorney, in the form heretofore furnished to you (the “</w:t>
      </w:r>
      <w:r>
        <w:rPr>
          <w:rFonts w:ascii="Arial" w:cs="Arial" w:eastAsia="Arial" w:hAnsi="Arial"/>
          <w:sz w:val="14"/>
          <w:szCs w:val="14"/>
          <w:u w:val="single" w:color="auto"/>
          <w:color w:val="auto"/>
        </w:rPr>
        <w:t>Power of Attorney</w:t>
      </w:r>
      <w:r>
        <w:rPr>
          <w:rFonts w:ascii="Arial" w:cs="Arial" w:eastAsia="Arial" w:hAnsi="Arial"/>
          <w:sz w:val="14"/>
          <w:szCs w:val="14"/>
          <w:color w:val="auto"/>
        </w:rPr>
        <w:t>”), appointing the persons indicated in Schedule II hereto, and each of them, as such Selling Stockholder’s attorneys-in-fact (the “</w:t>
      </w:r>
      <w:r>
        <w:rPr>
          <w:rFonts w:ascii="Arial" w:cs="Arial" w:eastAsia="Arial" w:hAnsi="Arial"/>
          <w:sz w:val="14"/>
          <w:szCs w:val="14"/>
          <w:u w:val="single" w:color="auto"/>
          <w:color w:val="auto"/>
        </w:rPr>
        <w:t>Attorneys-in-Fact</w:t>
      </w:r>
      <w:r>
        <w:rPr>
          <w:rFonts w:ascii="Arial" w:cs="Arial" w:eastAsia="Arial" w:hAnsi="Arial"/>
          <w:sz w:val="14"/>
          <w:szCs w:val="14"/>
          <w:color w:val="auto"/>
        </w:rPr>
        <w: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57" w:lineRule="exact"/>
        <w:rPr>
          <w:rFonts w:ascii="Arial" w:cs="Arial" w:eastAsia="Arial" w:hAnsi="Arial"/>
          <w:sz w:val="14"/>
          <w:szCs w:val="14"/>
          <w:color w:val="auto"/>
        </w:rPr>
      </w:pPr>
    </w:p>
    <w:p>
      <w:pPr>
        <w:ind w:firstLine="448"/>
        <w:spacing w:after="0" w:line="273" w:lineRule="auto"/>
        <w:tabs>
          <w:tab w:leader="none" w:pos="804"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any other entity, by the dissolution of such entity, or by the occurrence of any other event; if any individual Selling Stockholder or any such executor or trustee should die or become incapacitated, or if any such estate or trust should be terminated, or if any such entity should be dissolved, or if any other such event should occur, before the delivery of the Shares to be sold by such Selling Stockholder hereunder, certificates representing the Shares to be sold by such Selling Stockholder hereunder shall be delivered by or on behalf of 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63" w:lineRule="exact"/>
        <w:rPr>
          <w:rFonts w:ascii="Arial" w:cs="Arial" w:eastAsia="Arial" w:hAnsi="Arial"/>
          <w:sz w:val="14"/>
          <w:szCs w:val="14"/>
          <w:color w:val="auto"/>
        </w:rPr>
      </w:pPr>
    </w:p>
    <w:p>
      <w:pPr>
        <w:ind w:right="180" w:firstLine="448"/>
        <w:spacing w:after="0" w:line="275" w:lineRule="auto"/>
        <w:tabs>
          <w:tab w:leader="none" w:pos="765" w:val="left"/>
        </w:tabs>
        <w:numPr>
          <w:ilvl w:val="0"/>
          <w:numId w:val="137"/>
        </w:numPr>
        <w:rPr>
          <w:rFonts w:ascii="Arial" w:cs="Arial" w:eastAsia="Arial" w:hAnsi="Arial"/>
          <w:sz w:val="15"/>
          <w:szCs w:val="15"/>
          <w:color w:val="auto"/>
        </w:rPr>
      </w:pPr>
      <w:r>
        <w:rPr>
          <w:rFonts w:ascii="Arial" w:cs="Arial" w:eastAsia="Arial" w:hAnsi="Arial"/>
          <w:sz w:val="15"/>
          <w:szCs w:val="15"/>
          <w:color w:val="auto"/>
        </w:rPr>
        <w:t>Such Selling Stockholder is not prompted by any material non-public information concerning the Company or any of its subsidiaries that is not disclosed in the Pricing Prospectus to sell its Shares pursuant to this Agreement;</w:t>
      </w:r>
    </w:p>
    <w:p>
      <w:pPr>
        <w:spacing w:after="0" w:line="55" w:lineRule="exact"/>
        <w:rPr>
          <w:rFonts w:ascii="Arial" w:cs="Arial" w:eastAsia="Arial" w:hAnsi="Arial"/>
          <w:sz w:val="15"/>
          <w:szCs w:val="15"/>
          <w:color w:val="auto"/>
        </w:rPr>
      </w:pPr>
    </w:p>
    <w:p>
      <w:pPr>
        <w:ind w:right="400" w:firstLine="448"/>
        <w:spacing w:after="0" w:line="275" w:lineRule="auto"/>
        <w:tabs>
          <w:tab w:leader="none" w:pos="80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Such Selling Stockholder is not (i) an employee benefit plan subject to Title I of ERISA, (ii) a plan or account subject to Section 4975 of the Code or (iii) an entity deemed to hold “plan assets” of any such plan or account under Section 3(42) of ERISA, 29 C.F.R. 2510.3-101, or otherwise; and</w:t>
      </w:r>
    </w:p>
    <w:p>
      <w:pPr>
        <w:spacing w:after="0" w:line="55" w:lineRule="exact"/>
        <w:rPr>
          <w:rFonts w:ascii="Arial" w:cs="Arial" w:eastAsia="Arial" w:hAnsi="Arial"/>
          <w:sz w:val="15"/>
          <w:szCs w:val="15"/>
          <w:color w:val="auto"/>
        </w:rPr>
      </w:pPr>
    </w:p>
    <w:p>
      <w:pPr>
        <w:ind w:right="40" w:firstLine="448"/>
        <w:spacing w:after="0" w:line="259" w:lineRule="auto"/>
        <w:tabs>
          <w:tab w:leader="none" w:pos="849" w:val="left"/>
        </w:tabs>
        <w:numPr>
          <w:ilvl w:val="0"/>
          <w:numId w:val="137"/>
        </w:numPr>
        <w:rPr>
          <w:rFonts w:ascii="Arial" w:cs="Arial" w:eastAsia="Arial" w:hAnsi="Arial"/>
          <w:sz w:val="15"/>
          <w:szCs w:val="15"/>
          <w:color w:val="auto"/>
        </w:rPr>
      </w:pPr>
      <w:r>
        <w:rPr>
          <w:rFonts w:ascii="Arial" w:cs="Arial" w:eastAsia="Arial" w:hAnsi="Arial"/>
          <w:sz w:val="15"/>
          <w:szCs w:val="15"/>
          <w:color w:val="auto"/>
        </w:rPr>
        <w:t>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000"/>
          </w:cols>
          <w:pgMar w:left="680" w:top="253" w:right="219" w:bottom="1440" w:gutter="0" w:footer="0" w:header="0"/>
        </w:sectPr>
      </w:pPr>
    </w:p>
    <w:bookmarkStart w:id="261" w:name="page262"/>
    <w:bookmarkEnd w:id="261"/>
    <w:p>
      <w:pPr>
        <w:ind w:right="40" w:firstLine="448"/>
        <w:spacing w:after="0" w:line="272" w:lineRule="auto"/>
        <w:tabs>
          <w:tab w:leader="none" w:pos="721" w:val="left"/>
        </w:tabs>
        <w:numPr>
          <w:ilvl w:val="0"/>
          <w:numId w:val="13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share of $[●], the number of Firm Shares (to be adjusted by you so as to eliminate fractional shares) determined by multiplying the aggregate number of Firm Shares to be sold by the Company and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56" w:lineRule="exact"/>
        <w:rPr>
          <w:sz w:val="20"/>
          <w:szCs w:val="20"/>
          <w:color w:val="auto"/>
        </w:rPr>
      </w:pPr>
    </w:p>
    <w:p>
      <w:pPr>
        <w:ind w:right="40" w:firstLine="458"/>
        <w:spacing w:after="0" w:line="277" w:lineRule="auto"/>
        <w:rPr>
          <w:sz w:val="20"/>
          <w:szCs w:val="20"/>
          <w:color w:val="auto"/>
        </w:rPr>
      </w:pPr>
      <w:r>
        <w:rPr>
          <w:rFonts w:ascii="Arial" w:cs="Arial" w:eastAsia="Arial" w:hAnsi="Arial"/>
          <w:sz w:val="14"/>
          <w:szCs w:val="14"/>
          <w:color w:val="auto"/>
        </w:rPr>
        <w:t>The Company hereby grants to the Underwriters the right to purchase at their election up to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48" w:lineRule="exact"/>
        <w:rPr>
          <w:sz w:val="20"/>
          <w:szCs w:val="20"/>
          <w:color w:val="auto"/>
        </w:rPr>
      </w:pPr>
    </w:p>
    <w:p>
      <w:pPr>
        <w:ind w:right="120" w:firstLine="448"/>
        <w:spacing w:after="0" w:line="275" w:lineRule="auto"/>
        <w:tabs>
          <w:tab w:leader="none" w:pos="721" w:val="left"/>
        </w:tabs>
        <w:numPr>
          <w:ilvl w:val="0"/>
          <w:numId w:val="139"/>
        </w:numPr>
        <w:rPr>
          <w:rFonts w:ascii="Arial" w:cs="Arial" w:eastAsia="Arial" w:hAnsi="Arial"/>
          <w:sz w:val="15"/>
          <w:szCs w:val="15"/>
          <w:color w:val="auto"/>
        </w:rPr>
      </w:pPr>
      <w:r>
        <w:rPr>
          <w:rFonts w:ascii="Arial" w:cs="Arial" w:eastAsia="Arial" w:hAnsi="Arial"/>
          <w:sz w:val="15"/>
          <w:szCs w:val="15"/>
          <w:color w:val="auto"/>
        </w:rPr>
        <w:t>Upon the authorization by you of the release of the Firm Shares, the several Underwriters propose to offer the Firm Shares for sale upon the terms and conditions set forth in the Pricing Prospectus and the Prospectus.</w:t>
      </w:r>
    </w:p>
    <w:p>
      <w:pPr>
        <w:spacing w:after="0" w:line="146" w:lineRule="exact"/>
        <w:rPr>
          <w:rFonts w:ascii="Arial" w:cs="Arial" w:eastAsia="Arial" w:hAnsi="Arial"/>
          <w:sz w:val="15"/>
          <w:szCs w:val="15"/>
          <w:color w:val="auto"/>
        </w:rPr>
      </w:pPr>
    </w:p>
    <w:p>
      <w:pPr>
        <w:ind w:firstLine="448"/>
        <w:spacing w:after="0" w:line="255" w:lineRule="auto"/>
        <w:tabs>
          <w:tab w:leader="none" w:pos="721"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 The Shares to be purchased by each Underwriter hereunder, in definitive or book-entry form, and in such authorized denominations and registered in such names as the Representatives may request upon at least forty-eight hours’ prior notice to the Company and the Selling Stockholders shall be delivered by or on behalf of the Company and the Selling Stockholders to the Representatives, through the facilities of the Depository Trust Company (“</w:t>
      </w:r>
      <w:r>
        <w:rPr>
          <w:rFonts w:ascii="Arial" w:cs="Arial" w:eastAsia="Arial" w:hAnsi="Arial"/>
          <w:sz w:val="15"/>
          <w:szCs w:val="15"/>
          <w:u w:val="single" w:color="auto"/>
          <w:color w:val="auto"/>
        </w:rPr>
        <w:t>DTC</w:t>
      </w:r>
      <w:r>
        <w:rPr>
          <w:rFonts w:ascii="Arial" w:cs="Arial" w:eastAsia="Arial" w:hAnsi="Arial"/>
          <w:sz w:val="15"/>
          <w:szCs w:val="15"/>
          <w:color w:val="auto"/>
        </w:rPr>
        <w:t>”), for the account of such Underwriter, against payment by or on behalf of such Underwriter of the purchase price therefor by wire transfer of Federal (same-day) funds to the accounts specified by the Company and the Custodian to the Representatives at least forty-eight hours in advance. The time and date of such delivery and payment shall be, with respect to the Firm Shares, 9:30 a.m., New York City time, on [●], 2018 or such other time and date as the Representatives, the Company and the Attorneys-in-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40" w:top="253" w:right="219" w:bottom="1440" w:gutter="0" w:footer="0" w:header="0"/>
        </w:sectPr>
      </w:pPr>
    </w:p>
    <w:bookmarkStart w:id="262" w:name="page263"/>
    <w:bookmarkEnd w:id="262"/>
    <w:p>
      <w:pPr>
        <w:ind w:right="140"/>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Fact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w:t>
      </w:r>
      <w:r>
        <w:rPr>
          <w:rFonts w:ascii="Arial" w:cs="Arial" w:eastAsia="Arial" w:hAnsi="Arial"/>
          <w:sz w:val="15"/>
          <w:szCs w:val="15"/>
          <w:u w:val="single" w:color="auto"/>
          <w:color w:val="auto"/>
        </w:rPr>
        <w:t>First Time of Delivery</w:t>
      </w:r>
      <w:r>
        <w:rPr>
          <w:rFonts w:ascii="Arial" w:cs="Arial" w:eastAsia="Arial" w:hAnsi="Arial"/>
          <w:sz w:val="15"/>
          <w:szCs w:val="15"/>
          <w:color w:val="auto"/>
        </w:rPr>
        <w:t>”, each such time and date for delivery of the Optional Shares, if not the First Time of Delivery, is herein called the “</w:t>
      </w:r>
      <w:r>
        <w:rPr>
          <w:rFonts w:ascii="Arial" w:cs="Arial" w:eastAsia="Arial" w:hAnsi="Arial"/>
          <w:sz w:val="15"/>
          <w:szCs w:val="15"/>
          <w:u w:val="single" w:color="auto"/>
          <w:color w:val="auto"/>
        </w:rPr>
        <w:t>Second Time of Delivery</w:t>
      </w:r>
      <w:r>
        <w:rPr>
          <w:rFonts w:ascii="Arial" w:cs="Arial" w:eastAsia="Arial" w:hAnsi="Arial"/>
          <w:sz w:val="15"/>
          <w:szCs w:val="15"/>
          <w:color w:val="auto"/>
        </w:rPr>
        <w:t>”, and each such time and date for delivery is herein called a “</w:t>
      </w:r>
      <w:r>
        <w:rPr>
          <w:rFonts w:ascii="Arial" w:cs="Arial" w:eastAsia="Arial" w:hAnsi="Arial"/>
          <w:sz w:val="15"/>
          <w:szCs w:val="15"/>
          <w:u w:val="single" w:color="auto"/>
          <w:color w:val="auto"/>
        </w:rPr>
        <w:t>Time of Delivery</w:t>
      </w:r>
      <w:r>
        <w:rPr>
          <w:rFonts w:ascii="Arial" w:cs="Arial" w:eastAsia="Arial" w:hAnsi="Arial"/>
          <w:sz w:val="15"/>
          <w:szCs w:val="15"/>
          <w:color w:val="auto"/>
        </w:rPr>
        <w:t>”.</w:t>
      </w:r>
    </w:p>
    <w:p>
      <w:pPr>
        <w:spacing w:after="0" w:line="158" w:lineRule="exact"/>
        <w:rPr>
          <w:sz w:val="20"/>
          <w:szCs w:val="20"/>
          <w:color w:val="auto"/>
        </w:rPr>
      </w:pPr>
    </w:p>
    <w:p>
      <w:pPr>
        <w:ind w:firstLine="448"/>
        <w:spacing w:after="0" w:line="277" w:lineRule="auto"/>
        <w:tabs>
          <w:tab w:leader="none" w:pos="781"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Simpson Thacher &amp; Bartlett LLP, 2475 Hanover Street, Palo Alto, CA 94304 (the “</w:t>
      </w:r>
      <w:r>
        <w:rPr>
          <w:rFonts w:ascii="Arial" w:cs="Arial" w:eastAsia="Arial" w:hAnsi="Arial"/>
          <w:sz w:val="14"/>
          <w:szCs w:val="14"/>
          <w:u w:val="single" w:color="auto"/>
          <w:color w:val="auto"/>
        </w:rPr>
        <w:t>Closing Location</w:t>
      </w:r>
      <w:r>
        <w:rPr>
          <w:rFonts w:ascii="Arial" w:cs="Arial" w:eastAsia="Arial" w:hAnsi="Arial"/>
          <w:sz w:val="14"/>
          <w:szCs w:val="14"/>
          <w:color w:val="auto"/>
        </w:rPr>
        <w:t>”), and the Shares will be delivered at the office of DTC or its designated custodian,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Section 4, “</w:t>
      </w:r>
      <w:r>
        <w:rPr>
          <w:rFonts w:ascii="Arial" w:cs="Arial" w:eastAsia="Arial" w:hAnsi="Arial"/>
          <w:sz w:val="14"/>
          <w:szCs w:val="14"/>
          <w:u w:val="single" w:color="auto"/>
          <w:color w:val="auto"/>
        </w:rPr>
        <w:t>New York Business Day</w:t>
      </w:r>
      <w:r>
        <w:rPr>
          <w:rFonts w:ascii="Arial" w:cs="Arial" w:eastAsia="Arial" w:hAnsi="Arial"/>
          <w:sz w:val="14"/>
          <w:szCs w:val="14"/>
          <w:color w:val="auto"/>
        </w:rPr>
        <w:t>” shall mean each Monday, Tuesday, Wednesday, Thursday and Friday which is not a day on which banking institutions in New York City are generally authorized or obligated by law or executive order to close.</w:t>
      </w:r>
    </w:p>
    <w:p>
      <w:pPr>
        <w:spacing w:after="0" w:line="148" w:lineRule="exact"/>
        <w:rPr>
          <w:sz w:val="20"/>
          <w:szCs w:val="20"/>
          <w:color w:val="auto"/>
        </w:rPr>
      </w:pPr>
    </w:p>
    <w:p>
      <w:pPr>
        <w:ind w:left="440"/>
        <w:spacing w:after="0"/>
        <w:tabs>
          <w:tab w:leader="none" w:pos="680" w:val="left"/>
        </w:tabs>
        <w:rPr>
          <w:sz w:val="20"/>
          <w:szCs w:val="20"/>
          <w:color w:val="auto"/>
        </w:rPr>
      </w:pPr>
      <w:r>
        <w:rPr>
          <w:rFonts w:ascii="Arial" w:cs="Arial" w:eastAsia="Arial" w:hAnsi="Arial"/>
          <w:sz w:val="15"/>
          <w:szCs w:val="15"/>
          <w:color w:val="auto"/>
        </w:rPr>
        <w:t>5.</w:t>
      </w:r>
      <w:r>
        <w:rPr>
          <w:sz w:val="20"/>
          <w:szCs w:val="20"/>
          <w:color w:val="auto"/>
        </w:rPr>
        <w:tab/>
      </w:r>
      <w:r>
        <w:rPr>
          <w:rFonts w:ascii="Arial" w:cs="Arial" w:eastAsia="Arial" w:hAnsi="Arial"/>
          <w:sz w:val="13"/>
          <w:szCs w:val="13"/>
          <w:color w:val="auto"/>
        </w:rPr>
        <w:t>The Company agrees with each of the Underwriters:</w:t>
      </w:r>
    </w:p>
    <w:p>
      <w:pPr>
        <w:spacing w:after="0" w:line="188" w:lineRule="exact"/>
        <w:rPr>
          <w:sz w:val="20"/>
          <w:szCs w:val="20"/>
          <w:color w:val="auto"/>
        </w:rPr>
      </w:pPr>
    </w:p>
    <w:p>
      <w:pPr>
        <w:ind w:right="40" w:firstLine="448"/>
        <w:spacing w:after="0" w:line="273" w:lineRule="auto"/>
        <w:tabs>
          <w:tab w:leader="none" w:pos="77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materials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53" w:lineRule="exact"/>
        <w:rPr>
          <w:rFonts w:ascii="Arial" w:cs="Arial" w:eastAsia="Arial" w:hAnsi="Arial"/>
          <w:sz w:val="14"/>
          <w:szCs w:val="14"/>
          <w:color w:val="auto"/>
        </w:rPr>
      </w:pPr>
    </w:p>
    <w:p>
      <w:pPr>
        <w:ind w:right="240" w:firstLine="448"/>
        <w:spacing w:after="0" w:line="257" w:lineRule="auto"/>
        <w:tabs>
          <w:tab w:leader="none" w:pos="783"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or subject itself to taxation for doing business in any jurisdiction in which it was not otherwise subject to taxation;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0"/>
          </w:cols>
          <w:pgMar w:left="240" w:top="253" w:right="219" w:bottom="1440" w:gutter="0" w:footer="0" w:header="0"/>
        </w:sectPr>
      </w:pPr>
    </w:p>
    <w:bookmarkStart w:id="263" w:name="page264"/>
    <w:bookmarkEnd w:id="263"/>
    <w:p>
      <w:pPr>
        <w:ind w:left="10" w:right="20" w:firstLine="448"/>
        <w:spacing w:after="0" w:line="272" w:lineRule="auto"/>
        <w:tabs>
          <w:tab w:leader="none" w:pos="785" w:val="left"/>
        </w:tabs>
        <w:numPr>
          <w:ilvl w:val="1"/>
          <w:numId w:val="14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Prior to 10:00 a.m., New York City time, on the New York Business Day next succeeding the date of this Agreement (or such later time as may be agreed by the Company and the Representatives)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(whose name and address the Underwriters shall furnish to the Company)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56" w:lineRule="exact"/>
        <w:rPr>
          <w:rFonts w:ascii="Arial" w:cs="Arial" w:eastAsia="Arial" w:hAnsi="Arial"/>
          <w:sz w:val="14"/>
          <w:szCs w:val="14"/>
          <w:color w:val="auto"/>
        </w:rPr>
      </w:pPr>
    </w:p>
    <w:p>
      <w:pPr>
        <w:ind w:left="10" w:right="20" w:firstLine="448"/>
        <w:spacing w:after="0" w:line="259" w:lineRule="auto"/>
        <w:tabs>
          <w:tab w:leader="none" w:pos="791"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To make generally available to its securityholders as soon as practicable (which may be satisfied by filing with the Commission’s Electronic Data Gathering, Analysis and Retrieval System (“</w:t>
      </w:r>
      <w:r>
        <w:rPr>
          <w:rFonts w:ascii="Arial" w:cs="Arial" w:eastAsia="Arial" w:hAnsi="Arial"/>
          <w:sz w:val="15"/>
          <w:szCs w:val="15"/>
          <w:u w:val="single" w:color="auto"/>
          <w:color w:val="auto"/>
        </w:rPr>
        <w:t>EDGAR</w:t>
      </w:r>
      <w:r>
        <w:rPr>
          <w:rFonts w:ascii="Arial" w:cs="Arial" w:eastAsia="Arial" w:hAnsi="Arial"/>
          <w:sz w:val="15"/>
          <w:szCs w:val="15"/>
          <w:color w:val="auto"/>
        </w:rPr>
        <w:t>”),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7" w:lineRule="exact"/>
        <w:rPr>
          <w:rFonts w:ascii="Arial" w:cs="Arial" w:eastAsia="Arial" w:hAnsi="Arial"/>
          <w:sz w:val="15"/>
          <w:szCs w:val="15"/>
          <w:color w:val="auto"/>
        </w:rPr>
      </w:pPr>
    </w:p>
    <w:p>
      <w:pPr>
        <w:ind w:left="770" w:hanging="312"/>
        <w:spacing w:after="0"/>
        <w:tabs>
          <w:tab w:leader="none" w:pos="77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(1) During the period beginning from the date hereof and continuing to and including the date 180 days after the date of the Prospectus (the “</w:t>
      </w:r>
      <w:r>
        <w:rPr>
          <w:rFonts w:ascii="Arial" w:cs="Arial" w:eastAsia="Arial" w:hAnsi="Arial"/>
          <w:sz w:val="13"/>
          <w:szCs w:val="13"/>
          <w:u w:val="single" w:color="auto"/>
          <w:color w:val="auto"/>
        </w:rPr>
        <w:t>Company Lock-up Period</w:t>
      </w:r>
      <w:r>
        <w:rPr>
          <w:rFonts w:ascii="Arial" w:cs="Arial" w:eastAsia="Arial" w:hAnsi="Arial"/>
          <w:sz w:val="13"/>
          <w:szCs w:val="13"/>
          <w:color w:val="auto"/>
        </w:rPr>
        <w:t>”) not to</w:t>
      </w:r>
    </w:p>
    <w:p>
      <w:pPr>
        <w:spacing w:after="0" w:line="40" w:lineRule="exact"/>
        <w:rPr>
          <w:rFonts w:ascii="Arial" w:cs="Arial" w:eastAsia="Arial" w:hAnsi="Arial"/>
          <w:sz w:val="13"/>
          <w:szCs w:val="13"/>
          <w:color w:val="auto"/>
        </w:rPr>
      </w:pPr>
    </w:p>
    <w:p>
      <w:pPr>
        <w:ind w:left="10" w:hanging="10"/>
        <w:spacing w:after="0" w:line="252" w:lineRule="auto"/>
        <w:tabs>
          <w:tab w:leader="none" w:pos="189" w:val="left"/>
        </w:tabs>
        <w:numPr>
          <w:ilvl w:val="0"/>
          <w:numId w:val="143"/>
        </w:numPr>
        <w:rPr>
          <w:rFonts w:ascii="Arial" w:cs="Arial" w:eastAsia="Arial" w:hAnsi="Arial"/>
          <w:sz w:val="15"/>
          <w:szCs w:val="15"/>
          <w:color w:val="auto"/>
        </w:rPr>
      </w:pPr>
      <w:r>
        <w:rPr>
          <w:rFonts w:ascii="Arial" w:cs="Arial" w:eastAsia="Arial" w:hAnsi="Arial"/>
          <w:sz w:val="15"/>
          <w:szCs w:val="15"/>
          <w:color w:val="auto"/>
        </w:rPr>
        <w:t>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Goldman Sachs &amp; Co. LLC and J.P. Morgan Securities LLC; provided, however, that the foregoing restrictions shall not apply to (i) Shares to be sold hereunder, (ii) the issuance by the Company of shares of Class A common stock, Class B common stock or Class C common stock upon the exercise of options, the settlement of restricted stock units or the conversion or exchange of convertible or exchangeable securities outstanding as of the date of this Agreement and described in</w:t>
      </w:r>
    </w:p>
    <w:p>
      <w:pPr>
        <w:spacing w:after="0" w:line="10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30"/>
          </w:cols>
          <w:pgMar w:left="230" w:top="253" w:right="239" w:bottom="1440" w:gutter="0" w:footer="0" w:header="0"/>
        </w:sectPr>
      </w:pPr>
    </w:p>
    <w:bookmarkStart w:id="264" w:name="page265"/>
    <w:bookmarkEnd w:id="264"/>
    <w:p>
      <w:pPr>
        <w:ind w:left="10" w:right="14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Pricing Prospectus, (iii) the issuance by the Company of shares of Class A common stock, Class B common stock or Class C common stock or securities convertible into, exchangeable for or that represent that right to receive shares of Class A common stock, Class B common stock or Class C common stock, in each case pursuant to the Company’s stock plans that are described in the Pricing Prospectus, (iv) the issuance by the Company of shares of Class A common stock or Class C common stock or securities convertible into, exchangeable for or that represent the right to receive shares of Class A common stock or Class C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transactions, or (v) the filing of any registration statement on Form S-8 relating to securities granted or to be granted pursuant to (A) the Company’s stock plans that are described in the Pricing Prospectus or (B) any assumed employee benefit plan contemplated by clause (iv); provided, that the aggregate number of shares of Stock that the Company may sell or issue or agree to sell or issue pursuant to clause</w:t>
      </w:r>
    </w:p>
    <w:p>
      <w:pPr>
        <w:spacing w:after="0" w:line="3" w:lineRule="exact"/>
        <w:rPr>
          <w:sz w:val="20"/>
          <w:szCs w:val="20"/>
          <w:color w:val="auto"/>
        </w:rPr>
      </w:pPr>
    </w:p>
    <w:p>
      <w:pPr>
        <w:ind w:left="10" w:hanging="10"/>
        <w:spacing w:after="0" w:line="273" w:lineRule="auto"/>
        <w:tabs>
          <w:tab w:leader="none" w:pos="264"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and, with respect to securities to be granted pursuant to any assumed employee benefit plan pursuant to clause (v) shall not exceed 10% of the total number of shares of Stock outstanding immediately following the offering of the Shares contemplated by this Agreement; and provided, further, that in the case of clauses (ii) through (v), the Company shall (a) cause each recipient of such securities to execute and deliver to you, on or prior to the issuance of such securities, a lock-up agreement substantially to the effect set forth in Annex IV hereto to the extent not already executed and delivered by such recipients as of the date hereof; provided that in the case of clauses (ii), (iii) and (v)(A) such lock-up agreement shall only be required if the recipient of such securities is a member of the Company’s board of directors, an executive officer or a beneficial holder of 0.125% of the capital stock of the Company and (b) enter stop transfer instructions with the Company’s transfer agent and registrar on such securities with respect to all recipients of such securities, which the Company agrees it will not waive or amend without the prior written consent of Goldman Sachs &amp; Co. LLC and J.P. Morgan Securities LLC;</w:t>
      </w:r>
    </w:p>
    <w:p>
      <w:pPr>
        <w:spacing w:after="0" w:line="152" w:lineRule="exact"/>
        <w:rPr>
          <w:rFonts w:ascii="Arial" w:cs="Arial" w:eastAsia="Arial" w:hAnsi="Arial"/>
          <w:sz w:val="14"/>
          <w:szCs w:val="14"/>
          <w:color w:val="auto"/>
        </w:rPr>
      </w:pPr>
    </w:p>
    <w:p>
      <w:pPr>
        <w:ind w:left="10" w:firstLine="906"/>
        <w:spacing w:after="0" w:line="259" w:lineRule="auto"/>
        <w:tabs>
          <w:tab w:leader="none" w:pos="113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If Goldman Sachs &amp; Co. LLC and J.P. Morgan Securities LLC, in their sole discretion, agree to release or waive the restrictions set forth in lock-up letters pursuant to Section 8(h) hereof, in each case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III hereto through a major news service at least two business days before the effective date of the release or waiver, if required by FINRA Rule 5131;</w:t>
      </w:r>
    </w:p>
    <w:p>
      <w:pPr>
        <w:spacing w:after="0" w:line="157" w:lineRule="exact"/>
        <w:rPr>
          <w:rFonts w:ascii="Arial" w:cs="Arial" w:eastAsia="Arial" w:hAnsi="Arial"/>
          <w:sz w:val="15"/>
          <w:szCs w:val="15"/>
          <w:color w:val="auto"/>
        </w:rPr>
      </w:pPr>
    </w:p>
    <w:p>
      <w:pPr>
        <w:ind w:left="10" w:right="240" w:firstLine="906"/>
        <w:spacing w:after="0" w:line="277" w:lineRule="auto"/>
        <w:tabs>
          <w:tab w:leader="none" w:pos="1138" w:val="left"/>
        </w:tabs>
        <w:numPr>
          <w:ilvl w:val="1"/>
          <w:numId w:val="144"/>
        </w:numPr>
        <w:rPr>
          <w:rFonts w:ascii="Arial" w:cs="Arial" w:eastAsia="Arial" w:hAnsi="Arial"/>
          <w:sz w:val="14"/>
          <w:szCs w:val="14"/>
          <w:color w:val="auto"/>
        </w:rPr>
      </w:pPr>
      <w:r>
        <w:rPr>
          <w:rFonts w:ascii="Arial" w:cs="Arial" w:eastAsia="Arial" w:hAnsi="Arial"/>
          <w:sz w:val="14"/>
          <w:szCs w:val="14"/>
          <w:color w:val="auto"/>
        </w:rPr>
        <w:t>During the Company Lock-Up Period, to the extent that any agreement between the Company and any holder of Stock or any securities of the Company that are substantially similar to the Shares, including but not limited to any options to purchase shares of Stock or any securities that are convertible into or exchangeable for, or that represent the right to receive, Stock or any such substantially similar securities, contains or references any restriction similar to the restrictions contained in Annex IV or any other form of “lock up” or “market stand-off provision”, the Company will not waive any such restriction with respect to any such holder without the prior written consent of Goldman Sachs &amp; Co. LLC and J.P. Morgan Securities LLC and will take all reasonable actions necessary to enforce any such restriction, including imposing stop-transfer instructions with respect to such securities and instructing its transfer agent to place restrictive legends describing such restriction on the certificates or book-entries with respect to such securities;</w:t>
      </w:r>
    </w:p>
    <w:p>
      <w:pPr>
        <w:spacing w:after="0" w:line="9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30"/>
          </w:cols>
          <w:pgMar w:left="230" w:top="253" w:right="239" w:bottom="1440" w:gutter="0" w:footer="0" w:header="0"/>
        </w:sectPr>
      </w:pPr>
    </w:p>
    <w:bookmarkStart w:id="265" w:name="page266"/>
    <w:bookmarkEnd w:id="265"/>
    <w:p>
      <w:pPr>
        <w:ind w:right="20" w:firstLine="448"/>
        <w:spacing w:after="0" w:line="255" w:lineRule="auto"/>
        <w:tabs>
          <w:tab w:leader="none" w:pos="758" w:val="left"/>
        </w:tabs>
        <w:numPr>
          <w:ilvl w:val="0"/>
          <w:numId w:val="14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they are available on EDGAR;</w:t>
      </w:r>
    </w:p>
    <w:p>
      <w:pPr>
        <w:spacing w:after="0" w:line="163" w:lineRule="exact"/>
        <w:rPr>
          <w:rFonts w:ascii="Arial" w:cs="Arial" w:eastAsia="Arial" w:hAnsi="Arial"/>
          <w:sz w:val="15"/>
          <w:szCs w:val="15"/>
          <w:color w:val="auto"/>
        </w:rPr>
      </w:pPr>
    </w:p>
    <w:p>
      <w:pPr>
        <w:ind w:right="20" w:firstLine="448"/>
        <w:spacing w:after="0" w:line="277" w:lineRule="auto"/>
        <w:tabs>
          <w:tab w:leader="none" w:pos="783"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they are available on EDGAR or to the extent such provision of such reports, documents or other information would require public disclosure by the Company under Regulation FD;</w:t>
      </w:r>
    </w:p>
    <w:p>
      <w:pPr>
        <w:spacing w:after="0" w:line="148" w:lineRule="exact"/>
        <w:rPr>
          <w:rFonts w:ascii="Arial" w:cs="Arial" w:eastAsia="Arial" w:hAnsi="Arial"/>
          <w:sz w:val="14"/>
          <w:szCs w:val="14"/>
          <w:color w:val="auto"/>
        </w:rPr>
      </w:pPr>
    </w:p>
    <w:p>
      <w:pPr>
        <w:ind w:left="780" w:hanging="332"/>
        <w:spacing w:after="0"/>
        <w:tabs>
          <w:tab w:leader="none" w:pos="7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To use the net proceeds received by it from the sale of the Shares pursuant to this Agreement in the manner specified in the Pricing Prospectus under the caption “Use of</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Proceeds”;</w:t>
      </w:r>
    </w:p>
    <w:p>
      <w:pPr>
        <w:spacing w:after="0" w:line="178" w:lineRule="exact"/>
        <w:rPr>
          <w:rFonts w:ascii="Arial" w:cs="Arial" w:eastAsia="Arial" w:hAnsi="Arial"/>
          <w:sz w:val="14"/>
          <w:szCs w:val="14"/>
          <w:color w:val="auto"/>
        </w:rPr>
      </w:pPr>
    </w:p>
    <w:p>
      <w:pPr>
        <w:ind w:left="740" w:hanging="292"/>
        <w:spacing w:after="0"/>
        <w:tabs>
          <w:tab w:leader="none" w:pos="7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To use its best efforts to list, subject to notice of issuance, the Shares on the NASDAQ;</w:t>
      </w:r>
    </w:p>
    <w:p>
      <w:pPr>
        <w:spacing w:after="0" w:line="188" w:lineRule="exact"/>
        <w:rPr>
          <w:rFonts w:ascii="Arial" w:cs="Arial" w:eastAsia="Arial" w:hAnsi="Arial"/>
          <w:sz w:val="15"/>
          <w:szCs w:val="15"/>
          <w:color w:val="auto"/>
        </w:rPr>
      </w:pPr>
    </w:p>
    <w:p>
      <w:pPr>
        <w:ind w:left="740" w:hanging="292"/>
        <w:spacing w:after="0"/>
        <w:tabs>
          <w:tab w:leader="none" w:pos="7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To file with the Commission such information on Form 10-Q or Form 10-K as may be required by Rule 463 under the Act;</w:t>
      </w:r>
    </w:p>
    <w:p>
      <w:pPr>
        <w:spacing w:after="0" w:line="188" w:lineRule="exact"/>
        <w:rPr>
          <w:rFonts w:ascii="Arial" w:cs="Arial" w:eastAsia="Arial" w:hAnsi="Arial"/>
          <w:sz w:val="15"/>
          <w:szCs w:val="15"/>
          <w:color w:val="auto"/>
        </w:rPr>
      </w:pPr>
    </w:p>
    <w:p>
      <w:pPr>
        <w:ind w:right="240" w:firstLine="448"/>
        <w:spacing w:after="0" w:line="263" w:lineRule="auto"/>
        <w:tabs>
          <w:tab w:leader="none" w:pos="783"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54" w:lineRule="exact"/>
        <w:rPr>
          <w:rFonts w:ascii="Arial" w:cs="Arial" w:eastAsia="Arial" w:hAnsi="Arial"/>
          <w:sz w:val="15"/>
          <w:szCs w:val="15"/>
          <w:color w:val="auto"/>
        </w:rPr>
      </w:pPr>
    </w:p>
    <w:p>
      <w:pPr>
        <w:ind w:firstLine="448"/>
        <w:spacing w:after="0" w:line="263" w:lineRule="auto"/>
        <w:tabs>
          <w:tab w:leader="none" w:pos="75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w:t>
      </w:r>
      <w:r>
        <w:rPr>
          <w:rFonts w:ascii="Arial" w:cs="Arial" w:eastAsia="Arial" w:hAnsi="Arial"/>
          <w:sz w:val="15"/>
          <w:szCs w:val="15"/>
          <w:u w:val="single" w:color="auto"/>
          <w:color w:val="auto"/>
        </w:rPr>
        <w:t>License</w:t>
      </w:r>
      <w:r>
        <w:rPr>
          <w:rFonts w:ascii="Arial" w:cs="Arial" w:eastAsia="Arial" w:hAnsi="Arial"/>
          <w:sz w:val="15"/>
          <w:szCs w:val="15"/>
          <w:color w:val="auto"/>
        </w:rPr>
        <w:t>”); provided, however, that the License shall be used solely for the purpose described above, is granted without any fee and may not be assigned or transferred; and</w:t>
      </w:r>
    </w:p>
    <w:p>
      <w:pPr>
        <w:spacing w:after="0" w:line="155" w:lineRule="exact"/>
        <w:rPr>
          <w:sz w:val="20"/>
          <w:szCs w:val="20"/>
          <w:color w:val="auto"/>
        </w:rPr>
      </w:pPr>
    </w:p>
    <w:p>
      <w:pPr>
        <w:ind w:right="140" w:firstLine="448"/>
        <w:spacing w:after="0" w:line="305" w:lineRule="auto"/>
        <w:tabs>
          <w:tab w:leader="none" w:pos="721" w:val="left"/>
        </w:tabs>
        <w:numPr>
          <w:ilvl w:val="0"/>
          <w:numId w:val="146"/>
        </w:numPr>
        <w:rPr>
          <w:rFonts w:ascii="Arial" w:cs="Arial" w:eastAsia="Arial" w:hAnsi="Arial"/>
          <w:sz w:val="13"/>
          <w:szCs w:val="13"/>
          <w:color w:val="auto"/>
        </w:rPr>
      </w:pPr>
      <w:r>
        <w:rPr>
          <w:rFonts w:ascii="Arial" w:cs="Arial" w:eastAsia="Arial" w:hAnsi="Arial"/>
          <w:sz w:val="13"/>
          <w:szCs w:val="13"/>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hereto;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253" w:right="239" w:bottom="1440" w:gutter="0" w:footer="0" w:header="0"/>
        </w:sectPr>
      </w:pPr>
    </w:p>
    <w:bookmarkStart w:id="266" w:name="page267"/>
    <w:bookmarkEnd w:id="266"/>
    <w:p>
      <w:pPr>
        <w:jc w:val="both"/>
        <w:ind w:right="40" w:firstLine="448"/>
        <w:spacing w:after="0" w:line="263" w:lineRule="auto"/>
        <w:tabs>
          <w:tab w:leader="none" w:pos="781" w:val="left"/>
        </w:tabs>
        <w:numPr>
          <w:ilvl w:val="0"/>
          <w:numId w:val="14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54" w:lineRule="exact"/>
        <w:rPr>
          <w:rFonts w:ascii="Arial" w:cs="Arial" w:eastAsia="Arial" w:hAnsi="Arial"/>
          <w:sz w:val="15"/>
          <w:szCs w:val="15"/>
          <w:color w:val="auto"/>
        </w:rPr>
      </w:pPr>
    </w:p>
    <w:p>
      <w:pPr>
        <w:ind w:firstLine="448"/>
        <w:spacing w:after="0" w:line="255" w:lineRule="auto"/>
        <w:tabs>
          <w:tab w:leader="none" w:pos="81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Company agrees that if at any time following issuance of an Issuer Free Writing Prospectus or Section 5(d) Writing prepared or authorized by it, any event occurred or occurs as a result of which such Issuer Free Writing Prospectus or Section 5(d) Writing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 or any Selling Stockholder Information;</w:t>
      </w:r>
    </w:p>
    <w:p>
      <w:pPr>
        <w:spacing w:after="0" w:line="160" w:lineRule="exact"/>
        <w:rPr>
          <w:rFonts w:ascii="Arial" w:cs="Arial" w:eastAsia="Arial" w:hAnsi="Arial"/>
          <w:sz w:val="15"/>
          <w:szCs w:val="15"/>
          <w:color w:val="auto"/>
        </w:rPr>
      </w:pPr>
    </w:p>
    <w:p>
      <w:pPr>
        <w:ind w:right="120" w:firstLine="448"/>
        <w:spacing w:after="0" w:line="257" w:lineRule="auto"/>
        <w:tabs>
          <w:tab w:leader="none" w:pos="781"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Company represents and agrees that (i) it has not engaged in, or authorized any other person to engage in, any 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III(c) hereto; and the Company reconfirms that the Underwriters have been authorized to act on its behalf in engaging in Section 5(d) Communications; and</w:t>
      </w:r>
    </w:p>
    <w:p>
      <w:pPr>
        <w:spacing w:after="0" w:line="159" w:lineRule="exact"/>
        <w:rPr>
          <w:rFonts w:ascii="Arial" w:cs="Arial" w:eastAsia="Arial" w:hAnsi="Arial"/>
          <w:sz w:val="15"/>
          <w:szCs w:val="15"/>
          <w:color w:val="auto"/>
        </w:rPr>
      </w:pPr>
    </w:p>
    <w:p>
      <w:pPr>
        <w:ind w:right="20" w:firstLine="448"/>
        <w:spacing w:after="0" w:line="275" w:lineRule="auto"/>
        <w:tabs>
          <w:tab w:leader="none" w:pos="775" w:val="left"/>
        </w:tabs>
        <w:numPr>
          <w:ilvl w:val="0"/>
          <w:numId w:val="147"/>
        </w:numPr>
        <w:rPr>
          <w:rFonts w:ascii="Arial" w:cs="Arial" w:eastAsia="Arial" w:hAnsi="Arial"/>
          <w:sz w:val="15"/>
          <w:szCs w:val="15"/>
          <w:color w:val="auto"/>
        </w:rPr>
      </w:pPr>
      <w:r>
        <w:rPr>
          <w:rFonts w:ascii="Arial" w:cs="Arial" w:eastAsia="Arial" w:hAnsi="Arial"/>
          <w:sz w:val="15"/>
          <w:szCs w:val="15"/>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w:t>
      </w:r>
    </w:p>
    <w:p>
      <w:pPr>
        <w:spacing w:after="0" w:line="146" w:lineRule="exact"/>
        <w:rPr>
          <w:sz w:val="20"/>
          <w:szCs w:val="20"/>
          <w:color w:val="auto"/>
        </w:rPr>
      </w:pPr>
    </w:p>
    <w:p>
      <w:pPr>
        <w:ind w:left="700" w:hanging="252"/>
        <w:spacing w:after="0"/>
        <w:tabs>
          <w:tab w:leader="none" w:pos="7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Company and each of the Selling Stockholders covenant and agree with one another and with the several Underwriters that (a) the Company will pay or cause to be paid the</w:t>
      </w:r>
    </w:p>
    <w:p>
      <w:pPr>
        <w:spacing w:after="0" w:line="40" w:lineRule="exact"/>
        <w:rPr>
          <w:rFonts w:ascii="Arial" w:cs="Arial" w:eastAsia="Arial" w:hAnsi="Arial"/>
          <w:sz w:val="13"/>
          <w:szCs w:val="13"/>
          <w:color w:val="auto"/>
        </w:rPr>
      </w:pPr>
    </w:p>
    <w:p>
      <w:pPr>
        <w:ind w:right="20"/>
        <w:spacing w:after="0" w:line="297" w:lineRule="auto"/>
        <w:rPr>
          <w:rFonts w:ascii="Arial" w:cs="Arial" w:eastAsia="Arial" w:hAnsi="Arial"/>
          <w:sz w:val="13"/>
          <w:szCs w:val="13"/>
          <w:color w:val="auto"/>
        </w:rPr>
      </w:pPr>
      <w:r>
        <w:rPr>
          <w:rFonts w:ascii="Arial" w:cs="Arial" w:eastAsia="Arial" w:hAnsi="Arial"/>
          <w:sz w:val="13"/>
          <w:szCs w:val="13"/>
          <w:color w:val="auto"/>
        </w:rPr>
        <w:t>following: (i) the fees, disbursements and expenses of the Company’s counsel, the Company’s accountants in connection with the registration of the Shares under the Act and the expenses incurred in connection with the preparation, printing, reproduction and filing of the Registration Statement, any Preliminary Prospectus, any Section 5(d) Writing,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any Blue Sky survey; (iv) the expenses of the Company relating to any “road show” undertaken in connection with the marketing of the offering of the Shares, including, without limitation, expenses associated with the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00"/>
          </w:cols>
          <w:pgMar w:left="240" w:top="253" w:right="259" w:bottom="1440" w:gutter="0" w:footer="0" w:header="0"/>
        </w:sectPr>
      </w:pPr>
    </w:p>
    <w:bookmarkStart w:id="267" w:name="page268"/>
    <w:bookmarkEnd w:id="267"/>
    <w:p>
      <w:pPr>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preparation or dissemination of any electronic road show, expenses associated with the production of any road show presentation and related slides and graphics, fees and expenses of any consultants engaged in connection with any road show presentations, the lodging and meal expenses of the officers of the Company and one-third of the cost of any aircraft chartered in connection with any such road show, subject to the last sentence of this paragraph, (v) in connection with any testing-the-waters meetings, the expenses of the Company associated with the production of testing-the-waters investor presentations and related slides and graphics, fees and expenses of any consultants engaged in connection with such testing-the-waters presentations, the lodging and meal expenses of the officers of the Company, and one-third of the cost of any aircraft chartered in connection with such testing-the-waters meetings, subject to the last sentence of this paragraph, (vi) all fees and expenses in connection with listing the Shares on the NASDAQ; (vii) the filing fees incident to, and the reasonable and documented fees and disbursements of counsel for the Underwriters in connection with, any required review by FINRA of the terms of the sale of the Shares; (viii) the cost of preparing stock certificates; if applicable; (ix) the cost and charges of any transfer agent or registrar; (x) all other costs and expenses incident to the performance of its obligations hereunder which are not otherwise specifically provided for in this Section; (xi) each Selling Stockholder’s pro rata share of the fees and expenses of the Attorneys-in-Fact and the Custodian; and (xii) the fees and disbursements of one counsel to the Selling Stockholders (the “</w:t>
      </w:r>
      <w:r>
        <w:rPr>
          <w:rFonts w:ascii="Arial" w:cs="Arial" w:eastAsia="Arial" w:hAnsi="Arial"/>
          <w:sz w:val="14"/>
          <w:szCs w:val="14"/>
          <w:u w:val="single" w:color="auto"/>
          <w:color w:val="auto"/>
        </w:rPr>
        <w:t>Common Selling Stockholder Counsel</w:t>
      </w:r>
      <w:r>
        <w:rPr>
          <w:rFonts w:ascii="Arial" w:cs="Arial" w:eastAsia="Arial" w:hAnsi="Arial"/>
          <w:sz w:val="14"/>
          <w:szCs w:val="14"/>
          <w:color w:val="auto"/>
        </w:rPr>
        <w:t>”) and all costs and expenses incident to the performance of each Selling Stockholder’s obligations hereunder which are not otherwise specifically provided for in this Section, provided, however, that the amounts payable by the Company for the fees and disbursements of counsel to the Underwriters pursuant to subsections (iii) and (vii) shall not exceed $30,000 in the aggregate; and (b) each Selling Stockholder, severally and not jointly, will pay or cause to be paid all costs and expenses incident to the performance of such Selling Stockholder’s obligations hereunder in connection with (i) any fees and expenses of counsel for such Selling Stockholder other than the fees and expenses of the Company’s counsel and the Common Selling Stockholder Counsel being paid for by the Company, (ii) all stamp or transfer taxes incident to the sale and delivery of the Shares to be sold by such Selling Stockholder to the Underwriters hereunder and (iii) any underwriters’ discounts and commissions relating to the Shares to be sold by such Selling Stockholder to the Underwriters hereunder. In connection with clause (b)(ii) of the preceding sentence, the Representatives agree to pay New York State stock transfer tax, and the Selling Stockholder agrees to reimburse the Representatives for associated carrying costs if such tax payment is not rebated on the day of payment and for any portion of such tax payment not rebated. It is understood, however, that the Company shall bear, and the Selling Stockholders shall not be required to pay or to reimburse the Company for, the cost of any other matters not directly relating to the sale and purchase of the Shares pursuant to this Agreement. Notwithstanding anything to the contrary herein, except as provided in this Section, and Sections 9 and 12 hereof, the Underwriters will pay (i) all of their own costs and expenses, including the fees of their counsel, stock transfer taxes on resale of any of the Shares by them, and any advertising expenses connected with any offers they may make, (ii) in connection with any “road show” undertaken in connection with the marketing of the offering of the Shares, the travel, lodging and meal expenses of the Representatives, the cost of all transportation of the officers of the Company and the Representatives other than the chartered aircraft and two-thirds of the cost of any aircraft chartered in connection with such road show and (iii) in connection with any testing-the-waters meetings, the travel, lodging and meal expenses of the Representatives, the cost of all transportation of the officers of the Company and the Representatives other than the chartered aircraft and two-thirds of the cost of any aircraft chartered in connection with such testing-the-waters meetings.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0"/>
          </w:cols>
          <w:pgMar w:left="240" w:top="253" w:right="219" w:bottom="1440" w:gutter="0" w:footer="0" w:header="0"/>
        </w:sectPr>
      </w:pPr>
    </w:p>
    <w:bookmarkStart w:id="268" w:name="page269"/>
    <w:bookmarkEnd w:id="268"/>
    <w:p>
      <w:pPr>
        <w:ind w:firstLine="448"/>
        <w:spacing w:after="0" w:line="322" w:lineRule="auto"/>
        <w:tabs>
          <w:tab w:leader="none" w:pos="718" w:val="left"/>
        </w:tabs>
        <w:numPr>
          <w:ilvl w:val="0"/>
          <w:numId w:val="14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and their obligations hereunder theretofore to be performed, and the following additional conditions:</w:t>
      </w:r>
    </w:p>
    <w:p>
      <w:pPr>
        <w:spacing w:after="0" w:line="120" w:lineRule="exact"/>
        <w:rPr>
          <w:sz w:val="20"/>
          <w:szCs w:val="20"/>
          <w:color w:val="auto"/>
        </w:rPr>
      </w:pPr>
    </w:p>
    <w:p>
      <w:pPr>
        <w:ind w:right="80" w:firstLine="448"/>
        <w:spacing w:after="0" w:line="276" w:lineRule="auto"/>
        <w:tabs>
          <w:tab w:leader="none" w:pos="772"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47" w:lineRule="exact"/>
        <w:rPr>
          <w:rFonts w:ascii="Arial" w:cs="Arial" w:eastAsia="Arial" w:hAnsi="Arial"/>
          <w:sz w:val="14"/>
          <w:szCs w:val="14"/>
          <w:color w:val="auto"/>
        </w:rPr>
      </w:pPr>
    </w:p>
    <w:p>
      <w:pPr>
        <w:jc w:val="both"/>
        <w:ind w:firstLine="448"/>
        <w:spacing w:after="0" w:line="290" w:lineRule="auto"/>
        <w:tabs>
          <w:tab w:leader="none" w:pos="783"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Simpson Thacher &amp; Bartlett LLP, counsel for the Underwriters, shall have furnished to you such written opinion or opinions, dated such Time of Delivery, in form and substance satisfactory to you, with respect to the issuance and sale of the Shares, the Registration Statement and the Prospectus as well as such other related matters as you may reasonably request, and such counsel shall have received such papers and information as they may reasonably request to enable them to pass upon such matters;</w:t>
      </w:r>
    </w:p>
    <w:p>
      <w:pPr>
        <w:spacing w:after="0" w:line="138" w:lineRule="exact"/>
        <w:rPr>
          <w:rFonts w:ascii="Arial" w:cs="Arial" w:eastAsia="Arial" w:hAnsi="Arial"/>
          <w:sz w:val="14"/>
          <w:szCs w:val="14"/>
          <w:color w:val="auto"/>
        </w:rPr>
      </w:pPr>
    </w:p>
    <w:p>
      <w:pPr>
        <w:ind w:right="240" w:firstLine="448"/>
        <w:spacing w:after="0" w:line="290" w:lineRule="auto"/>
        <w:tabs>
          <w:tab w:leader="none" w:pos="775"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 Wilson Sonsini Goodrich &amp; Rosati, Professional Corporation, counsel for the Company and the Selling Stockholders, shall have furnished to you their written opinion and negative assurance letter (a form which is attached as Annex I hereto) with respect to the Company and (ii) counsel for the Selling Stockholders shall have furnished to you their written opinion with respect to each of the Selling Stockholders, in each case dated such Time of Delivery and in form and substance satisfactory to you;</w:t>
      </w:r>
    </w:p>
    <w:p>
      <w:pPr>
        <w:spacing w:after="0" w:line="138" w:lineRule="exact"/>
        <w:rPr>
          <w:rFonts w:ascii="Arial" w:cs="Arial" w:eastAsia="Arial" w:hAnsi="Arial"/>
          <w:sz w:val="14"/>
          <w:szCs w:val="14"/>
          <w:color w:val="auto"/>
        </w:rPr>
      </w:pPr>
    </w:p>
    <w:p>
      <w:pPr>
        <w:ind w:right="40" w:firstLine="448"/>
        <w:spacing w:after="0" w:line="312" w:lineRule="auto"/>
        <w:tabs>
          <w:tab w:leader="none" w:pos="783" w:val="left"/>
        </w:tabs>
        <w:numPr>
          <w:ilvl w:val="0"/>
          <w:numId w:val="150"/>
        </w:numPr>
        <w:rPr>
          <w:rFonts w:ascii="Arial" w:cs="Arial" w:eastAsia="Arial" w:hAnsi="Arial"/>
          <w:sz w:val="14"/>
          <w:szCs w:val="14"/>
          <w:color w:val="auto"/>
        </w:rPr>
      </w:pPr>
      <w:r>
        <w:rPr>
          <w:rFonts w:ascii="Arial" w:cs="Arial" w:eastAsia="Arial" w:hAnsi="Arial"/>
          <w:sz w:val="14"/>
          <w:szCs w:val="14"/>
          <w:color w:val="auto"/>
        </w:rPr>
        <w:t>On the date of the Prospectus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122" w:lineRule="exact"/>
        <w:rPr>
          <w:rFonts w:ascii="Arial" w:cs="Arial" w:eastAsia="Arial" w:hAnsi="Arial"/>
          <w:sz w:val="14"/>
          <w:szCs w:val="14"/>
          <w:color w:val="auto"/>
        </w:rPr>
      </w:pPr>
    </w:p>
    <w:p>
      <w:pPr>
        <w:ind w:right="40" w:firstLine="448"/>
        <w:spacing w:after="0" w:line="302" w:lineRule="auto"/>
        <w:tabs>
          <w:tab w:leader="none" w:pos="77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 Neither the Company nor any of its subsidiaries shall have sustained since the date of the latest audited financial 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 as a result of the exercise or settlement (including any “net” or “cashless” exercises or settlements) of stock options or restricted stock units or the award of stock options or restricted stock units in the ordinary course of business, in each case pursuant to the Company’s equity plans that are described in the Pricing Prospectus, (B) the repurchase of shares of common stock by the Company pursuant to agreements providing for an option to repurchase or a right of first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40"/>
          </w:cols>
          <w:pgMar w:left="240" w:top="253" w:right="219" w:bottom="1440" w:gutter="0" w:footer="0" w:header="0"/>
        </w:sectPr>
      </w:pPr>
    </w:p>
    <w:bookmarkStart w:id="269" w:name="page270"/>
    <w:bookmarkEnd w:id="269"/>
    <w:p>
      <w:pPr>
        <w:ind w:left="10" w:right="2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refusal on behalf of the Company pursuant to the Company’s repurchase rights, or (C) the issuance, if any, of stock upon conversion of Company securities as described in the Pricing Prospectus) or the issuance or incurrence of long-term debt of the Company or any of its subsidiaries or any change or effect, or any development involving a prospective change or effect, in or affecting the business, management, consolidated financial position, consolidated stockholders’ equity or consolidated results of operations of the Company and its subsidiaries, taken as a whole, except as set forth or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64" w:lineRule="exact"/>
        <w:rPr>
          <w:sz w:val="20"/>
          <w:szCs w:val="20"/>
          <w:color w:val="auto"/>
        </w:rPr>
      </w:pPr>
    </w:p>
    <w:p>
      <w:pPr>
        <w:ind w:left="10" w:firstLine="448"/>
        <w:spacing w:after="0" w:line="255" w:lineRule="auto"/>
        <w:tabs>
          <w:tab w:leader="none" w:pos="768" w:val="left"/>
        </w:tabs>
        <w:numPr>
          <w:ilvl w:val="1"/>
          <w:numId w:val="151"/>
        </w:numPr>
        <w:rPr>
          <w:rFonts w:ascii="Arial" w:cs="Arial" w:eastAsia="Arial" w:hAnsi="Arial"/>
          <w:sz w:val="15"/>
          <w:szCs w:val="15"/>
          <w:color w:val="auto"/>
        </w:rPr>
      </w:pPr>
      <w:r>
        <w:rPr>
          <w:rFonts w:ascii="Arial" w:cs="Arial" w:eastAsia="Arial" w:hAnsi="Arial"/>
          <w:sz w:val="15"/>
          <w:szCs w:val="15"/>
          <w:color w:val="auto"/>
        </w:rPr>
        <w:t>On or after the Applicable Time there shall not have occurred any of the following: (i) a suspension or material limitation in trading in securities generally on the Exchange or on NASDAQ; (ii) a suspension or material limitation in trading in the Company’s securities on the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60" w:lineRule="exact"/>
        <w:rPr>
          <w:rFonts w:ascii="Arial" w:cs="Arial" w:eastAsia="Arial" w:hAnsi="Arial"/>
          <w:sz w:val="15"/>
          <w:szCs w:val="15"/>
          <w:color w:val="auto"/>
        </w:rPr>
      </w:pPr>
    </w:p>
    <w:p>
      <w:pPr>
        <w:ind w:left="790" w:hanging="332"/>
        <w:spacing w:after="0"/>
        <w:tabs>
          <w:tab w:leader="none" w:pos="79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The Shares to be sold at such Time of Delivery shall have been duly listed for quotation on the NASDAQ;</w:t>
      </w:r>
    </w:p>
    <w:p>
      <w:pPr>
        <w:spacing w:after="0" w:line="188" w:lineRule="exact"/>
        <w:rPr>
          <w:rFonts w:ascii="Arial" w:cs="Arial" w:eastAsia="Arial" w:hAnsi="Arial"/>
          <w:sz w:val="15"/>
          <w:szCs w:val="15"/>
          <w:color w:val="auto"/>
        </w:rPr>
      </w:pPr>
    </w:p>
    <w:p>
      <w:pPr>
        <w:ind w:left="10" w:right="100" w:firstLine="448"/>
        <w:spacing w:after="0" w:line="263" w:lineRule="auto"/>
        <w:tabs>
          <w:tab w:leader="none" w:pos="791"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The Company shall have obtained and delivered to the Underwriters executed copies of an agreement from each member of the Company’s board of directors, each executive officer of the Company and each of the other holders of the Company’s securities listed on Schedule IV hereto, substantially to the effect set forth in Annex IV hereto in form and substance reasonably satisfactory to you;</w:t>
      </w:r>
    </w:p>
    <w:p>
      <w:pPr>
        <w:spacing w:after="0" w:line="154" w:lineRule="exact"/>
        <w:rPr>
          <w:rFonts w:ascii="Arial" w:cs="Arial" w:eastAsia="Arial" w:hAnsi="Arial"/>
          <w:sz w:val="15"/>
          <w:szCs w:val="15"/>
          <w:color w:val="auto"/>
        </w:rPr>
      </w:pPr>
    </w:p>
    <w:p>
      <w:pPr>
        <w:ind w:left="10" w:right="140" w:firstLine="448"/>
        <w:spacing w:after="0" w:line="275" w:lineRule="auto"/>
        <w:tabs>
          <w:tab w:leader="none" w:pos="757"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The Company shall have complied with the provisions of Section 5(c) hereof with respect to the furnishing of prospectuses on the New York Business Day next succeeding the date of this Agreement;</w:t>
      </w:r>
    </w:p>
    <w:p>
      <w:pPr>
        <w:spacing w:after="0" w:line="146" w:lineRule="exact"/>
        <w:rPr>
          <w:rFonts w:ascii="Arial" w:cs="Arial" w:eastAsia="Arial" w:hAnsi="Arial"/>
          <w:sz w:val="15"/>
          <w:szCs w:val="15"/>
          <w:color w:val="auto"/>
        </w:rPr>
      </w:pPr>
    </w:p>
    <w:p>
      <w:pPr>
        <w:ind w:left="10" w:right="20" w:firstLine="448"/>
        <w:spacing w:after="0" w:line="293" w:lineRule="auto"/>
        <w:tabs>
          <w:tab w:leader="none" w:pos="757"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The Company and the Selling Stockholders shall have furnished or caused to be furnished to you at such Time of Delivery certificates of officers of the Company and of the Selling Stockholders, respectively, satisfactory to you as to the accuracy of the representations and warranties of the Company and the Selling Stockholders, respectively, herein at and as of such Time of Delivery, as to the performance by the Company and the Selling Stockholders of all of their respective obligations hereunder to be performed at or prior to such Time of Delivery, as to such other matters as you may reasonably request, and the Company shall have furnished or caused to be furnished certificates as to the matters set forth in subsections (a) and</w:t>
      </w:r>
    </w:p>
    <w:p>
      <w:pPr>
        <w:spacing w:after="0" w:line="1" w:lineRule="exact"/>
        <w:rPr>
          <w:rFonts w:ascii="Arial" w:cs="Arial" w:eastAsia="Arial" w:hAnsi="Arial"/>
          <w:sz w:val="13"/>
          <w:szCs w:val="13"/>
          <w:color w:val="auto"/>
        </w:rPr>
      </w:pPr>
    </w:p>
    <w:p>
      <w:pPr>
        <w:ind w:left="210" w:hanging="210"/>
        <w:spacing w:after="0"/>
        <w:tabs>
          <w:tab w:leader="none" w:pos="21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of this Section; and</w:t>
      </w:r>
    </w:p>
    <w:p>
      <w:pPr>
        <w:spacing w:after="0" w:line="178" w:lineRule="exact"/>
        <w:rPr>
          <w:rFonts w:ascii="Arial" w:cs="Arial" w:eastAsia="Arial" w:hAnsi="Arial"/>
          <w:sz w:val="15"/>
          <w:szCs w:val="15"/>
          <w:color w:val="auto"/>
        </w:rPr>
      </w:pPr>
    </w:p>
    <w:p>
      <w:pPr>
        <w:ind w:left="10" w:right="100" w:firstLine="448"/>
        <w:spacing w:after="0" w:line="275" w:lineRule="auto"/>
        <w:tabs>
          <w:tab w:leader="none" w:pos="791" w:val="left"/>
        </w:tabs>
        <w:numPr>
          <w:ilvl w:val="1"/>
          <w:numId w:val="152"/>
        </w:numPr>
        <w:rPr>
          <w:rFonts w:ascii="Arial" w:cs="Arial" w:eastAsia="Arial" w:hAnsi="Arial"/>
          <w:sz w:val="15"/>
          <w:szCs w:val="15"/>
          <w:color w:val="auto"/>
        </w:rPr>
      </w:pPr>
      <w:r>
        <w:rPr>
          <w:rFonts w:ascii="Arial" w:cs="Arial" w:eastAsia="Arial" w:hAnsi="Arial"/>
          <w:sz w:val="15"/>
          <w:szCs w:val="15"/>
          <w:color w:val="auto"/>
        </w:rPr>
        <w:t>The chief financial officer of the Company shall have furnished to the Underwriters a certificate (a form of which is attached as Annex V), dated the date hereof and such Time of Delivery, respectively, in form and substance satisfactory to you.</w:t>
      </w:r>
    </w:p>
    <w:p>
      <w:pPr>
        <w:spacing w:after="0" w:line="90"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30"/>
          </w:cols>
          <w:pgMar w:left="230" w:top="253" w:right="239" w:bottom="1440" w:gutter="0" w:footer="0" w:header="0"/>
        </w:sectPr>
      </w:pPr>
    </w:p>
    <w:bookmarkStart w:id="270" w:name="page271"/>
    <w:bookmarkEnd w:id="270"/>
    <w:p>
      <w:pPr>
        <w:ind w:firstLine="448"/>
        <w:spacing w:after="0" w:line="273" w:lineRule="auto"/>
        <w:tabs>
          <w:tab w:leader="none" w:pos="721" w:val="left"/>
        </w:tabs>
        <w:numPr>
          <w:ilvl w:val="0"/>
          <w:numId w:val="15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w:t>
      </w:r>
      <w:r>
        <w:rPr>
          <w:rFonts w:ascii="Arial" w:cs="Arial" w:eastAsia="Arial" w:hAnsi="Arial"/>
          <w:sz w:val="14"/>
          <w:szCs w:val="14"/>
          <w:u w:val="single" w:color="auto"/>
          <w:color w:val="auto"/>
        </w:rPr>
        <w:t>roadshow</w:t>
      </w:r>
      <w:r>
        <w:rPr>
          <w:rFonts w:ascii="Arial" w:cs="Arial" w:eastAsia="Arial" w:hAnsi="Arial"/>
          <w:sz w:val="14"/>
          <w:szCs w:val="14"/>
          <w:color w:val="auto"/>
        </w:rPr>
        <w:t>”), any “issuer information” filed or required to be filed pursuant to Rule 433(d) under the Act or any Section 5(d) Writing prepared or authorized by the Company,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 conformity with the Underwriter Information.</w:t>
      </w:r>
    </w:p>
    <w:p>
      <w:pPr>
        <w:spacing w:after="0" w:line="154"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Company also agrees to indemnify and hold harmless Allen &amp; Co. and each person, if any, who controls Allen &amp; Co. within the meaning of either Section 15 of the Securities Act or Section 20 of the Exchange Act from and against any and all losses, claims, damages, or liabilities (or actions in respect thereof) incurred as a result of Allen &amp; Co.’s participation as a “qualified independent underwriter” within the meaning of Rule 5121 of the Financial Industry Regulatory Authority in connection with the offering of the Shares, except for any losses, claims, damages, or liabilities (or actions in respect thereof) resulting from Allen &amp; Co.’s, or such controlling person’s, willful misconduct.</w:t>
      </w:r>
    </w:p>
    <w:p>
      <w:pPr>
        <w:spacing w:after="0" w:line="143" w:lineRule="exact"/>
        <w:rPr>
          <w:sz w:val="20"/>
          <w:szCs w:val="20"/>
          <w:color w:val="auto"/>
        </w:rPr>
      </w:pPr>
    </w:p>
    <w:p>
      <w:pPr>
        <w:ind w:firstLine="448"/>
        <w:spacing w:after="0" w:line="272" w:lineRule="auto"/>
        <w:tabs>
          <w:tab w:leader="none" w:pos="821"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Each Selling Stockholder will severally and not jointly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Section 5(d) Writing, in reliance upon and in conformity with any Selling Stockholder Information furnished to the Company in writing by such Selling Stockholder expressly for use therein; and will reimburse each Underwriter for any legal or other expenses reasonably incurred by such Underwriter in connection with investigating or defending any such action or claim as such expenses are incurred; provided, however, that the Company and the Selling Stockholders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20"/>
          </w:cols>
          <w:pgMar w:left="240" w:top="253" w:right="239" w:bottom="1440" w:gutter="0" w:footer="0" w:header="0"/>
        </w:sectPr>
      </w:pPr>
    </w:p>
    <w:bookmarkStart w:id="271" w:name="page272"/>
    <w:bookmarkEnd w:id="271"/>
    <w:p>
      <w:pPr>
        <w:ind w:right="40"/>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conformity with the Underwriter Information; and provided, further, that the liability of such Selling Stockholders pursuant to this subsection (b) shall not exceed the net proceeds (net of any underwriting discounts and commissions but before deducting expenses) from the sale of the Shares sold by the Selling Stockholder hereunder (the “</w:t>
      </w:r>
      <w:r>
        <w:rPr>
          <w:rFonts w:ascii="Arial" w:cs="Arial" w:eastAsia="Arial" w:hAnsi="Arial"/>
          <w:sz w:val="13"/>
          <w:szCs w:val="13"/>
          <w:u w:val="single" w:color="auto"/>
          <w:color w:val="auto"/>
        </w:rPr>
        <w:t>Selling Stockholder Proceeds</w:t>
      </w:r>
      <w:r>
        <w:rPr>
          <w:rFonts w:ascii="Arial" w:cs="Arial" w:eastAsia="Arial" w:hAnsi="Arial"/>
          <w:sz w:val="13"/>
          <w:szCs w:val="13"/>
          <w:color w:val="auto"/>
        </w:rPr>
        <w:t>”).</w:t>
      </w:r>
    </w:p>
    <w:p>
      <w:pPr>
        <w:spacing w:after="0" w:line="100" w:lineRule="exact"/>
        <w:rPr>
          <w:sz w:val="20"/>
          <w:szCs w:val="20"/>
          <w:color w:val="auto"/>
        </w:rPr>
      </w:pPr>
    </w:p>
    <w:p>
      <w:pPr>
        <w:ind w:firstLine="448"/>
        <w:spacing w:after="0" w:line="272" w:lineRule="auto"/>
        <w:tabs>
          <w:tab w:leader="none" w:pos="77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Each Underwriter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Section 5(d) Writing, in reliance upon and in conformity with the Underwriter Information; and will reimburse the Company and each Selling Stockholder for any legal or other expenses reasonably incurred by the Company or such Selling Stockholder in connection with investigating or defending any such action or claim as such expenses are incurred. As used in this Agreement with respect to an Underwriter and an applicable document, “</w:t>
      </w:r>
      <w:r>
        <w:rPr>
          <w:rFonts w:ascii="Arial" w:cs="Arial" w:eastAsia="Arial" w:hAnsi="Arial"/>
          <w:sz w:val="14"/>
          <w:szCs w:val="14"/>
          <w:u w:val="single" w:color="auto"/>
          <w:color w:val="auto"/>
        </w:rPr>
        <w:t>Underwriter</w:t>
      </w:r>
      <w:r>
        <w:rPr>
          <w:rFonts w:ascii="Arial" w:cs="Arial" w:eastAsia="Arial" w:hAnsi="Arial"/>
          <w:sz w:val="14"/>
          <w:szCs w:val="14"/>
          <w:color w:val="auto"/>
        </w:rPr>
        <w:t xml:space="preserve"> </w:t>
      </w:r>
      <w:r>
        <w:rPr>
          <w:rFonts w:ascii="Arial" w:cs="Arial" w:eastAsia="Arial" w:hAnsi="Arial"/>
          <w:sz w:val="14"/>
          <w:szCs w:val="14"/>
          <w:u w:val="single" w:color="auto"/>
          <w:color w:val="auto"/>
        </w:rPr>
        <w:t>Information</w:t>
      </w:r>
      <w:r>
        <w:rPr>
          <w:rFonts w:ascii="Arial" w:cs="Arial" w:eastAsia="Arial" w:hAnsi="Arial"/>
          <w:sz w:val="14"/>
          <w:szCs w:val="14"/>
          <w:color w:val="auto"/>
        </w:rPr>
        <w:t>”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[fifth] paragraph of text under the caption “Underwriting (Conflicts of Interest)” concerning the terms of the offering by the Underwriters; the [ninth, tenth and eleventh] paragraphs of text under the caption “Underwriting (Conflicts of Interest)” concerning short sales, stabilizing transactions and purchases to cover positions created by short sales by the Underwriters; and the [twelfth] paragraph of text under the caption “Underwriting (Conflicts of Interest)” concerning sales to discretionary accounts by the Underwriters.</w:t>
      </w:r>
    </w:p>
    <w:p>
      <w:pPr>
        <w:spacing w:after="0" w:line="152" w:lineRule="exact"/>
        <w:rPr>
          <w:rFonts w:ascii="Arial" w:cs="Arial" w:eastAsia="Arial" w:hAnsi="Arial"/>
          <w:sz w:val="14"/>
          <w:szCs w:val="14"/>
          <w:color w:val="auto"/>
        </w:rPr>
      </w:pPr>
    </w:p>
    <w:p>
      <w:pPr>
        <w:ind w:right="80" w:firstLine="448"/>
        <w:spacing w:after="0" w:line="253" w:lineRule="auto"/>
        <w:tabs>
          <w:tab w:leader="none" w:pos="783" w:val="left"/>
        </w:tabs>
        <w:numPr>
          <w:ilvl w:val="0"/>
          <w:numId w:val="155"/>
        </w:numPr>
        <w:rPr>
          <w:rFonts w:ascii="Arial" w:cs="Arial" w:eastAsia="Arial" w:hAnsi="Arial"/>
          <w:sz w:val="15"/>
          <w:szCs w:val="15"/>
          <w:color w:val="auto"/>
        </w:rPr>
      </w:pPr>
      <w:r>
        <w:rPr>
          <w:rFonts w:ascii="Arial" w:cs="Arial" w:eastAsia="Arial" w:hAnsi="Arial"/>
          <w:sz w:val="15"/>
          <w:szCs w:val="15"/>
          <w:color w:val="auto"/>
        </w:rPr>
        <w:t>Promptly after receipt by an indemnified party under subsection (a),(b) or (c)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40"/>
          </w:cols>
          <w:pgMar w:left="240" w:top="253" w:right="219" w:bottom="1440" w:gutter="0" w:footer="0" w:header="0"/>
        </w:sectPr>
      </w:pPr>
    </w:p>
    <w:bookmarkStart w:id="272" w:name="page273"/>
    <w:bookmarkEnd w:id="272"/>
    <w:p>
      <w:pPr>
        <w:ind w:right="40"/>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59" w:lineRule="exact"/>
        <w:rPr>
          <w:sz w:val="20"/>
          <w:szCs w:val="20"/>
          <w:color w:val="auto"/>
        </w:rPr>
      </w:pPr>
    </w:p>
    <w:p>
      <w:pPr>
        <w:ind w:firstLine="448"/>
        <w:spacing w:after="0" w:line="293" w:lineRule="auto"/>
        <w:tabs>
          <w:tab w:leader="none" w:pos="775"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If, however, the allocation provided by the immediately preceding sentence is not permitted by applicable law or if the indemnified party failed to give the notice required under subsection (d) above,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in each case as set forth in the table on the cover page of the Prospectus. Benefits, if any, received by the QIU in its capacity as such shall be deemed to be equal to the compensation, if any, received by the QIU for acting in such capacity.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(i)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(ii) the contribution by the Selling Stockholders pursuant to this subsection (e) shall not exceed the Selling Stockholder Proceeds (reduced by any amounts such Selling Stockholder has paid under subsection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00"/>
          </w:cols>
          <w:pgMar w:left="240" w:top="253" w:right="259" w:bottom="1440" w:gutter="0" w:footer="0" w:header="0"/>
        </w:sectPr>
      </w:pPr>
    </w:p>
    <w:bookmarkStart w:id="273" w:name="page274"/>
    <w:bookmarkEnd w:id="273"/>
    <w:p>
      <w:pPr>
        <w:ind w:left="10" w:hanging="10"/>
        <w:spacing w:after="0" w:line="276" w:lineRule="auto"/>
        <w:tabs>
          <w:tab w:leader="none" w:pos="223" w:val="left"/>
        </w:tabs>
        <w:numPr>
          <w:ilvl w:val="0"/>
          <w:numId w:val="1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above), (iii) the Selling Stockholders shall be liable only to the extent that the relevant loss, claim, damage or liability arises out of or is based upon an untrue statement or alleged untrue statement or omission or alleged omission, in each case, which relates to the Selling Stockholder made in the Registration Statement, any Preliminary Prospectus, the Pricing Prospectus or the Prospectus, or any amendment or supplement thereto, or any Issuer Free Writing Prospectus, or any roadshow, or any Section 5(d) Writing, in reliance upon and in conformity with any Selling Stockholder Information furnished to the Underwriters in writing by the Selling Stockholder expressly for use therein and (iv) the QIU, in its capacity as such, shall not be responsible for any amount in excess of the compensation received by the QIU for acting in such capacity.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48" w:lineRule="exact"/>
        <w:rPr>
          <w:sz w:val="20"/>
          <w:szCs w:val="20"/>
          <w:color w:val="auto"/>
        </w:rPr>
      </w:pPr>
    </w:p>
    <w:p>
      <w:pPr>
        <w:ind w:left="10" w:right="220" w:firstLine="458"/>
        <w:spacing w:after="0" w:line="259" w:lineRule="auto"/>
        <w:rPr>
          <w:sz w:val="20"/>
          <w:szCs w:val="20"/>
          <w:color w:val="auto"/>
        </w:rPr>
      </w:pPr>
      <w:r>
        <w:rPr>
          <w:rFonts w:ascii="Arial" w:cs="Arial" w:eastAsia="Arial" w:hAnsi="Arial"/>
          <w:sz w:val="15"/>
          <w:szCs w:val="15"/>
          <w:color w:val="auto"/>
        </w:rPr>
        <w:t>Notwithstanding anything contained herein to the contrary, if indemnity may be sought pursuant to subsections (a) and (b) above, in respect of such action or proceeding, then in addition to such separate firm for the indemnified parties, the indemnifying party shall be liable for the reasonable fees and expenses of not more than one separate firm (in addition to any local counsel) for the QIU in its capacity as such and all persons, if any, who control such QIU within the meaning of either Section 15 of the Securities Act or Section 20 of the Exchange Act.</w:t>
      </w:r>
    </w:p>
    <w:p>
      <w:pPr>
        <w:spacing w:after="0" w:line="158" w:lineRule="exact"/>
        <w:rPr>
          <w:sz w:val="20"/>
          <w:szCs w:val="20"/>
          <w:color w:val="auto"/>
        </w:rPr>
      </w:pPr>
    </w:p>
    <w:p>
      <w:pPr>
        <w:ind w:left="10" w:right="20" w:firstLine="448"/>
        <w:spacing w:after="0" w:line="257" w:lineRule="auto"/>
        <w:tabs>
          <w:tab w:leader="none" w:pos="765"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obligations of the Company and the Selling Stockholders under this Section 9 shall be in addition to any liability which the Company and the Selling Stockholders may otherwise have and shall extend, upon the same terms and conditions, to each officer and director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or any Selling Stockholder within the meaning of the Act.</w:t>
      </w:r>
    </w:p>
    <w:p>
      <w:pPr>
        <w:spacing w:after="0" w:line="159" w:lineRule="exact"/>
        <w:rPr>
          <w:sz w:val="20"/>
          <w:szCs w:val="20"/>
          <w:color w:val="auto"/>
        </w:rPr>
      </w:pPr>
    </w:p>
    <w:p>
      <w:pPr>
        <w:ind w:left="10" w:right="20" w:firstLine="448"/>
        <w:spacing w:after="0" w:line="274" w:lineRule="auto"/>
        <w:tabs>
          <w:tab w:leader="none" w:pos="806"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Stockholders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Stockholders that you have so arranged for the purchase of such Shares, or the Company or a Selling Stockholder notifies you that it has so arranged for the purchase of such Shares, you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9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50"/>
          </w:cols>
          <w:pgMar w:left="230" w:top="253" w:right="219" w:bottom="1440" w:gutter="0" w:footer="0" w:header="0"/>
        </w:sectPr>
      </w:pPr>
    </w:p>
    <w:bookmarkStart w:id="274" w:name="page275"/>
    <w:bookmarkEnd w:id="274"/>
    <w:p>
      <w:pPr>
        <w:ind w:firstLine="448"/>
        <w:spacing w:after="0" w:line="277" w:lineRule="auto"/>
        <w:tabs>
          <w:tab w:leader="none" w:pos="783" w:val="left"/>
        </w:tabs>
        <w:numPr>
          <w:ilvl w:val="0"/>
          <w:numId w:val="16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If, after giving effect to any arrangements for the purchase of the Shares of a defaulting Underwriter or Underwriters by you, the Company and the Selling Stockholders as provided in subsection (a) above, the aggregate number of such Shares which remains unpurchased does not exceed one-eleventh of the aggregate number of all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48" w:lineRule="exact"/>
        <w:rPr>
          <w:rFonts w:ascii="Arial" w:cs="Arial" w:eastAsia="Arial" w:hAnsi="Arial"/>
          <w:sz w:val="14"/>
          <w:szCs w:val="14"/>
          <w:color w:val="auto"/>
        </w:rPr>
      </w:pPr>
    </w:p>
    <w:p>
      <w:pPr>
        <w:ind w:firstLine="448"/>
        <w:spacing w:after="0" w:line="255" w:lineRule="auto"/>
        <w:tabs>
          <w:tab w:leader="none" w:pos="775"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you, the Company and the Selling Stockholders as provided in subsection (a) above, the aggregate number of such Shares which remains unpurchased exceeds one-eleventh of the aggregate number of all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the Company or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161" w:lineRule="exact"/>
        <w:rPr>
          <w:sz w:val="20"/>
          <w:szCs w:val="20"/>
          <w:color w:val="auto"/>
        </w:rPr>
      </w:pPr>
    </w:p>
    <w:p>
      <w:pPr>
        <w:ind w:right="100" w:firstLine="448"/>
        <w:spacing w:after="0" w:line="283" w:lineRule="auto"/>
        <w:tabs>
          <w:tab w:leader="none" w:pos="78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respective indemnities,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Stockholders, or any officer or director or controlling person of the Company, or any controlling person of any Selling Stockholder, and shall survive delivery of and payment for the Shares.</w:t>
      </w:r>
    </w:p>
    <w:p>
      <w:pPr>
        <w:spacing w:after="0" w:line="142" w:lineRule="exact"/>
        <w:rPr>
          <w:rFonts w:ascii="Arial" w:cs="Arial" w:eastAsia="Arial" w:hAnsi="Arial"/>
          <w:sz w:val="14"/>
          <w:szCs w:val="14"/>
          <w:color w:val="auto"/>
        </w:rPr>
      </w:pPr>
    </w:p>
    <w:p>
      <w:pPr>
        <w:ind w:right="20" w:firstLine="448"/>
        <w:spacing w:after="0" w:line="277" w:lineRule="auto"/>
        <w:tabs>
          <w:tab w:leader="none" w:pos="796" w:val="left"/>
        </w:tabs>
        <w:numPr>
          <w:ilvl w:val="0"/>
          <w:numId w:val="161"/>
        </w:numPr>
        <w:rPr>
          <w:rFonts w:ascii="Arial" w:cs="Arial" w:eastAsia="Arial" w:hAnsi="Arial"/>
          <w:sz w:val="14"/>
          <w:szCs w:val="14"/>
          <w:color w:val="auto"/>
        </w:rPr>
      </w:pPr>
      <w:r>
        <w:rPr>
          <w:rFonts w:ascii="Arial" w:cs="Arial" w:eastAsia="Arial" w:hAnsi="Arial"/>
          <w:sz w:val="14"/>
          <w:szCs w:val="14"/>
          <w:color w:val="auto"/>
        </w:rPr>
        <w:t>If this Agreement shall be terminated pursuant to Section 10 hereof, neither the Company nor the Selling Stockholders shall then be under any liability to any Underwriter except as provided in Sections 7 and 9 hereof; but, if for any other reason (other than those set forth in clauses (i), (iii), (iv) and (v) of Section 8(f)), any Shares are not delivered by or on behalf of the Company and the Selling Stockholders as provided herein, the Company and each of the Selling Stockholders pro rata (based on the number of Shares to be sold by the Company and such Selling Stockholder hereunder) will reimburse the Underwriters through you for all documented out-of-pocket expenses approved in writing by you, including fees and disbursements of counsel, reasonably incurred by the Underwriters in making preparations for the purchase, sale and delivery of the Shares not so delivered, but the Company and the Selling Stockholders shall then be under no further liability to any Underwriter except as provided in Sections 7 and 9 hereof.</w:t>
      </w:r>
    </w:p>
    <w:p>
      <w:pPr>
        <w:spacing w:after="0" w:line="148" w:lineRule="exact"/>
        <w:rPr>
          <w:rFonts w:ascii="Arial" w:cs="Arial" w:eastAsia="Arial" w:hAnsi="Arial"/>
          <w:sz w:val="14"/>
          <w:szCs w:val="14"/>
          <w:color w:val="auto"/>
        </w:rPr>
      </w:pPr>
    </w:p>
    <w:p>
      <w:pPr>
        <w:ind w:right="220" w:firstLine="448"/>
        <w:spacing w:after="0" w:line="263" w:lineRule="auto"/>
        <w:tabs>
          <w:tab w:leader="none" w:pos="796"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LLC and J.P. Morgan Securities LLC on behalf of you as the representatives; and in all dealings with any Selling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253" w:right="239" w:bottom="1440" w:gutter="0" w:footer="0" w:header="0"/>
        </w:sectPr>
      </w:pPr>
    </w:p>
    <w:bookmarkStart w:id="275" w:name="page276"/>
    <w:bookmarkEnd w:id="275"/>
    <w:p>
      <w:pPr>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Stockholder hereunder, you and the Company shall be entitled to act and rely upon any statement, request, notice or agreement on behalf of such Selling Stockholder made or given by any or all of the Attorneys-in-Fact for such Selling Stockholder.</w:t>
      </w:r>
    </w:p>
    <w:p>
      <w:pPr>
        <w:spacing w:after="0" w:line="146"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55" w:lineRule="exact"/>
        <w:rPr>
          <w:sz w:val="20"/>
          <w:szCs w:val="20"/>
          <w:color w:val="auto"/>
        </w:rPr>
      </w:pPr>
    </w:p>
    <w:p>
      <w:pPr>
        <w:ind w:right="40" w:firstLine="458"/>
        <w:spacing w:after="0" w:line="273" w:lineRule="auto"/>
        <w:rPr>
          <w:sz w:val="20"/>
          <w:szCs w:val="20"/>
          <w:color w:val="auto"/>
        </w:rPr>
      </w:pPr>
      <w:r>
        <w:rPr>
          <w:rFonts w:ascii="Arial" w:cs="Arial" w:eastAsia="Arial" w:hAnsi="Arial"/>
          <w:sz w:val="14"/>
          <w:szCs w:val="14"/>
          <w:color w:val="auto"/>
        </w:rPr>
        <w:t>All statements, requests, notices and agreements hereunder shall be in writing, and if to the Underwriters shall be delivered or sent by mail, telex or facsimile transmission to each of the representatives in care of (a) Goldman Sachs &amp; Co. LLC</w:t>
      </w:r>
      <w:r>
        <w:rPr>
          <w:rFonts w:ascii="Arial" w:cs="Arial" w:eastAsia="Arial" w:hAnsi="Arial"/>
          <w:sz w:val="14"/>
          <w:szCs w:val="14"/>
          <w:b w:val="1"/>
          <w:bCs w:val="1"/>
          <w:color w:val="auto"/>
        </w:rPr>
        <w:t>,</w:t>
      </w:r>
      <w:r>
        <w:rPr>
          <w:rFonts w:ascii="Arial" w:cs="Arial" w:eastAsia="Arial" w:hAnsi="Arial"/>
          <w:sz w:val="14"/>
          <w:szCs w:val="14"/>
          <w:color w:val="auto"/>
        </w:rPr>
        <w:t xml:space="preserve"> 200 West Street, New York, New York 10282-2198, Attention: Registration Department and (b) J.P. Morgan Securities LLC, 383 Madison Avenue, New York, New York 10179, Attention: Equity Syndicate Desk; if to any Selling Stockholder shall be delivered or sent by mail, telex or facsimile transmission to counsel for such Selling Stockholder at its address set forth in Schedule II hereto; if to the Company shall be delivered or sent by mail, telex or facsimile transmission to the address of the Company set forth in the Registration Statement, Attention: Secretary; and if to any stockholder that has delivered a lock-up letter described in Section 8(h) hereof shall be delivered or sent by mail to his or her respective address provided in such lock-up letter;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or the Selling Stockholders by you on request; provided, however, that notices under subsection 5(e) shall be in writing, and if to the Underwriters shall be delivered or sent by mail, telex or facsimile transmission to you as the representatives at Goldman Sachs &amp; Co. LLC, 200 West Street, New York, New York 10282-2198, Attention: Control Room. Any such statements, requests, notices or agreements shall take effect upon receipt thereof.</w:t>
      </w:r>
    </w:p>
    <w:p>
      <w:pPr>
        <w:spacing w:after="0" w:line="154" w:lineRule="exact"/>
        <w:rPr>
          <w:sz w:val="20"/>
          <w:szCs w:val="20"/>
          <w:color w:val="auto"/>
        </w:rPr>
      </w:pPr>
    </w:p>
    <w:p>
      <w:pPr>
        <w:ind w:right="120" w:firstLine="448"/>
        <w:spacing w:after="0" w:line="259" w:lineRule="auto"/>
        <w:tabs>
          <w:tab w:leader="none" w:pos="79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57" w:lineRule="exact"/>
        <w:rPr>
          <w:rFonts w:ascii="Arial" w:cs="Arial" w:eastAsia="Arial" w:hAnsi="Arial"/>
          <w:sz w:val="15"/>
          <w:szCs w:val="15"/>
          <w:color w:val="auto"/>
        </w:rPr>
      </w:pPr>
    </w:p>
    <w:p>
      <w:pPr>
        <w:ind w:left="780" w:hanging="332"/>
        <w:spacing w:after="0"/>
        <w:tabs>
          <w:tab w:leader="none" w:pos="7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Time shall be of the essence of this Agreement. As used herein, the term “</w:t>
      </w:r>
      <w:r>
        <w:rPr>
          <w:rFonts w:ascii="Arial" w:cs="Arial" w:eastAsia="Arial" w:hAnsi="Arial"/>
          <w:sz w:val="14"/>
          <w:szCs w:val="14"/>
          <w:u w:val="single" w:color="auto"/>
          <w:color w:val="auto"/>
        </w:rPr>
        <w:t>business day</w:t>
      </w:r>
      <w:r>
        <w:rPr>
          <w:rFonts w:ascii="Arial" w:cs="Arial" w:eastAsia="Arial" w:hAnsi="Arial"/>
          <w:sz w:val="14"/>
          <w:szCs w:val="14"/>
          <w:color w:val="auto"/>
        </w:rPr>
        <w:t>” shall mean any day when the Commission’s office in Washington, D.C. is open for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business.</w:t>
      </w:r>
    </w:p>
    <w:p>
      <w:pPr>
        <w:spacing w:after="0" w:line="178" w:lineRule="exact"/>
        <w:rPr>
          <w:rFonts w:ascii="Arial" w:cs="Arial" w:eastAsia="Arial" w:hAnsi="Arial"/>
          <w:sz w:val="14"/>
          <w:szCs w:val="14"/>
          <w:color w:val="auto"/>
        </w:rPr>
      </w:pPr>
    </w:p>
    <w:p>
      <w:pPr>
        <w:ind w:right="60" w:firstLine="448"/>
        <w:spacing w:after="0" w:line="302" w:lineRule="auto"/>
        <w:tabs>
          <w:tab w:leader="none" w:pos="793"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Company and the Selling Stockholders acknowledge and agree that (i) the purchase and sale of the Shares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 any Selling Stockholder except the obligations expressly set forth in this Agreement and (iv) the Company and each Selling Stockholder has consulted its own legal and financial advisors to the extent it deemed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253" w:right="239" w:bottom="1440" w:gutter="0" w:footer="0" w:header="0"/>
        </w:sectPr>
      </w:pPr>
    </w:p>
    <w:bookmarkStart w:id="276" w:name="page277"/>
    <w:bookmarkEnd w:id="276"/>
    <w:p>
      <w:pPr>
        <w:ind w:right="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appropriate. The Company and each Selling Stockholder agrees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146" w:lineRule="exact"/>
        <w:rPr>
          <w:sz w:val="20"/>
          <w:szCs w:val="20"/>
          <w:color w:val="auto"/>
        </w:rPr>
      </w:pPr>
    </w:p>
    <w:p>
      <w:pPr>
        <w:ind w:right="180" w:firstLine="448"/>
        <w:spacing w:after="0" w:line="275" w:lineRule="auto"/>
        <w:tabs>
          <w:tab w:leader="none" w:pos="79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This Agreement supersedes all prior agreements and understandings (whether written or oral) between the Company, the Selling Stockholders and the Underwriters, or any of them, with respect to the subject matter hereof.</w:t>
      </w:r>
    </w:p>
    <w:p>
      <w:pPr>
        <w:spacing w:after="0" w:line="142" w:lineRule="exact"/>
        <w:rPr>
          <w:rFonts w:ascii="Arial" w:cs="Arial" w:eastAsia="Arial" w:hAnsi="Arial"/>
          <w:sz w:val="15"/>
          <w:szCs w:val="15"/>
          <w:color w:val="auto"/>
        </w:rPr>
      </w:pPr>
    </w:p>
    <w:p>
      <w:pPr>
        <w:ind w:right="100" w:firstLine="448"/>
        <w:spacing w:after="0" w:line="281" w:lineRule="auto"/>
        <w:tabs>
          <w:tab w:leader="none" w:pos="793" w:val="left"/>
        </w:tabs>
        <w:numPr>
          <w:ilvl w:val="0"/>
          <w:numId w:val="163"/>
        </w:numPr>
        <w:rPr>
          <w:rFonts w:ascii="Arial" w:cs="Arial" w:eastAsia="Arial" w:hAnsi="Arial"/>
          <w:sz w:val="14"/>
          <w:szCs w:val="14"/>
          <w:b w:val="1"/>
          <w:bCs w:val="1"/>
          <w:color w:val="auto"/>
        </w:rPr>
      </w:pPr>
      <w:r>
        <w:rPr>
          <w:rFonts w:ascii="Arial" w:cs="Arial" w:eastAsia="Arial" w:hAnsi="Arial"/>
          <w:sz w:val="14"/>
          <w:szCs w:val="14"/>
          <w:b w:val="1"/>
          <w:bCs w:val="1"/>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and each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w:t>
      </w:r>
    </w:p>
    <w:p>
      <w:pPr>
        <w:spacing w:after="0" w:line="144" w:lineRule="exact"/>
        <w:rPr>
          <w:rFonts w:ascii="Arial" w:cs="Arial" w:eastAsia="Arial" w:hAnsi="Arial"/>
          <w:sz w:val="14"/>
          <w:szCs w:val="14"/>
          <w:b w:val="1"/>
          <w:bCs w:val="1"/>
          <w:color w:val="auto"/>
        </w:rPr>
      </w:pPr>
    </w:p>
    <w:p>
      <w:pPr>
        <w:ind w:right="200" w:firstLine="448"/>
        <w:spacing w:after="0" w:line="275" w:lineRule="auto"/>
        <w:tabs>
          <w:tab w:leader="none" w:pos="79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5"/>
          <w:szCs w:val="15"/>
          <w:color w:val="auto"/>
        </w:rPr>
      </w:pPr>
    </w:p>
    <w:p>
      <w:pPr>
        <w:ind w:right="620" w:firstLine="448"/>
        <w:spacing w:after="0" w:line="275" w:lineRule="auto"/>
        <w:tabs>
          <w:tab w:leader="none" w:pos="79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46" w:lineRule="exact"/>
        <w:rPr>
          <w:rFonts w:ascii="Arial" w:cs="Arial" w:eastAsia="Arial" w:hAnsi="Arial"/>
          <w:sz w:val="15"/>
          <w:szCs w:val="15"/>
          <w:color w:val="auto"/>
        </w:rPr>
      </w:pPr>
    </w:p>
    <w:p>
      <w:pPr>
        <w:ind w:right="160" w:firstLine="448"/>
        <w:spacing w:after="0" w:line="257" w:lineRule="auto"/>
        <w:tabs>
          <w:tab w:leader="none" w:pos="796" w:val="left"/>
        </w:tabs>
        <w:numPr>
          <w:ilvl w:val="0"/>
          <w:numId w:val="163"/>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59"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the Company and each of the Selling Stockholders. It is understood that your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your part as to the authority of the signers thereof.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20"/>
          </w:cols>
          <w:pgMar w:left="240" w:top="253" w:right="239" w:bottom="1440" w:gutter="0" w:footer="0" w:header="0"/>
        </w:sectPr>
      </w:pPr>
    </w:p>
    <w:bookmarkStart w:id="277" w:name="page278"/>
    <w:bookmarkEnd w:id="277"/>
    <w:p>
      <w:pPr>
        <w:ind w:left="68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Very truly yours,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-1905</wp:posOffset>
            </wp:positionV>
            <wp:extent cx="267144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5"/>
          <w:szCs w:val="15"/>
          <w:color w:val="auto"/>
        </w:rPr>
        <w:t>Name:</w:t>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[Names of Selling Stockholders]</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-1905</wp:posOffset>
            </wp:positionV>
            <wp:extent cx="267144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5"/>
          <w:szCs w:val="15"/>
          <w:color w:val="auto"/>
        </w:rPr>
        <w:t>Name:</w:t>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w:t>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As Attorney-in-Fact on behalf of each of the Selling Stockholders</w:t>
      </w:r>
    </w:p>
    <w:p>
      <w:pPr>
        <w:spacing w:after="0" w:line="31" w:lineRule="exact"/>
        <w:rPr>
          <w:sz w:val="20"/>
          <w:szCs w:val="20"/>
          <w:color w:val="auto"/>
        </w:rPr>
      </w:pPr>
    </w:p>
    <w:p>
      <w:pPr>
        <w:ind w:left="7380"/>
        <w:spacing w:after="0"/>
        <w:rPr>
          <w:sz w:val="20"/>
          <w:szCs w:val="20"/>
          <w:color w:val="auto"/>
        </w:rPr>
      </w:pPr>
      <w:r>
        <w:rPr>
          <w:rFonts w:ascii="Arial" w:cs="Arial" w:eastAsia="Arial" w:hAnsi="Arial"/>
          <w:sz w:val="15"/>
          <w:szCs w:val="15"/>
          <w:color w:val="auto"/>
        </w:rPr>
        <w:t>named in Schedule II to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Accepted as of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New York, New York</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Goldman Sachs &amp; Co. LLC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-1905</wp:posOffset>
            </wp:positionV>
            <wp:extent cx="267144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Name:</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J.P. Morgan Securities LLC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267144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Name:</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Title: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On behalf of each of the Underwriters</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[Signature Page to Underwriting Agreement]</w:t>
      </w:r>
    </w:p>
    <w:p>
      <w:pPr>
        <w:sectPr>
          <w:pgSz w:w="11900" w:h="16838" w:orient="portrait"/>
          <w:cols w:equalWidth="0" w:num="1">
            <w:col w:w="11200"/>
          </w:cols>
          <w:pgMar w:left="240" w:top="253" w:right="45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SCHEDULE I</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40" w:type="dxa"/>
            <w:vAlign w:val="bottom"/>
          </w:tcPr>
          <w:p>
            <w:pPr>
              <w:jc w:val="center"/>
              <w:ind w:left="360"/>
              <w:spacing w:after="0"/>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340" w:type="dxa"/>
            <w:vAlign w:val="bottom"/>
          </w:tcPr>
          <w:p>
            <w:pPr>
              <w:jc w:val="center"/>
              <w:ind w:left="380"/>
              <w:spacing w:after="0" w:line="124" w:lineRule="exact"/>
              <w:rPr>
                <w:sz w:val="20"/>
                <w:szCs w:val="20"/>
                <w:color w:val="auto"/>
              </w:rPr>
            </w:pPr>
            <w:r>
              <w:rPr>
                <w:rFonts w:ascii="Arial" w:cs="Arial" w:eastAsia="Arial" w:hAnsi="Arial"/>
                <w:sz w:val="12"/>
                <w:szCs w:val="12"/>
                <w:b w:val="1"/>
                <w:bCs w:val="1"/>
                <w:color w:val="auto"/>
                <w:w w:val="94"/>
              </w:rPr>
              <w:t>Optional</w:t>
            </w: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3960" w:type="dxa"/>
            <w:vAlign w:val="bottom"/>
            <w:vMerge w:val="restart"/>
          </w:tcPr>
          <w:p>
            <w:pPr>
              <w:jc w:val="center"/>
              <w:ind w:left="2220"/>
              <w:spacing w:after="0"/>
              <w:rPr>
                <w:sz w:val="20"/>
                <w:szCs w:val="20"/>
                <w:color w:val="auto"/>
              </w:rPr>
            </w:pPr>
            <w:r>
              <w:rPr>
                <w:rFonts w:ascii="Arial" w:cs="Arial" w:eastAsia="Arial" w:hAnsi="Arial"/>
                <w:sz w:val="12"/>
                <w:szCs w:val="12"/>
                <w:b w:val="1"/>
                <w:bCs w:val="1"/>
                <w:color w:val="auto"/>
                <w:w w:val="91"/>
              </w:rPr>
              <w:t>Total Number of</w:t>
            </w:r>
          </w:p>
        </w:tc>
        <w:tc>
          <w:tcPr>
            <w:tcW w:w="1340" w:type="dxa"/>
            <w:vAlign w:val="bottom"/>
          </w:tcPr>
          <w:p>
            <w:pPr>
              <w:jc w:val="center"/>
              <w:ind w:left="380"/>
              <w:spacing w:after="0" w:line="124" w:lineRule="exact"/>
              <w:rPr>
                <w:sz w:val="20"/>
                <w:szCs w:val="20"/>
                <w:color w:val="auto"/>
              </w:rPr>
            </w:pPr>
            <w:r>
              <w:rPr>
                <w:rFonts w:ascii="Arial" w:cs="Arial" w:eastAsia="Arial" w:hAnsi="Arial"/>
                <w:sz w:val="12"/>
                <w:szCs w:val="12"/>
                <w:b w:val="1"/>
                <w:bCs w:val="1"/>
                <w:color w:val="auto"/>
                <w:w w:val="86"/>
              </w:rPr>
              <w:t>Shares to be</w:t>
            </w: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3960" w:type="dxa"/>
            <w:vAlign w:val="bottom"/>
            <w:vMerge w:val="continue"/>
          </w:tcPr>
          <w:p>
            <w:pPr>
              <w:spacing w:after="0"/>
              <w:rPr>
                <w:sz w:val="10"/>
                <w:szCs w:val="10"/>
                <w:color w:val="auto"/>
              </w:rPr>
            </w:pPr>
          </w:p>
        </w:tc>
        <w:tc>
          <w:tcPr>
            <w:tcW w:w="1340" w:type="dxa"/>
            <w:vAlign w:val="bottom"/>
          </w:tcPr>
          <w:p>
            <w:pPr>
              <w:jc w:val="center"/>
              <w:ind w:left="360"/>
              <w:spacing w:after="0" w:line="124" w:lineRule="exact"/>
              <w:rPr>
                <w:sz w:val="20"/>
                <w:szCs w:val="20"/>
                <w:color w:val="auto"/>
              </w:rPr>
            </w:pPr>
            <w:r>
              <w:rPr>
                <w:rFonts w:ascii="Arial" w:cs="Arial" w:eastAsia="Arial" w:hAnsi="Arial"/>
                <w:sz w:val="12"/>
                <w:szCs w:val="12"/>
                <w:b w:val="1"/>
                <w:bCs w:val="1"/>
                <w:color w:val="auto"/>
                <w:w w:val="88"/>
              </w:rPr>
              <w:t>Purchased if</w:t>
            </w:r>
          </w:p>
        </w:tc>
        <w:tc>
          <w:tcPr>
            <w:tcW w:w="0" w:type="dxa"/>
            <w:vAlign w:val="bottom"/>
          </w:tcPr>
          <w:p>
            <w:pPr>
              <w:spacing w:after="0"/>
              <w:rPr>
                <w:sz w:val="1"/>
                <w:szCs w:val="1"/>
                <w:color w:val="auto"/>
              </w:rPr>
            </w:pPr>
          </w:p>
        </w:tc>
      </w:tr>
      <w:tr>
        <w:trPr>
          <w:trHeight w:val="124"/>
        </w:trPr>
        <w:tc>
          <w:tcPr>
            <w:tcW w:w="3360" w:type="dxa"/>
            <w:vAlign w:val="bottom"/>
            <w:vMerge w:val="restart"/>
          </w:tcPr>
          <w:p>
            <w:pPr>
              <w:spacing w:after="0"/>
              <w:rPr>
                <w:sz w:val="20"/>
                <w:szCs w:val="20"/>
                <w:color w:val="auto"/>
              </w:rPr>
            </w:pPr>
            <w:r>
              <w:rPr>
                <w:rFonts w:ascii="Arial" w:cs="Arial" w:eastAsia="Arial" w:hAnsi="Arial"/>
                <w:sz w:val="12"/>
                <w:szCs w:val="12"/>
                <w:b w:val="1"/>
                <w:bCs w:val="1"/>
                <w:u w:val="single" w:color="auto"/>
                <w:color w:val="auto"/>
              </w:rPr>
              <w:t>Underwriter</w:t>
            </w:r>
          </w:p>
        </w:tc>
        <w:tc>
          <w:tcPr>
            <w:tcW w:w="3960" w:type="dxa"/>
            <w:vAlign w:val="bottom"/>
          </w:tcPr>
          <w:p>
            <w:pPr>
              <w:jc w:val="center"/>
              <w:ind w:left="2220"/>
              <w:spacing w:after="0" w:line="124" w:lineRule="exact"/>
              <w:rPr>
                <w:sz w:val="20"/>
                <w:szCs w:val="20"/>
                <w:color w:val="auto"/>
              </w:rPr>
            </w:pPr>
            <w:r>
              <w:rPr>
                <w:rFonts w:ascii="Arial" w:cs="Arial" w:eastAsia="Arial" w:hAnsi="Arial"/>
                <w:sz w:val="12"/>
                <w:szCs w:val="12"/>
                <w:b w:val="1"/>
                <w:bCs w:val="1"/>
                <w:color w:val="auto"/>
                <w:w w:val="92"/>
              </w:rPr>
              <w:t>Firm Shares</w:t>
            </w:r>
          </w:p>
        </w:tc>
        <w:tc>
          <w:tcPr>
            <w:tcW w:w="1340" w:type="dxa"/>
            <w:vAlign w:val="bottom"/>
          </w:tcPr>
          <w:p>
            <w:pPr>
              <w:jc w:val="center"/>
              <w:ind w:left="360"/>
              <w:spacing w:after="0" w:line="124" w:lineRule="exact"/>
              <w:rPr>
                <w:sz w:val="20"/>
                <w:szCs w:val="20"/>
                <w:color w:val="auto"/>
              </w:rPr>
            </w:pPr>
            <w:r>
              <w:rPr>
                <w:rFonts w:ascii="Arial" w:cs="Arial" w:eastAsia="Arial" w:hAnsi="Arial"/>
                <w:sz w:val="12"/>
                <w:szCs w:val="12"/>
                <w:b w:val="1"/>
                <w:bCs w:val="1"/>
                <w:color w:val="auto"/>
                <w:w w:val="94"/>
              </w:rPr>
              <w:t>Maximum Option</w:t>
            </w:r>
          </w:p>
        </w:tc>
        <w:tc>
          <w:tcPr>
            <w:tcW w:w="0" w:type="dxa"/>
            <w:vAlign w:val="bottom"/>
          </w:tcPr>
          <w:p>
            <w:pPr>
              <w:spacing w:after="0"/>
              <w:rPr>
                <w:sz w:val="1"/>
                <w:szCs w:val="1"/>
                <w:color w:val="auto"/>
              </w:rPr>
            </w:pPr>
          </w:p>
        </w:tc>
      </w:tr>
      <w:tr>
        <w:trPr>
          <w:trHeight w:val="145"/>
        </w:trPr>
        <w:tc>
          <w:tcPr>
            <w:tcW w:w="3360" w:type="dxa"/>
            <w:vAlign w:val="bottom"/>
            <w:vMerge w:val="continue"/>
          </w:tcPr>
          <w:p>
            <w:pPr>
              <w:spacing w:after="0"/>
              <w:rPr>
                <w:sz w:val="12"/>
                <w:szCs w:val="12"/>
                <w:color w:val="auto"/>
              </w:rPr>
            </w:pPr>
          </w:p>
        </w:tc>
        <w:tc>
          <w:tcPr>
            <w:tcW w:w="3960" w:type="dxa"/>
            <w:vAlign w:val="bottom"/>
          </w:tcPr>
          <w:p>
            <w:pPr>
              <w:jc w:val="center"/>
              <w:ind w:left="2220"/>
              <w:spacing w:after="0"/>
              <w:rPr>
                <w:sz w:val="20"/>
                <w:szCs w:val="20"/>
                <w:color w:val="auto"/>
              </w:rPr>
            </w:pPr>
            <w:r>
              <w:rPr>
                <w:rFonts w:ascii="Arial" w:cs="Arial" w:eastAsia="Arial" w:hAnsi="Arial"/>
                <w:sz w:val="12"/>
                <w:szCs w:val="12"/>
                <w:b w:val="1"/>
                <w:bCs w:val="1"/>
                <w:color w:val="auto"/>
                <w:w w:val="85"/>
              </w:rPr>
              <w:t>to be Purchased</w:t>
            </w:r>
          </w:p>
        </w:tc>
        <w:tc>
          <w:tcPr>
            <w:tcW w:w="1340" w:type="dxa"/>
            <w:vAlign w:val="bottom"/>
          </w:tcPr>
          <w:p>
            <w:pPr>
              <w:jc w:val="center"/>
              <w:ind w:left="380"/>
              <w:spacing w:after="0"/>
              <w:rPr>
                <w:sz w:val="20"/>
                <w:szCs w:val="20"/>
                <w:color w:val="auto"/>
              </w:rPr>
            </w:pPr>
            <w:r>
              <w:rPr>
                <w:rFonts w:ascii="Arial" w:cs="Arial" w:eastAsia="Arial" w:hAnsi="Arial"/>
                <w:sz w:val="12"/>
                <w:szCs w:val="12"/>
                <w:b w:val="1"/>
                <w:bCs w:val="1"/>
                <w:color w:val="auto"/>
                <w:w w:val="88"/>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0</wp:posOffset>
            </wp:positionV>
            <wp:extent cx="5521960" cy="1143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color w:val="auto"/>
        </w:rPr>
        <w:t>Goldman Sachs &amp; Co. LLC</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J.P. Morgan Securities LLC</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-107950</wp:posOffset>
            </wp:positionV>
            <wp:extent cx="5521960" cy="1143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color w:val="auto"/>
        </w:rPr>
        <w:t>Allen &amp; Company LLC</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-107950</wp:posOffset>
            </wp:positionV>
            <wp:extent cx="5521960" cy="2362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5521960" cy="23622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5"/>
          <w:szCs w:val="15"/>
          <w:color w:val="auto"/>
        </w:rPr>
        <w:t>Incorporated</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RBC Capital Markets, LLC</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-107950</wp:posOffset>
            </wp:positionV>
            <wp:extent cx="5521960" cy="1143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color w:val="auto"/>
        </w:rPr>
        <w:t>Macquarie Capital (USA) Inc.</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-107950</wp:posOffset>
            </wp:positionV>
            <wp:extent cx="5521960" cy="1143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color w:val="auto"/>
        </w:rPr>
        <w:t>JMP Securities LLC</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-107950</wp:posOffset>
            </wp:positionV>
            <wp:extent cx="5521960" cy="1143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5715</wp:posOffset>
            </wp:positionV>
            <wp:extent cx="54419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544195" cy="698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5715</wp:posOffset>
            </wp:positionV>
            <wp:extent cx="58737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587375" cy="698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-102235</wp:posOffset>
            </wp:positionV>
            <wp:extent cx="5521960" cy="135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5521960" cy="13589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279" w:name="page280"/>
    <w:bookmarkEnd w:id="279"/>
    <w:p>
      <w:pPr>
        <w:jc w:val="center"/>
        <w:ind w:right="-2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SCHEDULE II</w:t>
      </w:r>
    </w:p>
    <w:p>
      <w:pPr>
        <w:spacing w:after="0" w:line="192" w:lineRule="exact"/>
        <w:rPr>
          <w:sz w:val="20"/>
          <w:szCs w:val="20"/>
          <w:color w:val="auto"/>
        </w:rPr>
      </w:pPr>
    </w:p>
    <w:tbl>
      <w:tblPr>
        <w:tblLayout w:type="fixed"/>
        <w:tblInd w:w="745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1320" w:type="dxa"/>
            <w:vAlign w:val="bottom"/>
          </w:tcPr>
          <w:p>
            <w:pPr>
              <w:jc w:val="center"/>
              <w:ind w:left="340"/>
              <w:spacing w:after="0"/>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1320" w:type="dxa"/>
            <w:vAlign w:val="bottom"/>
          </w:tcPr>
          <w:p>
            <w:pPr>
              <w:jc w:val="center"/>
              <w:ind w:left="360"/>
              <w:spacing w:after="0" w:line="124" w:lineRule="exact"/>
              <w:rPr>
                <w:sz w:val="20"/>
                <w:szCs w:val="20"/>
                <w:color w:val="auto"/>
              </w:rPr>
            </w:pPr>
            <w:r>
              <w:rPr>
                <w:rFonts w:ascii="Arial" w:cs="Arial" w:eastAsia="Arial" w:hAnsi="Arial"/>
                <w:sz w:val="12"/>
                <w:szCs w:val="12"/>
                <w:b w:val="1"/>
                <w:bCs w:val="1"/>
                <w:color w:val="auto"/>
                <w:w w:val="94"/>
              </w:rPr>
              <w:t>Optional</w:t>
            </w:r>
          </w:p>
        </w:tc>
        <w:tc>
          <w:tcPr>
            <w:tcW w:w="0" w:type="dxa"/>
            <w:vAlign w:val="bottom"/>
          </w:tcPr>
          <w:p>
            <w:pPr>
              <w:spacing w:after="0"/>
              <w:rPr>
                <w:sz w:val="1"/>
                <w:szCs w:val="1"/>
                <w:color w:val="auto"/>
              </w:rPr>
            </w:pPr>
          </w:p>
        </w:tc>
      </w:tr>
      <w:tr>
        <w:trPr>
          <w:trHeight w:val="124"/>
        </w:trPr>
        <w:tc>
          <w:tcPr>
            <w:tcW w:w="1260" w:type="dxa"/>
            <w:vAlign w:val="bottom"/>
            <w:vMerge w:val="restart"/>
          </w:tcPr>
          <w:p>
            <w:pPr>
              <w:jc w:val="center"/>
              <w:ind w:right="360"/>
              <w:spacing w:after="0"/>
              <w:rPr>
                <w:sz w:val="20"/>
                <w:szCs w:val="20"/>
                <w:color w:val="auto"/>
              </w:rPr>
            </w:pPr>
            <w:r>
              <w:rPr>
                <w:rFonts w:ascii="Arial" w:cs="Arial" w:eastAsia="Arial" w:hAnsi="Arial"/>
                <w:sz w:val="12"/>
                <w:szCs w:val="12"/>
                <w:b w:val="1"/>
                <w:bCs w:val="1"/>
                <w:color w:val="auto"/>
                <w:w w:val="91"/>
              </w:rPr>
              <w:t>Total Number of</w:t>
            </w:r>
          </w:p>
        </w:tc>
        <w:tc>
          <w:tcPr>
            <w:tcW w:w="1320" w:type="dxa"/>
            <w:vAlign w:val="bottom"/>
          </w:tcPr>
          <w:p>
            <w:pPr>
              <w:jc w:val="center"/>
              <w:ind w:left="360"/>
              <w:spacing w:after="0" w:line="124" w:lineRule="exact"/>
              <w:rPr>
                <w:sz w:val="20"/>
                <w:szCs w:val="20"/>
                <w:color w:val="auto"/>
              </w:rPr>
            </w:pPr>
            <w:r>
              <w:rPr>
                <w:rFonts w:ascii="Arial" w:cs="Arial" w:eastAsia="Arial" w:hAnsi="Arial"/>
                <w:sz w:val="12"/>
                <w:szCs w:val="12"/>
                <w:b w:val="1"/>
                <w:bCs w:val="1"/>
                <w:color w:val="auto"/>
                <w:w w:val="86"/>
              </w:rPr>
              <w:t>Shares to be</w:t>
            </w:r>
          </w:p>
        </w:tc>
        <w:tc>
          <w:tcPr>
            <w:tcW w:w="0" w:type="dxa"/>
            <w:vAlign w:val="bottom"/>
          </w:tcPr>
          <w:p>
            <w:pPr>
              <w:spacing w:after="0"/>
              <w:rPr>
                <w:sz w:val="1"/>
                <w:szCs w:val="1"/>
                <w:color w:val="auto"/>
              </w:rPr>
            </w:pPr>
          </w:p>
        </w:tc>
      </w:tr>
      <w:tr>
        <w:trPr>
          <w:trHeight w:val="124"/>
        </w:trPr>
        <w:tc>
          <w:tcPr>
            <w:tcW w:w="1260" w:type="dxa"/>
            <w:vAlign w:val="bottom"/>
            <w:vMerge w:val="continue"/>
          </w:tcPr>
          <w:p>
            <w:pPr>
              <w:spacing w:after="0"/>
              <w:rPr>
                <w:sz w:val="10"/>
                <w:szCs w:val="10"/>
                <w:color w:val="auto"/>
              </w:rPr>
            </w:pPr>
          </w:p>
        </w:tc>
        <w:tc>
          <w:tcPr>
            <w:tcW w:w="1320" w:type="dxa"/>
            <w:vAlign w:val="bottom"/>
          </w:tcPr>
          <w:p>
            <w:pPr>
              <w:jc w:val="center"/>
              <w:ind w:left="360"/>
              <w:spacing w:after="0" w:line="124" w:lineRule="exact"/>
              <w:rPr>
                <w:sz w:val="20"/>
                <w:szCs w:val="20"/>
                <w:color w:val="auto"/>
              </w:rPr>
            </w:pPr>
            <w:r>
              <w:rPr>
                <w:rFonts w:ascii="Arial" w:cs="Arial" w:eastAsia="Arial" w:hAnsi="Arial"/>
                <w:sz w:val="12"/>
                <w:szCs w:val="12"/>
                <w:b w:val="1"/>
                <w:bCs w:val="1"/>
                <w:color w:val="auto"/>
                <w:w w:val="92"/>
              </w:rPr>
              <w:t>Sold if</w:t>
            </w:r>
          </w:p>
        </w:tc>
        <w:tc>
          <w:tcPr>
            <w:tcW w:w="0" w:type="dxa"/>
            <w:vAlign w:val="bottom"/>
          </w:tcPr>
          <w:p>
            <w:pPr>
              <w:spacing w:after="0"/>
              <w:rPr>
                <w:sz w:val="1"/>
                <w:szCs w:val="1"/>
                <w:color w:val="auto"/>
              </w:rPr>
            </w:pPr>
          </w:p>
        </w:tc>
      </w:tr>
      <w:tr>
        <w:trPr>
          <w:trHeight w:val="124"/>
        </w:trPr>
        <w:tc>
          <w:tcPr>
            <w:tcW w:w="1260" w:type="dxa"/>
            <w:vAlign w:val="bottom"/>
          </w:tcPr>
          <w:p>
            <w:pPr>
              <w:jc w:val="center"/>
              <w:ind w:right="360"/>
              <w:spacing w:after="0" w:line="124" w:lineRule="exact"/>
              <w:rPr>
                <w:sz w:val="20"/>
                <w:szCs w:val="20"/>
                <w:color w:val="auto"/>
              </w:rPr>
            </w:pPr>
            <w:r>
              <w:rPr>
                <w:rFonts w:ascii="Arial" w:cs="Arial" w:eastAsia="Arial" w:hAnsi="Arial"/>
                <w:sz w:val="12"/>
                <w:szCs w:val="12"/>
                <w:b w:val="1"/>
                <w:bCs w:val="1"/>
                <w:color w:val="auto"/>
                <w:w w:val="92"/>
              </w:rPr>
              <w:t>Firm Shares</w:t>
            </w:r>
          </w:p>
        </w:tc>
        <w:tc>
          <w:tcPr>
            <w:tcW w:w="1320" w:type="dxa"/>
            <w:vAlign w:val="bottom"/>
          </w:tcPr>
          <w:p>
            <w:pPr>
              <w:jc w:val="center"/>
              <w:ind w:left="340"/>
              <w:spacing w:after="0" w:line="124" w:lineRule="exact"/>
              <w:rPr>
                <w:sz w:val="20"/>
                <w:szCs w:val="20"/>
                <w:color w:val="auto"/>
              </w:rPr>
            </w:pPr>
            <w:r>
              <w:rPr>
                <w:rFonts w:ascii="Arial" w:cs="Arial" w:eastAsia="Arial" w:hAnsi="Arial"/>
                <w:sz w:val="12"/>
                <w:szCs w:val="12"/>
                <w:b w:val="1"/>
                <w:bCs w:val="1"/>
                <w:color w:val="auto"/>
                <w:w w:val="94"/>
              </w:rPr>
              <w:t>Maximum Option</w:t>
            </w:r>
          </w:p>
        </w:tc>
        <w:tc>
          <w:tcPr>
            <w:tcW w:w="0" w:type="dxa"/>
            <w:vAlign w:val="bottom"/>
          </w:tcPr>
          <w:p>
            <w:pPr>
              <w:spacing w:after="0"/>
              <w:rPr>
                <w:sz w:val="1"/>
                <w:szCs w:val="1"/>
                <w:color w:val="auto"/>
              </w:rPr>
            </w:pPr>
          </w:p>
        </w:tc>
      </w:tr>
      <w:tr>
        <w:trPr>
          <w:trHeight w:val="145"/>
        </w:trPr>
        <w:tc>
          <w:tcPr>
            <w:tcW w:w="1260" w:type="dxa"/>
            <w:vAlign w:val="bottom"/>
          </w:tcPr>
          <w:p>
            <w:pPr>
              <w:jc w:val="center"/>
              <w:ind w:right="360"/>
              <w:spacing w:after="0"/>
              <w:rPr>
                <w:sz w:val="20"/>
                <w:szCs w:val="20"/>
                <w:color w:val="auto"/>
              </w:rPr>
            </w:pPr>
            <w:r>
              <w:rPr>
                <w:rFonts w:ascii="Arial" w:cs="Arial" w:eastAsia="Arial" w:hAnsi="Arial"/>
                <w:sz w:val="12"/>
                <w:szCs w:val="12"/>
                <w:b w:val="1"/>
                <w:bCs w:val="1"/>
                <w:color w:val="auto"/>
                <w:w w:val="89"/>
              </w:rPr>
              <w:t>to be Sold</w:t>
            </w:r>
          </w:p>
        </w:tc>
        <w:tc>
          <w:tcPr>
            <w:tcW w:w="1320" w:type="dxa"/>
            <w:vAlign w:val="bottom"/>
          </w:tcPr>
          <w:p>
            <w:pPr>
              <w:jc w:val="center"/>
              <w:ind w:left="360"/>
              <w:spacing w:after="0"/>
              <w:rPr>
                <w:sz w:val="20"/>
                <w:szCs w:val="20"/>
                <w:color w:val="auto"/>
              </w:rPr>
            </w:pPr>
            <w:r>
              <w:rPr>
                <w:rFonts w:ascii="Arial" w:cs="Arial" w:eastAsia="Arial" w:hAnsi="Arial"/>
                <w:sz w:val="12"/>
                <w:szCs w:val="12"/>
                <w:b w:val="1"/>
                <w:bCs w:val="1"/>
                <w:color w:val="auto"/>
                <w:w w:val="88"/>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0</wp:posOffset>
            </wp:positionV>
            <wp:extent cx="5521960" cy="1143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1370"/>
        <w:spacing w:after="0"/>
        <w:rPr>
          <w:sz w:val="20"/>
          <w:szCs w:val="20"/>
          <w:color w:val="auto"/>
        </w:rPr>
      </w:pPr>
      <w:r>
        <w:rPr>
          <w:rFonts w:ascii="Arial" w:cs="Arial" w:eastAsia="Arial" w:hAnsi="Arial"/>
          <w:sz w:val="15"/>
          <w:szCs w:val="15"/>
          <w:color w:val="auto"/>
        </w:rPr>
        <w:t>The Company</w:t>
      </w:r>
    </w:p>
    <w:p>
      <w:pPr>
        <w:spacing w:after="0" w:line="5" w:lineRule="exact"/>
        <w:rPr>
          <w:sz w:val="20"/>
          <w:szCs w:val="20"/>
          <w:color w:val="auto"/>
        </w:rPr>
      </w:pPr>
    </w:p>
    <w:p>
      <w:pPr>
        <w:ind w:left="1670"/>
        <w:spacing w:after="0"/>
        <w:rPr>
          <w:sz w:val="20"/>
          <w:szCs w:val="20"/>
          <w:color w:val="auto"/>
        </w:rPr>
      </w:pPr>
      <w:r>
        <w:rPr>
          <w:rFonts w:ascii="Arial" w:cs="Arial" w:eastAsia="Arial" w:hAnsi="Arial"/>
          <w:sz w:val="15"/>
          <w:szCs w:val="15"/>
          <w:color w:val="auto"/>
        </w:rPr>
        <w:t>The Selling Stockholder(s):</w:t>
      </w:r>
    </w:p>
    <w:p>
      <w:pPr>
        <w:spacing w:after="0" w:line="8" w:lineRule="exact"/>
        <w:rPr>
          <w:sz w:val="20"/>
          <w:szCs w:val="20"/>
          <w:color w:val="auto"/>
        </w:rPr>
      </w:pPr>
    </w:p>
    <w:p>
      <w:pPr>
        <w:ind w:left="2270"/>
        <w:spacing w:after="0"/>
        <w:rPr>
          <w:sz w:val="20"/>
          <w:szCs w:val="20"/>
          <w:color w:val="auto"/>
        </w:rPr>
      </w:pPr>
      <w:r>
        <w:rPr>
          <w:rFonts w:ascii="Arial" w:cs="Arial" w:eastAsia="Arial" w:hAnsi="Arial"/>
          <w:sz w:val="15"/>
          <w:szCs w:val="15"/>
          <w:b w:val="1"/>
          <w:bCs w:val="1"/>
          <w:color w:val="auto"/>
        </w:rPr>
        <w:t>[Name of Selling Stockholder](a)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-107950</wp:posOffset>
            </wp:positionV>
            <wp:extent cx="5521960" cy="1143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5521960" cy="114300"/>
                    </a:xfrm>
                    <a:prstGeom prst="rect">
                      <a:avLst/>
                    </a:prstGeom>
                    <a:noFill/>
                  </pic:spPr>
                </pic:pic>
              </a:graphicData>
            </a:graphic>
          </wp:anchor>
        </w:drawing>
      </w:r>
    </w:p>
    <w:p>
      <w:pPr>
        <w:ind w:left="2270"/>
        <w:spacing w:after="0"/>
        <w:rPr>
          <w:sz w:val="20"/>
          <w:szCs w:val="20"/>
          <w:color w:val="auto"/>
        </w:rPr>
      </w:pPr>
      <w:r>
        <w:rPr>
          <w:rFonts w:ascii="Arial" w:cs="Arial" w:eastAsia="Arial" w:hAnsi="Arial"/>
          <w:sz w:val="15"/>
          <w:szCs w:val="15"/>
          <w:b w:val="1"/>
          <w:bCs w:val="1"/>
          <w:color w:val="auto"/>
        </w:rPr>
        <w:t>[Name of Selling Stockholder](a)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5715</wp:posOffset>
            </wp:positionV>
            <wp:extent cx="5521960" cy="1143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5521960" cy="114300"/>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234950</wp:posOffset>
            </wp:positionV>
            <wp:extent cx="5521960" cy="1143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5521960" cy="114300"/>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464185</wp:posOffset>
            </wp:positionV>
            <wp:extent cx="5521960" cy="1143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5521960" cy="11430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693420</wp:posOffset>
            </wp:positionV>
            <wp:extent cx="54419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544195" cy="698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693420</wp:posOffset>
            </wp:positionV>
            <wp:extent cx="58737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5873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7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-102235</wp:posOffset>
            </wp:positionV>
            <wp:extent cx="5521960" cy="135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5521960" cy="135890"/>
                    </a:xfrm>
                    <a:prstGeom prst="rect">
                      <a:avLst/>
                    </a:prstGeom>
                    <a:noFill/>
                  </pic:spPr>
                </pic:pic>
              </a:graphicData>
            </a:graphic>
          </wp:anchor>
        </w:drawing>
      </w:r>
    </w:p>
    <w:p>
      <w:pPr>
        <w:spacing w:after="0" w:line="236" w:lineRule="exact"/>
        <w:rPr>
          <w:sz w:val="20"/>
          <w:szCs w:val="20"/>
          <w:color w:val="auto"/>
        </w:rPr>
      </w:pPr>
    </w:p>
    <w:p>
      <w:pPr>
        <w:ind w:left="450" w:hanging="450"/>
        <w:spacing w:after="0" w:line="275" w:lineRule="auto"/>
        <w:tabs>
          <w:tab w:leader="none" w:pos="45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Each Selling Stockholder is represented by Whalen LLP, 1601 Dove Street, Suite 270, Newport Beach, CA 92660 and has appointed Andrew W. Houston, Ajay V. Vashee and Bart E. Volkmer, and each of them, as the Attorneys-in-Fact for such Selling Stockholder.</w:t>
      </w:r>
    </w:p>
    <w:p>
      <w:pPr>
        <w:sectPr>
          <w:pgSz w:w="11900" w:h="16838" w:orient="portrait"/>
          <w:cols w:equalWidth="0" w:num="1">
            <w:col w:w="11430"/>
          </w:cols>
          <w:pgMar w:left="230" w:top="249" w:right="239" w:bottom="1440" w:gutter="0" w:footer="0" w:header="0"/>
        </w:sectPr>
      </w:pPr>
    </w:p>
    <w:bookmarkStart w:id="280" w:name="page281"/>
    <w:bookmarkEnd w:id="280"/>
    <w:p>
      <w:pPr>
        <w:jc w:val="right"/>
        <w:ind w:right="39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SCHEDULE III</w:t>
      </w:r>
    </w:p>
    <w:p>
      <w:pPr>
        <w:spacing w:after="0" w:line="215" w:lineRule="exact"/>
        <w:rPr>
          <w:sz w:val="20"/>
          <w:szCs w:val="20"/>
          <w:color w:val="auto"/>
        </w:rPr>
      </w:pPr>
    </w:p>
    <w:p>
      <w:pPr>
        <w:ind w:left="450" w:hanging="450"/>
        <w:spacing w:after="0"/>
        <w:tabs>
          <w:tab w:leader="none" w:pos="45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Issuer Free Writing Prospectuses not included in the Pricing Disclosure Package</w:t>
      </w:r>
    </w:p>
    <w:p>
      <w:pPr>
        <w:spacing w:after="0" w:line="98" w:lineRule="exact"/>
        <w:rPr>
          <w:sz w:val="20"/>
          <w:szCs w:val="20"/>
          <w:color w:val="auto"/>
        </w:rPr>
      </w:pPr>
    </w:p>
    <w:p>
      <w:pPr>
        <w:ind w:left="1550" w:hanging="652"/>
        <w:spacing w:after="0"/>
        <w:tabs>
          <w:tab w:leader="none" w:pos="155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w:t>
      </w:r>
    </w:p>
    <w:p>
      <w:pPr>
        <w:spacing w:after="0" w:line="109" w:lineRule="exact"/>
        <w:rPr>
          <w:rFonts w:ascii="Arial" w:cs="Arial" w:eastAsia="Arial" w:hAnsi="Arial"/>
          <w:sz w:val="15"/>
          <w:szCs w:val="15"/>
          <w:color w:val="auto"/>
        </w:rPr>
      </w:pPr>
    </w:p>
    <w:p>
      <w:pPr>
        <w:ind w:left="1330" w:right="4279" w:hanging="1330"/>
        <w:spacing w:after="0" w:line="403" w:lineRule="auto"/>
        <w:tabs>
          <w:tab w:leader="none" w:pos="44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Information other than the Pricing Prospectus that comprise the Pricing Disclosure Package The initial public offering price per share for the Shares is $ [●].</w:t>
      </w:r>
    </w:p>
    <w:p>
      <w:pPr>
        <w:ind w:left="1330" w:right="5279"/>
        <w:spacing w:after="0" w:line="384" w:lineRule="auto"/>
        <w:rPr>
          <w:rFonts w:ascii="Arial" w:cs="Arial" w:eastAsia="Arial" w:hAnsi="Arial"/>
          <w:sz w:val="14"/>
          <w:szCs w:val="14"/>
          <w:color w:val="auto"/>
        </w:rPr>
      </w:pPr>
      <w:r>
        <w:rPr>
          <w:rFonts w:ascii="Arial" w:cs="Arial" w:eastAsia="Arial" w:hAnsi="Arial"/>
          <w:sz w:val="15"/>
          <w:szCs w:val="15"/>
          <w:color w:val="auto"/>
        </w:rPr>
        <w:t>The number of Shares purchased by the Underwriters is [●]. [Add any other pricing disclosure.]</w:t>
      </w:r>
    </w:p>
    <w:p>
      <w:pPr>
        <w:ind w:left="450" w:hanging="450"/>
        <w:spacing w:after="0"/>
        <w:tabs>
          <w:tab w:leader="none" w:pos="45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Section 5(d) Writings</w:t>
      </w:r>
    </w:p>
    <w:p>
      <w:pPr>
        <w:spacing w:after="0" w:line="98" w:lineRule="exact"/>
        <w:rPr>
          <w:sz w:val="20"/>
          <w:szCs w:val="20"/>
          <w:color w:val="auto"/>
        </w:rPr>
      </w:pPr>
    </w:p>
    <w:p>
      <w:pPr>
        <w:ind w:left="1550" w:hanging="652"/>
        <w:spacing w:after="0"/>
        <w:tabs>
          <w:tab w:leader="none" w:pos="155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w:t>
      </w:r>
    </w:p>
    <w:p>
      <w:pPr>
        <w:sectPr>
          <w:pgSz w:w="11900" w:h="16838" w:orient="portrait"/>
          <w:cols w:equalWidth="0" w:num="1">
            <w:col w:w="10229"/>
          </w:cols>
          <w:pgMar w:left="230" w:top="249" w:right="1440" w:bottom="1440" w:gutter="0" w:footer="0" w:header="0"/>
        </w:sectPr>
      </w:pPr>
    </w:p>
    <w:bookmarkStart w:id="281" w:name="page282"/>
    <w:bookmarkEnd w:id="281"/>
    <w:p>
      <w:pPr>
        <w:ind w:left="107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ANNEX III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w:t>
      </w:r>
    </w:p>
    <w:p>
      <w:pPr>
        <w:spacing w:after="0" w:line="179"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Dropbox, Inc. announced today that Goldman Sachs &amp; Co. LLC and J.P. Morgan Securities LLC,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51" w:lineRule="exact"/>
        <w:rPr>
          <w:sz w:val="20"/>
          <w:szCs w:val="20"/>
          <w:color w:val="auto"/>
        </w:rPr>
      </w:pPr>
    </w:p>
    <w:p>
      <w:pPr>
        <w:ind w:right="120"/>
        <w:spacing w:after="0" w:line="318"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40"/>
          </w:cols>
          <w:pgMar w:left="240" w:top="249" w:right="2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ANNEX IV</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LOCK-UP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Lock-Up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[Date]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10282-2198</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383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10179</w:t>
      </w:r>
    </w:p>
    <w:p>
      <w:pPr>
        <w:spacing w:after="0" w:line="201"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u w:val="single" w:color="auto"/>
          <w:color w:val="auto"/>
        </w:rPr>
        <w:t>Dropbox, Inc. - Lock-Up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8" w:lineRule="exact"/>
        <w:rPr>
          <w:sz w:val="20"/>
          <w:szCs w:val="20"/>
          <w:color w:val="auto"/>
        </w:rPr>
      </w:pPr>
    </w:p>
    <w:p>
      <w:pPr>
        <w:ind w:right="80" w:firstLine="458"/>
        <w:spacing w:after="0" w:line="279" w:lineRule="auto"/>
        <w:rPr>
          <w:sz w:val="20"/>
          <w:szCs w:val="20"/>
          <w:color w:val="auto"/>
        </w:rPr>
      </w:pPr>
      <w:r>
        <w:rPr>
          <w:rFonts w:ascii="Arial" w:cs="Arial" w:eastAsia="Arial" w:hAnsi="Arial"/>
          <w:sz w:val="14"/>
          <w:szCs w:val="14"/>
          <w:color w:val="auto"/>
        </w:rPr>
        <w:t>The undersigned understands that you, as representatives (the “</w:t>
      </w:r>
      <w:r>
        <w:rPr>
          <w:rFonts w:ascii="Arial" w:cs="Arial" w:eastAsia="Arial" w:hAnsi="Arial"/>
          <w:sz w:val="14"/>
          <w:szCs w:val="14"/>
          <w:u w:val="single" w:color="auto"/>
          <w:color w:val="auto"/>
        </w:rPr>
        <w:t>Representatives</w:t>
      </w:r>
      <w:r>
        <w:rPr>
          <w:rFonts w:ascii="Arial" w:cs="Arial" w:eastAsia="Arial" w:hAnsi="Arial"/>
          <w:sz w:val="14"/>
          <w:szCs w:val="14"/>
          <w:color w:val="auto"/>
        </w:rPr>
        <w:t>”), propose to enter into an Underwriting Agreement (the “</w:t>
      </w:r>
      <w:r>
        <w:rPr>
          <w:rFonts w:ascii="Arial" w:cs="Arial" w:eastAsia="Arial" w:hAnsi="Arial"/>
          <w:sz w:val="14"/>
          <w:szCs w:val="14"/>
          <w:u w:val="single" w:color="auto"/>
          <w:color w:val="auto"/>
        </w:rPr>
        <w:t>Underwriting Agreement”</w:t>
      </w:r>
      <w:r>
        <w:rPr>
          <w:rFonts w:ascii="Arial" w:cs="Arial" w:eastAsia="Arial" w:hAnsi="Arial"/>
          <w:sz w:val="14"/>
          <w:szCs w:val="14"/>
          <w:color w:val="auto"/>
        </w:rPr>
        <w:t>) on behalf of the several Underwriters named in Schedule I to such agreement (collectively, the “</w:t>
      </w:r>
      <w:r>
        <w:rPr>
          <w:rFonts w:ascii="Arial" w:cs="Arial" w:eastAsia="Arial" w:hAnsi="Arial"/>
          <w:sz w:val="14"/>
          <w:szCs w:val="14"/>
          <w:u w:val="single" w:color="auto"/>
          <w:color w:val="auto"/>
        </w:rPr>
        <w:t>Underwriters</w:t>
      </w:r>
      <w:r>
        <w:rPr>
          <w:rFonts w:ascii="Arial" w:cs="Arial" w:eastAsia="Arial" w:hAnsi="Arial"/>
          <w:sz w:val="14"/>
          <w:szCs w:val="14"/>
          <w:color w:val="auto"/>
        </w:rPr>
        <w:t>”), with Dropbox,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Selling Stockholders named in Schedule II to such agreement, if any, providing for a public offering (the “</w:t>
      </w:r>
      <w:r>
        <w:rPr>
          <w:rFonts w:ascii="Arial" w:cs="Arial" w:eastAsia="Arial" w:hAnsi="Arial"/>
          <w:sz w:val="14"/>
          <w:szCs w:val="14"/>
          <w:u w:val="single" w:color="auto"/>
          <w:color w:val="auto"/>
        </w:rPr>
        <w:t>Public Offering</w:t>
      </w:r>
      <w:r>
        <w:rPr>
          <w:rFonts w:ascii="Arial" w:cs="Arial" w:eastAsia="Arial" w:hAnsi="Arial"/>
          <w:sz w:val="14"/>
          <w:szCs w:val="14"/>
          <w:color w:val="auto"/>
        </w:rPr>
        <w:t>”) of shares (the “</w:t>
      </w:r>
      <w:r>
        <w:rPr>
          <w:rFonts w:ascii="Arial" w:cs="Arial" w:eastAsia="Arial" w:hAnsi="Arial"/>
          <w:sz w:val="14"/>
          <w:szCs w:val="14"/>
          <w:u w:val="single" w:color="auto"/>
          <w:color w:val="auto"/>
        </w:rPr>
        <w:t>Shares</w:t>
      </w:r>
      <w:r>
        <w:rPr>
          <w:rFonts w:ascii="Arial" w:cs="Arial" w:eastAsia="Arial" w:hAnsi="Arial"/>
          <w:sz w:val="14"/>
          <w:szCs w:val="14"/>
          <w:color w:val="auto"/>
        </w:rPr>
        <w:t>”) of the Class A common stock of the Company, par value $0.00001 per share (the “</w:t>
      </w:r>
      <w:r>
        <w:rPr>
          <w:rFonts w:ascii="Arial" w:cs="Arial" w:eastAsia="Arial" w:hAnsi="Arial"/>
          <w:sz w:val="14"/>
          <w:szCs w:val="14"/>
          <w:u w:val="single" w:color="auto"/>
          <w:color w:val="auto"/>
        </w:rPr>
        <w:t>Class A Common Stock</w:t>
      </w:r>
      <w:r>
        <w:rPr>
          <w:rFonts w:ascii="Arial" w:cs="Arial" w:eastAsia="Arial" w:hAnsi="Arial"/>
          <w:sz w:val="14"/>
          <w:szCs w:val="14"/>
          <w:color w:val="auto"/>
        </w:rPr>
        <w:t>” and together with the Class B common stock of the Company, $0.00001 par value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pursuant to a Registration Statement on Form S-1 to be filed with the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w:t>
      </w:r>
    </w:p>
    <w:p>
      <w:pPr>
        <w:spacing w:after="0" w:line="147" w:lineRule="exact"/>
        <w:rPr>
          <w:sz w:val="20"/>
          <w:szCs w:val="20"/>
          <w:color w:val="auto"/>
        </w:rPr>
      </w:pPr>
    </w:p>
    <w:p>
      <w:pPr>
        <w:ind w:right="160" w:firstLine="458"/>
        <w:spacing w:after="0" w:line="276" w:lineRule="auto"/>
        <w:rPr>
          <w:sz w:val="20"/>
          <w:szCs w:val="20"/>
          <w:color w:val="auto"/>
        </w:rPr>
      </w:pPr>
      <w:r>
        <w:rPr>
          <w:rFonts w:ascii="Arial" w:cs="Arial" w:eastAsia="Arial" w:hAnsi="Arial"/>
          <w:sz w:val="14"/>
          <w:szCs w:val="14"/>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(the “</w:t>
      </w:r>
      <w:r>
        <w:rPr>
          <w:rFonts w:ascii="Arial" w:cs="Arial" w:eastAsia="Arial" w:hAnsi="Arial"/>
          <w:sz w:val="14"/>
          <w:szCs w:val="14"/>
          <w:u w:val="single" w:color="auto"/>
          <w:color w:val="auto"/>
        </w:rPr>
        <w:t>Lock-Up Agreement</w:t>
      </w:r>
      <w:r>
        <w:rPr>
          <w:rFonts w:ascii="Arial" w:cs="Arial" w:eastAsia="Arial" w:hAnsi="Arial"/>
          <w:sz w:val="14"/>
          <w:szCs w:val="14"/>
          <w:color w:val="auto"/>
        </w:rPr>
        <w:t>”) and continuing to and including the date 180 days after the Public Offering date (the “</w:t>
      </w:r>
      <w:r>
        <w:rPr>
          <w:rFonts w:ascii="Arial" w:cs="Arial" w:eastAsia="Arial" w:hAnsi="Arial"/>
          <w:sz w:val="14"/>
          <w:szCs w:val="14"/>
          <w:u w:val="single" w:color="auto"/>
          <w:color w:val="auto"/>
        </w:rPr>
        <w:t>Public Offering Date</w:t>
      </w:r>
      <w:r>
        <w:rPr>
          <w:rFonts w:ascii="Arial" w:cs="Arial" w:eastAsia="Arial" w:hAnsi="Arial"/>
          <w:sz w:val="14"/>
          <w:szCs w:val="14"/>
          <w:color w:val="auto"/>
        </w:rPr>
        <w:t>”) set forth on the cover of the final prospectus (the “</w:t>
      </w:r>
      <w:r>
        <w:rPr>
          <w:rFonts w:ascii="Arial" w:cs="Arial" w:eastAsia="Arial" w:hAnsi="Arial"/>
          <w:sz w:val="14"/>
          <w:szCs w:val="14"/>
          <w:u w:val="single" w:color="auto"/>
          <w:color w:val="auto"/>
        </w:rPr>
        <w:t>Prospectus</w:t>
      </w:r>
      <w:r>
        <w:rPr>
          <w:rFonts w:ascii="Arial" w:cs="Arial" w:eastAsia="Arial" w:hAnsi="Arial"/>
          <w:sz w:val="14"/>
          <w:szCs w:val="14"/>
          <w:color w:val="auto"/>
        </w:rPr>
        <w:t>”) used to sell the Shares (the “</w:t>
      </w:r>
      <w:r>
        <w:rPr>
          <w:rFonts w:ascii="Arial" w:cs="Arial" w:eastAsia="Arial" w:hAnsi="Arial"/>
          <w:sz w:val="14"/>
          <w:szCs w:val="14"/>
          <w:u w:val="single" w:color="auto"/>
          <w:color w:val="auto"/>
        </w:rPr>
        <w:t>Stockholder Lock-Up Period</w:t>
      </w:r>
      <w:r>
        <w:rPr>
          <w:rFonts w:ascii="Arial" w:cs="Arial" w:eastAsia="Arial" w:hAnsi="Arial"/>
          <w:sz w:val="14"/>
          <w:szCs w:val="14"/>
          <w:color w:val="auto"/>
        </w:rPr>
        <w:t>”),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hereafter acquired, owned directly by the undersigned (including holding as a custodian) or with respect to which the undersigned has beneficial ownership within the rules and regulations of the SEC (collectively the</w:t>
      </w:r>
    </w:p>
    <w:p>
      <w:pPr>
        <w:sectPr>
          <w:pgSz w:w="11900" w:h="16838" w:orient="portrait"/>
          <w:cols w:equalWidth="0" w:num="1">
            <w:col w:w="11440"/>
          </w:cols>
          <w:pgMar w:left="240" w:top="249" w:right="219" w:bottom="1440" w:gutter="0" w:footer="0" w:header="0"/>
        </w:sectPr>
      </w:pPr>
    </w:p>
    <w:bookmarkStart w:id="283" w:name="page284"/>
    <w:bookmarkEnd w:id="283"/>
    <w:p>
      <w:pPr>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4"/>
          <w:szCs w:val="14"/>
          <w:u w:val="single" w:color="auto"/>
          <w:color w:val="auto"/>
        </w:rPr>
        <w:t>Undersigned’s Shares</w:t>
      </w:r>
      <w:r>
        <w:rPr>
          <w:rFonts w:ascii="Arial" w:cs="Arial" w:eastAsia="Arial" w:hAnsi="Arial"/>
          <w:sz w:val="14"/>
          <w:szCs w:val="14"/>
          <w:color w:val="auto"/>
        </w:rPr>
        <w:t>”) other than any Shares sold to the Underwriters pursuant to the Underwriting Agreement or as otherwise provided herein. The foregoing restriction is expressly agreed to preclude the undersigned from engaging in any hedging or other transaction which is designed to or which reasonably could be expected to lead to or result in a sale or disposition of the Undersigned’s Shares even if such shares of Common Stock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of Common Stock.</w:t>
      </w:r>
    </w:p>
    <w:p>
      <w:pPr>
        <w:spacing w:after="0" w:line="147" w:lineRule="exact"/>
        <w:rPr>
          <w:sz w:val="20"/>
          <w:szCs w:val="20"/>
          <w:color w:val="auto"/>
        </w:rPr>
      </w:pPr>
    </w:p>
    <w:p>
      <w:pPr>
        <w:ind w:right="60" w:firstLine="458"/>
        <w:spacing w:after="0" w:line="273" w:lineRule="auto"/>
        <w:rPr>
          <w:sz w:val="20"/>
          <w:szCs w:val="20"/>
          <w:color w:val="auto"/>
        </w:rPr>
      </w:pPr>
      <w:r>
        <w:rPr>
          <w:rFonts w:ascii="Arial" w:cs="Arial" w:eastAsia="Arial" w:hAnsi="Arial"/>
          <w:sz w:val="14"/>
          <w:szCs w:val="14"/>
          <w:color w:val="auto"/>
        </w:rPr>
        <w:t>If the undersigned is an officer or director of the Company, (1) the undersigned further agrees that the foregoing restrictions shall be equally applicable to any issuer-directed Shares the undersigned may purchase in connection with the Public Offering, (2) Goldman Sachs &amp; Co. LLC and J.P. Morgan Securities LLC agree that, at least three business days before the effective date of any release or waiver of the foregoing restrictions in connection with a transfer of Common Stock, Goldman Sachs &amp; Co. LLC and J.P. Morgan Securities LLC will notify the Company of the impending release or waiver and (3) the Company has agreed or will agree in the Underwriting Agreement to announce the impending release or waiver by press release through a major news service at least two business days before the effective date of the release or waiver in accordance with the requirements under FINRA Rule 5131 (or any successor provision thereto) (for the avoidance of doubt, the Blackout-Related Release (as defined below) shall not be deemed a release or waiver under this Lock-Up Agreement pursuant to FINRA Rule 5131, and is instead an expiration of the Lock-Up Agreement pursuant to its terms). Any release or waiver granted by Goldman Sachs &amp; Co. LLC and J.P. Morgan Securities LLC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Notwithstanding the foregoing, the undersigned may</w:t>
      </w:r>
    </w:p>
    <w:p>
      <w:pPr>
        <w:spacing w:after="0" w:line="109" w:lineRule="exact"/>
        <w:rPr>
          <w:sz w:val="20"/>
          <w:szCs w:val="20"/>
          <w:color w:val="auto"/>
        </w:rPr>
      </w:pPr>
    </w:p>
    <w:p>
      <w:pPr>
        <w:ind w:left="900" w:hanging="459"/>
        <w:spacing w:after="0"/>
        <w:tabs>
          <w:tab w:leader="none" w:pos="90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transfer the Undersigned’s Shares:</w:t>
      </w:r>
    </w:p>
    <w:p>
      <w:pPr>
        <w:spacing w:after="0" w:line="109" w:lineRule="exact"/>
        <w:rPr>
          <w:rFonts w:ascii="Arial" w:cs="Arial" w:eastAsia="Arial" w:hAnsi="Arial"/>
          <w:sz w:val="15"/>
          <w:szCs w:val="15"/>
          <w:color w:val="auto"/>
        </w:rPr>
      </w:pPr>
    </w:p>
    <w:p>
      <w:pPr>
        <w:ind w:left="1460" w:hanging="556"/>
        <w:spacing w:after="0"/>
        <w:tabs>
          <w:tab w:leader="none" w:pos="14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as a bona fide gift or gifts, or for bona fide estate planning purposes,</w:t>
      </w:r>
    </w:p>
    <w:p>
      <w:pPr>
        <w:spacing w:after="0" w:line="109" w:lineRule="exact"/>
        <w:rPr>
          <w:rFonts w:ascii="Arial" w:cs="Arial" w:eastAsia="Arial" w:hAnsi="Arial"/>
          <w:sz w:val="15"/>
          <w:szCs w:val="15"/>
          <w:color w:val="auto"/>
        </w:rPr>
      </w:pPr>
    </w:p>
    <w:p>
      <w:pPr>
        <w:ind w:left="1460" w:right="60" w:hanging="556"/>
        <w:spacing w:after="0" w:line="275" w:lineRule="auto"/>
        <w:tabs>
          <w:tab w:leader="none" w:pos="14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to any member of the undersigned’s immediate family or to any trust for the direct or indirect benefit of the undersigned or the immediate family of the undersigned, or if the undersigned is a trust, to a trustor or beneficiary of the trust or to the estate of a beneficiary of such trust,</w:t>
      </w:r>
    </w:p>
    <w:p>
      <w:pPr>
        <w:spacing w:after="0" w:line="67" w:lineRule="exact"/>
        <w:rPr>
          <w:rFonts w:ascii="Arial" w:cs="Arial" w:eastAsia="Arial" w:hAnsi="Arial"/>
          <w:sz w:val="15"/>
          <w:szCs w:val="15"/>
          <w:color w:val="auto"/>
        </w:rPr>
      </w:pPr>
    </w:p>
    <w:p>
      <w:pPr>
        <w:ind w:left="1460" w:hanging="556"/>
        <w:spacing w:after="0"/>
        <w:tabs>
          <w:tab w:leader="none" w:pos="14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upon death or by will, testamentary document or the laws of intestate succession,</w:t>
      </w:r>
    </w:p>
    <w:p>
      <w:pPr>
        <w:spacing w:after="0" w:line="109" w:lineRule="exact"/>
        <w:rPr>
          <w:rFonts w:ascii="Arial" w:cs="Arial" w:eastAsia="Arial" w:hAnsi="Arial"/>
          <w:sz w:val="15"/>
          <w:szCs w:val="15"/>
          <w:color w:val="auto"/>
        </w:rPr>
      </w:pPr>
    </w:p>
    <w:p>
      <w:pPr>
        <w:ind w:left="1460" w:right="140" w:hanging="556"/>
        <w:spacing w:after="0" w:line="275" w:lineRule="auto"/>
        <w:tabs>
          <w:tab w:leader="none" w:pos="14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in connection with a sale of the Undersigned’s Shares acquired (A) from the Underwriters in the Public Offering or (B) in open market transactions after the Public Offering Date,</w:t>
      </w:r>
    </w:p>
    <w:p>
      <w:pPr>
        <w:sectPr>
          <w:pgSz w:w="11900" w:h="16838" w:orient="portrait"/>
          <w:cols w:equalWidth="0" w:num="1">
            <w:col w:w="11420"/>
          </w:cols>
          <w:pgMar w:left="240" w:top="253" w:right="239" w:bottom="1440" w:gutter="0" w:footer="0" w:header="0"/>
        </w:sectPr>
      </w:pPr>
    </w:p>
    <w:bookmarkStart w:id="284" w:name="page285"/>
    <w:bookmarkEnd w:id="284"/>
    <w:p>
      <w:pPr>
        <w:ind w:left="556" w:hanging="556"/>
        <w:spacing w:after="0" w:line="255" w:lineRule="auto"/>
        <w:tabs>
          <w:tab w:leader="none" w:pos="556" w:val="left"/>
        </w:tabs>
        <w:numPr>
          <w:ilvl w:val="0"/>
          <w:numId w:val="16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transfer or disposition without consideration by the undersigned to its stockholders, partners, members or other equity holders,</w:t>
      </w:r>
    </w:p>
    <w:p>
      <w:pPr>
        <w:spacing w:after="0" w:line="84" w:lineRule="exact"/>
        <w:rPr>
          <w:rFonts w:ascii="Arial" w:cs="Arial" w:eastAsia="Arial" w:hAnsi="Arial"/>
          <w:sz w:val="15"/>
          <w:szCs w:val="15"/>
          <w:color w:val="auto"/>
        </w:rPr>
      </w:pPr>
    </w:p>
    <w:p>
      <w:pPr>
        <w:ind w:left="556" w:right="20" w:hanging="556"/>
        <w:spacing w:after="0" w:line="292" w:lineRule="auto"/>
        <w:tabs>
          <w:tab w:leader="none" w:pos="556" w:val="left"/>
        </w:tabs>
        <w:numPr>
          <w:ilvl w:val="0"/>
          <w:numId w:val="169"/>
        </w:numPr>
        <w:rPr>
          <w:rFonts w:ascii="Arial" w:cs="Arial" w:eastAsia="Arial" w:hAnsi="Arial"/>
          <w:sz w:val="13"/>
          <w:szCs w:val="13"/>
          <w:color w:val="auto"/>
        </w:rPr>
      </w:pPr>
      <w:r>
        <w:rPr>
          <w:rFonts w:ascii="Arial" w:cs="Arial" w:eastAsia="Arial" w:hAnsi="Arial"/>
          <w:sz w:val="13"/>
          <w:szCs w:val="13"/>
          <w:color w:val="auto"/>
        </w:rPr>
        <w:t>(A) to the Company for the purposes of exercising (including for the payment of tax withholdings or remittance payments due as a result of such exercise) on a “net exercise” basis options to purchase shares of Common Stock to the extent such options would otherwise expire during the Stockholder Lock-Up Period and (B) in connection with the vesting or settlement of restricted stock units, including any transfer to the Company for the payment of tax withholdings or remittance payments due as a result of the vesting or settlement of such restricted stock units, and any transfer necessary to generate such amount of cash needed for the payment of taxes, including estimated taxes, due as a result of the vesting or settlement of restricted stock units whether by means of a “net settlement” or otherwise, provided that any such transfers described in this subclause (B) occurring within 90 days of the Public Offering Date shall be only to the Company, and in all such cases described in</w:t>
      </w:r>
    </w:p>
    <w:p>
      <w:pPr>
        <w:ind w:left="556" w:right="60"/>
        <w:spacing w:after="0" w:line="283" w:lineRule="auto"/>
        <w:rPr>
          <w:rFonts w:ascii="Arial" w:cs="Arial" w:eastAsia="Arial" w:hAnsi="Arial"/>
          <w:sz w:val="13"/>
          <w:szCs w:val="13"/>
          <w:color w:val="auto"/>
        </w:rPr>
      </w:pPr>
      <w:r>
        <w:rPr>
          <w:rFonts w:ascii="Arial" w:cs="Arial" w:eastAsia="Arial" w:hAnsi="Arial"/>
          <w:sz w:val="14"/>
          <w:szCs w:val="14"/>
          <w:color w:val="auto"/>
        </w:rPr>
        <w:t>(A) and (B), provided that any such shares of Common Stock received upon such exercise, vesting or settlement shall be subject to the terms of this Lock-Up Agreement, and provided further that any such options and restricted stock units are held by the undersigned as of the Public Offering Date and were issued pursuant to equity awards granted under a stock incentive plan or other equity award plan, which plan is described in the Prospectus,</w:t>
      </w:r>
    </w:p>
    <w:p>
      <w:pPr>
        <w:spacing w:after="0" w:line="63" w:lineRule="exact"/>
        <w:rPr>
          <w:rFonts w:ascii="Arial" w:cs="Arial" w:eastAsia="Arial" w:hAnsi="Arial"/>
          <w:sz w:val="13"/>
          <w:szCs w:val="13"/>
          <w:color w:val="auto"/>
        </w:rPr>
      </w:pPr>
    </w:p>
    <w:p>
      <w:pPr>
        <w:ind w:left="556" w:right="20" w:hanging="556"/>
        <w:spacing w:after="0" w:line="322" w:lineRule="auto"/>
        <w:tabs>
          <w:tab w:leader="none" w:pos="556"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to the Company in connection with the repurchase of shares of Common Stock issued pursuant to equity awards granted under a stock incentive plan or other equity award plan, which plan is described in the Prospectus, or pursuant to the agreements pursuant to which such shares were issued, as described in the Prospectus, provided that such repurchase of shares of Common Stock is in connection with the termination of the undersigned’s service provider relationship with the Company,</w:t>
      </w:r>
    </w:p>
    <w:p>
      <w:pPr>
        <w:spacing w:after="0" w:line="41" w:lineRule="exact"/>
        <w:rPr>
          <w:rFonts w:ascii="Arial" w:cs="Arial" w:eastAsia="Arial" w:hAnsi="Arial"/>
          <w:sz w:val="13"/>
          <w:szCs w:val="13"/>
          <w:color w:val="auto"/>
        </w:rPr>
      </w:pPr>
    </w:p>
    <w:p>
      <w:pPr>
        <w:ind w:left="556" w:right="300" w:hanging="556"/>
        <w:spacing w:after="0" w:line="322" w:lineRule="auto"/>
        <w:tabs>
          <w:tab w:leader="none" w:pos="556" w:val="left"/>
        </w:tabs>
        <w:numPr>
          <w:ilvl w:val="0"/>
          <w:numId w:val="169"/>
        </w:numPr>
        <w:rPr>
          <w:rFonts w:ascii="Arial" w:cs="Arial" w:eastAsia="Arial" w:hAnsi="Arial"/>
          <w:sz w:val="13"/>
          <w:szCs w:val="13"/>
          <w:color w:val="auto"/>
        </w:rPr>
      </w:pPr>
      <w:r>
        <w:rPr>
          <w:rFonts w:ascii="Arial" w:cs="Arial" w:eastAsia="Arial" w:hAnsi="Arial"/>
          <w:sz w:val="13"/>
          <w:szCs w:val="13"/>
          <w:color w:val="auto"/>
        </w:rPr>
        <w:t>pursuant to a bona fide third-party tender offer, merger, consolidation or other similar transaction that is approved by the Board of Directors of the Company and made to all holders of the Company’s capital stock involving a change of control of the Company, provided that in the event that such tender offer, merger, consolidation or other similar transaction is not completed, the Undersigned’s Shares shall remain subject to the provisions of this Lock-Up Agreement,</w:t>
      </w:r>
    </w:p>
    <w:p>
      <w:pPr>
        <w:sectPr>
          <w:pgSz w:w="11900" w:h="16838" w:orient="portrait"/>
          <w:cols w:equalWidth="0" w:num="1">
            <w:col w:w="10536"/>
          </w:cols>
          <w:pgMar w:left="1144" w:top="253" w:right="219" w:bottom="1440" w:gutter="0" w:footer="0" w:header="0"/>
        </w:sectPr>
      </w:pPr>
    </w:p>
    <w:bookmarkStart w:id="285" w:name="page286"/>
    <w:bookmarkEnd w:id="285"/>
    <w:p>
      <w:pPr>
        <w:ind w:left="1460" w:right="160" w:hanging="556"/>
        <w:spacing w:after="0" w:line="290" w:lineRule="auto"/>
        <w:tabs>
          <w:tab w:leader="none" w:pos="14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connection with the conversion or reclassification of the outstanding preferred stock into shares of Common Stock of the Company, or any reclassification or conversion of the Company’s Common Stock (including the conversion of shares of Class B Common Stock into Class A Common Stock), provided that any such shares of Common Stock received upon such conversion or reclassification shall be subject to the terms of this Lock-Up Agreement,</w:t>
      </w:r>
    </w:p>
    <w:p>
      <w:pPr>
        <w:spacing w:after="0" w:line="59" w:lineRule="exact"/>
        <w:rPr>
          <w:rFonts w:ascii="Arial" w:cs="Arial" w:eastAsia="Arial" w:hAnsi="Arial"/>
          <w:sz w:val="14"/>
          <w:szCs w:val="14"/>
          <w:color w:val="auto"/>
        </w:rPr>
      </w:pPr>
    </w:p>
    <w:p>
      <w:pPr>
        <w:ind w:left="1460" w:hanging="556"/>
        <w:spacing w:after="0"/>
        <w:tabs>
          <w:tab w:leader="none" w:pos="14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by operation of law, such as pursuant to a final qualified domestic order or in connection with a divorce settlement,</w:t>
      </w:r>
    </w:p>
    <w:p>
      <w:pPr>
        <w:spacing w:after="0" w:line="109" w:lineRule="exact"/>
        <w:rPr>
          <w:rFonts w:ascii="Arial" w:cs="Arial" w:eastAsia="Arial" w:hAnsi="Arial"/>
          <w:sz w:val="15"/>
          <w:szCs w:val="15"/>
          <w:color w:val="auto"/>
        </w:rPr>
      </w:pPr>
    </w:p>
    <w:p>
      <w:pPr>
        <w:ind w:left="1460" w:hanging="556"/>
        <w:spacing w:after="0"/>
        <w:tabs>
          <w:tab w:leader="none" w:pos="14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with the prior written consent of Goldman Sachs &amp; Co. LLC and J.P. Morgan Securities LLC on behalf of the Underwriters,</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4"/>
          <w:szCs w:val="14"/>
          <w:i w:val="1"/>
          <w:iCs w:val="1"/>
          <w:color w:val="auto"/>
        </w:rPr>
        <w:t xml:space="preserve">provided, that </w:t>
      </w:r>
      <w:r>
        <w:rPr>
          <w:rFonts w:ascii="Arial" w:cs="Arial" w:eastAsia="Arial" w:hAnsi="Arial"/>
          <w:sz w:val="14"/>
          <w:szCs w:val="14"/>
          <w:color w:val="auto"/>
        </w:rPr>
        <w:t>(A) in the case of (i), (ii), (iii), (v), (ix) and (x) above, it shall be a condition to the transfer or distribution that the donee, devisee, transferee or distributee, as the case may be,</w:t>
      </w:r>
      <w:r>
        <w:rPr>
          <w:rFonts w:ascii="Arial" w:cs="Arial" w:eastAsia="Arial" w:hAnsi="Arial"/>
          <w:sz w:val="14"/>
          <w:szCs w:val="14"/>
          <w:i w:val="1"/>
          <w:iCs w:val="1"/>
          <w:color w:val="auto"/>
        </w:rPr>
        <w:t xml:space="preserve"> </w:t>
      </w:r>
      <w:r>
        <w:rPr>
          <w:rFonts w:ascii="Arial" w:cs="Arial" w:eastAsia="Arial" w:hAnsi="Arial"/>
          <w:sz w:val="14"/>
          <w:szCs w:val="14"/>
          <w:color w:val="auto"/>
        </w:rPr>
        <w:t>agrees in writing to be bound by the restrictions set forth herein, and there shall be no further transfer of such Common Stock except in accordance with this Lock-Up Agreement, (B) in the case of (i), (ii), (iii) and (v) above, such transfer shall not involve a disposition for value, (C) in the case of (i), (ii) and (iii) above, no filing under Section 16 of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or other public filing, report or announcement reporting a reduction in beneficial ownership of shares of Common Stock shall be required or shall be voluntarily made during the Stockholder Lock-Up Period (other than any required Form 5 filing), (D) in the case of (iv) and (v) above, no filing under Section 16 of the Exchange Act, or other public filing, report or announcement shall be required or shall be voluntarily made during the Stockholder Lock-Up Period in connection with such transfer or distribution, and (E) in the case of (vi), (vii), (x) and (xi) above, it shall be a condition to such transfer that if any filing under Section 16(a) of the Exchange Act, or other public filing, report or announcement reporting a reduction in beneficial ownership of shares of Common Stock in connection with such transfer or distribution shall be legally required during the Stockholder Lock-Up Period, such filing, report or announcement shall clearly indicate in the footnotes thereto the nature and conditions of such transfer; or</w:t>
      </w:r>
    </w:p>
    <w:p>
      <w:pPr>
        <w:spacing w:after="0" w:line="71" w:lineRule="exact"/>
        <w:rPr>
          <w:sz w:val="20"/>
          <w:szCs w:val="20"/>
          <w:color w:val="auto"/>
        </w:rPr>
      </w:pPr>
    </w:p>
    <w:p>
      <w:pPr>
        <w:ind w:left="900" w:right="20" w:hanging="459"/>
        <w:spacing w:after="0" w:line="259" w:lineRule="auto"/>
        <w:tabs>
          <w:tab w:leader="none" w:pos="90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enter into a written plan meeting the requirements of Rule 10b5-1 under the Exchange Act after the date of this Lock-Up Agreement relating to the transfer, sale or other disposition of securities of the undersigned, if then permitted by the Company, provided that the securities subject to such plan may not be transferred until after the expiration of the Stockholder Lock-Up Period and no public announcement or filing under the Exchange Act shall be required or shall be voluntarily made by any person regarding the establishment of such plan during the Stockholder Lock-Up Period.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purposes of this Lock-Up Agreement, “</w:t>
      </w:r>
      <w:r>
        <w:rPr>
          <w:rFonts w:ascii="Arial" w:cs="Arial" w:eastAsia="Arial" w:hAnsi="Arial"/>
          <w:sz w:val="15"/>
          <w:szCs w:val="15"/>
          <w:u w:val="single" w:color="auto"/>
          <w:color w:val="auto"/>
        </w:rPr>
        <w:t>immediate family</w:t>
      </w:r>
      <w:r>
        <w:rPr>
          <w:rFonts w:ascii="Arial" w:cs="Arial" w:eastAsia="Arial" w:hAnsi="Arial"/>
          <w:sz w:val="15"/>
          <w:szCs w:val="15"/>
          <w:color w:val="auto"/>
        </w:rPr>
        <w:t>” shall mean any relationship by blood, marriage, domestic partnership or adoption, not more remote than</w:t>
      </w:r>
    </w:p>
    <w:p>
      <w:pPr>
        <w:sectPr>
          <w:pgSz w:w="11900" w:h="16838" w:orient="portrait"/>
          <w:cols w:equalWidth="0" w:num="1">
            <w:col w:w="11400"/>
          </w:cols>
          <w:pgMar w:left="240" w:top="253" w:right="259" w:bottom="1440" w:gutter="0" w:footer="0" w:header="0"/>
        </w:sectPr>
      </w:pPr>
    </w:p>
    <w:bookmarkStart w:id="286" w:name="page287"/>
    <w:bookmarkEnd w:id="286"/>
    <w:p>
      <w:pPr>
        <w:ind w:right="66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first cousin. The undersigned now has, and, except as contemplated by clause (a)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38" w:lineRule="exact"/>
        <w:rPr>
          <w:sz w:val="20"/>
          <w:szCs w:val="20"/>
          <w:color w:val="auto"/>
        </w:rPr>
      </w:pPr>
    </w:p>
    <w:p>
      <w:pPr>
        <w:ind w:right="40" w:firstLine="458"/>
        <w:spacing w:after="0" w:line="273" w:lineRule="auto"/>
        <w:rPr>
          <w:sz w:val="20"/>
          <w:szCs w:val="20"/>
          <w:color w:val="auto"/>
        </w:rPr>
      </w:pPr>
      <w:r>
        <w:rPr>
          <w:rFonts w:ascii="Arial" w:cs="Arial" w:eastAsia="Arial" w:hAnsi="Arial"/>
          <w:sz w:val="14"/>
          <w:szCs w:val="14"/>
          <w:color w:val="auto"/>
        </w:rPr>
        <w:t>In addition, and notwithstanding the provisions of the second paragraph of this Lock-Up Agreement, if (i) at least 120 days have elapsed since the Public Offering Date and (ii) the Stockholder Lock-Up Period is scheduled to end during a Blackout Period (as defined below) or within five Trading Days (as defined below) prior to a Blackout Period, the Stockholder Lock-Up Period shall end 10 Trading Days prior to the commencement of the Blackout Period (the “</w:t>
      </w:r>
      <w:r>
        <w:rPr>
          <w:rFonts w:ascii="Arial" w:cs="Arial" w:eastAsia="Arial" w:hAnsi="Arial"/>
          <w:sz w:val="14"/>
          <w:szCs w:val="14"/>
          <w:u w:val="single" w:color="auto"/>
          <w:color w:val="auto"/>
        </w:rPr>
        <w:t>Blackout-Related Release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promptly upon the Company’s determination of the date of the Blackout-Related Release and in any event at least seven Trading Days in advance of the Blackout-Related Release, the Company shall notify the Representatives of the date of the impending Blackout-Related Release, and shall announce the date of the Blackout-Related Release through a major news service, or on a Form 8-K, at least two Trading Days in advance of the Blackout-Related Release, and </w:t>
      </w:r>
      <w:r>
        <w:rPr>
          <w:rFonts w:ascii="Arial" w:cs="Arial" w:eastAsia="Arial" w:hAnsi="Arial"/>
          <w:sz w:val="14"/>
          <w:szCs w:val="14"/>
          <w:i w:val="1"/>
          <w:iCs w:val="1"/>
          <w:color w:val="auto"/>
        </w:rPr>
        <w:t>provided further, that</w:t>
      </w:r>
      <w:r>
        <w:rPr>
          <w:rFonts w:ascii="Arial" w:cs="Arial" w:eastAsia="Arial" w:hAnsi="Arial"/>
          <w:sz w:val="14"/>
          <w:szCs w:val="14"/>
          <w:color w:val="auto"/>
        </w:rPr>
        <w:t xml:space="preserve"> the Blackout-Related Release shall not occur unless the Company shall have publicly released its earnings results for the quarterly period during which the Public Offering occurred. For purposes of this paragraph, a “Trading Day” is a day on which the New York Stock Exchange and the Nasdaq Stock Market are open for the buying and selling of securities. For purposes of this Lock-Up Agreement, “</w:t>
      </w:r>
      <w:r>
        <w:rPr>
          <w:rFonts w:ascii="Arial" w:cs="Arial" w:eastAsia="Arial" w:hAnsi="Arial"/>
          <w:sz w:val="14"/>
          <w:szCs w:val="14"/>
          <w:u w:val="single" w:color="auto"/>
          <w:color w:val="auto"/>
        </w:rPr>
        <w:t>Blackout Period</w:t>
      </w:r>
      <w:r>
        <w:rPr>
          <w:rFonts w:ascii="Arial" w:cs="Arial" w:eastAsia="Arial" w:hAnsi="Arial"/>
          <w:sz w:val="14"/>
          <w:szCs w:val="14"/>
          <w:color w:val="auto"/>
        </w:rPr>
        <w:t>” shall mean a broadly applicable period during which trading in the Company’s securities would not be permitted under the Company’s insider trading policy. For the avoidance of doubt, notwithstanding anything to the contrary contained herein, in no event shall the Stockholder Lock-Up Period end earlier than 120 days after the Public Offering Date.</w:t>
      </w:r>
    </w:p>
    <w:p>
      <w:pPr>
        <w:spacing w:after="0" w:line="154" w:lineRule="exact"/>
        <w:rPr>
          <w:sz w:val="20"/>
          <w:szCs w:val="20"/>
          <w:color w:val="auto"/>
        </w:rPr>
      </w:pPr>
    </w:p>
    <w:p>
      <w:pPr>
        <w:ind w:firstLine="458"/>
        <w:spacing w:after="0" w:line="255" w:lineRule="auto"/>
        <w:rPr>
          <w:sz w:val="20"/>
          <w:szCs w:val="20"/>
          <w:color w:val="auto"/>
        </w:rPr>
      </w:pPr>
      <w:r>
        <w:rPr>
          <w:rFonts w:ascii="Arial" w:cs="Arial" w:eastAsia="Arial" w:hAnsi="Arial"/>
          <w:sz w:val="15"/>
          <w:szCs w:val="15"/>
          <w:color w:val="auto"/>
        </w:rPr>
        <w:t xml:space="preserve">Notwithstanding anything to the contrary contained herein, this Lock-Up Agreement will automatically terminate and the undersigned will be released from all obligations hereunder upon the earliest to occur, if any, of (i) the Company advises the Representatives in writing, prior to the execution of the Underwriting Agreement,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to be sold thereunder, or (iv) March 31, 2018, in the event that the Underwriting Agreement has not been executed by such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Company may, by written notice to the undersigned prior to such date, extend such date for a period of up to three additional months.</w:t>
      </w:r>
    </w:p>
    <w:p>
      <w:pPr>
        <w:spacing w:after="0" w:line="164" w:lineRule="exact"/>
        <w:rPr>
          <w:sz w:val="20"/>
          <w:szCs w:val="20"/>
          <w:color w:val="auto"/>
        </w:rPr>
      </w:pPr>
    </w:p>
    <w:p>
      <w:pPr>
        <w:ind w:right="100" w:firstLine="458"/>
        <w:spacing w:after="0" w:line="259" w:lineRule="auto"/>
        <w:rPr>
          <w:sz w:val="20"/>
          <w:szCs w:val="20"/>
          <w:color w:val="auto"/>
        </w:rPr>
      </w:pPr>
      <w:r>
        <w:rPr>
          <w:rFonts w:ascii="Arial" w:cs="Arial" w:eastAsia="Arial" w:hAnsi="Arial"/>
          <w:sz w:val="15"/>
          <w:szCs w:val="15"/>
          <w:color w:val="auto"/>
        </w:rPr>
        <w:t>In the event that either of the Representatives withdraws from or declines to participate in the Public Offering, all references to the Representatives contained in this Lock-Up Agreement shall be deemed to refer to the sole Representative that continues to participate in the Public Offering (the “</w:t>
      </w:r>
      <w:r>
        <w:rPr>
          <w:rFonts w:ascii="Arial" w:cs="Arial" w:eastAsia="Arial" w:hAnsi="Arial"/>
          <w:sz w:val="15"/>
          <w:szCs w:val="15"/>
          <w:u w:val="single" w:color="auto"/>
          <w:color w:val="auto"/>
        </w:rPr>
        <w:t>Remaining Representative</w:t>
      </w:r>
      <w:r>
        <w:rPr>
          <w:rFonts w:ascii="Arial" w:cs="Arial" w:eastAsia="Arial" w:hAnsi="Arial"/>
          <w:sz w:val="15"/>
          <w:szCs w:val="15"/>
          <w:color w:val="auto"/>
        </w:rPr>
        <w:t>”), and, in such event, any written consent, waiver or notice given or delivered in connection with this Lock-Up Agreement by the Remaining Representative shall be deemed to be sufficient and effective for all purposes under this Lock-Up Agreement.</w:t>
      </w:r>
    </w:p>
    <w:p>
      <w:pPr>
        <w:sectPr>
          <w:pgSz w:w="11900" w:h="16838" w:orient="portrait"/>
          <w:cols w:equalWidth="0" w:num="1">
            <w:col w:w="11420"/>
          </w:cols>
          <w:pgMar w:left="240" w:top="253" w:right="239" w:bottom="1440" w:gutter="0" w:footer="0" w:header="0"/>
        </w:sectPr>
      </w:pPr>
    </w:p>
    <w:bookmarkStart w:id="287" w:name="page288"/>
    <w:bookmarkEnd w:id="287"/>
    <w:p>
      <w:pPr>
        <w:ind w:right="60" w:firstLine="458"/>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27"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the conflict of laws principles thereof.</w:t>
      </w:r>
    </w:p>
    <w:p>
      <w:pPr>
        <w:sectPr>
          <w:pgSz w:w="11900" w:h="16838" w:orient="portrait"/>
          <w:cols w:equalWidth="0" w:num="1">
            <w:col w:w="11400"/>
          </w:cols>
          <w:pgMar w:left="240" w:top="253" w:right="259" w:bottom="1440" w:gutter="0" w:footer="0" w:header="0"/>
        </w:sectPr>
      </w:pPr>
    </w:p>
    <w:bookmarkStart w:id="288" w:name="page289"/>
    <w:bookmarkEnd w:id="288"/>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240665</wp:posOffset>
            </wp:positionV>
            <wp:extent cx="290766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6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262890</wp:posOffset>
            </wp:positionV>
            <wp:extent cx="290766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9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248285</wp:posOffset>
            </wp:positionV>
            <wp:extent cx="290766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7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019"/>
          </w:cols>
          <w:pgMar w:left="1440" w:top="253"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5"/>
          <w:szCs w:val="15"/>
          <w:b w:val="1"/>
          <w:bCs w:val="1"/>
          <w:color w:val="auto"/>
        </w:rPr>
        <w:t>Exhibit 3.4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RESTATED 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right="160" w:firstLine="916"/>
        <w:spacing w:after="0" w:line="290" w:lineRule="auto"/>
        <w:rPr>
          <w:sz w:val="20"/>
          <w:szCs w:val="20"/>
          <w:color w:val="auto"/>
        </w:rPr>
      </w:pPr>
      <w:r>
        <w:rPr>
          <w:rFonts w:ascii="Arial" w:cs="Arial" w:eastAsia="Arial" w:hAnsi="Arial"/>
          <w:sz w:val="14"/>
          <w:szCs w:val="14"/>
          <w:color w:val="auto"/>
        </w:rPr>
        <w:t>Dropbox, Inc., a Delaware corporation (the “</w:t>
      </w:r>
      <w:r>
        <w:rPr>
          <w:rFonts w:ascii="Arial" w:cs="Arial" w:eastAsia="Arial" w:hAnsi="Arial"/>
          <w:sz w:val="14"/>
          <w:szCs w:val="14"/>
          <w:b w:val="1"/>
          <w:bCs w:val="1"/>
          <w:i w:val="1"/>
          <w:iCs w:val="1"/>
          <w:color w:val="auto"/>
        </w:rPr>
        <w:t>Corporation</w:t>
      </w:r>
      <w:r>
        <w:rPr>
          <w:rFonts w:ascii="Arial" w:cs="Arial" w:eastAsia="Arial" w:hAnsi="Arial"/>
          <w:sz w:val="14"/>
          <w:szCs w:val="14"/>
          <w:color w:val="auto"/>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does hereby certify that the following amendment to the Corporation’s Restated Certificate of Incorporation has been duly adopted in accordance with the provisions of Section 242 of the Delaware General Corporation Law, with the approval of such amendment by the Corporation’s stockholders having been given by written consent without a meeting in accordance with Sections 228 and 242 of the Delaware General Corporation Law:</w:t>
      </w:r>
    </w:p>
    <w:p>
      <w:pPr>
        <w:spacing w:after="0" w:line="138" w:lineRule="exact"/>
        <w:rPr>
          <w:sz w:val="20"/>
          <w:szCs w:val="20"/>
          <w:color w:val="auto"/>
        </w:rPr>
      </w:pPr>
    </w:p>
    <w:p>
      <w:pPr>
        <w:ind w:left="440"/>
        <w:spacing w:after="0"/>
        <w:tabs>
          <w:tab w:leader="none" w:pos="68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Article IV of the Corporation’s Restated Certificate of Incorporation, as it has been amended to date, is hereby further amended to read in its entirety as follows:</w:t>
      </w:r>
    </w:p>
    <w:p>
      <w:pPr>
        <w:spacing w:after="0" w:line="98" w:lineRule="exact"/>
        <w:rPr>
          <w:sz w:val="20"/>
          <w:szCs w:val="20"/>
          <w:color w:val="auto"/>
        </w:rPr>
      </w:pPr>
    </w:p>
    <w:p>
      <w:pPr>
        <w:ind w:left="900" w:right="100"/>
        <w:spacing w:after="0" w:line="292" w:lineRule="auto"/>
        <w:rPr>
          <w:sz w:val="20"/>
          <w:szCs w:val="20"/>
          <w:color w:val="auto"/>
        </w:rPr>
      </w:pPr>
      <w:r>
        <w:rPr>
          <w:rFonts w:ascii="Arial" w:cs="Arial" w:eastAsia="Arial" w:hAnsi="Arial"/>
          <w:sz w:val="13"/>
          <w:szCs w:val="13"/>
          <w:color w:val="auto"/>
        </w:rPr>
        <w:t>“Immediately upon the filing of this Certificate of Amendment of Restated Certificate of Incorporation of the Corporation, (i) each one and a half (1.5) shares of Class A Common Stock (as defined below) outstanding immediately prior to such filing will be automatically combined into and become one (1) fully-paid, non-assessable share of Class A Common Stock, (ii) each one and a half (1.5) shares of Class B Common Stock (as defined below) outstanding immediately prior to such filing will be automatically combined into and become one (1) fully-paid, non-assessable share of Class B Common Stock, (iii) each one and a half (1.5) shares of Series A Preferred Stock (as defined below) outstanding immediately prior to such filing will be automatically combined into and become one (1) fully-paid, non-assessable share of Series A Preferred Stock,</w:t>
      </w:r>
    </w:p>
    <w:p>
      <w:pPr>
        <w:spacing w:after="0" w:line="2" w:lineRule="exact"/>
        <w:rPr>
          <w:sz w:val="20"/>
          <w:szCs w:val="20"/>
          <w:color w:val="auto"/>
        </w:rPr>
      </w:pPr>
    </w:p>
    <w:p>
      <w:pPr>
        <w:ind w:left="900" w:right="40" w:firstLine="6"/>
        <w:spacing w:after="0" w:line="273" w:lineRule="auto"/>
        <w:tabs>
          <w:tab w:leader="none" w:pos="1155" w:val="left"/>
        </w:tabs>
        <w:numPr>
          <w:ilvl w:val="0"/>
          <w:numId w:val="172"/>
        </w:numPr>
        <w:rPr>
          <w:rFonts w:ascii="Arial" w:cs="Arial" w:eastAsia="Arial" w:hAnsi="Arial"/>
          <w:sz w:val="14"/>
          <w:szCs w:val="14"/>
          <w:color w:val="auto"/>
        </w:rPr>
      </w:pPr>
      <w:r>
        <w:rPr>
          <w:rFonts w:ascii="Arial" w:cs="Arial" w:eastAsia="Arial" w:hAnsi="Arial"/>
          <w:sz w:val="14"/>
          <w:szCs w:val="14"/>
          <w:color w:val="auto"/>
        </w:rPr>
        <w:t>each one and a half (1.5) shares of Series A-1 Preferred Stock (as defined below) outstanding immediately prior to such filing will be automatically combined into and become one (1) fully-paid, non-assessable share of Series A-1 Preferred Stock, (v) each one and a half (1.5) shares of Series B Preferred Stock (as defined below) outstanding immediately prior to such filing will be automatically combined into and become one (1) fully-paid, non-assessable share of Series B Preferred Stock, and (vi) each one and a half (1.5) shares of Series C Preferred Stock (as defined below) outstanding immediately prior to such filing will be automatically combined into and become one (1) fully-paid, non-assessable share of Series C Preferred Stock. In lieu of any fractional shares to which the holder would otherwise be entitled, the Corporation shall pay cash equal to such fraction multiplied by the then fair value of a share of Class A Common Stock, Class B Common Stock or Preferred Stock as determined by the Board of Directors of the Corporation. For such purposes, all shares of Class A Common Stock, Class B Common Stock or a given series of Preferred Stock issuable to a stockholder shall be aggregated, and any resulting fractional shares shall be paid in cash.</w:t>
      </w:r>
    </w:p>
    <w:p>
      <w:pPr>
        <w:sectPr>
          <w:pgSz w:w="11900" w:h="16838" w:orient="portrait"/>
          <w:cols w:equalWidth="0" w:num="1">
            <w:col w:w="11440"/>
          </w:cols>
          <w:pgMar w:left="240" w:top="125" w:right="219" w:bottom="1440" w:gutter="0" w:footer="0" w:header="0"/>
        </w:sectPr>
      </w:pPr>
    </w:p>
    <w:bookmarkStart w:id="290" w:name="page291"/>
    <w:bookmarkEnd w:id="290"/>
    <w:p>
      <w:pPr>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After giving effect to the reverse stock splits described above, the Corporation is authorized to issue a total of 1,151,212,291 shares of its capital stock, which shall be divided into three (3) classes, designated “Class A Common Stock,” “Class B Common Stock” and “Preferred Stock.” The total number of shares of Class A Common Stock authorized to be issued is 533,333,333 shares, $0.00001 par value per share. The total number of shares of Class B Common Stock authorized to be issued is 466,666,666 shares, $0.00001 par value per share. The total number of shares of Preferred Stock authorized to be issued is 151,212,292 shares, $0.00001 par value per share, of which 63,873,940 are designated as “Series A Preferred Stock”, 52,015,760 are designated as “Series A-1 Preferred Stock”, 19,512,068 are designated as “Series B Preferred Stock” and 15,810,524 are designated as “Series C Preferred Stock.”</w:t>
      </w:r>
    </w:p>
    <w:p>
      <w:pPr>
        <w:spacing w:after="0" w:line="164" w:lineRule="exact"/>
        <w:rPr>
          <w:sz w:val="20"/>
          <w:szCs w:val="20"/>
          <w:color w:val="auto"/>
        </w:rPr>
      </w:pPr>
    </w:p>
    <w:p>
      <w:pPr>
        <w:ind w:left="2900"/>
        <w:spacing w:after="0"/>
        <w:rPr>
          <w:sz w:val="20"/>
          <w:szCs w:val="20"/>
          <w:color w:val="auto"/>
        </w:rPr>
      </w:pPr>
      <w:r>
        <w:rPr>
          <w:rFonts w:ascii="Arial" w:cs="Arial" w:eastAsia="Arial" w:hAnsi="Arial"/>
          <w:sz w:val="15"/>
          <w:szCs w:val="15"/>
          <w:color w:val="auto"/>
        </w:rPr>
        <w:t>[REMAINDER OF PAGE INTENTIONALLY LEFT BLANK]</w:t>
      </w:r>
    </w:p>
    <w:p>
      <w:pPr>
        <w:sectPr>
          <w:pgSz w:w="11900" w:h="16838" w:orient="portrait"/>
          <w:cols w:equalWidth="0" w:num="1">
            <w:col w:w="10480"/>
          </w:cols>
          <w:pgMar w:left="1140" w:top="253" w:right="279" w:bottom="1440" w:gutter="0" w:footer="0" w:header="0"/>
        </w:sectPr>
      </w:pPr>
    </w:p>
    <w:bookmarkStart w:id="291" w:name="page292"/>
    <w:bookmarkEnd w:id="291"/>
    <w:p>
      <w:pPr>
        <w:ind w:firstLine="458"/>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89535</wp:posOffset>
            </wp:positionV>
            <wp:extent cx="730885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 Dropbox, Inc. has caused this Certificate of Amendment to be signed by its duly authorized officer on March 7, 2018 and the foregoing facts stated herein are true and correct.</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5"/>
          <w:szCs w:val="15"/>
          <w:color w:val="auto"/>
        </w:rPr>
        <w:t>By:</w:t>
        <w:tab/>
        <w:t>/s/ Andrew Houston</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Andrew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-107950</wp:posOffset>
            </wp:positionV>
            <wp:extent cx="272859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11380"/>
          </w:cols>
          <w:pgMar w:left="240" w:top="254" w:right="279" w:bottom="1440" w:gutter="0" w:footer="0" w:header="0"/>
        </w:sectPr>
      </w:pPr>
    </w:p>
    <w:bookmarkStart w:id="292" w:name="page293"/>
    <w:bookmarkEnd w:id="292"/>
    <w:p>
      <w:pPr>
        <w:jc w:val="right"/>
        <w:spacing w:after="0"/>
        <w:rPr>
          <w:sz w:val="20"/>
          <w:szCs w:val="20"/>
          <w:color w:val="auto"/>
        </w:rPr>
      </w:pPr>
      <w:r>
        <w:rPr>
          <w:rFonts w:ascii="Arial" w:cs="Arial" w:eastAsia="Arial" w:hAnsi="Arial"/>
          <w:sz w:val="15"/>
          <w:szCs w:val="15"/>
          <w:b w:val="1"/>
          <w:bCs w:val="1"/>
          <w:color w:val="auto"/>
        </w:rPr>
        <w:t>Exhibit 3.5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RESTATED 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Dropbox, Inc., a Delaware corporation, hereby certifies that:</w:t>
      </w:r>
    </w:p>
    <w:p>
      <w:pPr>
        <w:spacing w:after="0" w:line="98" w:lineRule="exact"/>
        <w:rPr>
          <w:sz w:val="20"/>
          <w:szCs w:val="20"/>
          <w:color w:val="auto"/>
        </w:rPr>
      </w:pPr>
    </w:p>
    <w:p>
      <w:pPr>
        <w:ind w:right="140" w:firstLine="448"/>
        <w:spacing w:after="0" w:line="275" w:lineRule="auto"/>
        <w:tabs>
          <w:tab w:leader="none" w:pos="60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name of the corporation is Dropbox, Inc. The date of filing its original Certificate of Incorporation with the Secretary of State of the State of Delaware was May 8, 2007. The corporation was originally incorporated under the name Evenflow, Inc.</w:t>
      </w:r>
    </w:p>
    <w:p>
      <w:pPr>
        <w:spacing w:after="0" w:line="55" w:lineRule="exact"/>
        <w:rPr>
          <w:rFonts w:ascii="Arial" w:cs="Arial" w:eastAsia="Arial" w:hAnsi="Arial"/>
          <w:sz w:val="15"/>
          <w:szCs w:val="15"/>
          <w:color w:val="auto"/>
        </w:rPr>
      </w:pPr>
    </w:p>
    <w:p>
      <w:pPr>
        <w:ind w:right="40" w:firstLine="448"/>
        <w:spacing w:after="0" w:line="283" w:lineRule="auto"/>
        <w:tabs>
          <w:tab w:leader="none" w:pos="608"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This Restated Certificate of Incorporation of the corporation attached hereto as </w:t>
      </w:r>
      <w:r>
        <w:rPr>
          <w:rFonts w:ascii="Arial" w:cs="Arial" w:eastAsia="Arial" w:hAnsi="Arial"/>
          <w:sz w:val="14"/>
          <w:szCs w:val="14"/>
          <w:u w:val="single" w:color="auto"/>
          <w:color w:val="auto"/>
        </w:rPr>
        <w:t>Exhibit “1”</w:t>
      </w:r>
      <w:r>
        <w:rPr>
          <w:rFonts w:ascii="Arial" w:cs="Arial" w:eastAsia="Arial" w:hAnsi="Arial"/>
          <w:sz w:val="14"/>
          <w:szCs w:val="14"/>
          <w:color w:val="auto"/>
        </w:rPr>
        <w:t>, which is incorporated herein by this reference, and which restates, integrates and further amends the provisions of the Certificate of Incorporation of this corporation as heretofore amended and/or restated, has been duly adopted by the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143" w:lineRule="exact"/>
        <w:rPr>
          <w:sz w:val="20"/>
          <w:szCs w:val="20"/>
          <w:color w:val="auto"/>
        </w:rPr>
      </w:pPr>
    </w:p>
    <w:p>
      <w:pPr>
        <w:ind w:right="240" w:firstLine="458"/>
        <w:spacing w:after="0" w:line="275" w:lineRule="auto"/>
        <w:rPr>
          <w:sz w:val="20"/>
          <w:szCs w:val="20"/>
          <w:color w:val="auto"/>
        </w:rPr>
      </w:pPr>
      <w:r>
        <w:rPr>
          <w:rFonts w:ascii="Arial" w:cs="Arial" w:eastAsia="Arial" w:hAnsi="Arial"/>
          <w:sz w:val="15"/>
          <w:szCs w:val="15"/>
          <w:color w:val="auto"/>
        </w:rPr>
        <w:t>IN WITNESS WHEREOF, the corporation has caused this Restated Certificate of Incorporation to be signed by its duly authorized officer and the foregoing facts stated herein are true and correct.</w:t>
      </w:r>
    </w:p>
    <w:p>
      <w:pPr>
        <w:spacing w:after="0" w:line="165"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12065</wp:posOffset>
            </wp:positionV>
            <wp:extent cx="326580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3265805" cy="6985"/>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 Andrew Houston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11440"/>
          </w:cols>
          <w:pgMar w:left="240" w:top="125" w:right="21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RESTATED 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name of the corporation is Dropbox, Inc.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92"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The address of the registered office of the Corporation in the State of Delaware is 251 Little Falls Drive, Wilmington, New Castle County, Delaware 19808. The name of its registered agent at such address is Corporation Service Company.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92" w:lineRule="exact"/>
        <w:rPr>
          <w:sz w:val="20"/>
          <w:szCs w:val="20"/>
          <w:color w:val="auto"/>
        </w:rPr>
      </w:pPr>
    </w:p>
    <w:p>
      <w:pPr>
        <w:ind w:right="120" w:firstLine="458"/>
        <w:spacing w:after="0" w:line="275" w:lineRule="auto"/>
        <w:rPr>
          <w:sz w:val="20"/>
          <w:szCs w:val="20"/>
          <w:color w:val="auto"/>
        </w:rPr>
      </w:pPr>
      <w:r>
        <w:rPr>
          <w:rFonts w:ascii="Arial" w:cs="Arial" w:eastAsia="Arial" w:hAnsi="Arial"/>
          <w:sz w:val="15"/>
          <w:szCs w:val="15"/>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5"/>
          <w:szCs w:val="15"/>
          <w:b w:val="1"/>
          <w:bCs w:val="1"/>
          <w:i w:val="1"/>
          <w:iCs w:val="1"/>
          <w:color w:val="auto"/>
        </w:rPr>
        <w:t>Delaware General Corporation Law</w:t>
      </w:r>
      <w:r>
        <w:rPr>
          <w:rFonts w:ascii="Arial" w:cs="Arial" w:eastAsia="Arial" w:hAnsi="Arial"/>
          <w:sz w:val="15"/>
          <w:szCs w:val="15"/>
          <w:color w:val="auto"/>
        </w:rPr>
        <w: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92" w:lineRule="exact"/>
        <w:rPr>
          <w:sz w:val="20"/>
          <w:szCs w:val="20"/>
          <w:color w:val="auto"/>
        </w:rPr>
      </w:pPr>
    </w:p>
    <w:p>
      <w:pPr>
        <w:ind w:right="120" w:firstLine="458"/>
        <w:spacing w:after="0" w:line="257" w:lineRule="auto"/>
        <w:rPr>
          <w:sz w:val="20"/>
          <w:szCs w:val="20"/>
          <w:color w:val="auto"/>
        </w:rPr>
      </w:pPr>
      <w:r>
        <w:rPr>
          <w:rFonts w:ascii="Arial" w:cs="Arial" w:eastAsia="Arial" w:hAnsi="Arial"/>
          <w:sz w:val="15"/>
          <w:szCs w:val="15"/>
          <w:color w:val="auto"/>
        </w:rPr>
        <w:t xml:space="preserve">This Corporation is authorized to issue two classes of stock to be designated, respectively,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The total number of shares of Common Stock authorized to be issued is 3,675,000,000, 2,400,000,000 shares of which are designated Class A Common Stock, par value $0.00001 per share (the “</w:t>
      </w:r>
      <w:r>
        <w:rPr>
          <w:rFonts w:ascii="Arial" w:cs="Arial" w:eastAsia="Arial" w:hAnsi="Arial"/>
          <w:sz w:val="15"/>
          <w:szCs w:val="15"/>
          <w:b w:val="1"/>
          <w:bCs w:val="1"/>
          <w:i w:val="1"/>
          <w:iCs w:val="1"/>
          <w:color w:val="auto"/>
        </w:rPr>
        <w:t>Class A Common Stock</w:t>
      </w:r>
      <w:r>
        <w:rPr>
          <w:rFonts w:ascii="Arial" w:cs="Arial" w:eastAsia="Arial" w:hAnsi="Arial"/>
          <w:sz w:val="15"/>
          <w:szCs w:val="15"/>
          <w:color w:val="auto"/>
        </w:rPr>
        <w:t>”), 475,000,000 shares of which are designated Class B Common Stock, par value $0.00001 per share (the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and 800,000,000 shares of which are designated Class C Common Stock, par value $0.00001 per share (the “</w:t>
      </w:r>
      <w:r>
        <w:rPr>
          <w:rFonts w:ascii="Arial" w:cs="Arial" w:eastAsia="Arial" w:hAnsi="Arial"/>
          <w:sz w:val="15"/>
          <w:szCs w:val="15"/>
          <w:b w:val="1"/>
          <w:bCs w:val="1"/>
          <w:i w:val="1"/>
          <w:iCs w:val="1"/>
          <w:color w:val="auto"/>
        </w:rPr>
        <w:t>Class C Common Stock</w:t>
      </w:r>
      <w:r>
        <w:rPr>
          <w:rFonts w:ascii="Arial" w:cs="Arial" w:eastAsia="Arial" w:hAnsi="Arial"/>
          <w:sz w:val="15"/>
          <w:szCs w:val="15"/>
          <w:color w:val="auto"/>
        </w:rPr>
        <w:t>”). The total number of shares of Preferred Stock authorized to be issued is 240,000,000 shares, par value $0.00001 per share.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rights, powers, preferences, privileges, restrictions and other matters relating to the Common Stock are as follows: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Article V, the following definitions apply;</w:t>
      </w:r>
    </w:p>
    <w:p>
      <w:pPr>
        <w:spacing w:after="0" w:line="98" w:lineRule="exact"/>
        <w:rPr>
          <w:sz w:val="20"/>
          <w:szCs w:val="20"/>
          <w:color w:val="auto"/>
        </w:rPr>
      </w:pPr>
    </w:p>
    <w:p>
      <w:pPr>
        <w:ind w:firstLine="916"/>
        <w:spacing w:after="0" w:line="275" w:lineRule="auto"/>
        <w:rPr>
          <w:sz w:val="20"/>
          <w:szCs w:val="20"/>
          <w:color w:val="auto"/>
        </w:rPr>
      </w:pPr>
      <w:r>
        <w:rPr>
          <w:rFonts w:ascii="Arial" w:cs="Arial" w:eastAsia="Arial" w:hAnsi="Arial"/>
          <w:sz w:val="15"/>
          <w:szCs w:val="15"/>
          <w:color w:val="auto"/>
        </w:rPr>
        <w:t>1.1 “</w:t>
      </w:r>
      <w:r>
        <w:rPr>
          <w:rFonts w:ascii="Arial" w:cs="Arial" w:eastAsia="Arial" w:hAnsi="Arial"/>
          <w:sz w:val="15"/>
          <w:szCs w:val="15"/>
          <w:b w:val="1"/>
          <w:bCs w:val="1"/>
          <w:i w:val="1"/>
          <w:iCs w:val="1"/>
          <w:color w:val="auto"/>
        </w:rPr>
        <w:t>Acquisition</w:t>
      </w:r>
      <w:r>
        <w:rPr>
          <w:rFonts w:ascii="Arial" w:cs="Arial" w:eastAsia="Arial" w:hAnsi="Arial"/>
          <w:sz w:val="15"/>
          <w:szCs w:val="15"/>
          <w:color w:val="auto"/>
        </w:rPr>
        <w:t>” means (A) any consolidation or merger of the Corporation with or into any other corporation or other entity or person, or any other corporate reorganization, other than any such consolidation, merger or reorganization in which the shares of capital stock of the</w:t>
      </w:r>
    </w:p>
    <w:p>
      <w:pPr>
        <w:sectPr>
          <w:pgSz w:w="11900" w:h="16838" w:orient="portrait"/>
          <w:cols w:equalWidth="0" w:num="1">
            <w:col w:w="11420"/>
          </w:cols>
          <w:pgMar w:left="240" w:top="249" w:right="239" w:bottom="1440" w:gutter="0" w:footer="0" w:header="0"/>
        </w:sectPr>
      </w:pPr>
    </w:p>
    <w:bookmarkStart w:id="294" w:name="page295"/>
    <w:bookmarkEnd w:id="294"/>
    <w:p>
      <w:pPr>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Section V.1.1,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1.2 “</w:t>
      </w:r>
      <w:r>
        <w:rPr>
          <w:rFonts w:ascii="Arial" w:cs="Arial" w:eastAsia="Arial" w:hAnsi="Arial"/>
          <w:sz w:val="15"/>
          <w:szCs w:val="15"/>
          <w:b w:val="1"/>
          <w:bCs w:val="1"/>
          <w:i w:val="1"/>
          <w:iCs w:val="1"/>
          <w:color w:val="auto"/>
        </w:rPr>
        <w:t>Amended and Restated Certificate</w:t>
      </w:r>
      <w:r>
        <w:rPr>
          <w:rFonts w:ascii="Arial" w:cs="Arial" w:eastAsia="Arial" w:hAnsi="Arial"/>
          <w:sz w:val="15"/>
          <w:szCs w:val="15"/>
          <w:color w:val="auto"/>
        </w:rPr>
        <w:t>” means this Restated Certificate of Incorporation of the Corporation, as may be amended.</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1.3 “</w:t>
      </w:r>
      <w:r>
        <w:rPr>
          <w:rFonts w:ascii="Arial" w:cs="Arial" w:eastAsia="Arial" w:hAnsi="Arial"/>
          <w:sz w:val="15"/>
          <w:szCs w:val="15"/>
          <w:b w:val="1"/>
          <w:bCs w:val="1"/>
          <w:i w:val="1"/>
          <w:iCs w:val="1"/>
          <w:color w:val="auto"/>
        </w:rPr>
        <w:t>Asset Transfer</w:t>
      </w:r>
      <w:r>
        <w:rPr>
          <w:rFonts w:ascii="Arial" w:cs="Arial" w:eastAsia="Arial" w:hAnsi="Arial"/>
          <w:sz w:val="15"/>
          <w:szCs w:val="15"/>
          <w:color w:val="auto"/>
        </w:rPr>
        <w:t>” means a sale, lease, exclusive license or other disposition of all or substantially all of the assets of the Corporation.</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1.4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Corporation.</w:t>
      </w:r>
    </w:p>
    <w:p>
      <w:pPr>
        <w:spacing w:after="0" w:line="98" w:lineRule="exact"/>
        <w:rPr>
          <w:sz w:val="20"/>
          <w:szCs w:val="20"/>
          <w:color w:val="auto"/>
        </w:rPr>
      </w:pPr>
    </w:p>
    <w:p>
      <w:pPr>
        <w:ind w:right="500" w:firstLine="916"/>
        <w:spacing w:after="0" w:line="275" w:lineRule="auto"/>
        <w:rPr>
          <w:sz w:val="20"/>
          <w:szCs w:val="20"/>
          <w:color w:val="auto"/>
        </w:rPr>
      </w:pPr>
      <w:r>
        <w:rPr>
          <w:rFonts w:ascii="Arial" w:cs="Arial" w:eastAsia="Arial" w:hAnsi="Arial"/>
          <w:sz w:val="15"/>
          <w:szCs w:val="15"/>
          <w:color w:val="auto"/>
        </w:rPr>
        <w:t>1.5 “</w:t>
      </w:r>
      <w:r>
        <w:rPr>
          <w:rFonts w:ascii="Arial" w:cs="Arial" w:eastAsia="Arial" w:hAnsi="Arial"/>
          <w:sz w:val="15"/>
          <w:szCs w:val="15"/>
          <w:b w:val="1"/>
          <w:bCs w:val="1"/>
          <w:i w:val="1"/>
          <w:iCs w:val="1"/>
          <w:color w:val="auto"/>
        </w:rPr>
        <w:t>Controlled Company Exemption</w:t>
      </w:r>
      <w:r>
        <w:rPr>
          <w:rFonts w:ascii="Arial" w:cs="Arial" w:eastAsia="Arial" w:hAnsi="Arial"/>
          <w:sz w:val="15"/>
          <w:szCs w:val="15"/>
          <w:color w:val="auto"/>
        </w:rPr>
        <w:t>” means, if and to the extent otherwise applicable to the Corporation, the exemptions from the Listing Standards available to any company that constitutes a “controlled company” within the meaning of the Listing Standards.</w:t>
      </w:r>
    </w:p>
    <w:p>
      <w:pPr>
        <w:spacing w:after="0" w:line="56" w:lineRule="exact"/>
        <w:rPr>
          <w:sz w:val="20"/>
          <w:szCs w:val="20"/>
          <w:color w:val="auto"/>
        </w:rPr>
      </w:pPr>
    </w:p>
    <w:p>
      <w:pPr>
        <w:ind w:right="20" w:firstLine="916"/>
        <w:spacing w:after="0" w:line="275"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 or “</w:t>
      </w:r>
      <w:r>
        <w:rPr>
          <w:rFonts w:ascii="Arial" w:cs="Arial" w:eastAsia="Arial" w:hAnsi="Arial"/>
          <w:sz w:val="14"/>
          <w:szCs w:val="14"/>
          <w:b w:val="1"/>
          <w:bCs w:val="1"/>
          <w:i w:val="1"/>
          <w:iCs w:val="1"/>
          <w:color w:val="auto"/>
        </w:rPr>
        <w:t>Disabled</w:t>
      </w:r>
      <w:r>
        <w:rPr>
          <w:rFonts w:ascii="Arial" w:cs="Arial" w:eastAsia="Arial" w:hAnsi="Arial"/>
          <w:sz w:val="14"/>
          <w:szCs w:val="14"/>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1.7 “</w:t>
      </w:r>
      <w:r>
        <w:rPr>
          <w:rFonts w:ascii="Arial" w:cs="Arial" w:eastAsia="Arial" w:hAnsi="Arial"/>
          <w:sz w:val="15"/>
          <w:szCs w:val="15"/>
          <w:b w:val="1"/>
          <w:bCs w:val="1"/>
          <w:i w:val="1"/>
          <w:iCs w:val="1"/>
          <w:color w:val="auto"/>
        </w:rPr>
        <w:t>Final Conversion Date</w:t>
      </w:r>
      <w:r>
        <w:rPr>
          <w:rFonts w:ascii="Arial" w:cs="Arial" w:eastAsia="Arial" w:hAnsi="Arial"/>
          <w:sz w:val="15"/>
          <w:szCs w:val="15"/>
          <w:color w:val="auto"/>
        </w:rPr>
        <w:t>” means: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40"/>
          </w:cols>
          <w:pgMar w:left="240" w:top="253" w:right="219" w:bottom="1440" w:gutter="0" w:footer="0" w:header="0"/>
        </w:sectPr>
      </w:pPr>
    </w:p>
    <w:bookmarkStart w:id="295" w:name="page296"/>
    <w:bookmarkEnd w:id="295"/>
    <w:p>
      <w:pPr>
        <w:ind w:left="1680" w:hanging="202"/>
        <w:spacing w:after="0"/>
        <w:tabs>
          <w:tab w:leader="none" w:pos="16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date specified by the holders of two-thirds of the then outstanding shares of Class B Common Stock, voting as a separate class;</w:t>
      </w:r>
    </w:p>
    <w:p>
      <w:pPr>
        <w:spacing w:after="0" w:line="98" w:lineRule="exact"/>
        <w:rPr>
          <w:rFonts w:ascii="Arial" w:cs="Arial" w:eastAsia="Arial" w:hAnsi="Arial"/>
          <w:sz w:val="15"/>
          <w:szCs w:val="15"/>
          <w:color w:val="auto"/>
        </w:rPr>
      </w:pPr>
    </w:p>
    <w:p>
      <w:pPr>
        <w:ind w:right="220" w:firstLine="1478"/>
        <w:spacing w:after="0" w:line="275" w:lineRule="auto"/>
        <w:tabs>
          <w:tab w:leader="none" w:pos="170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first date on which the number of outstanding shares of Class B Common Stock represents less than 5% of the aggregate number of outstanding shares of Class A Common Stock and Class B Common Stock; or</w:t>
      </w:r>
    </w:p>
    <w:p>
      <w:pPr>
        <w:spacing w:after="0" w:line="55" w:lineRule="exact"/>
        <w:rPr>
          <w:rFonts w:ascii="Arial" w:cs="Arial" w:eastAsia="Arial" w:hAnsi="Arial"/>
          <w:sz w:val="15"/>
          <w:szCs w:val="15"/>
          <w:color w:val="auto"/>
        </w:rPr>
      </w:pPr>
    </w:p>
    <w:p>
      <w:pPr>
        <w:ind w:right="80" w:firstLine="1478"/>
        <w:spacing w:after="0" w:line="312" w:lineRule="auto"/>
        <w:tabs>
          <w:tab w:leader="none" w:pos="1692"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3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1.8 “</w:t>
      </w:r>
      <w:r>
        <w:rPr>
          <w:rFonts w:ascii="Arial" w:cs="Arial" w:eastAsia="Arial" w:hAnsi="Arial"/>
          <w:sz w:val="15"/>
          <w:szCs w:val="15"/>
          <w:b w:val="1"/>
          <w:bCs w:val="1"/>
          <w:i w:val="1"/>
          <w:iCs w:val="1"/>
          <w:color w:val="auto"/>
        </w:rPr>
        <w:t>Founder</w:t>
      </w:r>
      <w:r>
        <w:rPr>
          <w:rFonts w:ascii="Arial" w:cs="Arial" w:eastAsia="Arial" w:hAnsi="Arial"/>
          <w:sz w:val="15"/>
          <w:szCs w:val="15"/>
          <w:color w:val="auto"/>
        </w:rPr>
        <w:t>” means either Andrew Houston or Arash Ferdowsi.</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1.9 “</w:t>
      </w:r>
      <w:r>
        <w:rPr>
          <w:rFonts w:ascii="Arial" w:cs="Arial" w:eastAsia="Arial" w:hAnsi="Arial"/>
          <w:sz w:val="15"/>
          <w:szCs w:val="15"/>
          <w:b w:val="1"/>
          <w:bCs w:val="1"/>
          <w:i w:val="1"/>
          <w:iCs w:val="1"/>
          <w:color w:val="auto"/>
        </w:rPr>
        <w:t>Independent Directors</w:t>
      </w:r>
      <w:r>
        <w:rPr>
          <w:rFonts w:ascii="Arial" w:cs="Arial" w:eastAsia="Arial" w:hAnsi="Arial"/>
          <w:sz w:val="15"/>
          <w:szCs w:val="15"/>
          <w:color w:val="auto"/>
        </w:rPr>
        <w:t>” means the members of the Board designated as independent directors in accordance with the Listing Standards.</w:t>
      </w:r>
    </w:p>
    <w:p>
      <w:pPr>
        <w:spacing w:after="0" w:line="98" w:lineRule="exact"/>
        <w:rPr>
          <w:sz w:val="20"/>
          <w:szCs w:val="20"/>
          <w:color w:val="auto"/>
        </w:rPr>
      </w:pPr>
    </w:p>
    <w:p>
      <w:pPr>
        <w:ind w:firstLine="916"/>
        <w:spacing w:after="0" w:line="275"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b w:val="1"/>
          <w:bCs w:val="1"/>
          <w:i w:val="1"/>
          <w:iCs w:val="1"/>
          <w:color w:val="auto"/>
        </w:rPr>
        <w:t>IPO Date</w:t>
      </w:r>
      <w:r>
        <w:rPr>
          <w:rFonts w:ascii="Arial" w:cs="Arial" w:eastAsia="Arial" w:hAnsi="Arial"/>
          <w:sz w:val="15"/>
          <w:szCs w:val="15"/>
          <w:color w:val="auto"/>
        </w:rPr>
        <w:t>” means the first date that shares of a class of the Corporation’s capital stock have been listed for trading on the New York Stock Exchange, NASDAQ Global Select Market or NASDAQ Global Market or any successor markets or exchanges (each, a “</w:t>
      </w:r>
      <w:r>
        <w:rPr>
          <w:rFonts w:ascii="Arial" w:cs="Arial" w:eastAsia="Arial" w:hAnsi="Arial"/>
          <w:sz w:val="15"/>
          <w:szCs w:val="15"/>
          <w:b w:val="1"/>
          <w:bCs w:val="1"/>
          <w:i w:val="1"/>
          <w:iCs w:val="1"/>
          <w:color w:val="auto"/>
        </w:rPr>
        <w:t>Securities Exchange</w:t>
      </w:r>
      <w:r>
        <w:rPr>
          <w:rFonts w:ascii="Arial" w:cs="Arial" w:eastAsia="Arial" w:hAnsi="Arial"/>
          <w:sz w:val="15"/>
          <w:szCs w:val="15"/>
          <w:color w:val="auto"/>
        </w:rPr>
        <w:t>”).</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i w:val="1"/>
          <w:iCs w:val="1"/>
          <w:color w:val="auto"/>
        </w:rPr>
        <w:t>Liquidation Event</w:t>
      </w:r>
      <w:r>
        <w:rPr>
          <w:rFonts w:ascii="Arial" w:cs="Arial" w:eastAsia="Arial" w:hAnsi="Arial"/>
          <w:sz w:val="14"/>
          <w:szCs w:val="14"/>
          <w:color w:val="auto"/>
        </w:rPr>
        <w:t>” means any liquidation, dissolution, or winding up of the Corporation, whether voluntary or involuntary, or any Acquisition or Asset Transfer.</w:t>
      </w:r>
    </w:p>
    <w:p>
      <w:pPr>
        <w:spacing w:after="0" w:line="110" w:lineRule="exact"/>
        <w:rPr>
          <w:sz w:val="20"/>
          <w:szCs w:val="20"/>
          <w:color w:val="auto"/>
        </w:rPr>
      </w:pPr>
    </w:p>
    <w:p>
      <w:pPr>
        <w:ind w:right="60" w:firstLine="916"/>
        <w:spacing w:after="0" w:line="263" w:lineRule="auto"/>
        <w:rPr>
          <w:sz w:val="20"/>
          <w:szCs w:val="20"/>
          <w:color w:val="auto"/>
        </w:rPr>
      </w:pPr>
      <w:r>
        <w:rPr>
          <w:rFonts w:ascii="Arial" w:cs="Arial" w:eastAsia="Arial" w:hAnsi="Arial"/>
          <w:sz w:val="15"/>
          <w:szCs w:val="15"/>
          <w:color w:val="auto"/>
        </w:rPr>
        <w:t>1.12 “</w:t>
      </w:r>
      <w:r>
        <w:rPr>
          <w:rFonts w:ascii="Arial" w:cs="Arial" w:eastAsia="Arial" w:hAnsi="Arial"/>
          <w:sz w:val="15"/>
          <w:szCs w:val="15"/>
          <w:b w:val="1"/>
          <w:bCs w:val="1"/>
          <w:i w:val="1"/>
          <w:iCs w:val="1"/>
          <w:color w:val="auto"/>
        </w:rPr>
        <w:t>Listing Standards</w:t>
      </w:r>
      <w:r>
        <w:rPr>
          <w:rFonts w:ascii="Arial" w:cs="Arial" w:eastAsia="Arial" w:hAnsi="Arial"/>
          <w:sz w:val="15"/>
          <w:szCs w:val="15"/>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1.13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of an entity means any entity that directly or indirectly owns or controls a majority of the voting power of the voting securities of such entity.</w:t>
      </w:r>
    </w:p>
    <w:p>
      <w:pPr>
        <w:spacing w:after="0" w:line="98" w:lineRule="exact"/>
        <w:rPr>
          <w:sz w:val="20"/>
          <w:szCs w:val="20"/>
          <w:color w:val="auto"/>
        </w:rPr>
      </w:pPr>
    </w:p>
    <w:p>
      <w:pPr>
        <w:jc w:val="both"/>
        <w:ind w:right="480" w:firstLine="916"/>
        <w:spacing w:after="0" w:line="263" w:lineRule="auto"/>
        <w:rPr>
          <w:sz w:val="20"/>
          <w:szCs w:val="20"/>
          <w:color w:val="auto"/>
        </w:rPr>
      </w:pPr>
      <w:r>
        <w:rPr>
          <w:rFonts w:ascii="Arial" w:cs="Arial" w:eastAsia="Arial" w:hAnsi="Arial"/>
          <w:sz w:val="15"/>
          <w:szCs w:val="15"/>
          <w:color w:val="auto"/>
        </w:rPr>
        <w:t>1.14 “</w:t>
      </w:r>
      <w:r>
        <w:rPr>
          <w:rFonts w:ascii="Arial" w:cs="Arial" w:eastAsia="Arial" w:hAnsi="Arial"/>
          <w:sz w:val="15"/>
          <w:szCs w:val="15"/>
          <w:b w:val="1"/>
          <w:bCs w:val="1"/>
          <w:i w:val="1"/>
          <w:iCs w:val="1"/>
          <w:color w:val="auto"/>
        </w:rPr>
        <w:t>Permitted Entity</w:t>
      </w:r>
      <w:r>
        <w:rPr>
          <w:rFonts w:ascii="Arial" w:cs="Arial" w:eastAsia="Arial" w:hAnsi="Arial"/>
          <w:sz w:val="15"/>
          <w:szCs w:val="15"/>
          <w:color w:val="auto"/>
        </w:rPr>
        <w:t>” means, with respect to any Qualified Stockholder , any trust, account, plan, corporation, partnership, or limited liability company specified in Section V.1.15(b) with respect to such Qualified Stockholder, so long as such Permitted Entity meets the requirements of the exception set forth in Section V.1.15 applicable to such Permitted Entity.</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1.15 “</w:t>
      </w:r>
      <w:r>
        <w:rPr>
          <w:rFonts w:ascii="Arial" w:cs="Arial" w:eastAsia="Arial" w:hAnsi="Arial"/>
          <w:sz w:val="15"/>
          <w:szCs w:val="15"/>
          <w:b w:val="1"/>
          <w:bCs w:val="1"/>
          <w:i w:val="1"/>
          <w:iCs w:val="1"/>
          <w:color w:val="auto"/>
        </w:rPr>
        <w:t>Permitted Transfer</w:t>
      </w:r>
      <w:r>
        <w:rPr>
          <w:rFonts w:ascii="Arial" w:cs="Arial" w:eastAsia="Arial" w:hAnsi="Arial"/>
          <w:sz w:val="15"/>
          <w:szCs w:val="15"/>
          <w:color w:val="auto"/>
        </w:rPr>
        <w:t>” means</w:t>
      </w:r>
    </w:p>
    <w:p>
      <w:pPr>
        <w:spacing w:after="0" w:line="98" w:lineRule="exact"/>
        <w:rPr>
          <w:sz w:val="20"/>
          <w:szCs w:val="20"/>
          <w:color w:val="auto"/>
        </w:rPr>
      </w:pPr>
    </w:p>
    <w:p>
      <w:pPr>
        <w:ind w:right="400" w:firstLine="1478"/>
        <w:spacing w:after="0" w:line="312" w:lineRule="auto"/>
        <w:tabs>
          <w:tab w:leader="none" w:pos="169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60"/>
          </w:cols>
          <w:pgMar w:left="240" w:top="253" w:right="299" w:bottom="1440" w:gutter="0" w:footer="0" w:header="0"/>
        </w:sectPr>
      </w:pPr>
    </w:p>
    <w:bookmarkStart w:id="296" w:name="page297"/>
    <w:bookmarkEnd w:id="296"/>
    <w:p>
      <w:pPr>
        <w:ind w:right="40" w:firstLine="1478"/>
        <w:spacing w:after="0" w:line="275" w:lineRule="auto"/>
        <w:tabs>
          <w:tab w:leader="none" w:pos="1701" w:val="left"/>
        </w:tabs>
        <w:numPr>
          <w:ilvl w:val="0"/>
          <w:numId w:val="1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55" w:lineRule="exact"/>
        <w:rPr>
          <w:rFonts w:ascii="Arial" w:cs="Arial" w:eastAsia="Arial" w:hAnsi="Arial"/>
          <w:sz w:val="15"/>
          <w:szCs w:val="15"/>
          <w:color w:val="auto"/>
        </w:rPr>
      </w:pPr>
    </w:p>
    <w:p>
      <w:pPr>
        <w:ind w:firstLine="1936"/>
        <w:spacing w:after="0" w:line="259" w:lineRule="auto"/>
        <w:tabs>
          <w:tab w:leader="none" w:pos="2126" w:val="left"/>
        </w:tabs>
        <w:numPr>
          <w:ilvl w:val="1"/>
          <w:numId w:val="176"/>
        </w:numPr>
        <w:rPr>
          <w:rFonts w:ascii="Arial" w:cs="Arial" w:eastAsia="Arial" w:hAnsi="Arial"/>
          <w:sz w:val="15"/>
          <w:szCs w:val="15"/>
          <w:color w:val="auto"/>
        </w:rPr>
      </w:pPr>
      <w:r>
        <w:rPr>
          <w:rFonts w:ascii="Arial" w:cs="Arial" w:eastAsia="Arial" w:hAnsi="Arial"/>
          <w:sz w:val="15"/>
          <w:szCs w:val="15"/>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67" w:lineRule="exact"/>
        <w:rPr>
          <w:rFonts w:ascii="Arial" w:cs="Arial" w:eastAsia="Arial" w:hAnsi="Arial"/>
          <w:sz w:val="15"/>
          <w:szCs w:val="15"/>
          <w:color w:val="auto"/>
        </w:rPr>
      </w:pPr>
    </w:p>
    <w:p>
      <w:pPr>
        <w:ind w:right="80" w:firstLine="1936"/>
        <w:spacing w:after="0" w:line="311" w:lineRule="auto"/>
        <w:tabs>
          <w:tab w:leader="none" w:pos="2167" w:val="left"/>
        </w:tabs>
        <w:numPr>
          <w:ilvl w:val="1"/>
          <w:numId w:val="176"/>
        </w:numPr>
        <w:rPr>
          <w:rFonts w:ascii="Arial" w:cs="Arial" w:eastAsia="Arial" w:hAnsi="Arial"/>
          <w:sz w:val="13"/>
          <w:szCs w:val="13"/>
          <w:color w:val="auto"/>
        </w:rPr>
      </w:pPr>
      <w:r>
        <w:rPr>
          <w:rFonts w:ascii="Arial" w:cs="Arial" w:eastAsia="Arial" w:hAnsi="Arial"/>
          <w:sz w:val="13"/>
          <w:szCs w:val="13"/>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37" w:lineRule="exact"/>
        <w:rPr>
          <w:rFonts w:ascii="Arial" w:cs="Arial" w:eastAsia="Arial" w:hAnsi="Arial"/>
          <w:sz w:val="13"/>
          <w:szCs w:val="13"/>
          <w:color w:val="auto"/>
        </w:rPr>
      </w:pPr>
    </w:p>
    <w:p>
      <w:pPr>
        <w:ind w:right="160" w:firstLine="1936"/>
        <w:spacing w:after="0" w:line="276" w:lineRule="auto"/>
        <w:tabs>
          <w:tab w:leader="none" w:pos="2209" w:val="left"/>
        </w:tabs>
        <w:numPr>
          <w:ilvl w:val="1"/>
          <w:numId w:val="176"/>
        </w:numPr>
        <w:rPr>
          <w:rFonts w:ascii="Arial" w:cs="Arial" w:eastAsia="Arial" w:hAnsi="Arial"/>
          <w:sz w:val="14"/>
          <w:szCs w:val="14"/>
          <w:color w:val="auto"/>
        </w:rPr>
      </w:pPr>
      <w:r>
        <w:rPr>
          <w:rFonts w:ascii="Arial" w:cs="Arial" w:eastAsia="Arial" w:hAnsi="Arial"/>
          <w:sz w:val="14"/>
          <w:szCs w:val="14"/>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w:t>
      </w:r>
    </w:p>
    <w:p>
      <w:pPr>
        <w:ind w:right="220"/>
        <w:spacing w:after="0" w:line="314" w:lineRule="auto"/>
        <w:rPr>
          <w:rFonts w:ascii="Arial" w:cs="Arial" w:eastAsia="Arial" w:hAnsi="Arial"/>
          <w:sz w:val="14"/>
          <w:szCs w:val="14"/>
          <w:color w:val="auto"/>
        </w:rPr>
      </w:pPr>
      <w:r>
        <w:rPr>
          <w:rFonts w:ascii="Arial" w:cs="Arial" w:eastAsia="Arial" w:hAnsi="Arial"/>
          <w:sz w:val="13"/>
          <w:szCs w:val="13"/>
          <w:color w:val="auto"/>
        </w:rPr>
        <w:t>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35" w:lineRule="exact"/>
        <w:rPr>
          <w:rFonts w:ascii="Arial" w:cs="Arial" w:eastAsia="Arial" w:hAnsi="Arial"/>
          <w:sz w:val="14"/>
          <w:szCs w:val="14"/>
          <w:color w:val="auto"/>
        </w:rPr>
      </w:pPr>
    </w:p>
    <w:p>
      <w:pPr>
        <w:ind w:right="80" w:firstLine="1936"/>
        <w:spacing w:after="0" w:line="305" w:lineRule="auto"/>
        <w:tabs>
          <w:tab w:leader="none" w:pos="2201" w:val="left"/>
        </w:tabs>
        <w:numPr>
          <w:ilvl w:val="1"/>
          <w:numId w:val="176"/>
        </w:numPr>
        <w:rPr>
          <w:rFonts w:ascii="Arial" w:cs="Arial" w:eastAsia="Arial" w:hAnsi="Arial"/>
          <w:sz w:val="13"/>
          <w:szCs w:val="13"/>
          <w:color w:val="auto"/>
        </w:rPr>
      </w:pPr>
      <w:r>
        <w:rPr>
          <w:rFonts w:ascii="Arial" w:cs="Arial" w:eastAsia="Arial" w:hAnsi="Arial"/>
          <w:sz w:val="13"/>
          <w:szCs w:val="13"/>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253" w:right="219" w:bottom="1440" w:gutter="0" w:footer="0" w:header="0"/>
        </w:sectPr>
      </w:pPr>
    </w:p>
    <w:bookmarkStart w:id="297" w:name="page298"/>
    <w:bookmarkEnd w:id="297"/>
    <w:p>
      <w:pPr>
        <w:ind w:firstLine="1936"/>
        <w:spacing w:after="0" w:line="305" w:lineRule="auto"/>
        <w:tabs>
          <w:tab w:leader="none" w:pos="2159" w:val="left"/>
        </w:tabs>
        <w:numPr>
          <w:ilvl w:val="0"/>
          <w:numId w:val="17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42" w:lineRule="exact"/>
        <w:rPr>
          <w:rFonts w:ascii="Arial" w:cs="Arial" w:eastAsia="Arial" w:hAnsi="Arial"/>
          <w:sz w:val="13"/>
          <w:szCs w:val="13"/>
          <w:color w:val="auto"/>
        </w:rPr>
      </w:pPr>
    </w:p>
    <w:p>
      <w:pPr>
        <w:ind w:right="180" w:firstLine="1936"/>
        <w:spacing w:after="0" w:line="255" w:lineRule="auto"/>
        <w:tabs>
          <w:tab w:leader="none" w:pos="2201"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64"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1.16 “</w:t>
      </w:r>
      <w:r>
        <w:rPr>
          <w:rFonts w:ascii="Arial" w:cs="Arial" w:eastAsia="Arial" w:hAnsi="Arial"/>
          <w:sz w:val="13"/>
          <w:szCs w:val="13"/>
          <w:b w:val="1"/>
          <w:bCs w:val="1"/>
          <w:i w:val="1"/>
          <w:iCs w:val="1"/>
          <w:color w:val="auto"/>
        </w:rPr>
        <w:t>Permitted Transferee</w:t>
      </w:r>
      <w:r>
        <w:rPr>
          <w:rFonts w:ascii="Arial" w:cs="Arial" w:eastAsia="Arial" w:hAnsi="Arial"/>
          <w:sz w:val="13"/>
          <w:szCs w:val="13"/>
          <w:color w:val="auto"/>
        </w:rPr>
        <w:t>” means a transferee of shares of Class B Common Stock, or rights or interests therein, received in a Transfer that constitutes a Permitted Transfer.</w:t>
      </w:r>
    </w:p>
    <w:p>
      <w:pPr>
        <w:spacing w:after="0" w:line="121" w:lineRule="exact"/>
        <w:rPr>
          <w:sz w:val="20"/>
          <w:szCs w:val="20"/>
          <w:color w:val="auto"/>
        </w:rPr>
      </w:pPr>
    </w:p>
    <w:p>
      <w:pPr>
        <w:ind w:right="260" w:firstLine="916"/>
        <w:spacing w:after="0" w:line="283"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b w:val="1"/>
          <w:bCs w:val="1"/>
          <w:i w:val="1"/>
          <w:iCs w:val="1"/>
          <w:color w:val="auto"/>
        </w:rPr>
        <w:t>Qualified Stockholder</w:t>
      </w:r>
      <w:r>
        <w:rPr>
          <w:rFonts w:ascii="Arial" w:cs="Arial" w:eastAsia="Arial" w:hAnsi="Arial"/>
          <w:sz w:val="14"/>
          <w:szCs w:val="14"/>
          <w:color w:val="auto"/>
        </w:rPr>
        <w:t>” means (a) any registered holder of a share of Class B Common Stock immediately after the IPO Date; (b) the initial registered holder of any shares of Class B Common Stock that are originally issued by the Corporation after the IPO Date pursuant to the exercise or conversion of options or warrants or settlement of restricted stock units (“</w:t>
      </w:r>
      <w:r>
        <w:rPr>
          <w:rFonts w:ascii="Arial" w:cs="Arial" w:eastAsia="Arial" w:hAnsi="Arial"/>
          <w:sz w:val="14"/>
          <w:szCs w:val="14"/>
          <w:b w:val="1"/>
          <w:bCs w:val="1"/>
          <w:i w:val="1"/>
          <w:iCs w:val="1"/>
          <w:color w:val="auto"/>
        </w:rPr>
        <w:t>RSUs</w:t>
      </w:r>
      <w:r>
        <w:rPr>
          <w:rFonts w:ascii="Arial" w:cs="Arial" w:eastAsia="Arial" w:hAnsi="Arial"/>
          <w:sz w:val="14"/>
          <w:szCs w:val="14"/>
          <w:color w:val="auto"/>
        </w:rPr>
        <w:t>”) that, in each case, are outstanding as the IPO Date; (c) a Permitted Transferee; and (d) the initial registered holder of any shares of Class B Common Stock that are originally issued by the Corporation after the IPO Date in compliance with this Amended and Restated Certificate.</w:t>
      </w:r>
    </w:p>
    <w:p>
      <w:pPr>
        <w:spacing w:after="0" w:line="53" w:lineRule="exact"/>
        <w:rPr>
          <w:sz w:val="20"/>
          <w:szCs w:val="20"/>
          <w:color w:val="auto"/>
        </w:rPr>
      </w:pPr>
    </w:p>
    <w:p>
      <w:pPr>
        <w:ind w:right="140" w:firstLine="916"/>
        <w:spacing w:after="0" w:line="259" w:lineRule="auto"/>
        <w:rPr>
          <w:sz w:val="20"/>
          <w:szCs w:val="20"/>
          <w:color w:val="auto"/>
        </w:rPr>
      </w:pPr>
      <w:r>
        <w:rPr>
          <w:rFonts w:ascii="Arial" w:cs="Arial" w:eastAsia="Arial" w:hAnsi="Arial"/>
          <w:sz w:val="15"/>
          <w:szCs w:val="15"/>
          <w:color w:val="auto"/>
        </w:rPr>
        <w:t>1.18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53" w:right="239" w:bottom="1440" w:gutter="0" w:footer="0" w:header="0"/>
        </w:sectPr>
      </w:pPr>
    </w:p>
    <w:bookmarkStart w:id="298" w:name="page299"/>
    <w:bookmarkEnd w:id="298"/>
    <w:p>
      <w:pPr>
        <w:ind w:left="10" w:right="10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entering into a binding agreement with respect to, Voting Control (as defined below) over such share by proxy or otherwise. A “</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w:t>
      </w:r>
    </w:p>
    <w:p>
      <w:pPr>
        <w:spacing w:after="0" w:line="53" w:lineRule="exact"/>
        <w:rPr>
          <w:sz w:val="20"/>
          <w:szCs w:val="20"/>
          <w:color w:val="auto"/>
        </w:rPr>
      </w:pPr>
    </w:p>
    <w:p>
      <w:pPr>
        <w:ind w:left="10" w:right="300" w:firstLine="1478"/>
        <w:spacing w:after="0" w:line="275" w:lineRule="auto"/>
        <w:tabs>
          <w:tab w:leader="none" w:pos="1702" w:val="left"/>
        </w:tabs>
        <w:numPr>
          <w:ilvl w:val="1"/>
          <w:numId w:val="178"/>
        </w:numPr>
        <w:rPr>
          <w:rFonts w:ascii="Arial" w:cs="Arial" w:eastAsia="Arial" w:hAnsi="Arial"/>
          <w:sz w:val="15"/>
          <w:szCs w:val="15"/>
          <w:color w:val="auto"/>
        </w:rPr>
      </w:pPr>
      <w:r>
        <w:rPr>
          <w:rFonts w:ascii="Arial" w:cs="Arial" w:eastAsia="Arial" w:hAnsi="Arial"/>
          <w:sz w:val="15"/>
          <w:szCs w:val="15"/>
          <w:color w:val="auto"/>
        </w:rPr>
        <w:t>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55" w:lineRule="exact"/>
        <w:rPr>
          <w:rFonts w:ascii="Arial" w:cs="Arial" w:eastAsia="Arial" w:hAnsi="Arial"/>
          <w:sz w:val="15"/>
          <w:szCs w:val="15"/>
          <w:color w:val="auto"/>
        </w:rPr>
      </w:pPr>
    </w:p>
    <w:p>
      <w:pPr>
        <w:ind w:left="10" w:right="160" w:firstLine="1478"/>
        <w:spacing w:after="0" w:line="297" w:lineRule="auto"/>
        <w:tabs>
          <w:tab w:leader="none" w:pos="1711" w:val="left"/>
        </w:tabs>
        <w:numPr>
          <w:ilvl w:val="1"/>
          <w:numId w:val="178"/>
        </w:numPr>
        <w:rPr>
          <w:rFonts w:ascii="Arial" w:cs="Arial" w:eastAsia="Arial" w:hAnsi="Arial"/>
          <w:sz w:val="13"/>
          <w:szCs w:val="13"/>
          <w:color w:val="auto"/>
        </w:rPr>
      </w:pPr>
      <w:r>
        <w:rPr>
          <w:rFonts w:ascii="Arial" w:cs="Arial" w:eastAsia="Arial" w:hAnsi="Arial"/>
          <w:sz w:val="13"/>
          <w:szCs w:val="13"/>
          <w:color w:val="auto"/>
        </w:rPr>
        <w:t>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w:t>
      </w:r>
    </w:p>
    <w:p>
      <w:pPr>
        <w:ind w:left="10" w:hanging="10"/>
        <w:spacing w:after="0" w:line="262" w:lineRule="auto"/>
        <w:tabs>
          <w:tab w:leader="none" w:pos="23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65" w:lineRule="exact"/>
        <w:rPr>
          <w:rFonts w:ascii="Arial" w:cs="Arial" w:eastAsia="Arial" w:hAnsi="Arial"/>
          <w:sz w:val="15"/>
          <w:szCs w:val="15"/>
          <w:color w:val="auto"/>
        </w:rPr>
      </w:pPr>
    </w:p>
    <w:p>
      <w:pPr>
        <w:ind w:left="10" w:right="100" w:firstLine="1478"/>
        <w:spacing w:after="0" w:line="263" w:lineRule="auto"/>
        <w:tabs>
          <w:tab w:leader="none" w:pos="1702" w:val="left"/>
        </w:tabs>
        <w:numPr>
          <w:ilvl w:val="1"/>
          <w:numId w:val="179"/>
        </w:numPr>
        <w:rPr>
          <w:rFonts w:ascii="Arial" w:cs="Arial" w:eastAsia="Arial" w:hAnsi="Arial"/>
          <w:sz w:val="15"/>
          <w:szCs w:val="15"/>
          <w:color w:val="auto"/>
        </w:rPr>
      </w:pPr>
      <w:r>
        <w:rPr>
          <w:rFonts w:ascii="Arial" w:cs="Arial" w:eastAsia="Arial" w:hAnsi="Arial"/>
          <w:sz w:val="15"/>
          <w:szCs w:val="15"/>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64" w:lineRule="exact"/>
        <w:rPr>
          <w:rFonts w:ascii="Arial" w:cs="Arial" w:eastAsia="Arial" w:hAnsi="Arial"/>
          <w:sz w:val="15"/>
          <w:szCs w:val="15"/>
          <w:color w:val="auto"/>
        </w:rPr>
      </w:pPr>
    </w:p>
    <w:p>
      <w:pPr>
        <w:ind w:left="10" w:right="160" w:firstLine="1478"/>
        <w:spacing w:after="0" w:line="263" w:lineRule="auto"/>
        <w:tabs>
          <w:tab w:leader="none" w:pos="1711" w:val="left"/>
        </w:tabs>
        <w:numPr>
          <w:ilvl w:val="1"/>
          <w:numId w:val="179"/>
        </w:numPr>
        <w:rPr>
          <w:rFonts w:ascii="Arial" w:cs="Arial" w:eastAsia="Arial" w:hAnsi="Arial"/>
          <w:sz w:val="15"/>
          <w:szCs w:val="15"/>
          <w:color w:val="auto"/>
        </w:rPr>
      </w:pPr>
      <w:r>
        <w:rPr>
          <w:rFonts w:ascii="Arial" w:cs="Arial" w:eastAsia="Arial" w:hAnsi="Arial"/>
          <w:sz w:val="15"/>
          <w:szCs w:val="15"/>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64" w:lineRule="exact"/>
        <w:rPr>
          <w:rFonts w:ascii="Arial" w:cs="Arial" w:eastAsia="Arial" w:hAnsi="Arial"/>
          <w:sz w:val="15"/>
          <w:szCs w:val="15"/>
          <w:color w:val="auto"/>
        </w:rPr>
      </w:pPr>
    </w:p>
    <w:p>
      <w:pPr>
        <w:ind w:left="10" w:right="80" w:firstLine="1478"/>
        <w:spacing w:after="0" w:line="283" w:lineRule="auto"/>
        <w:tabs>
          <w:tab w:leader="none" w:pos="1702" w:val="left"/>
        </w:tabs>
        <w:numPr>
          <w:ilvl w:val="1"/>
          <w:numId w:val="179"/>
        </w:numPr>
        <w:rPr>
          <w:rFonts w:ascii="Arial" w:cs="Arial" w:eastAsia="Arial" w:hAnsi="Arial"/>
          <w:sz w:val="14"/>
          <w:szCs w:val="14"/>
          <w:color w:val="auto"/>
        </w:rPr>
      </w:pPr>
      <w:r>
        <w:rPr>
          <w:rFonts w:ascii="Arial" w:cs="Arial" w:eastAsia="Arial" w:hAnsi="Arial"/>
          <w:sz w:val="14"/>
          <w:szCs w:val="14"/>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8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50"/>
          </w:cols>
          <w:pgMar w:left="230" w:top="253" w:right="219" w:bottom="1440" w:gutter="0" w:footer="0" w:header="0"/>
        </w:sectPr>
      </w:pPr>
    </w:p>
    <w:bookmarkStart w:id="299" w:name="page300"/>
    <w:bookmarkEnd w:id="299"/>
    <w:p>
      <w:pPr>
        <w:ind w:right="340" w:firstLine="1478"/>
        <w:spacing w:after="0" w:line="312" w:lineRule="auto"/>
        <w:tabs>
          <w:tab w:leader="none" w:pos="1676" w:val="left"/>
        </w:tabs>
        <w:numPr>
          <w:ilvl w:val="0"/>
          <w:numId w:val="18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32" w:lineRule="exact"/>
        <w:rPr>
          <w:rFonts w:ascii="Arial" w:cs="Arial" w:eastAsia="Arial" w:hAnsi="Arial"/>
          <w:sz w:val="14"/>
          <w:szCs w:val="14"/>
          <w:color w:val="auto"/>
        </w:rPr>
      </w:pPr>
    </w:p>
    <w:p>
      <w:pPr>
        <w:ind w:right="40" w:firstLine="1478"/>
        <w:spacing w:after="0" w:line="275" w:lineRule="auto"/>
        <w:tabs>
          <w:tab w:leader="none" w:pos="1701"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55" w:lineRule="exact"/>
        <w:rPr>
          <w:rFonts w:ascii="Arial" w:cs="Arial" w:eastAsia="Arial" w:hAnsi="Arial"/>
          <w:sz w:val="15"/>
          <w:szCs w:val="15"/>
          <w:color w:val="auto"/>
        </w:rPr>
      </w:pPr>
    </w:p>
    <w:p>
      <w:pPr>
        <w:ind w:firstLine="1478"/>
        <w:spacing w:after="0" w:line="312" w:lineRule="auto"/>
        <w:tabs>
          <w:tab w:leader="none" w:pos="1701"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32" w:lineRule="exact"/>
        <w:rPr>
          <w:rFonts w:ascii="Arial" w:cs="Arial" w:eastAsia="Arial" w:hAnsi="Arial"/>
          <w:sz w:val="14"/>
          <w:szCs w:val="14"/>
          <w:color w:val="auto"/>
        </w:rPr>
      </w:pPr>
    </w:p>
    <w:p>
      <w:pPr>
        <w:ind w:right="260" w:firstLine="1478"/>
        <w:spacing w:after="0" w:line="275" w:lineRule="auto"/>
        <w:tabs>
          <w:tab w:leader="none" w:pos="1668"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56" w:lineRule="exact"/>
        <w:rPr>
          <w:sz w:val="20"/>
          <w:szCs w:val="20"/>
          <w:color w:val="auto"/>
        </w:rPr>
      </w:pPr>
    </w:p>
    <w:p>
      <w:pPr>
        <w:ind w:right="240" w:firstLine="916"/>
        <w:spacing w:after="0" w:line="275"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b w:val="1"/>
          <w:bCs w:val="1"/>
          <w:i w:val="1"/>
          <w:iCs w:val="1"/>
          <w:color w:val="auto"/>
        </w:rPr>
        <w:t>Voting Control</w:t>
      </w:r>
      <w:r>
        <w:rPr>
          <w:rFonts w:ascii="Arial" w:cs="Arial" w:eastAsia="Arial" w:hAnsi="Arial"/>
          <w:sz w:val="15"/>
          <w:szCs w:val="15"/>
          <w:color w:val="auto"/>
        </w:rPr>
        <w:t>” means, with respect to a share of capital stock or other security, the power (whether exclusive or shared) to vote or direct the voting of such security, including by proxy, voting agreement or otherwise.</w:t>
      </w:r>
    </w:p>
    <w:p>
      <w:pPr>
        <w:spacing w:after="0" w:line="56" w:lineRule="exact"/>
        <w:rPr>
          <w:sz w:val="20"/>
          <w:szCs w:val="20"/>
          <w:color w:val="auto"/>
        </w:rPr>
      </w:pPr>
    </w:p>
    <w:p>
      <w:pPr>
        <w:ind w:right="180" w:firstLine="916"/>
        <w:spacing w:after="0" w:line="275" w:lineRule="auto"/>
        <w:rPr>
          <w:sz w:val="20"/>
          <w:szCs w:val="20"/>
          <w:color w:val="auto"/>
        </w:rPr>
      </w:pPr>
      <w:r>
        <w:rPr>
          <w:rFonts w:ascii="Arial" w:cs="Arial" w:eastAsia="Arial" w:hAnsi="Arial"/>
          <w:sz w:val="15"/>
          <w:szCs w:val="15"/>
          <w:color w:val="auto"/>
        </w:rPr>
        <w:t>1.20 “</w:t>
      </w:r>
      <w:r>
        <w:rPr>
          <w:rFonts w:ascii="Arial" w:cs="Arial" w:eastAsia="Arial" w:hAnsi="Arial"/>
          <w:sz w:val="15"/>
          <w:szCs w:val="15"/>
          <w:b w:val="1"/>
          <w:bCs w:val="1"/>
          <w:i w:val="1"/>
          <w:iCs w:val="1"/>
          <w:color w:val="auto"/>
        </w:rPr>
        <w:t>Voting Threshold Date</w:t>
      </w:r>
      <w:r>
        <w:rPr>
          <w:rFonts w:ascii="Arial" w:cs="Arial" w:eastAsia="Arial" w:hAnsi="Arial"/>
          <w:sz w:val="15"/>
          <w:szCs w:val="15"/>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1.21 “</w:t>
      </w:r>
      <w:r>
        <w:rPr>
          <w:rFonts w:ascii="Arial" w:cs="Arial" w:eastAsia="Arial" w:hAnsi="Arial"/>
          <w:sz w:val="14"/>
          <w:szCs w:val="14"/>
          <w:b w:val="1"/>
          <w:bCs w:val="1"/>
          <w:i w:val="1"/>
          <w:iCs w:val="1"/>
          <w:color w:val="auto"/>
        </w:rPr>
        <w:t>Whole Board</w:t>
      </w:r>
      <w:r>
        <w:rPr>
          <w:rFonts w:ascii="Arial" w:cs="Arial" w:eastAsia="Arial" w:hAnsi="Arial"/>
          <w:sz w:val="14"/>
          <w:szCs w:val="14"/>
          <w:color w:val="auto"/>
        </w:rPr>
        <w:t>” means the total number of authorized directors whether or not there exist any vacancies or unfilled seats in previously authorized directorships.</w:t>
      </w:r>
    </w:p>
    <w:p>
      <w:pPr>
        <w:spacing w:after="0" w:line="110" w:lineRule="exact"/>
        <w:rPr>
          <w:sz w:val="20"/>
          <w:szCs w:val="20"/>
          <w:color w:val="auto"/>
        </w:rPr>
      </w:pPr>
    </w:p>
    <w:p>
      <w:pPr>
        <w:jc w:val="both"/>
        <w:ind w:right="300" w:firstLine="448"/>
        <w:spacing w:after="0" w:line="263" w:lineRule="auto"/>
        <w:tabs>
          <w:tab w:leader="none" w:pos="608"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Identical Rights</w:t>
      </w:r>
      <w:r>
        <w:rPr>
          <w:rFonts w:ascii="Arial" w:cs="Arial" w:eastAsia="Arial" w:hAnsi="Arial"/>
          <w:sz w:val="15"/>
          <w:szCs w:val="15"/>
          <w:color w:val="auto"/>
        </w:rPr>
        <w:t>. Except as otherwise provided in this Amended and Restated Certificate or required by applicable law, shares of Common Stock shall have the same rights and powers, rank equally (including as to dividends and distributions, and any liquidation, dissolution or winding up of the corporation but excluding voting and other matters as described in Section V.3 below), share ratably and be identical in all respects as to all matters, including:</w:t>
      </w:r>
    </w:p>
    <w:p>
      <w:pPr>
        <w:spacing w:after="0" w:line="65" w:lineRule="exact"/>
        <w:rPr>
          <w:sz w:val="20"/>
          <w:szCs w:val="20"/>
          <w:color w:val="auto"/>
        </w:rPr>
      </w:pPr>
    </w:p>
    <w:p>
      <w:pPr>
        <w:ind w:right="60" w:firstLine="916"/>
        <w:spacing w:after="0" w:line="311" w:lineRule="auto"/>
        <w:rPr>
          <w:sz w:val="20"/>
          <w:szCs w:val="20"/>
          <w:color w:val="auto"/>
        </w:rPr>
      </w:pPr>
      <w:r>
        <w:rPr>
          <w:rFonts w:ascii="Arial" w:cs="Arial" w:eastAsia="Arial" w:hAnsi="Arial"/>
          <w:sz w:val="13"/>
          <w:szCs w:val="13"/>
          <w:color w:val="auto"/>
        </w:rPr>
        <w:t>2.1 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253" w:right="219" w:bottom="1440" w:gutter="0" w:footer="0" w:header="0"/>
        </w:sectPr>
      </w:pPr>
    </w:p>
    <w:bookmarkStart w:id="300" w:name="page301"/>
    <w:bookmarkEnd w:id="300"/>
    <w:p>
      <w:pPr>
        <w:ind w:firstLine="916"/>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233" w:lineRule="exact"/>
        <w:rPr>
          <w:sz w:val="20"/>
          <w:szCs w:val="20"/>
          <w:color w:val="auto"/>
        </w:rPr>
      </w:pPr>
    </w:p>
    <w:p>
      <w:pPr>
        <w:ind w:right="100" w:firstLine="916"/>
        <w:spacing w:after="0" w:line="275" w:lineRule="auto"/>
        <w:rPr>
          <w:sz w:val="20"/>
          <w:szCs w:val="20"/>
          <w:color w:val="auto"/>
        </w:rPr>
      </w:pPr>
      <w:r>
        <w:rPr>
          <w:rFonts w:ascii="Arial" w:cs="Arial" w:eastAsia="Arial" w:hAnsi="Arial"/>
          <w:sz w:val="15"/>
          <w:szCs w:val="15"/>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56" w:lineRule="exact"/>
        <w:rPr>
          <w:sz w:val="20"/>
          <w:szCs w:val="20"/>
          <w:color w:val="auto"/>
        </w:rPr>
      </w:pPr>
    </w:p>
    <w:p>
      <w:pPr>
        <w:ind w:left="600" w:hanging="152"/>
        <w:spacing w:after="0"/>
        <w:tabs>
          <w:tab w:leader="none" w:pos="600"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Voting Rights.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Common Stock</w:t>
      </w:r>
      <w:r>
        <w:rPr>
          <w:rFonts w:ascii="Arial" w:cs="Arial" w:eastAsia="Arial" w:hAnsi="Arial"/>
          <w:sz w:val="15"/>
          <w:szCs w:val="15"/>
          <w:color w:val="auto"/>
        </w:rPr>
        <w:t>.</w:t>
      </w:r>
    </w:p>
    <w:p>
      <w:pPr>
        <w:spacing w:after="0" w:line="98" w:lineRule="exact"/>
        <w:rPr>
          <w:sz w:val="20"/>
          <w:szCs w:val="20"/>
          <w:color w:val="auto"/>
        </w:rPr>
      </w:pPr>
    </w:p>
    <w:p>
      <w:pPr>
        <w:ind w:right="460" w:firstLine="1478"/>
        <w:spacing w:after="0" w:line="275" w:lineRule="auto"/>
        <w:tabs>
          <w:tab w:leader="none" w:pos="1692" w:val="left"/>
        </w:tabs>
        <w:numPr>
          <w:ilvl w:val="0"/>
          <w:numId w:val="183"/>
        </w:numPr>
        <w:rPr>
          <w:rFonts w:ascii="Arial" w:cs="Arial" w:eastAsia="Arial" w:hAnsi="Arial"/>
          <w:sz w:val="15"/>
          <w:szCs w:val="15"/>
          <w:color w:val="auto"/>
        </w:rPr>
      </w:pPr>
      <w:r>
        <w:rPr>
          <w:rFonts w:ascii="Arial" w:cs="Arial" w:eastAsia="Arial" w:hAnsi="Arial"/>
          <w:sz w:val="15"/>
          <w:szCs w:val="15"/>
          <w:u w:val="single" w:color="auto"/>
          <w:color w:val="auto"/>
        </w:rPr>
        <w:t>Class A Common Stock</w:t>
      </w:r>
      <w:r>
        <w:rPr>
          <w:rFonts w:ascii="Arial" w:cs="Arial" w:eastAsia="Arial" w:hAnsi="Arial"/>
          <w:sz w:val="15"/>
          <w:szCs w:val="15"/>
          <w:color w:val="auto"/>
        </w:rPr>
        <w:t>. Each holder of shares of Class A Common Stock will be entitled to one vote for each share thereof held at the record date for the determination of the stockholders entitled to vote on such matters.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00"/>
          </w:cols>
          <w:pgMar w:left="240" w:top="253" w:right="259" w:bottom="1440" w:gutter="0" w:footer="0" w:header="0"/>
        </w:sectPr>
      </w:pPr>
    </w:p>
    <w:bookmarkStart w:id="301" w:name="page302"/>
    <w:bookmarkEnd w:id="301"/>
    <w:p>
      <w:pPr>
        <w:ind w:right="460" w:firstLine="1478"/>
        <w:spacing w:after="0" w:line="275" w:lineRule="auto"/>
        <w:tabs>
          <w:tab w:leader="none" w:pos="1701"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Class B Common Stock</w:t>
      </w:r>
      <w:r>
        <w:rPr>
          <w:rFonts w:ascii="Arial" w:cs="Arial" w:eastAsia="Arial" w:hAnsi="Arial"/>
          <w:sz w:val="15"/>
          <w:szCs w:val="15"/>
          <w:color w:val="auto"/>
        </w:rPr>
        <w:t>. Each holder of shares of Class B Common Stock will be entitled to ten votes for each share thereof held at the record date for the determination of the stockholders entitled to vote on such matters.</w:t>
      </w:r>
    </w:p>
    <w:p>
      <w:pPr>
        <w:spacing w:after="0" w:line="146" w:lineRule="exact"/>
        <w:rPr>
          <w:rFonts w:ascii="Arial" w:cs="Arial" w:eastAsia="Arial" w:hAnsi="Arial"/>
          <w:sz w:val="15"/>
          <w:szCs w:val="15"/>
          <w:color w:val="auto"/>
        </w:rPr>
      </w:pPr>
    </w:p>
    <w:p>
      <w:pPr>
        <w:ind w:left="1680" w:hanging="202"/>
        <w:spacing w:after="0"/>
        <w:tabs>
          <w:tab w:leader="none" w:pos="1680" w:val="left"/>
        </w:tabs>
        <w:numPr>
          <w:ilvl w:val="0"/>
          <w:numId w:val="184"/>
        </w:numPr>
        <w:rPr>
          <w:rFonts w:ascii="Arial" w:cs="Arial" w:eastAsia="Arial" w:hAnsi="Arial"/>
          <w:sz w:val="13"/>
          <w:szCs w:val="13"/>
          <w:color w:val="auto"/>
        </w:rPr>
      </w:pPr>
      <w:r>
        <w:rPr>
          <w:rFonts w:ascii="Arial" w:cs="Arial" w:eastAsia="Arial" w:hAnsi="Arial"/>
          <w:sz w:val="13"/>
          <w:szCs w:val="13"/>
          <w:u w:val="single" w:color="auto"/>
          <w:color w:val="auto"/>
        </w:rPr>
        <w:t>Class C Common Stock</w:t>
      </w:r>
      <w:r>
        <w:rPr>
          <w:rFonts w:ascii="Arial" w:cs="Arial" w:eastAsia="Arial" w:hAnsi="Arial"/>
          <w:sz w:val="13"/>
          <w:szCs w:val="13"/>
          <w:color w:val="auto"/>
        </w:rPr>
        <w:t>. Except as required by law, the Class C Common Stock will have no voting rights and no holder thereof shall be entitled to vote on any</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matter.</w:t>
      </w:r>
    </w:p>
    <w:p>
      <w:pPr>
        <w:spacing w:after="0" w:line="89" w:lineRule="exact"/>
        <w:rPr>
          <w:sz w:val="20"/>
          <w:szCs w:val="20"/>
          <w:color w:val="auto"/>
        </w:rPr>
      </w:pPr>
    </w:p>
    <w:p>
      <w:pPr>
        <w:ind w:right="20" w:firstLine="916"/>
        <w:spacing w:after="0" w:line="275"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General</w:t>
      </w:r>
      <w:r>
        <w:rPr>
          <w:rFonts w:ascii="Arial" w:cs="Arial" w:eastAsia="Arial" w:hAnsi="Arial"/>
          <w:sz w:val="15"/>
          <w:szCs w:val="15"/>
          <w:color w:val="auto"/>
        </w:rPr>
        <w:t>. Except as otherwise expressly provided herein or as required by law, the holders of Class A Common Stock, Class B Common Stock and Class C Common Stock will vote together and not as separate series or classes.</w:t>
      </w:r>
    </w:p>
    <w:p>
      <w:pPr>
        <w:spacing w:after="0" w:line="56" w:lineRule="exact"/>
        <w:rPr>
          <w:sz w:val="20"/>
          <w:szCs w:val="20"/>
          <w:color w:val="auto"/>
        </w:rPr>
      </w:pPr>
    </w:p>
    <w:p>
      <w:pPr>
        <w:ind w:right="140" w:firstLine="916"/>
        <w:spacing w:after="0" w:line="305"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Authorized Shares</w:t>
      </w:r>
      <w:r>
        <w:rPr>
          <w:rFonts w:ascii="Arial" w:cs="Arial" w:eastAsia="Arial" w:hAnsi="Arial"/>
          <w:sz w:val="13"/>
          <w:szCs w:val="13"/>
          <w:color w:val="auto"/>
        </w:rPr>
        <w:t>.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Section V.9) by the affirmative vote of the holders of a majority of the voting power of the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43" w:lineRule="exact"/>
        <w:rPr>
          <w:sz w:val="20"/>
          <w:szCs w:val="20"/>
          <w:color w:val="auto"/>
        </w:rPr>
      </w:pPr>
    </w:p>
    <w:p>
      <w:pPr>
        <w:ind w:firstLine="916"/>
        <w:spacing w:after="0" w:line="257"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Election of Directors</w:t>
      </w:r>
      <w:r>
        <w:rPr>
          <w:rFonts w:ascii="Arial" w:cs="Arial" w:eastAsia="Arial" w:hAnsi="Arial"/>
          <w:sz w:val="15"/>
          <w:szCs w:val="15"/>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69" w:lineRule="exact"/>
        <w:rPr>
          <w:sz w:val="20"/>
          <w:szCs w:val="20"/>
          <w:color w:val="auto"/>
        </w:rPr>
      </w:pPr>
    </w:p>
    <w:p>
      <w:pPr>
        <w:ind w:right="60" w:firstLine="448"/>
        <w:spacing w:after="0" w:line="255" w:lineRule="auto"/>
        <w:tabs>
          <w:tab w:leader="none" w:pos="608"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Liquidation Rights</w:t>
      </w:r>
      <w:r>
        <w:rPr>
          <w:rFonts w:ascii="Arial" w:cs="Arial" w:eastAsia="Arial" w:hAnsi="Arial"/>
          <w:sz w:val="15"/>
          <w:szCs w:val="15"/>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“distribution to stockholders” for the purpose of this Section V.4;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 however</w:t>
      </w:r>
      <w:r>
        <w:rPr>
          <w:rFonts w:ascii="Arial" w:cs="Arial" w:eastAsia="Arial" w:hAnsi="Arial"/>
          <w:sz w:val="15"/>
          <w:szCs w:val="15"/>
          <w:color w:val="auto"/>
        </w:rPr>
        <w:t>, that shares of such classes may receive, or have the right to elect to receive, different or disproportionate consideration in connection with such consolidation, merger or other transaction if the only difference in the per share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253" w:right="239" w:bottom="1440" w:gutter="0" w:footer="0" w:header="0"/>
        </w:sectPr>
      </w:pPr>
    </w:p>
    <w:bookmarkStart w:id="302" w:name="page303"/>
    <w:bookmarkEnd w:id="302"/>
    <w:p>
      <w:pPr>
        <w:ind w:right="4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consideration to the holders of the Class A Common Stock, Class B Common Stock and Class C Common Stock is that any securities distributed to the holder of a share of Class B Common Stock have ten (10) times the voting power of any securities distributed to the holder of a share of Class A Common Stock and that any securities distributed to the holder of a share of Class C Common Stock have no voting rights or power.</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5. </w:t>
      </w:r>
      <w:r>
        <w:rPr>
          <w:rFonts w:ascii="Arial" w:cs="Arial" w:eastAsia="Arial" w:hAnsi="Arial"/>
          <w:sz w:val="15"/>
          <w:szCs w:val="15"/>
          <w:u w:val="single" w:color="auto"/>
          <w:color w:val="auto"/>
        </w:rPr>
        <w:t>Conversion of the Class B Common Stock</w:t>
      </w:r>
      <w:r>
        <w:rPr>
          <w:rFonts w:ascii="Arial" w:cs="Arial" w:eastAsia="Arial" w:hAnsi="Arial"/>
          <w:sz w:val="15"/>
          <w:szCs w:val="15"/>
          <w:color w:val="auto"/>
        </w:rPr>
        <w:t>. The Class B Common Stock will be convertible into Class A Common Stock as follows: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5.1 Each share of Class B Common Stock will automatically convert into one fully paid and nonassessable share of Class A Common Stock on the Final Conversion Date.</w:t>
      </w:r>
    </w:p>
    <w:p>
      <w:pPr>
        <w:spacing w:after="0" w:line="121" w:lineRule="exact"/>
        <w:rPr>
          <w:sz w:val="20"/>
          <w:szCs w:val="20"/>
          <w:color w:val="auto"/>
        </w:rPr>
      </w:pPr>
    </w:p>
    <w:p>
      <w:pPr>
        <w:ind w:right="160" w:firstLine="916"/>
        <w:spacing w:after="0" w:line="275" w:lineRule="auto"/>
        <w:rPr>
          <w:sz w:val="20"/>
          <w:szCs w:val="20"/>
          <w:color w:val="auto"/>
        </w:rPr>
      </w:pPr>
      <w:r>
        <w:rPr>
          <w:rFonts w:ascii="Arial" w:cs="Arial" w:eastAsia="Arial" w:hAnsi="Arial"/>
          <w:sz w:val="15"/>
          <w:szCs w:val="15"/>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56" w:lineRule="exact"/>
        <w:rPr>
          <w:sz w:val="20"/>
          <w:szCs w:val="20"/>
          <w:color w:val="auto"/>
        </w:rPr>
      </w:pPr>
    </w:p>
    <w:p>
      <w:pPr>
        <w:ind w:right="100" w:firstLine="1478"/>
        <w:spacing w:after="0" w:line="275" w:lineRule="auto"/>
        <w:tabs>
          <w:tab w:leader="none" w:pos="169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55" w:lineRule="exact"/>
        <w:rPr>
          <w:rFonts w:ascii="Arial" w:cs="Arial" w:eastAsia="Arial" w:hAnsi="Arial"/>
          <w:sz w:val="15"/>
          <w:szCs w:val="15"/>
          <w:color w:val="auto"/>
        </w:rPr>
      </w:pPr>
    </w:p>
    <w:p>
      <w:pPr>
        <w:ind w:left="1700" w:hanging="222"/>
        <w:spacing w:after="0"/>
        <w:tabs>
          <w:tab w:leader="none" w:pos="17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on the occurrence of a Transfer of such share of Class B Common Stock, other than a Permitted Transfer; or</w:t>
      </w:r>
    </w:p>
    <w:p>
      <w:pPr>
        <w:spacing w:after="0" w:line="98" w:lineRule="exact"/>
        <w:rPr>
          <w:rFonts w:ascii="Arial" w:cs="Arial" w:eastAsia="Arial" w:hAnsi="Arial"/>
          <w:sz w:val="15"/>
          <w:szCs w:val="15"/>
          <w:color w:val="auto"/>
        </w:rPr>
      </w:pPr>
    </w:p>
    <w:p>
      <w:pPr>
        <w:ind w:firstLine="1478"/>
        <w:spacing w:after="0" w:line="272" w:lineRule="auto"/>
        <w:tabs>
          <w:tab w:leader="none" w:pos="1692" w:val="left"/>
        </w:tabs>
        <w:numPr>
          <w:ilvl w:val="0"/>
          <w:numId w:val="186"/>
        </w:numPr>
        <w:rPr>
          <w:rFonts w:ascii="Arial" w:cs="Arial" w:eastAsia="Arial" w:hAnsi="Arial"/>
          <w:sz w:val="14"/>
          <w:szCs w:val="14"/>
          <w:color w:val="auto"/>
        </w:rPr>
      </w:pPr>
      <w:r>
        <w:rPr>
          <w:rFonts w:ascii="Arial" w:cs="Arial" w:eastAsia="Arial" w:hAnsi="Arial"/>
          <w:sz w:val="14"/>
          <w:szCs w:val="14"/>
          <w:color w:val="auto"/>
        </w:rPr>
        <w:t xml:space="preserve">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Section V.1.18 of this Amended and Restated Certificate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Arial" w:cs="Arial" w:eastAsia="Arial" w:hAnsi="Arial"/>
          <w:sz w:val="14"/>
          <w:szCs w:val="14"/>
          <w:i w:val="1"/>
          <w:iCs w:val="1"/>
          <w:u w:val="single" w:color="auto"/>
          <w:color w:val="auto"/>
        </w:rPr>
        <w:t>provided, further</w:t>
      </w:r>
      <w:r>
        <w:rPr>
          <w:rFonts w:ascii="Arial" w:cs="Arial" w:eastAsia="Arial" w:hAnsi="Arial"/>
          <w:sz w:val="14"/>
          <w:szCs w:val="14"/>
          <w:color w:val="auto"/>
        </w:rPr>
        <w:t>, that, if both Founders die and/or suffer a Disability simultaneously or the second Founder dies or suffers a Disability following the death or Disability of the other Founder,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253" w:right="239" w:bottom="1440" w:gutter="0" w:footer="0" w:header="0"/>
        </w:sectPr>
      </w:pPr>
    </w:p>
    <w:bookmarkStart w:id="303" w:name="page304"/>
    <w:bookmarkEnd w:id="303"/>
    <w:p>
      <w:pPr>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89535</wp:posOffset>
            </wp:positionV>
            <wp:extent cx="730885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but prior to the conversion pursuant to this Section V.5.2(c)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58" w:lineRule="exact"/>
        <w:rPr>
          <w:sz w:val="20"/>
          <w:szCs w:val="20"/>
          <w:color w:val="auto"/>
        </w:rPr>
      </w:pPr>
    </w:p>
    <w:p>
      <w:pPr>
        <w:jc w:val="both"/>
        <w:ind w:right="60" w:firstLine="448"/>
        <w:spacing w:after="0" w:line="259" w:lineRule="auto"/>
        <w:tabs>
          <w:tab w:leader="none" w:pos="60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Conversion of the Class C Common Stock</w:t>
      </w:r>
      <w:r>
        <w:rPr>
          <w:rFonts w:ascii="Arial" w:cs="Arial" w:eastAsia="Arial" w:hAnsi="Arial"/>
          <w:sz w:val="15"/>
          <w:szCs w:val="15"/>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Arial" w:cs="Arial" w:eastAsia="Arial" w:hAnsi="Arial"/>
          <w:sz w:val="15"/>
          <w:szCs w:val="15"/>
          <w:b w:val="1"/>
          <w:bCs w:val="1"/>
          <w:i w:val="1"/>
          <w:iCs w:val="1"/>
          <w:color w:val="auto"/>
        </w:rPr>
        <w:t>Class C Conversion Date</w:t>
      </w:r>
      <w:r>
        <w:rPr>
          <w:rFonts w:ascii="Arial" w:cs="Arial" w:eastAsia="Arial" w:hAnsi="Arial"/>
          <w:sz w:val="15"/>
          <w:szCs w:val="15"/>
          <w:color w:val="auto"/>
        </w:rPr>
        <w:t>”), each outstanding share of Class C Capital Stock shall automatically, without further action by the Corporation or the holders thereof, convert into one (1) fully paid and nonassessable share of Class A Common Stock.</w:t>
      </w:r>
    </w:p>
    <w:p>
      <w:pPr>
        <w:spacing w:after="0" w:line="67" w:lineRule="exact"/>
        <w:rPr>
          <w:rFonts w:ascii="Arial" w:cs="Arial" w:eastAsia="Arial" w:hAnsi="Arial"/>
          <w:sz w:val="15"/>
          <w:szCs w:val="15"/>
          <w:color w:val="auto"/>
        </w:rPr>
      </w:pPr>
    </w:p>
    <w:p>
      <w:pPr>
        <w:ind w:right="140" w:firstLine="448"/>
        <w:spacing w:after="0" w:line="279" w:lineRule="auto"/>
        <w:tabs>
          <w:tab w:leader="none" w:pos="608"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Procedures</w:t>
      </w:r>
      <w:r>
        <w:rPr>
          <w:rFonts w:ascii="Arial" w:cs="Arial" w:eastAsia="Arial" w:hAnsi="Arial"/>
          <w:sz w:val="14"/>
          <w:szCs w:val="14"/>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56" w:lineRule="exact"/>
        <w:rPr>
          <w:rFonts w:ascii="Arial" w:cs="Arial" w:eastAsia="Arial" w:hAnsi="Arial"/>
          <w:sz w:val="14"/>
          <w:szCs w:val="14"/>
          <w:color w:val="auto"/>
        </w:rPr>
      </w:pPr>
    </w:p>
    <w:p>
      <w:pPr>
        <w:ind w:right="80" w:firstLine="448"/>
        <w:spacing w:after="0" w:line="275" w:lineRule="auto"/>
        <w:tabs>
          <w:tab w:leader="none" w:pos="608"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Immediate Effect</w:t>
      </w:r>
      <w:r>
        <w:rPr>
          <w:rFonts w:ascii="Arial" w:cs="Arial" w:eastAsia="Arial" w:hAnsi="Arial"/>
          <w:sz w:val="14"/>
          <w:szCs w:val="14"/>
          <w:color w:val="auto"/>
        </w:rPr>
        <w:t>. In the event of and upon a conversion of shares of Class B Common Stock to shares of Class A Common Stock pursuant to Section V.5 or Class C Common Stock to Class A Common Stock pursuant to Section V.6,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this Amended and Restated Certificate. Upon any conversion of Class B Common Stock or Class C Common Stock to Class A Common Stock in accordance with this Amended and Restated Certificate,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254" w:right="219" w:bottom="1440" w:gutter="0" w:footer="0" w:header="0"/>
        </w:sectPr>
      </w:pPr>
    </w:p>
    <w:bookmarkStart w:id="304" w:name="page305"/>
    <w:bookmarkEnd w:id="304"/>
    <w:p>
      <w:pPr>
        <w:ind w:right="120" w:firstLine="448"/>
        <w:spacing w:after="0" w:line="277" w:lineRule="auto"/>
        <w:tabs>
          <w:tab w:leader="none" w:pos="608" w:val="left"/>
        </w:tabs>
        <w:numPr>
          <w:ilvl w:val="0"/>
          <w:numId w:val="18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308850" cy="33655"/>
                    </a:xfrm>
                    <a:prstGeom prst="rect">
                      <a:avLst/>
                    </a:prstGeom>
                    <a:noFill/>
                  </pic:spPr>
                </pic:pic>
              </a:graphicData>
            </a:graphic>
          </wp:anchor>
        </w:drawing>
        <w:t>Reservation of Stock Issuable Upon Conversion</w:t>
      </w:r>
      <w:r>
        <w:rPr>
          <w:rFonts w:ascii="Arial" w:cs="Arial" w:eastAsia="Arial" w:hAnsi="Arial"/>
          <w:sz w:val="14"/>
          <w:szCs w:val="14"/>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58" w:lineRule="exact"/>
        <w:rPr>
          <w:rFonts w:ascii="Arial" w:cs="Arial" w:eastAsia="Arial" w:hAnsi="Arial"/>
          <w:sz w:val="14"/>
          <w:szCs w:val="14"/>
          <w:color w:val="auto"/>
        </w:rPr>
      </w:pPr>
    </w:p>
    <w:p>
      <w:pPr>
        <w:ind w:firstLine="448"/>
        <w:spacing w:after="0" w:line="275" w:lineRule="auto"/>
        <w:tabs>
          <w:tab w:leader="none" w:pos="683"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No Reissuance of Class B Common Stock</w:t>
      </w:r>
      <w:r>
        <w:rPr>
          <w:rFonts w:ascii="Arial" w:cs="Arial" w:eastAsia="Arial" w:hAnsi="Arial"/>
          <w:sz w:val="15"/>
          <w:szCs w:val="15"/>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55" w:lineRule="exact"/>
        <w:rPr>
          <w:rFonts w:ascii="Arial" w:cs="Arial" w:eastAsia="Arial" w:hAnsi="Arial"/>
          <w:sz w:val="15"/>
          <w:szCs w:val="15"/>
          <w:color w:val="auto"/>
        </w:rPr>
      </w:pPr>
    </w:p>
    <w:p>
      <w:pPr>
        <w:ind w:right="320" w:firstLine="448"/>
        <w:spacing w:after="0" w:line="275" w:lineRule="auto"/>
        <w:tabs>
          <w:tab w:leader="none" w:pos="678"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Preemptive Rights</w:t>
      </w:r>
      <w:r>
        <w:rPr>
          <w:rFonts w:ascii="Arial" w:cs="Arial" w:eastAsia="Arial" w:hAnsi="Arial"/>
          <w:sz w:val="15"/>
          <w:szCs w:val="15"/>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55" w:lineRule="exact"/>
        <w:rPr>
          <w:rFonts w:ascii="Arial" w:cs="Arial" w:eastAsia="Arial" w:hAnsi="Arial"/>
          <w:sz w:val="15"/>
          <w:szCs w:val="15"/>
          <w:color w:val="auto"/>
        </w:rPr>
      </w:pPr>
    </w:p>
    <w:p>
      <w:pPr>
        <w:ind w:right="340" w:firstLine="448"/>
        <w:spacing w:after="0" w:line="312" w:lineRule="auto"/>
        <w:tabs>
          <w:tab w:leader="none" w:pos="683" w:val="left"/>
        </w:tabs>
        <w:numPr>
          <w:ilvl w:val="0"/>
          <w:numId w:val="188"/>
        </w:numPr>
        <w:rPr>
          <w:rFonts w:ascii="Arial" w:cs="Arial" w:eastAsia="Arial" w:hAnsi="Arial"/>
          <w:sz w:val="14"/>
          <w:szCs w:val="14"/>
          <w:color w:val="auto"/>
        </w:rPr>
      </w:pPr>
      <w:r>
        <w:rPr>
          <w:rFonts w:ascii="Arial" w:cs="Arial" w:eastAsia="Arial" w:hAnsi="Arial"/>
          <w:sz w:val="14"/>
          <w:szCs w:val="14"/>
          <w:u w:val="single" w:color="auto"/>
          <w:color w:val="auto"/>
        </w:rPr>
        <w:t>Class B Protective Provisions</w:t>
      </w:r>
      <w:r>
        <w:rPr>
          <w:rFonts w:ascii="Arial" w:cs="Arial" w:eastAsia="Arial" w:hAnsi="Arial"/>
          <w:sz w:val="14"/>
          <w:szCs w:val="14"/>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this Amended and Restated Certificate:</w:t>
      </w:r>
    </w:p>
    <w:p>
      <w:pPr>
        <w:spacing w:after="0" w:line="33" w:lineRule="exact"/>
        <w:rPr>
          <w:sz w:val="20"/>
          <w:szCs w:val="20"/>
          <w:color w:val="auto"/>
        </w:rPr>
      </w:pPr>
    </w:p>
    <w:p>
      <w:pPr>
        <w:ind w:right="140" w:firstLine="916"/>
        <w:spacing w:after="0" w:line="263" w:lineRule="auto"/>
        <w:rPr>
          <w:sz w:val="20"/>
          <w:szCs w:val="20"/>
          <w:color w:val="auto"/>
        </w:rPr>
      </w:pPr>
      <w:r>
        <w:rPr>
          <w:rFonts w:ascii="Arial" w:cs="Arial" w:eastAsia="Arial" w:hAnsi="Arial"/>
          <w:sz w:val="15"/>
          <w:szCs w:val="15"/>
          <w:color w:val="auto"/>
        </w:rPr>
        <w:t>12.1 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65" w:lineRule="exact"/>
        <w:rPr>
          <w:sz w:val="20"/>
          <w:szCs w:val="20"/>
          <w:color w:val="auto"/>
        </w:rPr>
      </w:pPr>
    </w:p>
    <w:p>
      <w:pPr>
        <w:ind w:firstLine="916"/>
        <w:spacing w:after="0" w:line="263" w:lineRule="auto"/>
        <w:rPr>
          <w:sz w:val="20"/>
          <w:szCs w:val="20"/>
          <w:color w:val="auto"/>
        </w:rPr>
      </w:pPr>
      <w:r>
        <w:rPr>
          <w:rFonts w:ascii="Arial" w:cs="Arial" w:eastAsia="Arial" w:hAnsi="Arial"/>
          <w:sz w:val="15"/>
          <w:szCs w:val="15"/>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65" w:lineRule="exact"/>
        <w:rPr>
          <w:sz w:val="20"/>
          <w:szCs w:val="20"/>
          <w:color w:val="auto"/>
        </w:rPr>
      </w:pPr>
    </w:p>
    <w:p>
      <w:pPr>
        <w:ind w:right="40" w:firstLine="916"/>
        <w:spacing w:after="0" w:line="275" w:lineRule="auto"/>
        <w:rPr>
          <w:sz w:val="20"/>
          <w:szCs w:val="20"/>
          <w:color w:val="auto"/>
        </w:rPr>
      </w:pPr>
      <w:r>
        <w:rPr>
          <w:rFonts w:ascii="Arial" w:cs="Arial" w:eastAsia="Arial" w:hAnsi="Arial"/>
          <w:sz w:val="15"/>
          <w:szCs w:val="15"/>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0"/>
          </w:cols>
          <w:pgMar w:left="240" w:top="252" w:right="259" w:bottom="1440" w:gutter="0" w:footer="0" w:header="0"/>
        </w:sectPr>
      </w:pPr>
    </w:p>
    <w:bookmarkStart w:id="305" w:name="page306"/>
    <w:bookmarkEnd w:id="305"/>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7308850" cy="33655"/>
                    </a:xfrm>
                    <a:prstGeom prst="rect">
                      <a:avLst/>
                    </a:prstGeom>
                    <a:noFill/>
                  </pic:spPr>
                </pic:pic>
              </a:graphicData>
            </a:graphic>
          </wp:anchor>
        </w:drawing>
        <w:t>12.4 authorize, or issue any shares of, any class or series of capital stock of the Corporation having the right to more than (1) vote for each share thereof; or</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12.5 consummate a Liquidation Event.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02" w:lineRule="exact"/>
        <w:rPr>
          <w:sz w:val="20"/>
          <w:szCs w:val="20"/>
          <w:color w:val="auto"/>
        </w:rPr>
      </w:pPr>
    </w:p>
    <w:p>
      <w:pPr>
        <w:ind w:right="220" w:firstLine="448"/>
        <w:spacing w:after="0" w:line="259" w:lineRule="auto"/>
        <w:tabs>
          <w:tab w:leader="none" w:pos="608"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Rights of Preferred Stock</w:t>
      </w:r>
      <w:r>
        <w:rPr>
          <w:rFonts w:ascii="Arial" w:cs="Arial" w:eastAsia="Arial" w:hAnsi="Arial"/>
          <w:sz w:val="15"/>
          <w:szCs w:val="15"/>
          <w:color w:val="auto"/>
        </w:rPr>
        <w:t>. The Board is authorized, subject to any limitations prescribed by law, to provide for the issuance of shares of Preferred Stock in series, and by filing a certificate pursuant to the applicable law of the State of Delaware (such certificate being hereinafter referred to as a “</w:t>
      </w:r>
      <w:r>
        <w:rPr>
          <w:rFonts w:ascii="Arial" w:cs="Arial" w:eastAsia="Arial" w:hAnsi="Arial"/>
          <w:sz w:val="15"/>
          <w:szCs w:val="15"/>
          <w:b w:val="1"/>
          <w:bCs w:val="1"/>
          <w:i w:val="1"/>
          <w:iCs w:val="1"/>
          <w:color w:val="auto"/>
        </w:rPr>
        <w:t>Preferred Stock Designation</w:t>
      </w:r>
      <w:r>
        <w:rPr>
          <w:rFonts w:ascii="Arial" w:cs="Arial" w:eastAsia="Arial" w:hAnsi="Arial"/>
          <w:sz w:val="15"/>
          <w:szCs w:val="15"/>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67" w:lineRule="exact"/>
        <w:rPr>
          <w:rFonts w:ascii="Arial" w:cs="Arial" w:eastAsia="Arial" w:hAnsi="Arial"/>
          <w:sz w:val="15"/>
          <w:szCs w:val="15"/>
          <w:color w:val="auto"/>
        </w:rPr>
      </w:pPr>
    </w:p>
    <w:p>
      <w:pPr>
        <w:ind w:firstLine="448"/>
        <w:spacing w:after="0" w:line="259" w:lineRule="auto"/>
        <w:tabs>
          <w:tab w:leader="none" w:pos="608"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Vote to Increase or Decrease Authorized Shares</w:t>
      </w:r>
      <w:r>
        <w:rPr>
          <w:rFonts w:ascii="Arial" w:cs="Arial" w:eastAsia="Arial" w:hAnsi="Arial"/>
          <w:sz w:val="15"/>
          <w:szCs w:val="15"/>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102" w:lineRule="exact"/>
        <w:rPr>
          <w:sz w:val="20"/>
          <w:szCs w:val="20"/>
          <w:color w:val="auto"/>
        </w:rPr>
      </w:pPr>
    </w:p>
    <w:p>
      <w:pPr>
        <w:jc w:val="both"/>
        <w:ind w:right="80" w:firstLine="448"/>
        <w:spacing w:after="0" w:line="311" w:lineRule="auto"/>
        <w:tabs>
          <w:tab w:leader="none" w:pos="608" w:val="left"/>
        </w:tabs>
        <w:numPr>
          <w:ilvl w:val="0"/>
          <w:numId w:val="190"/>
        </w:numPr>
        <w:rPr>
          <w:rFonts w:ascii="Arial" w:cs="Arial" w:eastAsia="Arial" w:hAnsi="Arial"/>
          <w:sz w:val="13"/>
          <w:szCs w:val="13"/>
          <w:color w:val="auto"/>
        </w:rPr>
      </w:pPr>
      <w:r>
        <w:rPr>
          <w:rFonts w:ascii="Arial" w:cs="Arial" w:eastAsia="Arial" w:hAnsi="Arial"/>
          <w:sz w:val="13"/>
          <w:szCs w:val="13"/>
          <w:u w:val="single" w:color="auto"/>
          <w:color w:val="auto"/>
        </w:rPr>
        <w:t>Board Size</w:t>
      </w:r>
      <w:r>
        <w:rPr>
          <w:rFonts w:ascii="Arial" w:cs="Arial" w:eastAsia="Arial" w:hAnsi="Arial"/>
          <w:sz w:val="13"/>
          <w:szCs w:val="13"/>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Delaware General Corporation Law.</w:t>
      </w:r>
    </w:p>
    <w:p>
      <w:pPr>
        <w:spacing w:after="0" w:line="37" w:lineRule="exact"/>
        <w:rPr>
          <w:rFonts w:ascii="Arial" w:cs="Arial" w:eastAsia="Arial" w:hAnsi="Arial"/>
          <w:sz w:val="13"/>
          <w:szCs w:val="13"/>
          <w:color w:val="auto"/>
        </w:rPr>
      </w:pPr>
    </w:p>
    <w:p>
      <w:pPr>
        <w:ind w:right="60" w:firstLine="448"/>
        <w:spacing w:after="0" w:line="279" w:lineRule="auto"/>
        <w:tabs>
          <w:tab w:leader="none" w:pos="608" w:val="left"/>
        </w:tabs>
        <w:numPr>
          <w:ilvl w:val="0"/>
          <w:numId w:val="190"/>
        </w:numPr>
        <w:rPr>
          <w:rFonts w:ascii="Arial" w:cs="Arial" w:eastAsia="Arial" w:hAnsi="Arial"/>
          <w:sz w:val="14"/>
          <w:szCs w:val="14"/>
          <w:color w:val="auto"/>
        </w:rPr>
      </w:pPr>
      <w:r>
        <w:rPr>
          <w:rFonts w:ascii="Arial" w:cs="Arial" w:eastAsia="Arial" w:hAnsi="Arial"/>
          <w:sz w:val="14"/>
          <w:szCs w:val="14"/>
          <w:u w:val="single" w:color="auto"/>
          <w:color w:val="auto"/>
        </w:rPr>
        <w:t>Board Structure</w:t>
      </w:r>
      <w:r>
        <w:rPr>
          <w:rFonts w:ascii="Arial" w:cs="Arial" w:eastAsia="Arial" w:hAnsi="Arial"/>
          <w:sz w:val="14"/>
          <w:szCs w:val="14"/>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Arial" w:cs="Arial" w:eastAsia="Arial" w:hAnsi="Arial"/>
          <w:sz w:val="14"/>
          <w:szCs w:val="14"/>
          <w:b w:val="1"/>
          <w:bCs w:val="1"/>
          <w:i w:val="1"/>
          <w:iCs w:val="1"/>
          <w:color w:val="auto"/>
        </w:rPr>
        <w:t>Classified Board Effective Date</w:t>
      </w:r>
      <w:r>
        <w:rPr>
          <w:rFonts w:ascii="Arial" w:cs="Arial" w:eastAsia="Arial" w:hAnsi="Arial"/>
          <w:sz w:val="14"/>
          <w:szCs w:val="14"/>
          <w:color w:val="auto"/>
        </w:rPr>
        <w:t>”), the term of office of the initial Class II directors shall expire at the second annual meeting of the stockholders following the Classified Board Effective Date, and the term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253" w:right="239" w:bottom="1440" w:gutter="0" w:footer="0" w:header="0"/>
        </w:sectPr>
      </w:pPr>
    </w:p>
    <w:bookmarkStart w:id="306" w:name="page307"/>
    <w:bookmarkEnd w:id="306"/>
    <w:p>
      <w:pPr>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Section VII.2 in the event a Classified Board Effective Date occurs) and until his or her successor shall have been duly elected and qualified. Notwithstanding the foregoing provisions of this Article VII,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49" w:lineRule="exact"/>
        <w:rPr>
          <w:sz w:val="20"/>
          <w:szCs w:val="20"/>
          <w:color w:val="auto"/>
        </w:rPr>
      </w:pPr>
    </w:p>
    <w:p>
      <w:pPr>
        <w:ind w:right="20" w:firstLine="448"/>
        <w:spacing w:after="0" w:line="311" w:lineRule="auto"/>
        <w:tabs>
          <w:tab w:leader="none" w:pos="608" w:val="left"/>
        </w:tabs>
        <w:numPr>
          <w:ilvl w:val="0"/>
          <w:numId w:val="191"/>
        </w:numPr>
        <w:rPr>
          <w:rFonts w:ascii="Arial" w:cs="Arial" w:eastAsia="Arial" w:hAnsi="Arial"/>
          <w:sz w:val="13"/>
          <w:szCs w:val="13"/>
          <w:color w:val="auto"/>
        </w:rPr>
      </w:pPr>
      <w:r>
        <w:rPr>
          <w:rFonts w:ascii="Arial" w:cs="Arial" w:eastAsia="Arial" w:hAnsi="Arial"/>
          <w:sz w:val="13"/>
          <w:szCs w:val="13"/>
          <w:u w:val="single" w:color="auto"/>
          <w:color w:val="auto"/>
        </w:rPr>
        <w:t>Removal; Vacancies</w:t>
      </w:r>
      <w:r>
        <w:rPr>
          <w:rFonts w:ascii="Arial" w:cs="Arial" w:eastAsia="Arial" w:hAnsi="Arial"/>
          <w:sz w:val="13"/>
          <w:szCs w:val="13"/>
          <w:color w:val="auto"/>
        </w:rPr>
        <w:t>. Any director may be removed from office by the stockholders of the Corporation as provided in Section 141(k) of the Delaware General Corporation Law.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102" w:lineRule="exact"/>
        <w:rPr>
          <w:sz w:val="20"/>
          <w:szCs w:val="20"/>
          <w:color w:val="auto"/>
        </w:rPr>
      </w:pPr>
    </w:p>
    <w:p>
      <w:pPr>
        <w:ind w:right="100" w:firstLine="458"/>
        <w:spacing w:after="0" w:line="275" w:lineRule="auto"/>
        <w:rPr>
          <w:sz w:val="20"/>
          <w:szCs w:val="20"/>
          <w:color w:val="auto"/>
        </w:rPr>
      </w:pPr>
      <w:r>
        <w:rPr>
          <w:rFonts w:ascii="Arial" w:cs="Arial" w:eastAsia="Arial" w:hAnsi="Arial"/>
          <w:sz w:val="15"/>
          <w:szCs w:val="15"/>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56" w:lineRule="exact"/>
        <w:rPr>
          <w:sz w:val="20"/>
          <w:szCs w:val="20"/>
          <w:color w:val="auto"/>
        </w:rPr>
      </w:pPr>
    </w:p>
    <w:p>
      <w:pPr>
        <w:jc w:val="both"/>
        <w:ind w:right="160" w:firstLine="448"/>
        <w:spacing w:after="0" w:line="263" w:lineRule="auto"/>
        <w:tabs>
          <w:tab w:leader="none" w:pos="608"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Board Power</w:t>
      </w:r>
      <w:r>
        <w:rPr>
          <w:rFonts w:ascii="Arial" w:cs="Arial" w:eastAsia="Arial" w:hAnsi="Arial"/>
          <w:sz w:val="15"/>
          <w:szCs w:val="15"/>
          <w:color w:val="auto"/>
        </w:rPr>
        <w:t>. The business and affairs of the Corporation shall be managed by or under the direction of the Board. In addition to the powers and authority expressly conferred by statute or by this Amended and Restated Certificate or the Bylaws of the Corporation, the Board is hereby empowered to exercise all such powers and do all such acts and things as may be exercised or done by the Corporation.</w:t>
      </w:r>
    </w:p>
    <w:p>
      <w:pPr>
        <w:spacing w:after="0" w:line="64" w:lineRule="exact"/>
        <w:rPr>
          <w:rFonts w:ascii="Arial" w:cs="Arial" w:eastAsia="Arial" w:hAnsi="Arial"/>
          <w:sz w:val="15"/>
          <w:szCs w:val="15"/>
          <w:color w:val="auto"/>
        </w:rPr>
      </w:pPr>
    </w:p>
    <w:p>
      <w:pPr>
        <w:ind w:left="600" w:hanging="152"/>
        <w:spacing w:after="0"/>
        <w:tabs>
          <w:tab w:leader="none" w:pos="600"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Written Ballot</w:t>
      </w:r>
      <w:r>
        <w:rPr>
          <w:rFonts w:ascii="Arial" w:cs="Arial" w:eastAsia="Arial" w:hAnsi="Arial"/>
          <w:sz w:val="15"/>
          <w:szCs w:val="15"/>
          <w:color w:val="auto"/>
        </w:rPr>
        <w:t>. Elections of directors need not be by written ballot unless otherwise provided in the Bylaws of the Corporation.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40" w:top="253" w:right="219" w:bottom="1440" w:gutter="0" w:footer="0" w:header="0"/>
        </w:sectPr>
      </w:pPr>
    </w:p>
    <w:bookmarkStart w:id="307" w:name="page308"/>
    <w:bookmarkEnd w:id="307"/>
    <w:p>
      <w:pPr>
        <w:ind w:right="140" w:firstLine="448"/>
        <w:spacing w:after="0" w:line="275" w:lineRule="auto"/>
        <w:tabs>
          <w:tab w:leader="none" w:pos="608"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Amendment of Bylaws</w:t>
      </w:r>
      <w:r>
        <w:rPr>
          <w:rFonts w:ascii="Arial" w:cs="Arial" w:eastAsia="Arial" w:hAnsi="Arial"/>
          <w:sz w:val="15"/>
          <w:szCs w:val="15"/>
          <w:color w:val="auto"/>
        </w:rPr>
        <w:t>. In furtherance and not in limitation of the powers conferred by the General Corporation Law, the Board is expressly authorized to adopt, amend or repeal the Bylaws of the Corporation.</w:t>
      </w:r>
    </w:p>
    <w:p>
      <w:pPr>
        <w:spacing w:after="0" w:line="55" w:lineRule="exact"/>
        <w:rPr>
          <w:rFonts w:ascii="Arial" w:cs="Arial" w:eastAsia="Arial" w:hAnsi="Arial"/>
          <w:sz w:val="15"/>
          <w:szCs w:val="15"/>
          <w:color w:val="auto"/>
        </w:rPr>
      </w:pPr>
    </w:p>
    <w:p>
      <w:pPr>
        <w:jc w:val="both"/>
        <w:ind w:right="60" w:firstLine="448"/>
        <w:spacing w:after="0" w:line="259" w:lineRule="auto"/>
        <w:tabs>
          <w:tab w:leader="none" w:pos="608"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Special Meetings</w:t>
      </w:r>
      <w:r>
        <w:rPr>
          <w:rFonts w:ascii="Arial" w:cs="Arial" w:eastAsia="Arial" w:hAnsi="Arial"/>
          <w:sz w:val="15"/>
          <w:szCs w:val="15"/>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67" w:lineRule="exact"/>
        <w:rPr>
          <w:rFonts w:ascii="Arial" w:cs="Arial" w:eastAsia="Arial" w:hAnsi="Arial"/>
          <w:sz w:val="15"/>
          <w:szCs w:val="15"/>
          <w:color w:val="auto"/>
        </w:rPr>
      </w:pPr>
    </w:p>
    <w:p>
      <w:pPr>
        <w:ind w:right="200" w:firstLine="448"/>
        <w:spacing w:after="0" w:line="283" w:lineRule="auto"/>
        <w:tabs>
          <w:tab w:leader="none" w:pos="608"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Availability of Stockholder Action by Written Consent</w:t>
      </w:r>
      <w:r>
        <w:rPr>
          <w:rFonts w:ascii="Arial" w:cs="Arial" w:eastAsia="Arial" w:hAnsi="Arial"/>
          <w:sz w:val="14"/>
          <w:szCs w:val="14"/>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52" w:lineRule="exact"/>
        <w:rPr>
          <w:rFonts w:ascii="Arial" w:cs="Arial" w:eastAsia="Arial" w:hAnsi="Arial"/>
          <w:sz w:val="14"/>
          <w:szCs w:val="14"/>
          <w:color w:val="auto"/>
        </w:rPr>
      </w:pPr>
    </w:p>
    <w:p>
      <w:pPr>
        <w:ind w:left="600" w:hanging="152"/>
        <w:spacing w:after="0"/>
        <w:tabs>
          <w:tab w:leader="none" w:pos="600"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No Cumulative Voting</w:t>
      </w:r>
      <w:r>
        <w:rPr>
          <w:rFonts w:ascii="Arial" w:cs="Arial" w:eastAsia="Arial" w:hAnsi="Arial"/>
          <w:sz w:val="15"/>
          <w:szCs w:val="15"/>
          <w:color w:val="auto"/>
        </w:rPr>
        <w:t>. No stockholder will be permitted to cumulate votes at any election of directors.</w:t>
      </w:r>
    </w:p>
    <w:p>
      <w:pPr>
        <w:spacing w:after="0" w:line="98" w:lineRule="exact"/>
        <w:rPr>
          <w:rFonts w:ascii="Arial" w:cs="Arial" w:eastAsia="Arial" w:hAnsi="Arial"/>
          <w:sz w:val="15"/>
          <w:szCs w:val="15"/>
          <w:color w:val="auto"/>
        </w:rPr>
      </w:pPr>
    </w:p>
    <w:p>
      <w:pPr>
        <w:ind w:right="460" w:firstLine="448"/>
        <w:spacing w:after="0" w:line="275" w:lineRule="auto"/>
        <w:tabs>
          <w:tab w:leader="none" w:pos="608"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No Reliance on the Controlled Company Exemption</w:t>
      </w:r>
      <w:r>
        <w:rPr>
          <w:rFonts w:ascii="Arial" w:cs="Arial" w:eastAsia="Arial" w:hAnsi="Arial"/>
          <w:sz w:val="15"/>
          <w:szCs w:val="15"/>
          <w:color w:val="auto"/>
        </w:rPr>
        <w:t>. At any time during which shares of capital stock of the Corporation are listed for trading on a Securities Exchange, the Corporation shall not rely upon the Controlled Company Exemption.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IX</w:t>
      </w:r>
    </w:p>
    <w:p>
      <w:pPr>
        <w:spacing w:after="0" w:line="192" w:lineRule="exact"/>
        <w:rPr>
          <w:sz w:val="20"/>
          <w:szCs w:val="20"/>
          <w:color w:val="auto"/>
        </w:rPr>
      </w:pPr>
    </w:p>
    <w:p>
      <w:pPr>
        <w:ind w:firstLine="458"/>
        <w:spacing w:after="0" w:line="290" w:lineRule="auto"/>
        <w:rPr>
          <w:sz w:val="20"/>
          <w:szCs w:val="20"/>
          <w:color w:val="auto"/>
        </w:rPr>
      </w:pPr>
      <w:r>
        <w:rPr>
          <w:rFonts w:ascii="Arial" w:cs="Arial" w:eastAsia="Arial" w:hAnsi="Arial"/>
          <w:sz w:val="14"/>
          <w:szCs w:val="14"/>
          <w:color w:val="auto"/>
        </w:rPr>
        <w:t>To the fullest extent permitted by law, no director of the Corporation shall be personally liable for monetary damages for 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192"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Neither any amendment nor repeal of this Article X, nor the adoption of any provision of this Amended and Restated Certificate inconsistent with this Article X, shall eliminate, reduce or otherwise adversely affect any limitation on the personal liability of a director of the Corporation existing at the time of such amendment, repeal or adoption of such an inconsistent provision.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253" w:right="239" w:bottom="1440" w:gutter="0" w:footer="0" w:header="0"/>
        </w:sectPr>
      </w:pPr>
    </w:p>
    <w:bookmarkStart w:id="308" w:name="page309"/>
    <w:bookmarkEnd w:id="308"/>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ARTICLE XI</w:t>
      </w:r>
    </w:p>
    <w:p>
      <w:pPr>
        <w:spacing w:after="0" w:line="192" w:lineRule="exact"/>
        <w:rPr>
          <w:sz w:val="20"/>
          <w:szCs w:val="20"/>
          <w:color w:val="auto"/>
        </w:rPr>
      </w:pPr>
    </w:p>
    <w:p>
      <w:pPr>
        <w:ind w:right="80" w:firstLine="458"/>
        <w:spacing w:after="0" w:line="257" w:lineRule="auto"/>
        <w:rPr>
          <w:sz w:val="20"/>
          <w:szCs w:val="20"/>
          <w:color w:val="auto"/>
        </w:rPr>
      </w:pPr>
      <w:r>
        <w:rPr>
          <w:rFonts w:ascii="Arial" w:cs="Arial" w:eastAsia="Arial" w:hAnsi="Arial"/>
          <w:sz w:val="15"/>
          <w:szCs w:val="15"/>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159" w:lineRule="exact"/>
        <w:rPr>
          <w:sz w:val="20"/>
          <w:szCs w:val="20"/>
          <w:color w:val="auto"/>
        </w:rPr>
      </w:pPr>
    </w:p>
    <w:p>
      <w:pPr>
        <w:ind w:firstLine="458"/>
        <w:spacing w:after="0" w:line="272" w:lineRule="auto"/>
        <w:rPr>
          <w:sz w:val="20"/>
          <w:szCs w:val="20"/>
          <w:color w:val="auto"/>
        </w:rPr>
      </w:pPr>
      <w:r>
        <w:rPr>
          <w:rFonts w:ascii="Arial" w:cs="Arial" w:eastAsia="Arial" w:hAnsi="Arial"/>
          <w:sz w:val="14"/>
          <w:szCs w:val="14"/>
          <w:color w:val="auto"/>
        </w:rPr>
        <w:t xml:space="preserve">Except as provided in Article X above,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V or this clause (i)(b) of Article XI of this Amended and Restated Certificate (except in either case by virtue of a filing of a Preferred Stock Designation, but subject to any vote required by law or by other provisions of this Amended and Restated Certificate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VII, Article VIII or this Article XI.</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380"/>
          </w:cols>
          <w:pgMar w:left="240" w:top="249" w:right="279" w:bottom="1440" w:gutter="0" w:footer="0" w:header="0"/>
        </w:sectPr>
      </w:pPr>
    </w:p>
    <w:bookmarkStart w:id="309" w:name="page310"/>
    <w:bookmarkEnd w:id="309"/>
    <w:p>
      <w:pPr>
        <w:jc w:val="right"/>
        <w:spacing w:after="0"/>
        <w:rPr>
          <w:sz w:val="20"/>
          <w:szCs w:val="20"/>
          <w:color w:val="auto"/>
        </w:rPr>
      </w:pPr>
      <w:r>
        <w:rPr>
          <w:rFonts w:ascii="Arial" w:cs="Arial" w:eastAsia="Arial" w:hAnsi="Arial"/>
          <w:sz w:val="15"/>
          <w:szCs w:val="15"/>
          <w:b w:val="1"/>
          <w:bCs w:val="1"/>
          <w:color w:val="auto"/>
        </w:rPr>
        <w:t>Exhibit 3.7</w:t>
      </w:r>
    </w:p>
    <w:p>
      <w:pPr>
        <w:spacing w:after="0" w:line="369"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AMENDED AND RESTATED BYLAWS OF</w:t>
      </w:r>
    </w:p>
    <w:p>
      <w:pPr>
        <w:spacing w:after="0" w:line="188"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3200"/>
        <w:spacing w:after="0"/>
        <w:tabs>
          <w:tab w:leader="none" w:pos="4660" w:val="left"/>
        </w:tabs>
        <w:rPr>
          <w:sz w:val="20"/>
          <w:szCs w:val="20"/>
          <w:color w:val="auto"/>
        </w:rPr>
      </w:pPr>
      <w:r>
        <w:rPr>
          <w:rFonts w:ascii="Arial" w:cs="Arial" w:eastAsia="Arial" w:hAnsi="Arial"/>
          <w:sz w:val="15"/>
          <w:szCs w:val="15"/>
          <w:color w:val="auto"/>
        </w:rPr>
        <w:t>(as amended on [</w:t>
      </w:r>
      <w:r>
        <w:rPr>
          <w:sz w:val="20"/>
          <w:szCs w:val="20"/>
          <w:color w:val="auto"/>
        </w:rPr>
        <w:tab/>
      </w:r>
      <w:r>
        <w:rPr>
          <w:rFonts w:ascii="Arial" w:cs="Arial" w:eastAsia="Arial" w:hAnsi="Arial"/>
          <w:sz w:val="13"/>
          <w:szCs w:val="13"/>
          <w:color w:val="auto"/>
        </w:rPr>
        <w:t>] effective as of the</w:t>
      </w:r>
    </w:p>
    <w:p>
      <w:pPr>
        <w:spacing w:after="0" w:line="17"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closing of the corporation’s initial public offering)</w:t>
      </w:r>
    </w:p>
    <w:p>
      <w:pPr>
        <w:sectPr>
          <w:pgSz w:w="11900" w:h="16838" w:orient="portrait"/>
          <w:cols w:equalWidth="0" w:num="1">
            <w:col w:w="10240"/>
          </w:cols>
          <w:pgMar w:left="1440" w:top="125" w:right="21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8180" w:type="dxa"/>
            <w:vAlign w:val="bottom"/>
          </w:tcPr>
          <w:p>
            <w:pPr>
              <w:ind w:left="4240"/>
              <w:spacing w:after="0"/>
              <w:rPr>
                <w:sz w:val="20"/>
                <w:szCs w:val="20"/>
                <w:color w:val="auto"/>
              </w:rPr>
            </w:pPr>
            <w:r>
              <w:rPr>
                <w:rFonts w:ascii="Arial" w:cs="Arial" w:eastAsia="Arial" w:hAnsi="Arial"/>
                <w:sz w:val="15"/>
                <w:szCs w:val="15"/>
                <w:b w:val="1"/>
                <w:bCs w:val="1"/>
                <w:color w:val="auto"/>
              </w:rPr>
              <w:t>TABLE OF CONTENTS</w:t>
            </w:r>
          </w:p>
        </w:tc>
        <w:tc>
          <w:tcPr>
            <w:tcW w:w="2560" w:type="dxa"/>
            <w:vAlign w:val="bottom"/>
          </w:tcPr>
          <w:p>
            <w:pPr>
              <w:spacing w:after="0"/>
              <w:rPr>
                <w:sz w:val="16"/>
                <w:szCs w:val="16"/>
                <w:color w:val="auto"/>
              </w:rPr>
            </w:pPr>
          </w:p>
        </w:tc>
      </w:tr>
      <w:tr>
        <w:trPr>
          <w:trHeight w:val="342"/>
        </w:trPr>
        <w:tc>
          <w:tcPr>
            <w:tcW w:w="6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2"/>
                <w:szCs w:val="12"/>
                <w:i w:val="1"/>
                <w:iCs w:val="1"/>
                <w:color w:val="auto"/>
              </w:rPr>
              <w:t>Page</w:t>
            </w:r>
          </w:p>
        </w:tc>
      </w:tr>
      <w:tr>
        <w:trPr>
          <w:trHeight w:val="256"/>
        </w:trPr>
        <w:tc>
          <w:tcPr>
            <w:tcW w:w="8840" w:type="dxa"/>
            <w:vAlign w:val="bottom"/>
            <w:gridSpan w:val="2"/>
          </w:tcPr>
          <w:p>
            <w:pPr>
              <w:spacing w:after="0"/>
              <w:rPr>
                <w:sz w:val="20"/>
                <w:szCs w:val="20"/>
                <w:color w:val="auto"/>
              </w:rPr>
            </w:pPr>
            <w:r>
              <w:rPr>
                <w:rFonts w:ascii="Arial" w:cs="Arial" w:eastAsia="Arial" w:hAnsi="Arial"/>
                <w:sz w:val="15"/>
                <w:szCs w:val="15"/>
                <w:color w:val="auto"/>
              </w:rPr>
              <w:t>ARTICLE I - CORPORATE OFFICES</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1.1</w:t>
            </w:r>
          </w:p>
        </w:tc>
        <w:tc>
          <w:tcPr>
            <w:tcW w:w="8180" w:type="dxa"/>
            <w:vAlign w:val="bottom"/>
          </w:tcPr>
          <w:p>
            <w:pPr>
              <w:ind w:left="100"/>
              <w:spacing w:after="0"/>
              <w:rPr>
                <w:sz w:val="20"/>
                <w:szCs w:val="20"/>
                <w:color w:val="auto"/>
              </w:rPr>
            </w:pPr>
            <w:r>
              <w:rPr>
                <w:rFonts w:ascii="Arial" w:cs="Arial" w:eastAsia="Arial" w:hAnsi="Arial"/>
                <w:sz w:val="15"/>
                <w:szCs w:val="15"/>
                <w:color w:val="auto"/>
              </w:rPr>
              <w:t>REGISTERED OFFICE</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1.2</w:t>
            </w:r>
          </w:p>
        </w:tc>
        <w:tc>
          <w:tcPr>
            <w:tcW w:w="8180" w:type="dxa"/>
            <w:vAlign w:val="bottom"/>
          </w:tcPr>
          <w:p>
            <w:pPr>
              <w:ind w:left="100"/>
              <w:spacing w:after="0"/>
              <w:rPr>
                <w:sz w:val="20"/>
                <w:szCs w:val="20"/>
                <w:color w:val="auto"/>
              </w:rPr>
            </w:pPr>
            <w:r>
              <w:rPr>
                <w:rFonts w:ascii="Arial" w:cs="Arial" w:eastAsia="Arial" w:hAnsi="Arial"/>
                <w:sz w:val="15"/>
                <w:szCs w:val="15"/>
                <w:color w:val="auto"/>
              </w:rPr>
              <w:t>OTHER OFFICES</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71"/>
        </w:trPr>
        <w:tc>
          <w:tcPr>
            <w:tcW w:w="8840" w:type="dxa"/>
            <w:vAlign w:val="bottom"/>
            <w:gridSpan w:val="2"/>
          </w:tcPr>
          <w:p>
            <w:pPr>
              <w:spacing w:after="0"/>
              <w:rPr>
                <w:sz w:val="20"/>
                <w:szCs w:val="20"/>
                <w:color w:val="auto"/>
              </w:rPr>
            </w:pPr>
            <w:r>
              <w:rPr>
                <w:rFonts w:ascii="Arial" w:cs="Arial" w:eastAsia="Arial" w:hAnsi="Arial"/>
                <w:sz w:val="15"/>
                <w:szCs w:val="15"/>
                <w:color w:val="auto"/>
              </w:rPr>
              <w:t>ARTICLE II - MEETINGS OF STOCKHOLDERS</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2.1</w:t>
            </w:r>
          </w:p>
        </w:tc>
        <w:tc>
          <w:tcPr>
            <w:tcW w:w="8180" w:type="dxa"/>
            <w:vAlign w:val="bottom"/>
          </w:tcPr>
          <w:p>
            <w:pPr>
              <w:ind w:left="100"/>
              <w:spacing w:after="0"/>
              <w:rPr>
                <w:sz w:val="20"/>
                <w:szCs w:val="20"/>
                <w:color w:val="auto"/>
              </w:rPr>
            </w:pPr>
            <w:r>
              <w:rPr>
                <w:rFonts w:ascii="Arial" w:cs="Arial" w:eastAsia="Arial" w:hAnsi="Arial"/>
                <w:sz w:val="15"/>
                <w:szCs w:val="15"/>
                <w:color w:val="auto"/>
              </w:rPr>
              <w:t>PLACE OF MEETINGS</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2.2</w:t>
            </w:r>
          </w:p>
        </w:tc>
        <w:tc>
          <w:tcPr>
            <w:tcW w:w="8180" w:type="dxa"/>
            <w:vAlign w:val="bottom"/>
          </w:tcPr>
          <w:p>
            <w:pPr>
              <w:ind w:left="100"/>
              <w:spacing w:after="0"/>
              <w:rPr>
                <w:sz w:val="20"/>
                <w:szCs w:val="20"/>
                <w:color w:val="auto"/>
              </w:rPr>
            </w:pPr>
            <w:r>
              <w:rPr>
                <w:rFonts w:ascii="Arial" w:cs="Arial" w:eastAsia="Arial" w:hAnsi="Arial"/>
                <w:sz w:val="15"/>
                <w:szCs w:val="15"/>
                <w:color w:val="auto"/>
              </w:rPr>
              <w:t>ANNUAL MEETING</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2.3</w:t>
            </w:r>
          </w:p>
        </w:tc>
        <w:tc>
          <w:tcPr>
            <w:tcW w:w="8180" w:type="dxa"/>
            <w:vAlign w:val="bottom"/>
          </w:tcPr>
          <w:p>
            <w:pPr>
              <w:ind w:left="100"/>
              <w:spacing w:after="0"/>
              <w:rPr>
                <w:sz w:val="20"/>
                <w:szCs w:val="20"/>
                <w:color w:val="auto"/>
              </w:rPr>
            </w:pPr>
            <w:r>
              <w:rPr>
                <w:rFonts w:ascii="Arial" w:cs="Arial" w:eastAsia="Arial" w:hAnsi="Arial"/>
                <w:sz w:val="15"/>
                <w:szCs w:val="15"/>
                <w:color w:val="auto"/>
              </w:rPr>
              <w:t>SPECIAL MEETING</w:t>
            </w:r>
          </w:p>
        </w:tc>
        <w:tc>
          <w:tcPr>
            <w:tcW w:w="2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2.4</w:t>
            </w:r>
          </w:p>
        </w:tc>
        <w:tc>
          <w:tcPr>
            <w:tcW w:w="8180" w:type="dxa"/>
            <w:vAlign w:val="bottom"/>
          </w:tcPr>
          <w:p>
            <w:pPr>
              <w:ind w:left="100"/>
              <w:spacing w:after="0"/>
              <w:rPr>
                <w:sz w:val="20"/>
                <w:szCs w:val="20"/>
                <w:color w:val="auto"/>
              </w:rPr>
            </w:pPr>
            <w:r>
              <w:rPr>
                <w:rFonts w:ascii="Arial" w:cs="Arial" w:eastAsia="Arial" w:hAnsi="Arial"/>
                <w:sz w:val="15"/>
                <w:szCs w:val="15"/>
                <w:color w:val="auto"/>
              </w:rPr>
              <w:t>ADVANCE NOTICE PROCEDURES</w:t>
            </w:r>
          </w:p>
        </w:tc>
        <w:tc>
          <w:tcPr>
            <w:tcW w:w="25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2.5</w:t>
            </w:r>
          </w:p>
        </w:tc>
        <w:tc>
          <w:tcPr>
            <w:tcW w:w="8180" w:type="dxa"/>
            <w:vAlign w:val="bottom"/>
          </w:tcPr>
          <w:p>
            <w:pPr>
              <w:ind w:left="100"/>
              <w:spacing w:after="0"/>
              <w:rPr>
                <w:sz w:val="20"/>
                <w:szCs w:val="20"/>
                <w:color w:val="auto"/>
              </w:rPr>
            </w:pPr>
            <w:r>
              <w:rPr>
                <w:rFonts w:ascii="Arial" w:cs="Arial" w:eastAsia="Arial" w:hAnsi="Arial"/>
                <w:sz w:val="15"/>
                <w:szCs w:val="15"/>
                <w:color w:val="auto"/>
              </w:rPr>
              <w:t>NOTICE OF STOCKHOLDERS’ MEETINGS</w:t>
            </w:r>
          </w:p>
        </w:tc>
        <w:tc>
          <w:tcPr>
            <w:tcW w:w="25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2.6</w:t>
            </w:r>
          </w:p>
        </w:tc>
        <w:tc>
          <w:tcPr>
            <w:tcW w:w="8180" w:type="dxa"/>
            <w:vAlign w:val="bottom"/>
          </w:tcPr>
          <w:p>
            <w:pPr>
              <w:ind w:left="100"/>
              <w:spacing w:after="0"/>
              <w:rPr>
                <w:sz w:val="20"/>
                <w:szCs w:val="20"/>
                <w:color w:val="auto"/>
              </w:rPr>
            </w:pPr>
            <w:r>
              <w:rPr>
                <w:rFonts w:ascii="Arial" w:cs="Arial" w:eastAsia="Arial" w:hAnsi="Arial"/>
                <w:sz w:val="15"/>
                <w:szCs w:val="15"/>
                <w:color w:val="auto"/>
              </w:rPr>
              <w:t>QUORUM</w:t>
            </w:r>
          </w:p>
        </w:tc>
        <w:tc>
          <w:tcPr>
            <w:tcW w:w="25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2.7</w:t>
            </w:r>
          </w:p>
        </w:tc>
        <w:tc>
          <w:tcPr>
            <w:tcW w:w="8180" w:type="dxa"/>
            <w:vAlign w:val="bottom"/>
          </w:tcPr>
          <w:p>
            <w:pPr>
              <w:ind w:left="100"/>
              <w:spacing w:after="0"/>
              <w:rPr>
                <w:sz w:val="20"/>
                <w:szCs w:val="20"/>
                <w:color w:val="auto"/>
              </w:rPr>
            </w:pPr>
            <w:r>
              <w:rPr>
                <w:rFonts w:ascii="Arial" w:cs="Arial" w:eastAsia="Arial" w:hAnsi="Arial"/>
                <w:sz w:val="15"/>
                <w:szCs w:val="15"/>
                <w:color w:val="auto"/>
              </w:rPr>
              <w:t>ADJOURNED MEETING; NOTICE</w:t>
            </w:r>
          </w:p>
        </w:tc>
        <w:tc>
          <w:tcPr>
            <w:tcW w:w="25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2.8</w:t>
            </w:r>
          </w:p>
        </w:tc>
        <w:tc>
          <w:tcPr>
            <w:tcW w:w="8180" w:type="dxa"/>
            <w:vAlign w:val="bottom"/>
          </w:tcPr>
          <w:p>
            <w:pPr>
              <w:ind w:left="100"/>
              <w:spacing w:after="0"/>
              <w:rPr>
                <w:sz w:val="20"/>
                <w:szCs w:val="20"/>
                <w:color w:val="auto"/>
              </w:rPr>
            </w:pPr>
            <w:r>
              <w:rPr>
                <w:rFonts w:ascii="Arial" w:cs="Arial" w:eastAsia="Arial" w:hAnsi="Arial"/>
                <w:sz w:val="15"/>
                <w:szCs w:val="15"/>
                <w:color w:val="auto"/>
              </w:rPr>
              <w:t>CONDUCT OF BUSINESS</w:t>
            </w:r>
          </w:p>
        </w:tc>
        <w:tc>
          <w:tcPr>
            <w:tcW w:w="25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2.9</w:t>
            </w:r>
          </w:p>
        </w:tc>
        <w:tc>
          <w:tcPr>
            <w:tcW w:w="8180" w:type="dxa"/>
            <w:vAlign w:val="bottom"/>
          </w:tcPr>
          <w:p>
            <w:pPr>
              <w:ind w:left="100"/>
              <w:spacing w:after="0"/>
              <w:rPr>
                <w:sz w:val="20"/>
                <w:szCs w:val="20"/>
                <w:color w:val="auto"/>
              </w:rPr>
            </w:pPr>
            <w:r>
              <w:rPr>
                <w:rFonts w:ascii="Arial" w:cs="Arial" w:eastAsia="Arial" w:hAnsi="Arial"/>
                <w:sz w:val="15"/>
                <w:szCs w:val="15"/>
                <w:color w:val="auto"/>
              </w:rPr>
              <w:t>VOTING</w:t>
            </w:r>
          </w:p>
        </w:tc>
        <w:tc>
          <w:tcPr>
            <w:tcW w:w="25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2.10</w:t>
            </w:r>
          </w:p>
        </w:tc>
        <w:tc>
          <w:tcPr>
            <w:tcW w:w="8180" w:type="dxa"/>
            <w:vAlign w:val="bottom"/>
          </w:tcPr>
          <w:p>
            <w:pPr>
              <w:ind w:left="100"/>
              <w:spacing w:after="0"/>
              <w:rPr>
                <w:sz w:val="20"/>
                <w:szCs w:val="20"/>
                <w:color w:val="auto"/>
              </w:rPr>
            </w:pPr>
            <w:r>
              <w:rPr>
                <w:rFonts w:ascii="Arial" w:cs="Arial" w:eastAsia="Arial" w:hAnsi="Arial"/>
                <w:sz w:val="15"/>
                <w:szCs w:val="15"/>
                <w:color w:val="auto"/>
              </w:rPr>
              <w:t>STOCKHOLDER ACTION BY WRITTEN CONSENT WITHOUT A MEETING</w:t>
            </w:r>
          </w:p>
        </w:tc>
        <w:tc>
          <w:tcPr>
            <w:tcW w:w="25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2.11</w:t>
            </w:r>
          </w:p>
        </w:tc>
        <w:tc>
          <w:tcPr>
            <w:tcW w:w="8180" w:type="dxa"/>
            <w:vAlign w:val="bottom"/>
          </w:tcPr>
          <w:p>
            <w:pPr>
              <w:ind w:left="100"/>
              <w:spacing w:after="0"/>
              <w:rPr>
                <w:sz w:val="20"/>
                <w:szCs w:val="20"/>
                <w:color w:val="auto"/>
              </w:rPr>
            </w:pPr>
            <w:r>
              <w:rPr>
                <w:rFonts w:ascii="Arial" w:cs="Arial" w:eastAsia="Arial" w:hAnsi="Arial"/>
                <w:sz w:val="15"/>
                <w:szCs w:val="15"/>
                <w:color w:val="auto"/>
              </w:rPr>
              <w:t>RECORD DATES</w:t>
            </w:r>
          </w:p>
        </w:tc>
        <w:tc>
          <w:tcPr>
            <w:tcW w:w="25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2.12</w:t>
            </w:r>
          </w:p>
        </w:tc>
        <w:tc>
          <w:tcPr>
            <w:tcW w:w="8180" w:type="dxa"/>
            <w:vAlign w:val="bottom"/>
          </w:tcPr>
          <w:p>
            <w:pPr>
              <w:ind w:left="100"/>
              <w:spacing w:after="0"/>
              <w:rPr>
                <w:sz w:val="20"/>
                <w:szCs w:val="20"/>
                <w:color w:val="auto"/>
              </w:rPr>
            </w:pPr>
            <w:r>
              <w:rPr>
                <w:rFonts w:ascii="Arial" w:cs="Arial" w:eastAsia="Arial" w:hAnsi="Arial"/>
                <w:sz w:val="15"/>
                <w:szCs w:val="15"/>
                <w:color w:val="auto"/>
              </w:rPr>
              <w:t>PROXIES</w:t>
            </w:r>
          </w:p>
        </w:tc>
        <w:tc>
          <w:tcPr>
            <w:tcW w:w="25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2.13</w:t>
            </w:r>
          </w:p>
        </w:tc>
        <w:tc>
          <w:tcPr>
            <w:tcW w:w="8180" w:type="dxa"/>
            <w:vAlign w:val="bottom"/>
          </w:tcPr>
          <w:p>
            <w:pPr>
              <w:ind w:left="100"/>
              <w:spacing w:after="0"/>
              <w:rPr>
                <w:sz w:val="20"/>
                <w:szCs w:val="20"/>
                <w:color w:val="auto"/>
              </w:rPr>
            </w:pPr>
            <w:r>
              <w:rPr>
                <w:rFonts w:ascii="Arial" w:cs="Arial" w:eastAsia="Arial" w:hAnsi="Arial"/>
                <w:sz w:val="15"/>
                <w:szCs w:val="15"/>
                <w:color w:val="auto"/>
              </w:rPr>
              <w:t>LIST OF STOCKHOLDERS ENTITLED TO VOTE</w:t>
            </w:r>
          </w:p>
        </w:tc>
        <w:tc>
          <w:tcPr>
            <w:tcW w:w="25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2.14</w:t>
            </w:r>
          </w:p>
        </w:tc>
        <w:tc>
          <w:tcPr>
            <w:tcW w:w="8180" w:type="dxa"/>
            <w:vAlign w:val="bottom"/>
          </w:tcPr>
          <w:p>
            <w:pPr>
              <w:ind w:left="100"/>
              <w:spacing w:after="0"/>
              <w:rPr>
                <w:sz w:val="20"/>
                <w:szCs w:val="20"/>
                <w:color w:val="auto"/>
              </w:rPr>
            </w:pPr>
            <w:r>
              <w:rPr>
                <w:rFonts w:ascii="Arial" w:cs="Arial" w:eastAsia="Arial" w:hAnsi="Arial"/>
                <w:sz w:val="15"/>
                <w:szCs w:val="15"/>
                <w:color w:val="auto"/>
              </w:rPr>
              <w:t>INSPECTORS OF ELECTION</w:t>
            </w:r>
          </w:p>
        </w:tc>
        <w:tc>
          <w:tcPr>
            <w:tcW w:w="25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71"/>
        </w:trPr>
        <w:tc>
          <w:tcPr>
            <w:tcW w:w="8840" w:type="dxa"/>
            <w:vAlign w:val="bottom"/>
            <w:gridSpan w:val="2"/>
          </w:tcPr>
          <w:p>
            <w:pPr>
              <w:spacing w:after="0"/>
              <w:rPr>
                <w:sz w:val="20"/>
                <w:szCs w:val="20"/>
                <w:color w:val="auto"/>
              </w:rPr>
            </w:pPr>
            <w:r>
              <w:rPr>
                <w:rFonts w:ascii="Arial" w:cs="Arial" w:eastAsia="Arial" w:hAnsi="Arial"/>
                <w:sz w:val="15"/>
                <w:szCs w:val="15"/>
                <w:color w:val="auto"/>
              </w:rPr>
              <w:t>ARTICLE III - DIRECTORS</w:t>
            </w:r>
          </w:p>
        </w:tc>
        <w:tc>
          <w:tcPr>
            <w:tcW w:w="25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3.1</w:t>
            </w:r>
          </w:p>
        </w:tc>
        <w:tc>
          <w:tcPr>
            <w:tcW w:w="8180" w:type="dxa"/>
            <w:vAlign w:val="bottom"/>
          </w:tcPr>
          <w:p>
            <w:pPr>
              <w:ind w:left="100"/>
              <w:spacing w:after="0"/>
              <w:rPr>
                <w:sz w:val="20"/>
                <w:szCs w:val="20"/>
                <w:color w:val="auto"/>
              </w:rPr>
            </w:pPr>
            <w:r>
              <w:rPr>
                <w:rFonts w:ascii="Arial" w:cs="Arial" w:eastAsia="Arial" w:hAnsi="Arial"/>
                <w:sz w:val="15"/>
                <w:szCs w:val="15"/>
                <w:color w:val="auto"/>
              </w:rPr>
              <w:t>POWERS</w:t>
            </w:r>
          </w:p>
        </w:tc>
        <w:tc>
          <w:tcPr>
            <w:tcW w:w="25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3.2</w:t>
            </w:r>
          </w:p>
        </w:tc>
        <w:tc>
          <w:tcPr>
            <w:tcW w:w="8180" w:type="dxa"/>
            <w:vAlign w:val="bottom"/>
          </w:tcPr>
          <w:p>
            <w:pPr>
              <w:ind w:left="100"/>
              <w:spacing w:after="0"/>
              <w:rPr>
                <w:sz w:val="20"/>
                <w:szCs w:val="20"/>
                <w:color w:val="auto"/>
              </w:rPr>
            </w:pPr>
            <w:r>
              <w:rPr>
                <w:rFonts w:ascii="Arial" w:cs="Arial" w:eastAsia="Arial" w:hAnsi="Arial"/>
                <w:sz w:val="15"/>
                <w:szCs w:val="15"/>
                <w:color w:val="auto"/>
              </w:rPr>
              <w:t>NUMBER OF DIRECTORS</w:t>
            </w:r>
          </w:p>
        </w:tc>
        <w:tc>
          <w:tcPr>
            <w:tcW w:w="25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3.3</w:t>
            </w:r>
          </w:p>
        </w:tc>
        <w:tc>
          <w:tcPr>
            <w:tcW w:w="8180" w:type="dxa"/>
            <w:vAlign w:val="bottom"/>
          </w:tcPr>
          <w:p>
            <w:pPr>
              <w:ind w:left="100"/>
              <w:spacing w:after="0"/>
              <w:rPr>
                <w:sz w:val="20"/>
                <w:szCs w:val="20"/>
                <w:color w:val="auto"/>
              </w:rPr>
            </w:pPr>
            <w:r>
              <w:rPr>
                <w:rFonts w:ascii="Arial" w:cs="Arial" w:eastAsia="Arial" w:hAnsi="Arial"/>
                <w:sz w:val="15"/>
                <w:szCs w:val="15"/>
                <w:color w:val="auto"/>
              </w:rPr>
              <w:t>ELECTION, QUALIFICATION AND TERM OF OFFICE OF DIRECTORS</w:t>
            </w:r>
          </w:p>
        </w:tc>
        <w:tc>
          <w:tcPr>
            <w:tcW w:w="25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3.4</w:t>
            </w:r>
          </w:p>
        </w:tc>
        <w:tc>
          <w:tcPr>
            <w:tcW w:w="8180" w:type="dxa"/>
            <w:vAlign w:val="bottom"/>
          </w:tcPr>
          <w:p>
            <w:pPr>
              <w:ind w:left="100"/>
              <w:spacing w:after="0"/>
              <w:rPr>
                <w:sz w:val="20"/>
                <w:szCs w:val="20"/>
                <w:color w:val="auto"/>
              </w:rPr>
            </w:pPr>
            <w:r>
              <w:rPr>
                <w:rFonts w:ascii="Arial" w:cs="Arial" w:eastAsia="Arial" w:hAnsi="Arial"/>
                <w:sz w:val="15"/>
                <w:szCs w:val="15"/>
                <w:color w:val="auto"/>
              </w:rPr>
              <w:t>RESIGNATION AND VACANCIES</w:t>
            </w:r>
          </w:p>
        </w:tc>
        <w:tc>
          <w:tcPr>
            <w:tcW w:w="25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3.5</w:t>
            </w:r>
          </w:p>
        </w:tc>
        <w:tc>
          <w:tcPr>
            <w:tcW w:w="8180" w:type="dxa"/>
            <w:vAlign w:val="bottom"/>
          </w:tcPr>
          <w:p>
            <w:pPr>
              <w:ind w:left="100"/>
              <w:spacing w:after="0"/>
              <w:rPr>
                <w:sz w:val="20"/>
                <w:szCs w:val="20"/>
                <w:color w:val="auto"/>
              </w:rPr>
            </w:pPr>
            <w:r>
              <w:rPr>
                <w:rFonts w:ascii="Arial" w:cs="Arial" w:eastAsia="Arial" w:hAnsi="Arial"/>
                <w:sz w:val="15"/>
                <w:szCs w:val="15"/>
                <w:color w:val="auto"/>
              </w:rPr>
              <w:t>PLACE OF MEETINGS; MEETINGS BY TELEPHONE</w:t>
            </w:r>
          </w:p>
        </w:tc>
        <w:tc>
          <w:tcPr>
            <w:tcW w:w="25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3.6</w:t>
            </w:r>
          </w:p>
        </w:tc>
        <w:tc>
          <w:tcPr>
            <w:tcW w:w="8180" w:type="dxa"/>
            <w:vAlign w:val="bottom"/>
          </w:tcPr>
          <w:p>
            <w:pPr>
              <w:ind w:left="100"/>
              <w:spacing w:after="0"/>
              <w:rPr>
                <w:sz w:val="20"/>
                <w:szCs w:val="20"/>
                <w:color w:val="auto"/>
              </w:rPr>
            </w:pPr>
            <w:r>
              <w:rPr>
                <w:rFonts w:ascii="Arial" w:cs="Arial" w:eastAsia="Arial" w:hAnsi="Arial"/>
                <w:sz w:val="15"/>
                <w:szCs w:val="15"/>
                <w:color w:val="auto"/>
              </w:rPr>
              <w:t>REGULAR MEETINGS</w:t>
            </w:r>
          </w:p>
        </w:tc>
        <w:tc>
          <w:tcPr>
            <w:tcW w:w="25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3.7</w:t>
            </w:r>
          </w:p>
        </w:tc>
        <w:tc>
          <w:tcPr>
            <w:tcW w:w="8180" w:type="dxa"/>
            <w:vAlign w:val="bottom"/>
          </w:tcPr>
          <w:p>
            <w:pPr>
              <w:ind w:left="100"/>
              <w:spacing w:after="0"/>
              <w:rPr>
                <w:sz w:val="20"/>
                <w:szCs w:val="20"/>
                <w:color w:val="auto"/>
              </w:rPr>
            </w:pPr>
            <w:r>
              <w:rPr>
                <w:rFonts w:ascii="Arial" w:cs="Arial" w:eastAsia="Arial" w:hAnsi="Arial"/>
                <w:sz w:val="15"/>
                <w:szCs w:val="15"/>
                <w:color w:val="auto"/>
              </w:rPr>
              <w:t>SPECIAL MEETINGS; NOTICE</w:t>
            </w:r>
          </w:p>
        </w:tc>
        <w:tc>
          <w:tcPr>
            <w:tcW w:w="25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3.8</w:t>
            </w:r>
          </w:p>
        </w:tc>
        <w:tc>
          <w:tcPr>
            <w:tcW w:w="8180" w:type="dxa"/>
            <w:vAlign w:val="bottom"/>
          </w:tcPr>
          <w:p>
            <w:pPr>
              <w:ind w:left="100"/>
              <w:spacing w:after="0"/>
              <w:rPr>
                <w:sz w:val="20"/>
                <w:szCs w:val="20"/>
                <w:color w:val="auto"/>
              </w:rPr>
            </w:pPr>
            <w:r>
              <w:rPr>
                <w:rFonts w:ascii="Arial" w:cs="Arial" w:eastAsia="Arial" w:hAnsi="Arial"/>
                <w:sz w:val="15"/>
                <w:szCs w:val="15"/>
                <w:color w:val="auto"/>
              </w:rPr>
              <w:t>QUORUM; VOTING</w:t>
            </w:r>
          </w:p>
        </w:tc>
        <w:tc>
          <w:tcPr>
            <w:tcW w:w="25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3.9</w:t>
            </w:r>
          </w:p>
        </w:tc>
        <w:tc>
          <w:tcPr>
            <w:tcW w:w="8180" w:type="dxa"/>
            <w:vAlign w:val="bottom"/>
          </w:tcPr>
          <w:p>
            <w:pPr>
              <w:ind w:left="100"/>
              <w:spacing w:after="0"/>
              <w:rPr>
                <w:sz w:val="20"/>
                <w:szCs w:val="20"/>
                <w:color w:val="auto"/>
              </w:rPr>
            </w:pPr>
            <w:r>
              <w:rPr>
                <w:rFonts w:ascii="Arial" w:cs="Arial" w:eastAsia="Arial" w:hAnsi="Arial"/>
                <w:sz w:val="15"/>
                <w:szCs w:val="15"/>
                <w:color w:val="auto"/>
              </w:rPr>
              <w:t>BOARD ACTION BY WRITTEN CONSENT WITHOUT A MEETING</w:t>
            </w:r>
          </w:p>
        </w:tc>
        <w:tc>
          <w:tcPr>
            <w:tcW w:w="25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3.10</w:t>
            </w:r>
          </w:p>
        </w:tc>
        <w:tc>
          <w:tcPr>
            <w:tcW w:w="8180" w:type="dxa"/>
            <w:vAlign w:val="bottom"/>
          </w:tcPr>
          <w:p>
            <w:pPr>
              <w:ind w:left="100"/>
              <w:spacing w:after="0"/>
              <w:rPr>
                <w:sz w:val="20"/>
                <w:szCs w:val="20"/>
                <w:color w:val="auto"/>
              </w:rPr>
            </w:pPr>
            <w:r>
              <w:rPr>
                <w:rFonts w:ascii="Arial" w:cs="Arial" w:eastAsia="Arial" w:hAnsi="Arial"/>
                <w:sz w:val="15"/>
                <w:szCs w:val="15"/>
                <w:color w:val="auto"/>
              </w:rPr>
              <w:t>FEES AND COMPENSATION OF DIRECTORS</w:t>
            </w:r>
          </w:p>
        </w:tc>
        <w:tc>
          <w:tcPr>
            <w:tcW w:w="25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3.11</w:t>
            </w:r>
          </w:p>
        </w:tc>
        <w:tc>
          <w:tcPr>
            <w:tcW w:w="8180" w:type="dxa"/>
            <w:vAlign w:val="bottom"/>
          </w:tcPr>
          <w:p>
            <w:pPr>
              <w:ind w:left="100"/>
              <w:spacing w:after="0"/>
              <w:rPr>
                <w:sz w:val="20"/>
                <w:szCs w:val="20"/>
                <w:color w:val="auto"/>
              </w:rPr>
            </w:pPr>
            <w:r>
              <w:rPr>
                <w:rFonts w:ascii="Arial" w:cs="Arial" w:eastAsia="Arial" w:hAnsi="Arial"/>
                <w:sz w:val="15"/>
                <w:szCs w:val="15"/>
                <w:color w:val="auto"/>
              </w:rPr>
              <w:t>REMOVAL OF DIRECTORS</w:t>
            </w:r>
          </w:p>
        </w:tc>
        <w:tc>
          <w:tcPr>
            <w:tcW w:w="25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71"/>
        </w:trPr>
        <w:tc>
          <w:tcPr>
            <w:tcW w:w="8840" w:type="dxa"/>
            <w:vAlign w:val="bottom"/>
            <w:gridSpan w:val="2"/>
          </w:tcPr>
          <w:p>
            <w:pPr>
              <w:spacing w:after="0"/>
              <w:rPr>
                <w:sz w:val="20"/>
                <w:szCs w:val="20"/>
                <w:color w:val="auto"/>
              </w:rPr>
            </w:pPr>
            <w:r>
              <w:rPr>
                <w:rFonts w:ascii="Arial" w:cs="Arial" w:eastAsia="Arial" w:hAnsi="Arial"/>
                <w:sz w:val="15"/>
                <w:szCs w:val="15"/>
                <w:color w:val="auto"/>
              </w:rPr>
              <w:t>ARTICLE IV - COMMITTEES</w:t>
            </w:r>
          </w:p>
        </w:tc>
        <w:tc>
          <w:tcPr>
            <w:tcW w:w="25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4.1</w:t>
            </w:r>
          </w:p>
        </w:tc>
        <w:tc>
          <w:tcPr>
            <w:tcW w:w="8180" w:type="dxa"/>
            <w:vAlign w:val="bottom"/>
          </w:tcPr>
          <w:p>
            <w:pPr>
              <w:ind w:left="100"/>
              <w:spacing w:after="0"/>
              <w:rPr>
                <w:sz w:val="20"/>
                <w:szCs w:val="20"/>
                <w:color w:val="auto"/>
              </w:rPr>
            </w:pPr>
            <w:r>
              <w:rPr>
                <w:rFonts w:ascii="Arial" w:cs="Arial" w:eastAsia="Arial" w:hAnsi="Arial"/>
                <w:sz w:val="15"/>
                <w:szCs w:val="15"/>
                <w:color w:val="auto"/>
              </w:rPr>
              <w:t>COMMITTEES OF DIRECTORS</w:t>
            </w:r>
          </w:p>
        </w:tc>
        <w:tc>
          <w:tcPr>
            <w:tcW w:w="25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4.2</w:t>
            </w:r>
          </w:p>
        </w:tc>
        <w:tc>
          <w:tcPr>
            <w:tcW w:w="8180" w:type="dxa"/>
            <w:vAlign w:val="bottom"/>
          </w:tcPr>
          <w:p>
            <w:pPr>
              <w:ind w:left="100"/>
              <w:spacing w:after="0"/>
              <w:rPr>
                <w:sz w:val="20"/>
                <w:szCs w:val="20"/>
                <w:color w:val="auto"/>
              </w:rPr>
            </w:pPr>
            <w:r>
              <w:rPr>
                <w:rFonts w:ascii="Arial" w:cs="Arial" w:eastAsia="Arial" w:hAnsi="Arial"/>
                <w:sz w:val="15"/>
                <w:szCs w:val="15"/>
                <w:color w:val="auto"/>
              </w:rPr>
              <w:t>COMMITTEE MINUTES</w:t>
            </w:r>
          </w:p>
        </w:tc>
        <w:tc>
          <w:tcPr>
            <w:tcW w:w="25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4.3</w:t>
            </w:r>
          </w:p>
        </w:tc>
        <w:tc>
          <w:tcPr>
            <w:tcW w:w="8180" w:type="dxa"/>
            <w:vAlign w:val="bottom"/>
          </w:tcPr>
          <w:p>
            <w:pPr>
              <w:ind w:left="100"/>
              <w:spacing w:after="0"/>
              <w:rPr>
                <w:sz w:val="20"/>
                <w:szCs w:val="20"/>
                <w:color w:val="auto"/>
              </w:rPr>
            </w:pPr>
            <w:r>
              <w:rPr>
                <w:rFonts w:ascii="Arial" w:cs="Arial" w:eastAsia="Arial" w:hAnsi="Arial"/>
                <w:sz w:val="15"/>
                <w:szCs w:val="15"/>
                <w:color w:val="auto"/>
              </w:rPr>
              <w:t>MEETINGS AND ACTION OF COMMITTEES</w:t>
            </w:r>
          </w:p>
        </w:tc>
        <w:tc>
          <w:tcPr>
            <w:tcW w:w="25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4.4</w:t>
            </w:r>
          </w:p>
        </w:tc>
        <w:tc>
          <w:tcPr>
            <w:tcW w:w="8180" w:type="dxa"/>
            <w:vAlign w:val="bottom"/>
          </w:tcPr>
          <w:p>
            <w:pPr>
              <w:ind w:left="100"/>
              <w:spacing w:after="0"/>
              <w:rPr>
                <w:sz w:val="20"/>
                <w:szCs w:val="20"/>
                <w:color w:val="auto"/>
              </w:rPr>
            </w:pPr>
            <w:r>
              <w:rPr>
                <w:rFonts w:ascii="Arial" w:cs="Arial" w:eastAsia="Arial" w:hAnsi="Arial"/>
                <w:sz w:val="15"/>
                <w:szCs w:val="15"/>
                <w:color w:val="auto"/>
              </w:rPr>
              <w:t>SUBCOMMITTEES</w:t>
            </w:r>
          </w:p>
        </w:tc>
        <w:tc>
          <w:tcPr>
            <w:tcW w:w="25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1"/>
        </w:trPr>
        <w:tc>
          <w:tcPr>
            <w:tcW w:w="8840" w:type="dxa"/>
            <w:vAlign w:val="bottom"/>
            <w:gridSpan w:val="2"/>
          </w:tcPr>
          <w:p>
            <w:pPr>
              <w:spacing w:after="0"/>
              <w:rPr>
                <w:sz w:val="20"/>
                <w:szCs w:val="20"/>
                <w:color w:val="auto"/>
              </w:rPr>
            </w:pPr>
            <w:r>
              <w:rPr>
                <w:rFonts w:ascii="Arial" w:cs="Arial" w:eastAsia="Arial" w:hAnsi="Arial"/>
                <w:sz w:val="15"/>
                <w:szCs w:val="15"/>
                <w:color w:val="auto"/>
              </w:rPr>
              <w:t>ARTICLE V - OFFICERS</w:t>
            </w:r>
          </w:p>
        </w:tc>
        <w:tc>
          <w:tcPr>
            <w:tcW w:w="25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5.1</w:t>
            </w:r>
          </w:p>
        </w:tc>
        <w:tc>
          <w:tcPr>
            <w:tcW w:w="8180" w:type="dxa"/>
            <w:vAlign w:val="bottom"/>
          </w:tcPr>
          <w:p>
            <w:pPr>
              <w:ind w:left="100"/>
              <w:spacing w:after="0"/>
              <w:rPr>
                <w:sz w:val="20"/>
                <w:szCs w:val="20"/>
                <w:color w:val="auto"/>
              </w:rPr>
            </w:pPr>
            <w:r>
              <w:rPr>
                <w:rFonts w:ascii="Arial" w:cs="Arial" w:eastAsia="Arial" w:hAnsi="Arial"/>
                <w:sz w:val="15"/>
                <w:szCs w:val="15"/>
                <w:color w:val="auto"/>
              </w:rPr>
              <w:t>OFFICERS</w:t>
            </w:r>
          </w:p>
        </w:tc>
        <w:tc>
          <w:tcPr>
            <w:tcW w:w="25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5.2</w:t>
            </w:r>
          </w:p>
        </w:tc>
        <w:tc>
          <w:tcPr>
            <w:tcW w:w="8180" w:type="dxa"/>
            <w:vAlign w:val="bottom"/>
          </w:tcPr>
          <w:p>
            <w:pPr>
              <w:ind w:left="100"/>
              <w:spacing w:after="0"/>
              <w:rPr>
                <w:sz w:val="20"/>
                <w:szCs w:val="20"/>
                <w:color w:val="auto"/>
              </w:rPr>
            </w:pPr>
            <w:r>
              <w:rPr>
                <w:rFonts w:ascii="Arial" w:cs="Arial" w:eastAsia="Arial" w:hAnsi="Arial"/>
                <w:sz w:val="15"/>
                <w:szCs w:val="15"/>
                <w:color w:val="auto"/>
              </w:rPr>
              <w:t>APPOINTMENT OF OFFICERS</w:t>
            </w:r>
          </w:p>
        </w:tc>
        <w:tc>
          <w:tcPr>
            <w:tcW w:w="25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5.3</w:t>
            </w:r>
          </w:p>
        </w:tc>
        <w:tc>
          <w:tcPr>
            <w:tcW w:w="8180" w:type="dxa"/>
            <w:vAlign w:val="bottom"/>
          </w:tcPr>
          <w:p>
            <w:pPr>
              <w:ind w:left="100"/>
              <w:spacing w:after="0"/>
              <w:rPr>
                <w:sz w:val="20"/>
                <w:szCs w:val="20"/>
                <w:color w:val="auto"/>
              </w:rPr>
            </w:pPr>
            <w:r>
              <w:rPr>
                <w:rFonts w:ascii="Arial" w:cs="Arial" w:eastAsia="Arial" w:hAnsi="Arial"/>
                <w:sz w:val="15"/>
                <w:szCs w:val="15"/>
                <w:color w:val="auto"/>
              </w:rPr>
              <w:t>SUBORDINATE OFFICERS</w:t>
            </w:r>
          </w:p>
        </w:tc>
        <w:tc>
          <w:tcPr>
            <w:tcW w:w="2560" w:type="dxa"/>
            <w:vAlign w:val="bottom"/>
          </w:tcPr>
          <w:p>
            <w:pPr>
              <w:jc w:val="right"/>
              <w:spacing w:after="0"/>
              <w:rPr>
                <w:sz w:val="20"/>
                <w:szCs w:val="20"/>
                <w:color w:val="auto"/>
              </w:rPr>
            </w:pPr>
            <w:r>
              <w:rPr>
                <w:rFonts w:ascii="Arial" w:cs="Arial" w:eastAsia="Arial" w:hAnsi="Arial"/>
                <w:sz w:val="15"/>
                <w:szCs w:val="15"/>
                <w:color w:val="auto"/>
              </w:rPr>
              <w:t>14</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400"/>
          </w:cols>
          <w:pgMar w:left="240" w:top="249" w:right="25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80"/>
        </w:trPr>
        <w:tc>
          <w:tcPr>
            <w:tcW w:w="660" w:type="dxa"/>
            <w:vAlign w:val="bottom"/>
          </w:tcPr>
          <w:p>
            <w:pPr>
              <w:spacing w:after="0"/>
              <w:rPr>
                <w:sz w:val="15"/>
                <w:szCs w:val="15"/>
                <w:color w:val="auto"/>
              </w:rPr>
            </w:pPr>
          </w:p>
        </w:tc>
        <w:tc>
          <w:tcPr>
            <w:tcW w:w="10480" w:type="dxa"/>
            <w:vAlign w:val="bottom"/>
          </w:tcPr>
          <w:p>
            <w:pPr>
              <w:ind w:left="4240"/>
              <w:spacing w:after="0"/>
              <w:rPr>
                <w:sz w:val="20"/>
                <w:szCs w:val="20"/>
                <w:color w:val="auto"/>
              </w:rPr>
            </w:pPr>
            <w:r>
              <w:rPr>
                <w:rFonts w:ascii="Arial" w:cs="Arial" w:eastAsia="Arial" w:hAnsi="Arial"/>
                <w:sz w:val="15"/>
                <w:szCs w:val="15"/>
                <w:b w:val="1"/>
                <w:bCs w:val="1"/>
                <w:color w:val="auto"/>
              </w:rPr>
              <w:t>TABLE OF CONTENTS</w:t>
            </w:r>
          </w:p>
        </w:tc>
        <w:tc>
          <w:tcPr>
            <w:tcW w:w="260" w:type="dxa"/>
            <w:vAlign w:val="bottom"/>
          </w:tcPr>
          <w:p>
            <w:pPr>
              <w:spacing w:after="0"/>
              <w:rPr>
                <w:sz w:val="15"/>
                <w:szCs w:val="15"/>
                <w:color w:val="auto"/>
              </w:rPr>
            </w:pPr>
          </w:p>
        </w:tc>
      </w:tr>
      <w:tr>
        <w:trPr>
          <w:trHeight w:val="194"/>
        </w:trPr>
        <w:tc>
          <w:tcPr>
            <w:tcW w:w="660" w:type="dxa"/>
            <w:vAlign w:val="bottom"/>
          </w:tcPr>
          <w:p>
            <w:pPr>
              <w:spacing w:after="0"/>
              <w:rPr>
                <w:sz w:val="16"/>
                <w:szCs w:val="16"/>
                <w:color w:val="auto"/>
              </w:rPr>
            </w:pPr>
          </w:p>
        </w:tc>
        <w:tc>
          <w:tcPr>
            <w:tcW w:w="10480" w:type="dxa"/>
            <w:vAlign w:val="bottom"/>
          </w:tcPr>
          <w:p>
            <w:pPr>
              <w:ind w:left="4680"/>
              <w:spacing w:after="0"/>
              <w:rPr>
                <w:sz w:val="20"/>
                <w:szCs w:val="20"/>
                <w:color w:val="auto"/>
              </w:rPr>
            </w:pPr>
            <w:r>
              <w:rPr>
                <w:rFonts w:ascii="Arial" w:cs="Arial" w:eastAsia="Arial" w:hAnsi="Arial"/>
                <w:sz w:val="15"/>
                <w:szCs w:val="15"/>
                <w:b w:val="1"/>
                <w:bCs w:val="1"/>
                <w:color w:val="auto"/>
              </w:rPr>
              <w:t>(continued)</w:t>
            </w:r>
          </w:p>
        </w:tc>
        <w:tc>
          <w:tcPr>
            <w:tcW w:w="260" w:type="dxa"/>
            <w:vAlign w:val="bottom"/>
          </w:tcPr>
          <w:p>
            <w:pPr>
              <w:spacing w:after="0"/>
              <w:rPr>
                <w:sz w:val="16"/>
                <w:szCs w:val="16"/>
                <w:color w:val="auto"/>
              </w:rPr>
            </w:pPr>
          </w:p>
        </w:tc>
      </w:tr>
      <w:tr>
        <w:trPr>
          <w:trHeight w:val="328"/>
        </w:trPr>
        <w:tc>
          <w:tcPr>
            <w:tcW w:w="660" w:type="dxa"/>
            <w:vAlign w:val="bottom"/>
          </w:tcPr>
          <w:p>
            <w:pPr>
              <w:spacing w:after="0"/>
              <w:rPr>
                <w:sz w:val="24"/>
                <w:szCs w:val="24"/>
                <w:color w:val="auto"/>
              </w:rPr>
            </w:pPr>
          </w:p>
        </w:tc>
        <w:tc>
          <w:tcPr>
            <w:tcW w:w="104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40"/>
        </w:trPr>
        <w:tc>
          <w:tcPr>
            <w:tcW w:w="660" w:type="dxa"/>
            <w:vAlign w:val="bottom"/>
          </w:tcPr>
          <w:p>
            <w:pPr>
              <w:ind w:left="300"/>
              <w:spacing w:after="0"/>
              <w:rPr>
                <w:sz w:val="20"/>
                <w:szCs w:val="20"/>
                <w:color w:val="auto"/>
              </w:rPr>
            </w:pPr>
            <w:r>
              <w:rPr>
                <w:rFonts w:ascii="Arial" w:cs="Arial" w:eastAsia="Arial" w:hAnsi="Arial"/>
                <w:sz w:val="15"/>
                <w:szCs w:val="15"/>
                <w:color w:val="auto"/>
              </w:rPr>
              <w:t>5.4</w:t>
            </w:r>
          </w:p>
        </w:tc>
        <w:tc>
          <w:tcPr>
            <w:tcW w:w="10480" w:type="dxa"/>
            <w:vAlign w:val="bottom"/>
          </w:tcPr>
          <w:p>
            <w:pPr>
              <w:ind w:left="100"/>
              <w:spacing w:after="0"/>
              <w:rPr>
                <w:sz w:val="20"/>
                <w:szCs w:val="20"/>
                <w:color w:val="auto"/>
              </w:rPr>
            </w:pPr>
            <w:r>
              <w:rPr>
                <w:rFonts w:ascii="Arial" w:cs="Arial" w:eastAsia="Arial" w:hAnsi="Arial"/>
                <w:sz w:val="15"/>
                <w:szCs w:val="15"/>
                <w:color w:val="auto"/>
              </w:rPr>
              <w:t>REMOVAL AND RESIGNATION OF OFFICERS</w:t>
            </w:r>
          </w:p>
        </w:tc>
        <w:tc>
          <w:tcPr>
            <w:tcW w:w="2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5.5</w:t>
            </w:r>
          </w:p>
        </w:tc>
        <w:tc>
          <w:tcPr>
            <w:tcW w:w="10480" w:type="dxa"/>
            <w:vAlign w:val="bottom"/>
          </w:tcPr>
          <w:p>
            <w:pPr>
              <w:ind w:left="100"/>
              <w:spacing w:after="0"/>
              <w:rPr>
                <w:sz w:val="20"/>
                <w:szCs w:val="20"/>
                <w:color w:val="auto"/>
              </w:rPr>
            </w:pPr>
            <w:r>
              <w:rPr>
                <w:rFonts w:ascii="Arial" w:cs="Arial" w:eastAsia="Arial" w:hAnsi="Arial"/>
                <w:sz w:val="15"/>
                <w:szCs w:val="15"/>
                <w:color w:val="auto"/>
              </w:rPr>
              <w:t>VACANCIES IN OFFICES</w:t>
            </w:r>
          </w:p>
        </w:tc>
        <w:tc>
          <w:tcPr>
            <w:tcW w:w="2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5.6</w:t>
            </w:r>
          </w:p>
        </w:tc>
        <w:tc>
          <w:tcPr>
            <w:tcW w:w="10480" w:type="dxa"/>
            <w:vAlign w:val="bottom"/>
          </w:tcPr>
          <w:p>
            <w:pPr>
              <w:ind w:left="100"/>
              <w:spacing w:after="0"/>
              <w:rPr>
                <w:sz w:val="20"/>
                <w:szCs w:val="20"/>
                <w:color w:val="auto"/>
              </w:rPr>
            </w:pPr>
            <w:r>
              <w:rPr>
                <w:rFonts w:ascii="Arial" w:cs="Arial" w:eastAsia="Arial" w:hAnsi="Arial"/>
                <w:sz w:val="15"/>
                <w:szCs w:val="15"/>
                <w:color w:val="auto"/>
              </w:rPr>
              <w:t>REPRESENTATION OF SECURITIES OF OTHER ENTITIES</w:t>
            </w: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5.7</w:t>
            </w:r>
          </w:p>
        </w:tc>
        <w:tc>
          <w:tcPr>
            <w:tcW w:w="10480" w:type="dxa"/>
            <w:vAlign w:val="bottom"/>
          </w:tcPr>
          <w:p>
            <w:pPr>
              <w:ind w:left="100"/>
              <w:spacing w:after="0"/>
              <w:rPr>
                <w:sz w:val="20"/>
                <w:szCs w:val="20"/>
                <w:color w:val="auto"/>
              </w:rPr>
            </w:pPr>
            <w:r>
              <w:rPr>
                <w:rFonts w:ascii="Arial" w:cs="Arial" w:eastAsia="Arial" w:hAnsi="Arial"/>
                <w:sz w:val="15"/>
                <w:szCs w:val="15"/>
                <w:color w:val="auto"/>
              </w:rPr>
              <w:t>AUTHORITY AND DUTIES OF OFFICERS</w:t>
            </w: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71"/>
        </w:trPr>
        <w:tc>
          <w:tcPr>
            <w:tcW w:w="11140" w:type="dxa"/>
            <w:vAlign w:val="bottom"/>
            <w:gridSpan w:val="2"/>
          </w:tcPr>
          <w:p>
            <w:pPr>
              <w:spacing w:after="0"/>
              <w:rPr>
                <w:sz w:val="20"/>
                <w:szCs w:val="20"/>
                <w:color w:val="auto"/>
              </w:rPr>
            </w:pPr>
            <w:r>
              <w:rPr>
                <w:rFonts w:ascii="Arial" w:cs="Arial" w:eastAsia="Arial" w:hAnsi="Arial"/>
                <w:sz w:val="15"/>
                <w:szCs w:val="15"/>
                <w:color w:val="auto"/>
              </w:rPr>
              <w:t>ARTICLE VI - STOCK</w:t>
            </w: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6.1</w:t>
            </w:r>
          </w:p>
        </w:tc>
        <w:tc>
          <w:tcPr>
            <w:tcW w:w="10480" w:type="dxa"/>
            <w:vAlign w:val="bottom"/>
          </w:tcPr>
          <w:p>
            <w:pPr>
              <w:ind w:left="100"/>
              <w:spacing w:after="0"/>
              <w:rPr>
                <w:sz w:val="20"/>
                <w:szCs w:val="20"/>
                <w:color w:val="auto"/>
              </w:rPr>
            </w:pPr>
            <w:r>
              <w:rPr>
                <w:rFonts w:ascii="Arial" w:cs="Arial" w:eastAsia="Arial" w:hAnsi="Arial"/>
                <w:sz w:val="15"/>
                <w:szCs w:val="15"/>
                <w:color w:val="auto"/>
              </w:rPr>
              <w:t>STOCK CERTIFICATES; PARTLY PAID SHARES</w:t>
            </w: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6.2</w:t>
            </w:r>
          </w:p>
        </w:tc>
        <w:tc>
          <w:tcPr>
            <w:tcW w:w="10480" w:type="dxa"/>
            <w:vAlign w:val="bottom"/>
          </w:tcPr>
          <w:p>
            <w:pPr>
              <w:ind w:left="100"/>
              <w:spacing w:after="0"/>
              <w:rPr>
                <w:sz w:val="20"/>
                <w:szCs w:val="20"/>
                <w:color w:val="auto"/>
              </w:rPr>
            </w:pPr>
            <w:r>
              <w:rPr>
                <w:rFonts w:ascii="Arial" w:cs="Arial" w:eastAsia="Arial" w:hAnsi="Arial"/>
                <w:sz w:val="15"/>
                <w:szCs w:val="15"/>
                <w:color w:val="auto"/>
              </w:rPr>
              <w:t>SPECIAL DESIGNATION ON CERTIFICATES</w:t>
            </w: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6.3</w:t>
            </w:r>
          </w:p>
        </w:tc>
        <w:tc>
          <w:tcPr>
            <w:tcW w:w="10480" w:type="dxa"/>
            <w:vAlign w:val="bottom"/>
          </w:tcPr>
          <w:p>
            <w:pPr>
              <w:ind w:left="100"/>
              <w:spacing w:after="0"/>
              <w:rPr>
                <w:sz w:val="20"/>
                <w:szCs w:val="20"/>
                <w:color w:val="auto"/>
              </w:rPr>
            </w:pPr>
            <w:r>
              <w:rPr>
                <w:rFonts w:ascii="Arial" w:cs="Arial" w:eastAsia="Arial" w:hAnsi="Arial"/>
                <w:sz w:val="15"/>
                <w:szCs w:val="15"/>
                <w:color w:val="auto"/>
              </w:rPr>
              <w:t>LOST CERTIFICATES</w:t>
            </w:r>
          </w:p>
        </w:tc>
        <w:tc>
          <w:tcPr>
            <w:tcW w:w="2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6.4</w:t>
            </w:r>
          </w:p>
        </w:tc>
        <w:tc>
          <w:tcPr>
            <w:tcW w:w="10480" w:type="dxa"/>
            <w:vAlign w:val="bottom"/>
          </w:tcPr>
          <w:p>
            <w:pPr>
              <w:ind w:left="100"/>
              <w:spacing w:after="0"/>
              <w:rPr>
                <w:sz w:val="20"/>
                <w:szCs w:val="20"/>
                <w:color w:val="auto"/>
              </w:rPr>
            </w:pPr>
            <w:r>
              <w:rPr>
                <w:rFonts w:ascii="Arial" w:cs="Arial" w:eastAsia="Arial" w:hAnsi="Arial"/>
                <w:sz w:val="15"/>
                <w:szCs w:val="15"/>
                <w:color w:val="auto"/>
              </w:rPr>
              <w:t>DIVIDENDS</w:t>
            </w:r>
          </w:p>
        </w:tc>
        <w:tc>
          <w:tcPr>
            <w:tcW w:w="2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6.5</w:t>
            </w:r>
          </w:p>
        </w:tc>
        <w:tc>
          <w:tcPr>
            <w:tcW w:w="10480" w:type="dxa"/>
            <w:vAlign w:val="bottom"/>
          </w:tcPr>
          <w:p>
            <w:pPr>
              <w:ind w:left="100"/>
              <w:spacing w:after="0"/>
              <w:rPr>
                <w:sz w:val="20"/>
                <w:szCs w:val="20"/>
                <w:color w:val="auto"/>
              </w:rPr>
            </w:pPr>
            <w:r>
              <w:rPr>
                <w:rFonts w:ascii="Arial" w:cs="Arial" w:eastAsia="Arial" w:hAnsi="Arial"/>
                <w:sz w:val="15"/>
                <w:szCs w:val="15"/>
                <w:color w:val="auto"/>
              </w:rPr>
              <w:t>TRANSFER OF STOCK</w:t>
            </w:r>
          </w:p>
        </w:tc>
        <w:tc>
          <w:tcPr>
            <w:tcW w:w="2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6.6</w:t>
            </w:r>
          </w:p>
        </w:tc>
        <w:tc>
          <w:tcPr>
            <w:tcW w:w="10480" w:type="dxa"/>
            <w:vAlign w:val="bottom"/>
          </w:tcPr>
          <w:p>
            <w:pPr>
              <w:ind w:left="100"/>
              <w:spacing w:after="0"/>
              <w:rPr>
                <w:sz w:val="20"/>
                <w:szCs w:val="20"/>
                <w:color w:val="auto"/>
              </w:rPr>
            </w:pPr>
            <w:r>
              <w:rPr>
                <w:rFonts w:ascii="Arial" w:cs="Arial" w:eastAsia="Arial" w:hAnsi="Arial"/>
                <w:sz w:val="15"/>
                <w:szCs w:val="15"/>
                <w:color w:val="auto"/>
              </w:rPr>
              <w:t>STOCK TRANSFER AGREEMENTS</w:t>
            </w:r>
          </w:p>
        </w:tc>
        <w:tc>
          <w:tcPr>
            <w:tcW w:w="2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6.7</w:t>
            </w:r>
          </w:p>
        </w:tc>
        <w:tc>
          <w:tcPr>
            <w:tcW w:w="10480" w:type="dxa"/>
            <w:vAlign w:val="bottom"/>
          </w:tcPr>
          <w:p>
            <w:pPr>
              <w:ind w:left="100"/>
              <w:spacing w:after="0"/>
              <w:rPr>
                <w:sz w:val="20"/>
                <w:szCs w:val="20"/>
                <w:color w:val="auto"/>
              </w:rPr>
            </w:pPr>
            <w:r>
              <w:rPr>
                <w:rFonts w:ascii="Arial" w:cs="Arial" w:eastAsia="Arial" w:hAnsi="Arial"/>
                <w:sz w:val="15"/>
                <w:szCs w:val="15"/>
                <w:color w:val="auto"/>
              </w:rPr>
              <w:t>REGISTERED STOCKHOLDERS</w:t>
            </w:r>
          </w:p>
        </w:tc>
        <w:tc>
          <w:tcPr>
            <w:tcW w:w="2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71"/>
        </w:trPr>
        <w:tc>
          <w:tcPr>
            <w:tcW w:w="11140" w:type="dxa"/>
            <w:vAlign w:val="bottom"/>
            <w:gridSpan w:val="2"/>
          </w:tcPr>
          <w:p>
            <w:pPr>
              <w:spacing w:after="0"/>
              <w:rPr>
                <w:sz w:val="20"/>
                <w:szCs w:val="20"/>
                <w:color w:val="auto"/>
              </w:rPr>
            </w:pPr>
            <w:r>
              <w:rPr>
                <w:rFonts w:ascii="Arial" w:cs="Arial" w:eastAsia="Arial" w:hAnsi="Arial"/>
                <w:sz w:val="15"/>
                <w:szCs w:val="15"/>
                <w:color w:val="auto"/>
              </w:rPr>
              <w:t>ARTICLE VII - MANNER OF GIVING NOTICE AND WAIVER</w:t>
            </w:r>
          </w:p>
        </w:tc>
        <w:tc>
          <w:tcPr>
            <w:tcW w:w="2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7.1</w:t>
            </w:r>
          </w:p>
        </w:tc>
        <w:tc>
          <w:tcPr>
            <w:tcW w:w="10480" w:type="dxa"/>
            <w:vAlign w:val="bottom"/>
          </w:tcPr>
          <w:p>
            <w:pPr>
              <w:ind w:left="100"/>
              <w:spacing w:after="0"/>
              <w:rPr>
                <w:sz w:val="20"/>
                <w:szCs w:val="20"/>
                <w:color w:val="auto"/>
              </w:rPr>
            </w:pPr>
            <w:r>
              <w:rPr>
                <w:rFonts w:ascii="Arial" w:cs="Arial" w:eastAsia="Arial" w:hAnsi="Arial"/>
                <w:sz w:val="15"/>
                <w:szCs w:val="15"/>
                <w:color w:val="auto"/>
              </w:rPr>
              <w:t>NOTICE OF STOCKHOLDERS’ MEETINGS</w:t>
            </w:r>
          </w:p>
        </w:tc>
        <w:tc>
          <w:tcPr>
            <w:tcW w:w="2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7.2</w:t>
            </w:r>
          </w:p>
        </w:tc>
        <w:tc>
          <w:tcPr>
            <w:tcW w:w="10480" w:type="dxa"/>
            <w:vAlign w:val="bottom"/>
          </w:tcPr>
          <w:p>
            <w:pPr>
              <w:ind w:left="100"/>
              <w:spacing w:after="0"/>
              <w:rPr>
                <w:sz w:val="20"/>
                <w:szCs w:val="20"/>
                <w:color w:val="auto"/>
              </w:rPr>
            </w:pPr>
            <w:r>
              <w:rPr>
                <w:rFonts w:ascii="Arial" w:cs="Arial" w:eastAsia="Arial" w:hAnsi="Arial"/>
                <w:sz w:val="15"/>
                <w:szCs w:val="15"/>
                <w:color w:val="auto"/>
              </w:rPr>
              <w:t>NOTICE BY ELECTRONIC TRANSMISSION</w:t>
            </w:r>
          </w:p>
        </w:tc>
        <w:tc>
          <w:tcPr>
            <w:tcW w:w="2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7.3</w:t>
            </w:r>
          </w:p>
        </w:tc>
        <w:tc>
          <w:tcPr>
            <w:tcW w:w="10480" w:type="dxa"/>
            <w:vAlign w:val="bottom"/>
          </w:tcPr>
          <w:p>
            <w:pPr>
              <w:ind w:left="100"/>
              <w:spacing w:after="0"/>
              <w:rPr>
                <w:sz w:val="20"/>
                <w:szCs w:val="20"/>
                <w:color w:val="auto"/>
              </w:rPr>
            </w:pPr>
            <w:r>
              <w:rPr>
                <w:rFonts w:ascii="Arial" w:cs="Arial" w:eastAsia="Arial" w:hAnsi="Arial"/>
                <w:sz w:val="15"/>
                <w:szCs w:val="15"/>
                <w:color w:val="auto"/>
              </w:rPr>
              <w:t>NOTICE TO STOCKHOLDERS SHARING AN ADDRESS</w:t>
            </w:r>
          </w:p>
        </w:tc>
        <w:tc>
          <w:tcPr>
            <w:tcW w:w="26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7.4</w:t>
            </w:r>
          </w:p>
        </w:tc>
        <w:tc>
          <w:tcPr>
            <w:tcW w:w="10480" w:type="dxa"/>
            <w:vAlign w:val="bottom"/>
          </w:tcPr>
          <w:p>
            <w:pPr>
              <w:ind w:left="100"/>
              <w:spacing w:after="0"/>
              <w:rPr>
                <w:sz w:val="20"/>
                <w:szCs w:val="20"/>
                <w:color w:val="auto"/>
              </w:rPr>
            </w:pPr>
            <w:r>
              <w:rPr>
                <w:rFonts w:ascii="Arial" w:cs="Arial" w:eastAsia="Arial" w:hAnsi="Arial"/>
                <w:sz w:val="15"/>
                <w:szCs w:val="15"/>
                <w:color w:val="auto"/>
              </w:rPr>
              <w:t>NOTICE TO PERSON WITH WHOM COMMUNICATION IS UNLAWFUL</w:t>
            </w:r>
          </w:p>
        </w:tc>
        <w:tc>
          <w:tcPr>
            <w:tcW w:w="26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7.5</w:t>
            </w:r>
          </w:p>
        </w:tc>
        <w:tc>
          <w:tcPr>
            <w:tcW w:w="10480" w:type="dxa"/>
            <w:vAlign w:val="bottom"/>
          </w:tcPr>
          <w:p>
            <w:pPr>
              <w:ind w:left="100"/>
              <w:spacing w:after="0"/>
              <w:rPr>
                <w:sz w:val="20"/>
                <w:szCs w:val="20"/>
                <w:color w:val="auto"/>
              </w:rPr>
            </w:pPr>
            <w:r>
              <w:rPr>
                <w:rFonts w:ascii="Arial" w:cs="Arial" w:eastAsia="Arial" w:hAnsi="Arial"/>
                <w:sz w:val="15"/>
                <w:szCs w:val="15"/>
                <w:color w:val="auto"/>
              </w:rPr>
              <w:t>WAIVER OF NOTICE</w:t>
            </w:r>
          </w:p>
        </w:tc>
        <w:tc>
          <w:tcPr>
            <w:tcW w:w="26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71"/>
        </w:trPr>
        <w:tc>
          <w:tcPr>
            <w:tcW w:w="11140" w:type="dxa"/>
            <w:vAlign w:val="bottom"/>
            <w:gridSpan w:val="2"/>
          </w:tcPr>
          <w:p>
            <w:pPr>
              <w:spacing w:after="0"/>
              <w:rPr>
                <w:sz w:val="20"/>
                <w:szCs w:val="20"/>
                <w:color w:val="auto"/>
              </w:rPr>
            </w:pPr>
            <w:r>
              <w:rPr>
                <w:rFonts w:ascii="Arial" w:cs="Arial" w:eastAsia="Arial" w:hAnsi="Arial"/>
                <w:sz w:val="15"/>
                <w:szCs w:val="15"/>
                <w:color w:val="auto"/>
              </w:rPr>
              <w:t>ARTICLE VIII - INDEMNIFICATION</w:t>
            </w:r>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8.1</w:t>
            </w:r>
          </w:p>
        </w:tc>
        <w:tc>
          <w:tcPr>
            <w:tcW w:w="10480" w:type="dxa"/>
            <w:vAlign w:val="bottom"/>
          </w:tcPr>
          <w:p>
            <w:pPr>
              <w:ind w:left="100"/>
              <w:spacing w:after="0"/>
              <w:rPr>
                <w:sz w:val="20"/>
                <w:szCs w:val="20"/>
                <w:color w:val="auto"/>
              </w:rPr>
            </w:pPr>
            <w:r>
              <w:rPr>
                <w:rFonts w:ascii="Arial" w:cs="Arial" w:eastAsia="Arial" w:hAnsi="Arial"/>
                <w:sz w:val="15"/>
                <w:szCs w:val="15"/>
                <w:color w:val="auto"/>
              </w:rPr>
              <w:t>INDEMNIFICATION OF DIRECTORS AND OFFICERS IN THIRD PARTY PROCEEDINGS</w:t>
            </w:r>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8.2</w:t>
            </w:r>
          </w:p>
        </w:tc>
        <w:tc>
          <w:tcPr>
            <w:tcW w:w="10480" w:type="dxa"/>
            <w:vAlign w:val="bottom"/>
          </w:tcPr>
          <w:p>
            <w:pPr>
              <w:ind w:left="100"/>
              <w:spacing w:after="0"/>
              <w:rPr>
                <w:sz w:val="20"/>
                <w:szCs w:val="20"/>
                <w:color w:val="auto"/>
              </w:rPr>
            </w:pPr>
            <w:r>
              <w:rPr>
                <w:rFonts w:ascii="Arial" w:cs="Arial" w:eastAsia="Arial" w:hAnsi="Arial"/>
                <w:sz w:val="15"/>
                <w:szCs w:val="15"/>
                <w:color w:val="auto"/>
              </w:rPr>
              <w:t>INDEMNIFICATION OF DIRECTORS AND OFFICERS IN ACTIONS BY OR IN THE RIGHT OF THE CORPORATION</w:t>
            </w:r>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8.3</w:t>
            </w:r>
          </w:p>
        </w:tc>
        <w:tc>
          <w:tcPr>
            <w:tcW w:w="10480" w:type="dxa"/>
            <w:vAlign w:val="bottom"/>
          </w:tcPr>
          <w:p>
            <w:pPr>
              <w:ind w:left="100"/>
              <w:spacing w:after="0"/>
              <w:rPr>
                <w:sz w:val="20"/>
                <w:szCs w:val="20"/>
                <w:color w:val="auto"/>
              </w:rPr>
            </w:pPr>
            <w:r>
              <w:rPr>
                <w:rFonts w:ascii="Arial" w:cs="Arial" w:eastAsia="Arial" w:hAnsi="Arial"/>
                <w:sz w:val="15"/>
                <w:szCs w:val="15"/>
                <w:color w:val="auto"/>
              </w:rPr>
              <w:t>SUCCESSFUL DEFENSE</w:t>
            </w:r>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8.4</w:t>
            </w:r>
          </w:p>
        </w:tc>
        <w:tc>
          <w:tcPr>
            <w:tcW w:w="10480" w:type="dxa"/>
            <w:vAlign w:val="bottom"/>
          </w:tcPr>
          <w:p>
            <w:pPr>
              <w:ind w:left="100"/>
              <w:spacing w:after="0"/>
              <w:rPr>
                <w:sz w:val="20"/>
                <w:szCs w:val="20"/>
                <w:color w:val="auto"/>
              </w:rPr>
            </w:pPr>
            <w:r>
              <w:rPr>
                <w:rFonts w:ascii="Arial" w:cs="Arial" w:eastAsia="Arial" w:hAnsi="Arial"/>
                <w:sz w:val="15"/>
                <w:szCs w:val="15"/>
                <w:color w:val="auto"/>
              </w:rPr>
              <w:t>INDEMNIFICATION OF OTHERS</w:t>
            </w:r>
          </w:p>
        </w:tc>
        <w:tc>
          <w:tcPr>
            <w:tcW w:w="26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8.5</w:t>
            </w:r>
          </w:p>
        </w:tc>
        <w:tc>
          <w:tcPr>
            <w:tcW w:w="10480" w:type="dxa"/>
            <w:vAlign w:val="bottom"/>
          </w:tcPr>
          <w:p>
            <w:pPr>
              <w:ind w:left="100"/>
              <w:spacing w:after="0"/>
              <w:rPr>
                <w:sz w:val="20"/>
                <w:szCs w:val="20"/>
                <w:color w:val="auto"/>
              </w:rPr>
            </w:pPr>
            <w:r>
              <w:rPr>
                <w:rFonts w:ascii="Arial" w:cs="Arial" w:eastAsia="Arial" w:hAnsi="Arial"/>
                <w:sz w:val="15"/>
                <w:szCs w:val="15"/>
                <w:color w:val="auto"/>
              </w:rPr>
              <w:t>ADVANCE PAYMENT OF EXPENSES</w:t>
            </w:r>
          </w:p>
        </w:tc>
        <w:tc>
          <w:tcPr>
            <w:tcW w:w="26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8.6</w:t>
            </w:r>
          </w:p>
        </w:tc>
        <w:tc>
          <w:tcPr>
            <w:tcW w:w="10480" w:type="dxa"/>
            <w:vAlign w:val="bottom"/>
          </w:tcPr>
          <w:p>
            <w:pPr>
              <w:ind w:left="100"/>
              <w:spacing w:after="0"/>
              <w:rPr>
                <w:sz w:val="20"/>
                <w:szCs w:val="20"/>
                <w:color w:val="auto"/>
              </w:rPr>
            </w:pPr>
            <w:r>
              <w:rPr>
                <w:rFonts w:ascii="Arial" w:cs="Arial" w:eastAsia="Arial" w:hAnsi="Arial"/>
                <w:sz w:val="15"/>
                <w:szCs w:val="15"/>
                <w:color w:val="auto"/>
              </w:rPr>
              <w:t>LIMITATION ON INDEMNIFICATION</w:t>
            </w:r>
          </w:p>
        </w:tc>
        <w:tc>
          <w:tcPr>
            <w:tcW w:w="26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8.7</w:t>
            </w:r>
          </w:p>
        </w:tc>
        <w:tc>
          <w:tcPr>
            <w:tcW w:w="10480" w:type="dxa"/>
            <w:vAlign w:val="bottom"/>
          </w:tcPr>
          <w:p>
            <w:pPr>
              <w:ind w:left="100"/>
              <w:spacing w:after="0"/>
              <w:rPr>
                <w:sz w:val="20"/>
                <w:szCs w:val="20"/>
                <w:color w:val="auto"/>
              </w:rPr>
            </w:pPr>
            <w:r>
              <w:rPr>
                <w:rFonts w:ascii="Arial" w:cs="Arial" w:eastAsia="Arial" w:hAnsi="Arial"/>
                <w:sz w:val="15"/>
                <w:szCs w:val="15"/>
                <w:color w:val="auto"/>
              </w:rPr>
              <w:t>DETERMINATION; CLAIM</w:t>
            </w: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8.8</w:t>
            </w:r>
          </w:p>
        </w:tc>
        <w:tc>
          <w:tcPr>
            <w:tcW w:w="10480" w:type="dxa"/>
            <w:vAlign w:val="bottom"/>
          </w:tcPr>
          <w:p>
            <w:pPr>
              <w:ind w:left="100"/>
              <w:spacing w:after="0"/>
              <w:rPr>
                <w:sz w:val="20"/>
                <w:szCs w:val="20"/>
                <w:color w:val="auto"/>
              </w:rPr>
            </w:pPr>
            <w:r>
              <w:rPr>
                <w:rFonts w:ascii="Arial" w:cs="Arial" w:eastAsia="Arial" w:hAnsi="Arial"/>
                <w:sz w:val="15"/>
                <w:szCs w:val="15"/>
                <w:color w:val="auto"/>
              </w:rPr>
              <w:t>NON-EXCLUSIVITY OF RIGHTS</w:t>
            </w: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8.9</w:t>
            </w:r>
          </w:p>
        </w:tc>
        <w:tc>
          <w:tcPr>
            <w:tcW w:w="10480" w:type="dxa"/>
            <w:vAlign w:val="bottom"/>
          </w:tcPr>
          <w:p>
            <w:pPr>
              <w:ind w:left="100"/>
              <w:spacing w:after="0"/>
              <w:rPr>
                <w:sz w:val="20"/>
                <w:szCs w:val="20"/>
                <w:color w:val="auto"/>
              </w:rPr>
            </w:pPr>
            <w:r>
              <w:rPr>
                <w:rFonts w:ascii="Arial" w:cs="Arial" w:eastAsia="Arial" w:hAnsi="Arial"/>
                <w:sz w:val="15"/>
                <w:szCs w:val="15"/>
                <w:color w:val="auto"/>
              </w:rPr>
              <w:t>INSURANCE</w:t>
            </w: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8.10</w:t>
            </w:r>
          </w:p>
        </w:tc>
        <w:tc>
          <w:tcPr>
            <w:tcW w:w="10480" w:type="dxa"/>
            <w:vAlign w:val="bottom"/>
          </w:tcPr>
          <w:p>
            <w:pPr>
              <w:ind w:left="100"/>
              <w:spacing w:after="0"/>
              <w:rPr>
                <w:sz w:val="20"/>
                <w:szCs w:val="20"/>
                <w:color w:val="auto"/>
              </w:rPr>
            </w:pPr>
            <w:r>
              <w:rPr>
                <w:rFonts w:ascii="Arial" w:cs="Arial" w:eastAsia="Arial" w:hAnsi="Arial"/>
                <w:sz w:val="15"/>
                <w:szCs w:val="15"/>
                <w:color w:val="auto"/>
              </w:rPr>
              <w:t>SURVIVAL</w:t>
            </w: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8.11</w:t>
            </w:r>
          </w:p>
        </w:tc>
        <w:tc>
          <w:tcPr>
            <w:tcW w:w="10480" w:type="dxa"/>
            <w:vAlign w:val="bottom"/>
          </w:tcPr>
          <w:p>
            <w:pPr>
              <w:ind w:left="100"/>
              <w:spacing w:after="0"/>
              <w:rPr>
                <w:sz w:val="20"/>
                <w:szCs w:val="20"/>
                <w:color w:val="auto"/>
              </w:rPr>
            </w:pPr>
            <w:r>
              <w:rPr>
                <w:rFonts w:ascii="Arial" w:cs="Arial" w:eastAsia="Arial" w:hAnsi="Arial"/>
                <w:sz w:val="15"/>
                <w:szCs w:val="15"/>
                <w:color w:val="auto"/>
              </w:rPr>
              <w:t>EFFECT OF REPEAL OR MODIFICATION</w:t>
            </w: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8.12</w:t>
            </w:r>
          </w:p>
        </w:tc>
        <w:tc>
          <w:tcPr>
            <w:tcW w:w="10480" w:type="dxa"/>
            <w:vAlign w:val="bottom"/>
          </w:tcPr>
          <w:p>
            <w:pPr>
              <w:ind w:left="100"/>
              <w:spacing w:after="0"/>
              <w:rPr>
                <w:sz w:val="20"/>
                <w:szCs w:val="20"/>
                <w:color w:val="auto"/>
              </w:rPr>
            </w:pPr>
            <w:r>
              <w:rPr>
                <w:rFonts w:ascii="Arial" w:cs="Arial" w:eastAsia="Arial" w:hAnsi="Arial"/>
                <w:sz w:val="15"/>
                <w:szCs w:val="15"/>
                <w:color w:val="auto"/>
              </w:rPr>
              <w:t>CERTAIN DEFINITIONS</w:t>
            </w: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71"/>
        </w:trPr>
        <w:tc>
          <w:tcPr>
            <w:tcW w:w="11140" w:type="dxa"/>
            <w:vAlign w:val="bottom"/>
            <w:gridSpan w:val="2"/>
          </w:tcPr>
          <w:p>
            <w:pPr>
              <w:spacing w:after="0"/>
              <w:rPr>
                <w:sz w:val="20"/>
                <w:szCs w:val="20"/>
                <w:color w:val="auto"/>
              </w:rPr>
            </w:pPr>
            <w:r>
              <w:rPr>
                <w:rFonts w:ascii="Arial" w:cs="Arial" w:eastAsia="Arial" w:hAnsi="Arial"/>
                <w:sz w:val="15"/>
                <w:szCs w:val="15"/>
                <w:color w:val="auto"/>
              </w:rPr>
              <w:t>ARTICLE IX - GENERAL MATTERS</w:t>
            </w: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61"/>
        </w:trPr>
        <w:tc>
          <w:tcPr>
            <w:tcW w:w="660" w:type="dxa"/>
            <w:vAlign w:val="bottom"/>
          </w:tcPr>
          <w:p>
            <w:pPr>
              <w:ind w:left="300"/>
              <w:spacing w:after="0"/>
              <w:rPr>
                <w:sz w:val="20"/>
                <w:szCs w:val="20"/>
                <w:color w:val="auto"/>
              </w:rPr>
            </w:pPr>
            <w:r>
              <w:rPr>
                <w:rFonts w:ascii="Arial" w:cs="Arial" w:eastAsia="Arial" w:hAnsi="Arial"/>
                <w:sz w:val="15"/>
                <w:szCs w:val="15"/>
                <w:color w:val="auto"/>
              </w:rPr>
              <w:t>9.1</w:t>
            </w:r>
          </w:p>
        </w:tc>
        <w:tc>
          <w:tcPr>
            <w:tcW w:w="10480" w:type="dxa"/>
            <w:vAlign w:val="bottom"/>
          </w:tcPr>
          <w:p>
            <w:pPr>
              <w:ind w:left="100"/>
              <w:spacing w:after="0"/>
              <w:rPr>
                <w:sz w:val="20"/>
                <w:szCs w:val="20"/>
                <w:color w:val="auto"/>
              </w:rPr>
            </w:pPr>
            <w:r>
              <w:rPr>
                <w:rFonts w:ascii="Arial" w:cs="Arial" w:eastAsia="Arial" w:hAnsi="Arial"/>
                <w:sz w:val="15"/>
                <w:szCs w:val="15"/>
                <w:color w:val="auto"/>
              </w:rPr>
              <w:t>EXECUTION OF CORPORATE CONTRACTS AND INSTRUMENTS</w:t>
            </w: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9.2</w:t>
            </w:r>
          </w:p>
        </w:tc>
        <w:tc>
          <w:tcPr>
            <w:tcW w:w="10480" w:type="dxa"/>
            <w:vAlign w:val="bottom"/>
          </w:tcPr>
          <w:p>
            <w:pPr>
              <w:ind w:left="100"/>
              <w:spacing w:after="0"/>
              <w:rPr>
                <w:sz w:val="20"/>
                <w:szCs w:val="20"/>
                <w:color w:val="auto"/>
              </w:rPr>
            </w:pPr>
            <w:r>
              <w:rPr>
                <w:rFonts w:ascii="Arial" w:cs="Arial" w:eastAsia="Arial" w:hAnsi="Arial"/>
                <w:sz w:val="15"/>
                <w:szCs w:val="15"/>
                <w:color w:val="auto"/>
              </w:rPr>
              <w:t>FISCAL YEAR</w:t>
            </w: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660" w:type="dxa"/>
            <w:vAlign w:val="bottom"/>
          </w:tcPr>
          <w:p>
            <w:pPr>
              <w:ind w:left="300"/>
              <w:spacing w:after="0"/>
              <w:rPr>
                <w:sz w:val="20"/>
                <w:szCs w:val="20"/>
                <w:color w:val="auto"/>
              </w:rPr>
            </w:pPr>
            <w:r>
              <w:rPr>
                <w:rFonts w:ascii="Arial" w:cs="Arial" w:eastAsia="Arial" w:hAnsi="Arial"/>
                <w:sz w:val="15"/>
                <w:szCs w:val="15"/>
                <w:color w:val="auto"/>
              </w:rPr>
              <w:t>9.3</w:t>
            </w:r>
          </w:p>
        </w:tc>
        <w:tc>
          <w:tcPr>
            <w:tcW w:w="10480" w:type="dxa"/>
            <w:vAlign w:val="bottom"/>
          </w:tcPr>
          <w:p>
            <w:pPr>
              <w:ind w:left="100"/>
              <w:spacing w:after="0"/>
              <w:rPr>
                <w:sz w:val="20"/>
                <w:szCs w:val="20"/>
                <w:color w:val="auto"/>
              </w:rPr>
            </w:pPr>
            <w:r>
              <w:rPr>
                <w:rFonts w:ascii="Arial" w:cs="Arial" w:eastAsia="Arial" w:hAnsi="Arial"/>
                <w:sz w:val="15"/>
                <w:szCs w:val="15"/>
                <w:color w:val="auto"/>
              </w:rPr>
              <w:t>SEAL</w:t>
            </w: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90"/>
        </w:trPr>
        <w:tc>
          <w:tcPr>
            <w:tcW w:w="660" w:type="dxa"/>
            <w:vAlign w:val="bottom"/>
          </w:tcPr>
          <w:p>
            <w:pPr>
              <w:ind w:left="300"/>
              <w:spacing w:after="0"/>
              <w:rPr>
                <w:sz w:val="20"/>
                <w:szCs w:val="20"/>
                <w:color w:val="auto"/>
              </w:rPr>
            </w:pPr>
            <w:r>
              <w:rPr>
                <w:rFonts w:ascii="Arial" w:cs="Arial" w:eastAsia="Arial" w:hAnsi="Arial"/>
                <w:sz w:val="15"/>
                <w:szCs w:val="15"/>
                <w:color w:val="auto"/>
              </w:rPr>
              <w:t>9.4</w:t>
            </w:r>
          </w:p>
        </w:tc>
        <w:tc>
          <w:tcPr>
            <w:tcW w:w="10480" w:type="dxa"/>
            <w:vAlign w:val="bottom"/>
          </w:tcPr>
          <w:p>
            <w:pPr>
              <w:ind w:left="100"/>
              <w:spacing w:after="0"/>
              <w:rPr>
                <w:sz w:val="20"/>
                <w:szCs w:val="20"/>
                <w:color w:val="auto"/>
              </w:rPr>
            </w:pPr>
            <w:r>
              <w:rPr>
                <w:rFonts w:ascii="Arial" w:cs="Arial" w:eastAsia="Arial" w:hAnsi="Arial"/>
                <w:sz w:val="15"/>
                <w:szCs w:val="15"/>
                <w:color w:val="auto"/>
              </w:rPr>
              <w:t>CONSTRUCTION; DEFINITIONS</w:t>
            </w:r>
          </w:p>
        </w:tc>
        <w:tc>
          <w:tcPr>
            <w:tcW w:w="260" w:type="dxa"/>
            <w:vAlign w:val="bottom"/>
          </w:tcPr>
          <w:p>
            <w:pPr>
              <w:jc w:val="right"/>
              <w:spacing w:after="0"/>
              <w:rPr>
                <w:sz w:val="20"/>
                <w:szCs w:val="20"/>
                <w:color w:val="auto"/>
              </w:rPr>
            </w:pPr>
            <w:r>
              <w:rPr>
                <w:rFonts w:ascii="Arial" w:cs="Arial" w:eastAsia="Arial" w:hAnsi="Arial"/>
                <w:sz w:val="15"/>
                <w:szCs w:val="15"/>
                <w:color w:val="auto"/>
              </w:rPr>
              <w:t>23</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00"/>
          </w:cols>
          <w:pgMar w:left="240" w:top="249" w:right="25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80"/>
        </w:trPr>
        <w:tc>
          <w:tcPr>
            <w:tcW w:w="3620" w:type="dxa"/>
            <w:vAlign w:val="bottom"/>
          </w:tcPr>
          <w:p>
            <w:pPr>
              <w:spacing w:after="0"/>
              <w:rPr>
                <w:sz w:val="15"/>
                <w:szCs w:val="15"/>
                <w:color w:val="auto"/>
              </w:rPr>
            </w:pPr>
          </w:p>
        </w:tc>
        <w:tc>
          <w:tcPr>
            <w:tcW w:w="7780" w:type="dxa"/>
            <w:vAlign w:val="bottom"/>
            <w:gridSpan w:val="2"/>
          </w:tcPr>
          <w:p>
            <w:pPr>
              <w:jc w:val="center"/>
              <w:ind w:right="3540"/>
              <w:spacing w:after="0"/>
              <w:rPr>
                <w:sz w:val="20"/>
                <w:szCs w:val="20"/>
                <w:color w:val="auto"/>
              </w:rPr>
            </w:pPr>
            <w:r>
              <w:rPr>
                <w:rFonts w:ascii="Arial" w:cs="Arial" w:eastAsia="Arial" w:hAnsi="Arial"/>
                <w:sz w:val="15"/>
                <w:szCs w:val="15"/>
                <w:b w:val="1"/>
                <w:bCs w:val="1"/>
                <w:color w:val="auto"/>
              </w:rPr>
              <w:t>TABLE OF CONTENTS</w:t>
            </w:r>
          </w:p>
        </w:tc>
      </w:tr>
      <w:tr>
        <w:trPr>
          <w:trHeight w:val="194"/>
        </w:trPr>
        <w:tc>
          <w:tcPr>
            <w:tcW w:w="3620" w:type="dxa"/>
            <w:vAlign w:val="bottom"/>
          </w:tcPr>
          <w:p>
            <w:pPr>
              <w:spacing w:after="0"/>
              <w:rPr>
                <w:sz w:val="16"/>
                <w:szCs w:val="16"/>
                <w:color w:val="auto"/>
              </w:rPr>
            </w:pPr>
          </w:p>
        </w:tc>
        <w:tc>
          <w:tcPr>
            <w:tcW w:w="7780" w:type="dxa"/>
            <w:vAlign w:val="bottom"/>
            <w:gridSpan w:val="2"/>
          </w:tcPr>
          <w:p>
            <w:pPr>
              <w:jc w:val="center"/>
              <w:ind w:right="3540"/>
              <w:spacing w:after="0"/>
              <w:rPr>
                <w:sz w:val="20"/>
                <w:szCs w:val="20"/>
                <w:color w:val="auto"/>
              </w:rPr>
            </w:pPr>
            <w:r>
              <w:rPr>
                <w:rFonts w:ascii="Arial" w:cs="Arial" w:eastAsia="Arial" w:hAnsi="Arial"/>
                <w:sz w:val="15"/>
                <w:szCs w:val="15"/>
                <w:b w:val="1"/>
                <w:bCs w:val="1"/>
                <w:color w:val="auto"/>
                <w:w w:val="90"/>
              </w:rPr>
              <w:t>(continued)</w:t>
            </w:r>
          </w:p>
        </w:tc>
      </w:tr>
      <w:tr>
        <w:trPr>
          <w:trHeight w:val="328"/>
        </w:trPr>
        <w:tc>
          <w:tcPr>
            <w:tcW w:w="36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50"/>
        </w:trPr>
        <w:tc>
          <w:tcPr>
            <w:tcW w:w="3620" w:type="dxa"/>
            <w:vAlign w:val="bottom"/>
          </w:tcPr>
          <w:p>
            <w:pPr>
              <w:spacing w:after="0"/>
              <w:rPr>
                <w:sz w:val="20"/>
                <w:szCs w:val="20"/>
                <w:color w:val="auto"/>
              </w:rPr>
            </w:pPr>
            <w:r>
              <w:rPr>
                <w:rFonts w:ascii="Arial" w:cs="Arial" w:eastAsia="Arial" w:hAnsi="Arial"/>
                <w:sz w:val="15"/>
                <w:szCs w:val="15"/>
                <w:color w:val="auto"/>
              </w:rPr>
              <w:t>ARTICLE X - AMENDMENTS</w:t>
            </w:r>
          </w:p>
        </w:tc>
        <w:tc>
          <w:tcPr>
            <w:tcW w:w="7780" w:type="dxa"/>
            <w:vAlign w:val="bottom"/>
            <w:gridSpan w:val="2"/>
          </w:tcPr>
          <w:p>
            <w:pPr>
              <w:jc w:val="right"/>
              <w:spacing w:after="0"/>
              <w:rPr>
                <w:sz w:val="20"/>
                <w:szCs w:val="20"/>
                <w:color w:val="auto"/>
              </w:rPr>
            </w:pPr>
            <w:r>
              <w:rPr>
                <w:rFonts w:ascii="Arial" w:cs="Arial" w:eastAsia="Arial" w:hAnsi="Arial"/>
                <w:sz w:val="15"/>
                <w:szCs w:val="15"/>
                <w:color w:val="auto"/>
              </w:rPr>
              <w:t>23</w:t>
            </w:r>
          </w:p>
        </w:tc>
      </w:tr>
      <w:tr>
        <w:trPr>
          <w:trHeight w:val="271"/>
        </w:trPr>
        <w:tc>
          <w:tcPr>
            <w:tcW w:w="3620" w:type="dxa"/>
            <w:vAlign w:val="bottom"/>
          </w:tcPr>
          <w:p>
            <w:pPr>
              <w:spacing w:after="0"/>
              <w:rPr>
                <w:sz w:val="20"/>
                <w:szCs w:val="20"/>
                <w:color w:val="auto"/>
              </w:rPr>
            </w:pPr>
            <w:r>
              <w:rPr>
                <w:rFonts w:ascii="Arial" w:cs="Arial" w:eastAsia="Arial" w:hAnsi="Arial"/>
                <w:sz w:val="15"/>
                <w:szCs w:val="15"/>
                <w:color w:val="auto"/>
              </w:rPr>
              <w:t>ARTICLE XI - EXCLUSIVE FORUM</w:t>
            </w:r>
          </w:p>
        </w:tc>
        <w:tc>
          <w:tcPr>
            <w:tcW w:w="7780" w:type="dxa"/>
            <w:vAlign w:val="bottom"/>
            <w:gridSpan w:val="2"/>
          </w:tcPr>
          <w:p>
            <w:pPr>
              <w:jc w:val="right"/>
              <w:spacing w:after="0"/>
              <w:rPr>
                <w:sz w:val="20"/>
                <w:szCs w:val="20"/>
                <w:color w:val="auto"/>
              </w:rPr>
            </w:pPr>
            <w:r>
              <w:rPr>
                <w:rFonts w:ascii="Arial" w:cs="Arial" w:eastAsia="Arial" w:hAnsi="Arial"/>
                <w:sz w:val="15"/>
                <w:szCs w:val="15"/>
                <w:color w:val="auto"/>
              </w:rPr>
              <w:t>23</w:t>
            </w:r>
          </w:p>
        </w:tc>
      </w:tr>
      <w:tr>
        <w:trPr>
          <w:trHeight w:val="508"/>
        </w:trPr>
        <w:tc>
          <w:tcPr>
            <w:tcW w:w="3620" w:type="dxa"/>
            <w:vAlign w:val="bottom"/>
          </w:tcPr>
          <w:p>
            <w:pPr>
              <w:spacing w:after="0"/>
              <w:rPr>
                <w:sz w:val="24"/>
                <w:szCs w:val="24"/>
                <w:color w:val="auto"/>
              </w:rPr>
            </w:pPr>
          </w:p>
        </w:tc>
        <w:tc>
          <w:tcPr>
            <w:tcW w:w="7780" w:type="dxa"/>
            <w:vAlign w:val="bottom"/>
            <w:gridSpan w:val="2"/>
          </w:tcPr>
          <w:p>
            <w:pPr>
              <w:jc w:val="center"/>
              <w:ind w:right="3540"/>
              <w:spacing w:after="0"/>
              <w:rPr>
                <w:sz w:val="20"/>
                <w:szCs w:val="20"/>
                <w:color w:val="auto"/>
              </w:rPr>
            </w:pPr>
            <w:r>
              <w:rPr>
                <w:rFonts w:ascii="Arial" w:cs="Arial" w:eastAsia="Arial" w:hAnsi="Arial"/>
                <w:sz w:val="15"/>
                <w:szCs w:val="15"/>
                <w:color w:val="auto"/>
              </w:rPr>
              <w:t>-iii-</w:t>
            </w:r>
          </w:p>
        </w:tc>
      </w:tr>
    </w:tbl>
    <w:p>
      <w:pPr>
        <w:jc w:val="center"/>
        <w:ind w:right="3540"/>
        <w:spacing w:after="0"/>
        <w:rPr>
          <w:sz w:val="20"/>
          <w:szCs w:val="20"/>
          <w:color w:val="auto"/>
        </w:rPr>
        <w:sectPr>
          <w:pgSz w:w="11900" w:h="16838" w:orient="portrait"/>
          <w:cols w:equalWidth="0" w:num="1">
            <w:col w:w="11400"/>
          </w:cols>
          <w:pgMar w:left="240" w:top="249" w:right="259" w:bottom="1440" w:gutter="0" w:footer="0" w:header="0"/>
        </w:sect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bookmarkStart w:id="313" w:name="page314"/>
    <w:bookmarkEnd w:id="31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BYLAWS OF 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 - CORPORATE OFFICES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1.1 REGISTERED OFFICE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registered office of Dropbox, Inc. shall be fixed in the corporation’s certificate of incorporation, as the same may be amended from time to time.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1.2 OTHER OFFICES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corporation may at any time establish other offices at any place or places.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 - MEETINGS OF STOCKHOLDERS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2.1 PLACE OF MEETINGS</w:t>
      </w:r>
    </w:p>
    <w:p>
      <w:pPr>
        <w:spacing w:after="0" w:line="9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5"/>
          <w:szCs w:val="15"/>
          <w:b w:val="1"/>
          <w:bCs w:val="1"/>
          <w:color w:val="auto"/>
        </w:rPr>
        <w:t>DGCL</w:t>
      </w:r>
      <w:r>
        <w:rPr>
          <w:rFonts w:ascii="Arial" w:cs="Arial" w:eastAsia="Arial" w:hAnsi="Arial"/>
          <w:sz w:val="15"/>
          <w:szCs w:val="15"/>
          <w:color w:val="auto"/>
        </w:rPr>
        <w: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2.2 ANNUAL MEETING</w:t>
      </w:r>
    </w:p>
    <w:p>
      <w:pPr>
        <w:spacing w:after="0" w:line="98" w:lineRule="exact"/>
        <w:rPr>
          <w:sz w:val="20"/>
          <w:szCs w:val="20"/>
          <w:color w:val="auto"/>
        </w:rPr>
      </w:pPr>
    </w:p>
    <w:p>
      <w:pPr>
        <w:ind w:right="180" w:firstLine="458"/>
        <w:spacing w:after="0" w:line="257" w:lineRule="auto"/>
        <w:rPr>
          <w:sz w:val="20"/>
          <w:szCs w:val="20"/>
          <w:color w:val="auto"/>
        </w:rPr>
      </w:pPr>
      <w:r>
        <w:rPr>
          <w:rFonts w:ascii="Arial" w:cs="Arial" w:eastAsia="Arial" w:hAnsi="Arial"/>
          <w:sz w:val="15"/>
          <w:szCs w:val="15"/>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purposes of these bylaws, the term “</w:t>
      </w:r>
      <w:r>
        <w:rPr>
          <w:rFonts w:ascii="Arial" w:cs="Arial" w:eastAsia="Arial" w:hAnsi="Arial"/>
          <w:sz w:val="15"/>
          <w:szCs w:val="15"/>
          <w:b w:val="1"/>
          <w:bCs w:val="1"/>
          <w:color w:val="auto"/>
        </w:rPr>
        <w:t>Whole Board</w:t>
      </w:r>
      <w:r>
        <w:rPr>
          <w:rFonts w:ascii="Arial" w:cs="Arial" w:eastAsia="Arial" w:hAnsi="Arial"/>
          <w:sz w:val="15"/>
          <w:szCs w:val="15"/>
          <w:color w:val="auto"/>
        </w:rPr>
        <w:t>” shall mean the total number of authorized directors whether or not there exist any vacancies or unfilled seats in previously authorized directorships.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2.3 SPECIAL MEETING</w:t>
      </w:r>
    </w:p>
    <w:p>
      <w:pPr>
        <w:spacing w:after="0" w:line="98" w:lineRule="exact"/>
        <w:rPr>
          <w:sz w:val="20"/>
          <w:szCs w:val="20"/>
          <w:color w:val="auto"/>
        </w:rPr>
      </w:pPr>
    </w:p>
    <w:p>
      <w:pPr>
        <w:ind w:right="60" w:firstLine="906"/>
        <w:spacing w:after="0" w:line="277" w:lineRule="auto"/>
        <w:tabs>
          <w:tab w:leader="none" w:pos="1095" w:val="left"/>
        </w:tabs>
        <w:numPr>
          <w:ilvl w:val="0"/>
          <w:numId w:val="194"/>
        </w:numPr>
        <w:rPr>
          <w:rFonts w:ascii="Arial" w:cs="Arial" w:eastAsia="Arial" w:hAnsi="Arial"/>
          <w:sz w:val="14"/>
          <w:szCs w:val="14"/>
          <w:color w:val="auto"/>
        </w:rPr>
      </w:pPr>
      <w:r>
        <w:rPr>
          <w:rFonts w:ascii="Arial" w:cs="Arial" w:eastAsia="Arial" w:hAnsi="Arial"/>
          <w:sz w:val="14"/>
          <w:szCs w:val="14"/>
          <w:color w:val="auto"/>
        </w:rPr>
        <w:t>A special meeting of the stockholders, other than as required by statute, may be called at any time by (a) 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corporation’s certificate of incorporation), by written request of the holders of at least 30% of the voting power of the Company’s Class A Common Stock and Class B Common Stock, voting together as a single class, provided that such written request is in compliance with the requirements of Section 2.3(ii),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249" w:right="219" w:bottom="1440" w:gutter="0" w:footer="0" w:header="0"/>
        </w:sectPr>
      </w:pPr>
    </w:p>
    <w:bookmarkStart w:id="314" w:name="page315"/>
    <w:bookmarkEnd w:id="314"/>
    <w:p>
      <w:pPr>
        <w:ind w:left="1120" w:hanging="214"/>
        <w:spacing w:after="0"/>
        <w:tabs>
          <w:tab w:leader="none" w:pos="11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If any person(s) other than the board of directors calls a special meeting, the request shall:</w:t>
      </w:r>
    </w:p>
    <w:p>
      <w:pPr>
        <w:spacing w:after="0" w:line="98" w:lineRule="exact"/>
        <w:rPr>
          <w:rFonts w:ascii="Arial" w:cs="Arial" w:eastAsia="Arial" w:hAnsi="Arial"/>
          <w:sz w:val="15"/>
          <w:szCs w:val="15"/>
          <w:color w:val="auto"/>
        </w:rPr>
      </w:pPr>
    </w:p>
    <w:p>
      <w:pPr>
        <w:ind w:left="1680" w:hanging="202"/>
        <w:spacing w:after="0"/>
        <w:tabs>
          <w:tab w:leader="none" w:pos="168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be in writing;</w:t>
      </w:r>
    </w:p>
    <w:p>
      <w:pPr>
        <w:spacing w:after="0" w:line="98" w:lineRule="exact"/>
        <w:rPr>
          <w:rFonts w:ascii="Arial" w:cs="Arial" w:eastAsia="Arial" w:hAnsi="Arial"/>
          <w:sz w:val="15"/>
          <w:szCs w:val="15"/>
          <w:color w:val="auto"/>
        </w:rPr>
      </w:pPr>
    </w:p>
    <w:p>
      <w:pPr>
        <w:ind w:right="180" w:firstLine="1478"/>
        <w:spacing w:after="0" w:line="275" w:lineRule="auto"/>
        <w:tabs>
          <w:tab w:leader="none" w:pos="1701" w:val="left"/>
        </w:tabs>
        <w:numPr>
          <w:ilvl w:val="1"/>
          <w:numId w:val="195"/>
        </w:numPr>
        <w:rPr>
          <w:rFonts w:ascii="Arial" w:cs="Arial" w:eastAsia="Arial" w:hAnsi="Arial"/>
          <w:sz w:val="15"/>
          <w:szCs w:val="15"/>
          <w:color w:val="auto"/>
        </w:rPr>
      </w:pPr>
      <w:r>
        <w:rPr>
          <w:rFonts w:ascii="Arial" w:cs="Arial" w:eastAsia="Arial" w:hAnsi="Arial"/>
          <w:sz w:val="15"/>
          <w:szCs w:val="15"/>
          <w:color w:val="auto"/>
        </w:rPr>
        <w:t>specify the general nature of the business proposed to be transacted, subject to any additional applicable requirements as are set forth in Section 2.4(iii) and in Section 2.4(i)(b) (for the proposal of business other than nominations); and</w:t>
      </w:r>
    </w:p>
    <w:p>
      <w:pPr>
        <w:spacing w:after="0" w:line="55" w:lineRule="exact"/>
        <w:rPr>
          <w:rFonts w:ascii="Arial" w:cs="Arial" w:eastAsia="Arial" w:hAnsi="Arial"/>
          <w:sz w:val="15"/>
          <w:szCs w:val="15"/>
          <w:color w:val="auto"/>
        </w:rPr>
      </w:pPr>
    </w:p>
    <w:p>
      <w:pPr>
        <w:ind w:left="1680" w:hanging="202"/>
        <w:spacing w:after="0"/>
        <w:tabs>
          <w:tab w:leader="none" w:pos="168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be delivered personally or sent by registered mail to the secretary of the corporation.</w:t>
      </w:r>
    </w:p>
    <w:p>
      <w:pPr>
        <w:spacing w:after="0" w:line="98" w:lineRule="exact"/>
        <w:rPr>
          <w:sz w:val="20"/>
          <w:szCs w:val="20"/>
          <w:color w:val="auto"/>
        </w:rPr>
      </w:pPr>
    </w:p>
    <w:p>
      <w:pPr>
        <w:ind w:right="80" w:firstLine="916"/>
        <w:spacing w:after="0" w:line="283" w:lineRule="auto"/>
        <w:rPr>
          <w:sz w:val="20"/>
          <w:szCs w:val="20"/>
          <w:color w:val="auto"/>
        </w:rPr>
      </w:pPr>
      <w:r>
        <w:rPr>
          <w:rFonts w:ascii="Arial" w:cs="Arial" w:eastAsia="Arial" w:hAnsi="Arial"/>
          <w:sz w:val="14"/>
          <w:szCs w:val="14"/>
          <w:color w:val="auto"/>
        </w:rPr>
        <w:t>Upon receipt of such a request, the board of directors shall determine the date, time and place of such special meeting, which must be scheduled to be held on a date that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Section 2.3(ii).</w:t>
      </w:r>
    </w:p>
    <w:p>
      <w:pPr>
        <w:spacing w:after="0" w:line="53" w:lineRule="exact"/>
        <w:rPr>
          <w:sz w:val="20"/>
          <w:szCs w:val="20"/>
          <w:color w:val="auto"/>
        </w:rPr>
      </w:pPr>
    </w:p>
    <w:p>
      <w:pPr>
        <w:ind w:firstLine="906"/>
        <w:spacing w:after="0" w:line="259" w:lineRule="auto"/>
        <w:tabs>
          <w:tab w:leader="none" w:pos="1179"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or in the notice specified in Section 2.3(ii) above. Nothing contained in this Section 2.3(iii) shall be construed as limiting, fixing or affecting the time when a meeting of stockholders called by action of the board of directors may be held.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2.4 ADVANCE NOTICE PROCEDURES</w:t>
      </w:r>
    </w:p>
    <w:p>
      <w:pPr>
        <w:spacing w:after="0" w:line="98" w:lineRule="exact"/>
        <w:rPr>
          <w:sz w:val="20"/>
          <w:szCs w:val="20"/>
          <w:color w:val="auto"/>
        </w:rPr>
      </w:pPr>
    </w:p>
    <w:p>
      <w:pPr>
        <w:ind w:right="40" w:firstLine="906"/>
        <w:spacing w:after="0" w:line="275" w:lineRule="auto"/>
        <w:tabs>
          <w:tab w:leader="none" w:pos="1095" w:val="left"/>
        </w:tabs>
        <w:numPr>
          <w:ilvl w:val="0"/>
          <w:numId w:val="197"/>
        </w:numPr>
        <w:rPr>
          <w:rFonts w:ascii="Arial" w:cs="Arial" w:eastAsia="Arial" w:hAnsi="Arial"/>
          <w:sz w:val="14"/>
          <w:szCs w:val="14"/>
          <w:color w:val="auto"/>
        </w:rPr>
      </w:pPr>
      <w:r>
        <w:rPr>
          <w:rFonts w:ascii="Arial" w:cs="Arial" w:eastAsia="Arial" w:hAnsi="Arial"/>
          <w:sz w:val="14"/>
          <w:szCs w:val="14"/>
          <w:i w:val="1"/>
          <w:iCs w:val="1"/>
          <w:color w:val="auto"/>
        </w:rPr>
        <w:t xml:space="preserve">Advance Notice of Stockholder Business. </w:t>
      </w:r>
      <w:r>
        <w:rPr>
          <w:rFonts w:ascii="Arial" w:cs="Arial" w:eastAsia="Arial" w:hAnsi="Arial"/>
          <w:sz w:val="14"/>
          <w:szCs w:val="14"/>
          <w:color w:val="auto"/>
        </w:rPr>
        <w:t>At an annual meeting of the stockholders, only such business shall be conducted as shall have been properly brought before the</w:t>
      </w:r>
      <w:r>
        <w:rPr>
          <w:rFonts w:ascii="Arial" w:cs="Arial" w:eastAsia="Arial" w:hAnsi="Arial"/>
          <w:sz w:val="14"/>
          <w:szCs w:val="14"/>
          <w:i w:val="1"/>
          <w:iCs w:val="1"/>
          <w:color w:val="auto"/>
        </w:rPr>
        <w:t xml:space="preserve"> </w:t>
      </w:r>
      <w:r>
        <w:rPr>
          <w:rFonts w:ascii="Arial" w:cs="Arial" w:eastAsia="Arial" w:hAnsi="Arial"/>
          <w:sz w:val="14"/>
          <w:szCs w:val="14"/>
          <w:color w:val="auto"/>
        </w:rPr>
        <w:t>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on the record date for the determination of stockholders entitled to notice of the annual meeting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as amended, or any successor thereto (the “</w:t>
      </w:r>
      <w:r>
        <w:rPr>
          <w:rFonts w:ascii="Arial" w:cs="Arial" w:eastAsia="Arial" w:hAnsi="Arial"/>
          <w:sz w:val="14"/>
          <w:szCs w:val="14"/>
          <w:b w:val="1"/>
          <w:bCs w:val="1"/>
          <w:color w:val="auto"/>
        </w:rPr>
        <w:t>1934 Act</w:t>
      </w:r>
      <w:r>
        <w:rPr>
          <w:rFonts w:ascii="Arial" w:cs="Arial" w:eastAsia="Arial" w:hAnsi="Arial"/>
          <w:sz w:val="14"/>
          <w:szCs w:val="14"/>
          <w:color w:val="auto"/>
        </w:rPr>
        <w:t>”)) before an annual meeting of stockholders.</w:t>
      </w:r>
    </w:p>
    <w:p>
      <w:pPr>
        <w:spacing w:after="0" w:line="58" w:lineRule="exact"/>
        <w:rPr>
          <w:rFonts w:ascii="Arial" w:cs="Arial" w:eastAsia="Arial" w:hAnsi="Arial"/>
          <w:sz w:val="14"/>
          <w:szCs w:val="14"/>
          <w:color w:val="auto"/>
        </w:rPr>
      </w:pPr>
    </w:p>
    <w:p>
      <w:pPr>
        <w:ind w:right="20" w:firstLine="1478"/>
        <w:spacing w:after="0" w:line="290" w:lineRule="auto"/>
        <w:tabs>
          <w:tab w:leader="none" w:pos="1692" w:val="left"/>
        </w:tabs>
        <w:numPr>
          <w:ilvl w:val="1"/>
          <w:numId w:val="197"/>
        </w:numPr>
        <w:rPr>
          <w:rFonts w:ascii="Arial" w:cs="Arial" w:eastAsia="Arial" w:hAnsi="Arial"/>
          <w:sz w:val="14"/>
          <w:szCs w:val="14"/>
          <w:color w:val="auto"/>
        </w:rPr>
      </w:pPr>
      <w:r>
        <w:rPr>
          <w:rFonts w:ascii="Arial" w:cs="Arial" w:eastAsia="Arial" w:hAnsi="Arial"/>
          <w:sz w:val="14"/>
          <w:szCs w:val="14"/>
          <w:color w:val="auto"/>
        </w:rPr>
        <w:t>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60"/>
          </w:cols>
          <w:pgMar w:left="240" w:top="253" w:right="299" w:bottom="1440" w:gutter="0" w:footer="0" w:header="0"/>
        </w:sectPr>
      </w:pPr>
    </w:p>
    <w:bookmarkStart w:id="315" w:name="page316"/>
    <w:bookmarkEnd w:id="315"/>
    <w:p>
      <w:pPr>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availability of proxy materials (whichever is earlier) for the preceding year’s annual meeting;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Arial" w:cs="Arial" w:eastAsia="Arial" w:hAnsi="Arial"/>
          <w:sz w:val="13"/>
          <w:szCs w:val="13"/>
          <w:b w:val="1"/>
          <w:bCs w:val="1"/>
          <w:color w:val="auto"/>
        </w:rPr>
        <w:t>Public Announcement</w:t>
      </w:r>
      <w:r>
        <w:rPr>
          <w:rFonts w:ascii="Arial" w:cs="Arial" w:eastAsia="Arial" w:hAnsi="Arial"/>
          <w:sz w:val="13"/>
          <w:szCs w:val="13"/>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45" w:lineRule="exact"/>
        <w:rPr>
          <w:sz w:val="20"/>
          <w:szCs w:val="20"/>
          <w:color w:val="auto"/>
        </w:rPr>
      </w:pPr>
    </w:p>
    <w:p>
      <w:pPr>
        <w:ind w:right="40" w:firstLine="1478"/>
        <w:spacing w:after="0" w:line="271" w:lineRule="auto"/>
        <w:tabs>
          <w:tab w:leader="none" w:pos="1701"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4"/>
          <w:szCs w:val="14"/>
          <w:b w:val="1"/>
          <w:bCs w:val="1"/>
          <w:color w:val="auto"/>
        </w:rPr>
        <w:t>Business Solicitation Statement</w:t>
      </w:r>
      <w:r>
        <w:rPr>
          <w:rFonts w:ascii="Arial" w:cs="Arial" w:eastAsia="Arial" w:hAnsi="Arial"/>
          <w:sz w:val="14"/>
          <w:szCs w:val="14"/>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 (4) above as of such record date. For purposes of this Section 2.4, a “</w:t>
      </w:r>
      <w:r>
        <w:rPr>
          <w:rFonts w:ascii="Arial" w:cs="Arial" w:eastAsia="Arial" w:hAnsi="Arial"/>
          <w:sz w:val="14"/>
          <w:szCs w:val="14"/>
          <w:b w:val="1"/>
          <w:bCs w:val="1"/>
          <w:color w:val="auto"/>
        </w:rPr>
        <w:t>Stockholder Associated Person</w:t>
      </w:r>
      <w:r>
        <w:rPr>
          <w:rFonts w:ascii="Arial" w:cs="Arial" w:eastAsia="Arial" w:hAnsi="Arial"/>
          <w:sz w:val="14"/>
          <w:szCs w:val="14"/>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68" w:lineRule="exact"/>
        <w:rPr>
          <w:rFonts w:ascii="Arial" w:cs="Arial" w:eastAsia="Arial" w:hAnsi="Arial"/>
          <w:sz w:val="14"/>
          <w:szCs w:val="14"/>
          <w:color w:val="auto"/>
        </w:rPr>
      </w:pPr>
    </w:p>
    <w:p>
      <w:pPr>
        <w:ind w:right="80" w:firstLine="1478"/>
        <w:spacing w:after="0" w:line="259" w:lineRule="auto"/>
        <w:tabs>
          <w:tab w:leader="none" w:pos="1692" w:val="left"/>
        </w:tabs>
        <w:numPr>
          <w:ilvl w:val="0"/>
          <w:numId w:val="198"/>
        </w:numPr>
        <w:rPr>
          <w:rFonts w:ascii="Arial" w:cs="Arial" w:eastAsia="Arial" w:hAnsi="Arial"/>
          <w:sz w:val="15"/>
          <w:szCs w:val="15"/>
          <w:color w:val="auto"/>
        </w:rPr>
      </w:pPr>
      <w:r>
        <w:rPr>
          <w:rFonts w:ascii="Arial" w:cs="Arial" w:eastAsia="Arial" w:hAnsi="Arial"/>
          <w:sz w:val="15"/>
          <w:szCs w:val="15"/>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0"/>
          </w:cols>
          <w:pgMar w:left="240" w:top="253" w:right="219" w:bottom="1440" w:gutter="0" w:footer="0" w:header="0"/>
        </w:sectPr>
      </w:pPr>
    </w:p>
    <w:bookmarkStart w:id="316" w:name="page317"/>
    <w:bookmarkEnd w:id="316"/>
    <w:p>
      <w:pPr>
        <w:jc w:val="both"/>
        <w:ind w:right="14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65" w:lineRule="exact"/>
        <w:rPr>
          <w:sz w:val="20"/>
          <w:szCs w:val="20"/>
          <w:color w:val="auto"/>
        </w:rPr>
      </w:pPr>
    </w:p>
    <w:p>
      <w:pPr>
        <w:ind w:right="120" w:firstLine="906"/>
        <w:spacing w:after="0" w:line="255" w:lineRule="auto"/>
        <w:tabs>
          <w:tab w:leader="none" w:pos="1137" w:val="left"/>
        </w:tabs>
        <w:numPr>
          <w:ilvl w:val="0"/>
          <w:numId w:val="199"/>
        </w:numPr>
        <w:rPr>
          <w:rFonts w:ascii="Arial" w:cs="Arial" w:eastAsia="Arial" w:hAnsi="Arial"/>
          <w:sz w:val="15"/>
          <w:szCs w:val="15"/>
          <w:color w:val="auto"/>
        </w:rPr>
      </w:pPr>
      <w:r>
        <w:rPr>
          <w:rFonts w:ascii="Arial" w:cs="Arial" w:eastAsia="Arial" w:hAnsi="Arial"/>
          <w:sz w:val="15"/>
          <w:szCs w:val="15"/>
          <w:i w:val="1"/>
          <w:iCs w:val="1"/>
          <w:color w:val="auto"/>
        </w:rPr>
        <w:t xml:space="preserve">Advance Notice of Director Nominations at Annual Meetings. </w:t>
      </w:r>
      <w:r>
        <w:rPr>
          <w:rFonts w:ascii="Arial" w:cs="Arial" w:eastAsia="Arial" w:hAnsi="Arial"/>
          <w:sz w:val="15"/>
          <w:szCs w:val="15"/>
          <w:color w:val="auto"/>
        </w:rPr>
        <w:t>Notwithstanding anything in these bylaws to the contrary, only persons who are nominated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70" w:lineRule="exact"/>
        <w:rPr>
          <w:rFonts w:ascii="Arial" w:cs="Arial" w:eastAsia="Arial" w:hAnsi="Arial"/>
          <w:sz w:val="15"/>
          <w:szCs w:val="15"/>
          <w:color w:val="auto"/>
        </w:rPr>
      </w:pPr>
    </w:p>
    <w:p>
      <w:pPr>
        <w:ind w:firstLine="1478"/>
        <w:spacing w:after="0" w:line="255" w:lineRule="auto"/>
        <w:tabs>
          <w:tab w:leader="none" w:pos="1692"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70" w:lineRule="exact"/>
        <w:rPr>
          <w:rFonts w:ascii="Arial" w:cs="Arial" w:eastAsia="Arial" w:hAnsi="Arial"/>
          <w:sz w:val="15"/>
          <w:szCs w:val="15"/>
          <w:color w:val="auto"/>
        </w:rPr>
      </w:pPr>
    </w:p>
    <w:p>
      <w:pPr>
        <w:ind w:left="1700" w:hanging="222"/>
        <w:spacing w:after="0"/>
        <w:tabs>
          <w:tab w:leader="none" w:pos="170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To be in proper written form, such stockholder’s notice to the secretary must set forth:</w:t>
      </w:r>
    </w:p>
    <w:p>
      <w:pPr>
        <w:spacing w:after="0" w:line="94" w:lineRule="exact"/>
        <w:rPr>
          <w:rFonts w:ascii="Arial" w:cs="Arial" w:eastAsia="Arial" w:hAnsi="Arial"/>
          <w:sz w:val="15"/>
          <w:szCs w:val="15"/>
          <w:color w:val="auto"/>
        </w:rPr>
      </w:pPr>
    </w:p>
    <w:p>
      <w:pPr>
        <w:ind w:right="20" w:firstLine="1936"/>
        <w:spacing w:after="0" w:line="254" w:lineRule="auto"/>
        <w:tabs>
          <w:tab w:leader="none" w:pos="2159" w:val="left"/>
        </w:tabs>
        <w:numPr>
          <w:ilvl w:val="2"/>
          <w:numId w:val="199"/>
        </w:numPr>
        <w:rPr>
          <w:rFonts w:ascii="Arial" w:cs="Arial" w:eastAsia="Arial" w:hAnsi="Arial"/>
          <w:sz w:val="15"/>
          <w:szCs w:val="15"/>
          <w:color w:val="auto"/>
        </w:rPr>
      </w:pPr>
      <w:r>
        <w:rPr>
          <w:rFonts w:ascii="Arial" w:cs="Arial" w:eastAsia="Arial" w:hAnsi="Arial"/>
          <w:sz w:val="15"/>
          <w:szCs w:val="15"/>
          <w:color w:val="auto"/>
        </w:rPr>
        <w:t>as to each person (a “</w:t>
      </w:r>
      <w:r>
        <w:rPr>
          <w:rFonts w:ascii="Arial" w:cs="Arial" w:eastAsia="Arial" w:hAnsi="Arial"/>
          <w:sz w:val="15"/>
          <w:szCs w:val="15"/>
          <w:b w:val="1"/>
          <w:bCs w:val="1"/>
          <w:color w:val="auto"/>
        </w:rPr>
        <w:t>nominee</w:t>
      </w:r>
      <w:r>
        <w:rPr>
          <w:rFonts w:ascii="Arial" w:cs="Arial" w:eastAsia="Arial" w:hAnsi="Arial"/>
          <w:sz w:val="15"/>
          <w:szCs w:val="15"/>
          <w:color w:val="auto"/>
        </w:rPr>
        <w:t>”) whom the stockholder proposes to nominate for election or re-election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253" w:right="239" w:bottom="1440" w:gutter="0" w:footer="0" w:header="0"/>
        </w:sectPr>
      </w:pPr>
    </w:p>
    <w:bookmarkStart w:id="317" w:name="page318"/>
    <w:bookmarkEnd w:id="317"/>
    <w:p>
      <w:pPr>
        <w:ind w:right="20"/>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as a director of the corporation, (F) a written statement executed by the nominee acknowledging and representing that the nominee intends to serve a full term on the board of directors if elected and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69" w:lineRule="exact"/>
        <w:rPr>
          <w:sz w:val="20"/>
          <w:szCs w:val="20"/>
          <w:color w:val="auto"/>
        </w:rPr>
      </w:pPr>
    </w:p>
    <w:p>
      <w:pPr>
        <w:ind w:right="160" w:firstLine="1936"/>
        <w:spacing w:after="0" w:line="257" w:lineRule="auto"/>
        <w:tabs>
          <w:tab w:leader="none" w:pos="2159" w:val="left"/>
        </w:tabs>
        <w:numPr>
          <w:ilvl w:val="2"/>
          <w:numId w:val="200"/>
        </w:numPr>
        <w:rPr>
          <w:rFonts w:ascii="Arial" w:cs="Arial" w:eastAsia="Arial" w:hAnsi="Arial"/>
          <w:sz w:val="15"/>
          <w:szCs w:val="15"/>
          <w:color w:val="auto"/>
        </w:rPr>
      </w:pPr>
      <w:r>
        <w:rPr>
          <w:rFonts w:ascii="Arial" w:cs="Arial" w:eastAsia="Arial" w:hAnsi="Arial"/>
          <w:sz w:val="15"/>
          <w:szCs w:val="15"/>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15"/>
          <w:szCs w:val="15"/>
          <w:b w:val="1"/>
          <w:bCs w:val="1"/>
          <w:color w:val="auto"/>
        </w:rPr>
        <w:t>Nominee Solicitation Statement</w:t>
      </w:r>
      <w:r>
        <w:rPr>
          <w:rFonts w:ascii="Arial" w:cs="Arial" w:eastAsia="Arial" w:hAnsi="Arial"/>
          <w:sz w:val="15"/>
          <w:szCs w:val="15"/>
          <w:color w:val="auto"/>
        </w:rPr>
        <w:t>”).</w:t>
      </w:r>
    </w:p>
    <w:p>
      <w:pPr>
        <w:spacing w:after="0" w:line="68" w:lineRule="exact"/>
        <w:rPr>
          <w:rFonts w:ascii="Arial" w:cs="Arial" w:eastAsia="Arial" w:hAnsi="Arial"/>
          <w:sz w:val="15"/>
          <w:szCs w:val="15"/>
          <w:color w:val="auto"/>
        </w:rPr>
      </w:pPr>
    </w:p>
    <w:p>
      <w:pPr>
        <w:ind w:right="100" w:firstLine="1478"/>
        <w:spacing w:after="0" w:line="279" w:lineRule="auto"/>
        <w:tabs>
          <w:tab w:leader="none" w:pos="1692" w:val="left"/>
        </w:tabs>
        <w:numPr>
          <w:ilvl w:val="1"/>
          <w:numId w:val="201"/>
        </w:numPr>
        <w:rPr>
          <w:rFonts w:ascii="Arial" w:cs="Arial" w:eastAsia="Arial" w:hAnsi="Arial"/>
          <w:sz w:val="14"/>
          <w:szCs w:val="14"/>
          <w:color w:val="auto"/>
        </w:rPr>
      </w:pPr>
      <w:r>
        <w:rPr>
          <w:rFonts w:ascii="Arial" w:cs="Arial" w:eastAsia="Arial" w:hAnsi="Arial"/>
          <w:sz w:val="14"/>
          <w:szCs w:val="14"/>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56" w:lineRule="exact"/>
        <w:rPr>
          <w:rFonts w:ascii="Arial" w:cs="Arial" w:eastAsia="Arial" w:hAnsi="Arial"/>
          <w:sz w:val="14"/>
          <w:szCs w:val="14"/>
          <w:color w:val="auto"/>
        </w:rPr>
      </w:pPr>
    </w:p>
    <w:p>
      <w:pPr>
        <w:ind w:firstLine="1478"/>
        <w:spacing w:after="0" w:line="302" w:lineRule="auto"/>
        <w:tabs>
          <w:tab w:leader="none" w:pos="1701" w:val="left"/>
        </w:tabs>
        <w:numPr>
          <w:ilvl w:val="1"/>
          <w:numId w:val="201"/>
        </w:numPr>
        <w:rPr>
          <w:rFonts w:ascii="Arial" w:cs="Arial" w:eastAsia="Arial" w:hAnsi="Arial"/>
          <w:sz w:val="13"/>
          <w:szCs w:val="13"/>
          <w:color w:val="auto"/>
        </w:rPr>
      </w:pPr>
      <w:r>
        <w:rPr>
          <w:rFonts w:ascii="Arial" w:cs="Arial" w:eastAsia="Arial" w:hAnsi="Arial"/>
          <w:sz w:val="13"/>
          <w:szCs w:val="13"/>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44" w:lineRule="exact"/>
        <w:rPr>
          <w:rFonts w:ascii="Arial" w:cs="Arial" w:eastAsia="Arial" w:hAnsi="Arial"/>
          <w:sz w:val="13"/>
          <w:szCs w:val="13"/>
          <w:color w:val="auto"/>
        </w:rPr>
      </w:pPr>
    </w:p>
    <w:p>
      <w:pPr>
        <w:ind w:left="1160" w:hanging="254"/>
        <w:spacing w:after="0"/>
        <w:tabs>
          <w:tab w:leader="none" w:pos="1160" w:val="left"/>
        </w:tabs>
        <w:numPr>
          <w:ilvl w:val="0"/>
          <w:numId w:val="202"/>
        </w:numPr>
        <w:rPr>
          <w:rFonts w:ascii="Arial" w:cs="Arial" w:eastAsia="Arial" w:hAnsi="Arial"/>
          <w:sz w:val="15"/>
          <w:szCs w:val="15"/>
          <w:color w:val="auto"/>
        </w:rPr>
      </w:pPr>
      <w:r>
        <w:rPr>
          <w:rFonts w:ascii="Arial" w:cs="Arial" w:eastAsia="Arial" w:hAnsi="Arial"/>
          <w:sz w:val="15"/>
          <w:szCs w:val="15"/>
          <w:i w:val="1"/>
          <w:iCs w:val="1"/>
          <w:color w:val="auto"/>
        </w:rPr>
        <w:t>Advance Notice of Director Nominations for Special Meetings.</w:t>
      </w:r>
    </w:p>
    <w:p>
      <w:pPr>
        <w:spacing w:after="0" w:line="98" w:lineRule="exact"/>
        <w:rPr>
          <w:rFonts w:ascii="Arial" w:cs="Arial" w:eastAsia="Arial" w:hAnsi="Arial"/>
          <w:sz w:val="15"/>
          <w:szCs w:val="15"/>
          <w:color w:val="auto"/>
        </w:rPr>
      </w:pPr>
    </w:p>
    <w:p>
      <w:pPr>
        <w:jc w:val="both"/>
        <w:ind w:right="100" w:firstLine="1478"/>
        <w:spacing w:after="0" w:line="259" w:lineRule="auto"/>
        <w:tabs>
          <w:tab w:leader="none" w:pos="1692" w:val="left"/>
        </w:tabs>
        <w:numPr>
          <w:ilvl w:val="1"/>
          <w:numId w:val="202"/>
        </w:numPr>
        <w:rPr>
          <w:rFonts w:ascii="Arial" w:cs="Arial" w:eastAsia="Arial" w:hAnsi="Arial"/>
          <w:sz w:val="15"/>
          <w:szCs w:val="15"/>
          <w:color w:val="auto"/>
        </w:rPr>
      </w:pPr>
      <w:r>
        <w:rPr>
          <w:rFonts w:ascii="Arial" w:cs="Arial" w:eastAsia="Arial" w:hAnsi="Arial"/>
          <w:sz w:val="15"/>
          <w:szCs w:val="15"/>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253" w:right="219" w:bottom="1440" w:gutter="0" w:footer="0" w:header="0"/>
        </w:sectPr>
      </w:pPr>
    </w:p>
    <w:bookmarkStart w:id="318" w:name="page319"/>
    <w:bookmarkEnd w:id="318"/>
    <w:p>
      <w:pPr>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w:t>
      </w:r>
    </w:p>
    <w:p>
      <w:pPr>
        <w:spacing w:after="0" w:line="73" w:lineRule="exact"/>
        <w:rPr>
          <w:sz w:val="20"/>
          <w:szCs w:val="20"/>
          <w:color w:val="auto"/>
        </w:rPr>
      </w:pPr>
    </w:p>
    <w:p>
      <w:pPr>
        <w:ind w:right="60" w:firstLine="1478"/>
        <w:spacing w:after="0" w:line="263" w:lineRule="auto"/>
        <w:tabs>
          <w:tab w:leader="none" w:pos="1701" w:val="left"/>
        </w:tabs>
        <w:numPr>
          <w:ilvl w:val="1"/>
          <w:numId w:val="203"/>
        </w:numPr>
        <w:rPr>
          <w:rFonts w:ascii="Arial" w:cs="Arial" w:eastAsia="Arial" w:hAnsi="Arial"/>
          <w:sz w:val="15"/>
          <w:szCs w:val="15"/>
          <w:color w:val="auto"/>
        </w:rPr>
      </w:pPr>
      <w:r>
        <w:rPr>
          <w:rFonts w:ascii="Arial" w:cs="Arial" w:eastAsia="Arial" w:hAnsi="Arial"/>
          <w:sz w:val="15"/>
          <w:szCs w:val="15"/>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64" w:lineRule="exact"/>
        <w:rPr>
          <w:rFonts w:ascii="Arial" w:cs="Arial" w:eastAsia="Arial" w:hAnsi="Arial"/>
          <w:sz w:val="15"/>
          <w:szCs w:val="15"/>
          <w:color w:val="auto"/>
        </w:rPr>
      </w:pPr>
    </w:p>
    <w:p>
      <w:pPr>
        <w:ind w:right="180" w:firstLine="906"/>
        <w:spacing w:after="0" w:line="257" w:lineRule="auto"/>
        <w:tabs>
          <w:tab w:leader="none" w:pos="1170" w:val="left"/>
        </w:tabs>
        <w:numPr>
          <w:ilvl w:val="0"/>
          <w:numId w:val="204"/>
        </w:numPr>
        <w:rPr>
          <w:rFonts w:ascii="Arial" w:cs="Arial" w:eastAsia="Arial" w:hAnsi="Arial"/>
          <w:sz w:val="15"/>
          <w:szCs w:val="15"/>
          <w:color w:val="auto"/>
        </w:rPr>
      </w:pPr>
      <w:r>
        <w:rPr>
          <w:rFonts w:ascii="Arial" w:cs="Arial" w:eastAsia="Arial" w:hAnsi="Arial"/>
          <w:sz w:val="15"/>
          <w:szCs w:val="15"/>
          <w:i w:val="1"/>
          <w:iCs w:val="1"/>
          <w:color w:val="auto"/>
        </w:rPr>
        <w:t xml:space="preserve">Other Requirements and Rights. </w:t>
      </w:r>
      <w:r>
        <w:rPr>
          <w:rFonts w:ascii="Arial" w:cs="Arial" w:eastAsia="Arial" w:hAnsi="Arial"/>
          <w:sz w:val="15"/>
          <w:szCs w:val="15"/>
          <w:color w:val="auto"/>
        </w:rPr>
        <w:t>In addition to the foregoing provisions of this Section 2.4, a stockholder must also comply with all applicable requirements of state law</w:t>
      </w:r>
      <w:r>
        <w:rPr>
          <w:rFonts w:ascii="Arial" w:cs="Arial" w:eastAsia="Arial" w:hAnsi="Arial"/>
          <w:sz w:val="15"/>
          <w:szCs w:val="15"/>
          <w:i w:val="1"/>
          <w:iCs w:val="1"/>
          <w:color w:val="auto"/>
        </w:rPr>
        <w:t xml:space="preserve"> </w:t>
      </w:r>
      <w:r>
        <w:rPr>
          <w:rFonts w:ascii="Arial" w:cs="Arial" w:eastAsia="Arial" w:hAnsi="Arial"/>
          <w:sz w:val="15"/>
          <w:szCs w:val="15"/>
          <w:color w:val="auto"/>
        </w:rPr>
        <w:t>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2.5 NOTICE OF STOCKHOLDERS’ MEETINGS</w:t>
      </w:r>
    </w:p>
    <w:p>
      <w:pPr>
        <w:spacing w:after="0" w:line="98" w:lineRule="exact"/>
        <w:rPr>
          <w:sz w:val="20"/>
          <w:szCs w:val="20"/>
          <w:color w:val="auto"/>
        </w:rPr>
      </w:pPr>
    </w:p>
    <w:p>
      <w:pPr>
        <w:ind w:right="20" w:firstLine="458"/>
        <w:spacing w:after="0" w:line="255" w:lineRule="auto"/>
        <w:rPr>
          <w:sz w:val="20"/>
          <w:szCs w:val="20"/>
          <w:color w:val="auto"/>
        </w:rPr>
      </w:pPr>
      <w:r>
        <w:rPr>
          <w:rFonts w:ascii="Arial" w:cs="Arial" w:eastAsia="Arial" w:hAnsi="Arial"/>
          <w:sz w:val="15"/>
          <w:szCs w:val="15"/>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2.6 QUORUM</w:t>
      </w:r>
    </w:p>
    <w:p>
      <w:pPr>
        <w:spacing w:after="0" w:line="9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5"/>
          <w:szCs w:val="15"/>
          <w:color w:val="auto"/>
        </w:rPr>
        <w:t>The holders of a majority of the voting power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53" w:right="219" w:bottom="1440" w:gutter="0" w:footer="0" w:header="0"/>
        </w:sectPr>
      </w:pPr>
    </w:p>
    <w:bookmarkStart w:id="319" w:name="page320"/>
    <w:bookmarkEnd w:id="319"/>
    <w:p>
      <w:pPr>
        <w:ind w:right="80" w:firstLine="458"/>
        <w:spacing w:after="0" w:line="32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308850" cy="33655"/>
                    </a:xfrm>
                    <a:prstGeom prst="rect">
                      <a:avLst/>
                    </a:prstGeom>
                    <a:noFill/>
                  </pic:spPr>
                </pic:pic>
              </a:graphicData>
            </a:graphic>
          </wp:anchor>
        </w:drawing>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2.7 ADJOURNED MEETING; NOTICE</w:t>
      </w:r>
    </w:p>
    <w:p>
      <w:pPr>
        <w:spacing w:after="0" w:line="98" w:lineRule="exact"/>
        <w:rPr>
          <w:sz w:val="20"/>
          <w:szCs w:val="20"/>
          <w:color w:val="auto"/>
        </w:rPr>
      </w:pPr>
    </w:p>
    <w:p>
      <w:pPr>
        <w:ind w:firstLine="458"/>
        <w:spacing w:after="0" w:line="255" w:lineRule="auto"/>
        <w:rPr>
          <w:sz w:val="20"/>
          <w:szCs w:val="20"/>
          <w:color w:val="auto"/>
        </w:rPr>
      </w:pPr>
      <w:r>
        <w:rPr>
          <w:rFonts w:ascii="Arial" w:cs="Arial" w:eastAsia="Arial" w:hAnsi="Arial"/>
          <w:sz w:val="15"/>
          <w:szCs w:val="15"/>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2.8 CONDUCT OF BUSINESS</w:t>
      </w:r>
    </w:p>
    <w:p>
      <w:pPr>
        <w:spacing w:after="0" w:line="98" w:lineRule="exact"/>
        <w:rPr>
          <w:sz w:val="20"/>
          <w:szCs w:val="20"/>
          <w:color w:val="auto"/>
        </w:rPr>
      </w:pPr>
    </w:p>
    <w:p>
      <w:pPr>
        <w:ind w:firstLine="458"/>
        <w:spacing w:after="0" w:line="279" w:lineRule="auto"/>
        <w:rPr>
          <w:sz w:val="20"/>
          <w:szCs w:val="20"/>
          <w:color w:val="auto"/>
        </w:rPr>
      </w:pPr>
      <w:r>
        <w:rPr>
          <w:rFonts w:ascii="Arial" w:cs="Arial" w:eastAsia="Arial" w:hAnsi="Arial"/>
          <w:sz w:val="14"/>
          <w:szCs w:val="14"/>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2.9 VOTING</w:t>
      </w:r>
    </w:p>
    <w:p>
      <w:pPr>
        <w:spacing w:after="0" w:line="98" w:lineRule="exact"/>
        <w:rPr>
          <w:sz w:val="20"/>
          <w:szCs w:val="20"/>
          <w:color w:val="auto"/>
        </w:rPr>
      </w:pPr>
    </w:p>
    <w:p>
      <w:pPr>
        <w:ind w:right="520" w:firstLine="458"/>
        <w:spacing w:after="0" w:line="312" w:lineRule="auto"/>
        <w:rPr>
          <w:sz w:val="20"/>
          <w:szCs w:val="20"/>
          <w:color w:val="auto"/>
        </w:rPr>
      </w:pPr>
      <w:r>
        <w:rPr>
          <w:rFonts w:ascii="Arial" w:cs="Arial" w:eastAsia="Arial" w:hAnsi="Arial"/>
          <w:sz w:val="14"/>
          <w:szCs w:val="14"/>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23" w:lineRule="exact"/>
        <w:rPr>
          <w:sz w:val="20"/>
          <w:szCs w:val="20"/>
          <w:color w:val="auto"/>
        </w:rPr>
      </w:pPr>
    </w:p>
    <w:p>
      <w:pPr>
        <w:ind w:right="40" w:firstLine="458"/>
        <w:spacing w:after="0" w:line="255" w:lineRule="auto"/>
        <w:rPr>
          <w:sz w:val="20"/>
          <w:szCs w:val="20"/>
          <w:color w:val="auto"/>
        </w:rPr>
      </w:pPr>
      <w:r>
        <w:rPr>
          <w:rFonts w:ascii="Arial" w:cs="Arial" w:eastAsia="Arial" w:hAnsi="Arial"/>
          <w:sz w:val="15"/>
          <w:szCs w:val="15"/>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53" w:right="239" w:bottom="1440" w:gutter="0" w:footer="0" w:header="0"/>
        </w:sectPr>
      </w:pPr>
    </w:p>
    <w:bookmarkStart w:id="320" w:name="page321"/>
    <w:bookmarkEnd w:id="320"/>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2.10 STOCKHOLDER ACTION BY WRITTEN CONSENT WITHOUT A MEETING</w:t>
      </w:r>
    </w:p>
    <w:p>
      <w:pPr>
        <w:spacing w:after="0" w:line="98" w:lineRule="exact"/>
        <w:rPr>
          <w:sz w:val="20"/>
          <w:szCs w:val="20"/>
          <w:color w:val="auto"/>
        </w:rPr>
      </w:pPr>
    </w:p>
    <w:p>
      <w:pPr>
        <w:ind w:firstLine="458"/>
        <w:spacing w:after="0" w:line="296" w:lineRule="auto"/>
        <w:rPr>
          <w:sz w:val="20"/>
          <w:szCs w:val="20"/>
          <w:color w:val="auto"/>
        </w:rPr>
      </w:pPr>
      <w:r>
        <w:rPr>
          <w:rFonts w:ascii="Arial" w:cs="Arial" w:eastAsia="Arial" w:hAnsi="Arial"/>
          <w:sz w:val="13"/>
          <w:szCs w:val="13"/>
          <w:color w:val="auto"/>
        </w:rPr>
        <w:t>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No written consent shall be effective to take the corporate action referred to therein unless a valid written consent or valid written consents signed by a sufficient number of stockholders to take such action are delivered to the corporation in the manner prescribed in this Section 2.10 and applicable law within sixty (60) days of the first date on which a written consent is so delivered to the corporation.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2.11 RECORD DATES</w:t>
      </w:r>
    </w:p>
    <w:p>
      <w:pPr>
        <w:spacing w:after="0" w:line="98" w:lineRule="exact"/>
        <w:rPr>
          <w:sz w:val="20"/>
          <w:szCs w:val="20"/>
          <w:color w:val="auto"/>
        </w:rPr>
      </w:pPr>
    </w:p>
    <w:p>
      <w:pPr>
        <w:ind w:right="200" w:firstLine="458"/>
        <w:spacing w:after="0" w:line="311" w:lineRule="auto"/>
        <w:rPr>
          <w:sz w:val="20"/>
          <w:szCs w:val="20"/>
          <w:color w:val="auto"/>
        </w:rPr>
      </w:pPr>
      <w:r>
        <w:rPr>
          <w:rFonts w:ascii="Arial" w:cs="Arial" w:eastAsia="Arial" w:hAnsi="Arial"/>
          <w:sz w:val="13"/>
          <w:szCs w:val="13"/>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27" w:lineRule="exact"/>
        <w:rPr>
          <w:sz w:val="20"/>
          <w:szCs w:val="20"/>
          <w:color w:val="auto"/>
        </w:rPr>
      </w:pPr>
    </w:p>
    <w:p>
      <w:pPr>
        <w:ind w:right="200" w:firstLine="458"/>
        <w:spacing w:after="0" w:line="354" w:lineRule="auto"/>
        <w:rPr>
          <w:sz w:val="20"/>
          <w:szCs w:val="20"/>
          <w:color w:val="auto"/>
        </w:rPr>
      </w:pPr>
      <w:r>
        <w:rPr>
          <w:rFonts w:ascii="Arial" w:cs="Arial" w:eastAsia="Arial" w:hAnsi="Arial"/>
          <w:sz w:val="13"/>
          <w:szCs w:val="13"/>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00"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5"/>
          <w:szCs w:val="15"/>
          <w:color w:val="auto"/>
        </w:rPr>
        <w:t xml:space="preserve">A determination of stockholders of record entitled to notice of or to vote at a meeting of stockholders shall apply to any adjournment of the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58" w:lineRule="exact"/>
        <w:rPr>
          <w:sz w:val="20"/>
          <w:szCs w:val="20"/>
          <w:color w:val="auto"/>
        </w:rPr>
      </w:pPr>
    </w:p>
    <w:p>
      <w:pPr>
        <w:ind w:right="40" w:firstLine="458"/>
        <w:spacing w:after="0" w:line="275" w:lineRule="auto"/>
        <w:rPr>
          <w:sz w:val="20"/>
          <w:szCs w:val="20"/>
          <w:color w:val="auto"/>
        </w:rPr>
      </w:pPr>
      <w:r>
        <w:rPr>
          <w:rFonts w:ascii="Arial" w:cs="Arial" w:eastAsia="Arial" w:hAnsi="Arial"/>
          <w:sz w:val="15"/>
          <w:szCs w:val="15"/>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253" w:right="239" w:bottom="1440" w:gutter="0" w:footer="0" w:header="0"/>
        </w:sectPr>
      </w:pPr>
    </w:p>
    <w:bookmarkStart w:id="321" w:name="page322"/>
    <w:bookmarkEnd w:id="321"/>
    <w:p>
      <w:pPr>
        <w:ind w:right="12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2.12 PROXIES</w:t>
      </w:r>
    </w:p>
    <w:p>
      <w:pPr>
        <w:spacing w:after="0" w:line="98" w:lineRule="exact"/>
        <w:rPr>
          <w:sz w:val="20"/>
          <w:szCs w:val="20"/>
          <w:color w:val="auto"/>
        </w:rPr>
      </w:pPr>
    </w:p>
    <w:p>
      <w:pPr>
        <w:ind w:right="40" w:firstLine="458"/>
        <w:spacing w:after="0" w:line="259" w:lineRule="auto"/>
        <w:rPr>
          <w:sz w:val="20"/>
          <w:szCs w:val="20"/>
          <w:color w:val="auto"/>
        </w:rPr>
      </w:pPr>
      <w:r>
        <w:rPr>
          <w:rFonts w:ascii="Arial" w:cs="Arial" w:eastAsia="Arial" w:hAnsi="Arial"/>
          <w:sz w:val="15"/>
          <w:szCs w:val="15"/>
          <w:color w:val="auto"/>
        </w:rPr>
        <w:t>Each stockholder entitled to vote at a meeting of stockholders, or to take corporate action by written consent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58" w:lineRule="exact"/>
        <w:rPr>
          <w:sz w:val="20"/>
          <w:szCs w:val="20"/>
          <w:color w:val="auto"/>
        </w:rPr>
      </w:pPr>
    </w:p>
    <w:p>
      <w:pPr>
        <w:ind w:right="200" w:firstLine="458"/>
        <w:spacing w:after="0" w:line="275" w:lineRule="auto"/>
        <w:rPr>
          <w:sz w:val="20"/>
          <w:szCs w:val="20"/>
          <w:color w:val="auto"/>
        </w:rPr>
      </w:pPr>
      <w:r>
        <w:rPr>
          <w:rFonts w:ascii="Arial" w:cs="Arial" w:eastAsia="Arial" w:hAnsi="Arial"/>
          <w:sz w:val="15"/>
          <w:szCs w:val="15"/>
          <w:color w:val="auto"/>
        </w:rPr>
        <w:t>A written proxy may be in the form of an electronic transmission which sets forth or is submitted with information from which it can be determined that the electronic transmission was authorized by the stockholder or in any other form permitted by law.</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2.13 LIST OF STOCKHOLDERS ENTITLED TO VOTE</w:t>
      </w:r>
    </w:p>
    <w:p>
      <w:pPr>
        <w:spacing w:after="0" w:line="98" w:lineRule="exact"/>
        <w:rPr>
          <w:sz w:val="20"/>
          <w:szCs w:val="20"/>
          <w:color w:val="auto"/>
        </w:rPr>
      </w:pPr>
    </w:p>
    <w:p>
      <w:pPr>
        <w:ind w:right="40" w:firstLine="458"/>
        <w:spacing w:after="0" w:line="296" w:lineRule="auto"/>
        <w:rPr>
          <w:sz w:val="20"/>
          <w:szCs w:val="20"/>
          <w:color w:val="auto"/>
        </w:rPr>
      </w:pPr>
      <w:r>
        <w:rPr>
          <w:rFonts w:ascii="Arial" w:cs="Arial" w:eastAsia="Arial" w:hAnsi="Arial"/>
          <w:sz w:val="13"/>
          <w:szCs w:val="13"/>
          <w:color w:val="auto"/>
        </w:rPr>
        <w:t xml:space="preserve">The corporation shall prepare, at least 10 days before every meeting of stockholders, a complete list of the stockholders entitled to vote at the meeting;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2.14 INSPECTORS OF ELECTION</w:t>
      </w:r>
    </w:p>
    <w:p>
      <w:pPr>
        <w:spacing w:after="0" w:line="98"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Before any meeting of stockholders, the board of directors shall appoint an inspector or inspectors of election to act at the meeting or its adjournment. The corporation may designate one (1) or more persons as alternate inspectors to replace any inspector who fails to act. Such inspectors shall take all actions as contemplated under Section 231 of the DGCL or any successor provision thereto.</w:t>
      </w:r>
    </w:p>
    <w:p>
      <w:pPr>
        <w:spacing w:after="0" w:line="155"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the facts stated therein.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253" w:right="21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ARTICLE III - DIRECTORS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3.1 POWERS</w:t>
      </w:r>
    </w:p>
    <w:p>
      <w:pPr>
        <w:spacing w:after="0" w:line="98"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The business and affairs of the corporation shall be managed by or under the direction of the board of directors, except as may be otherwise provided in the DGCL or the certificate of incorporation.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3.2 NUMBER OF DIRECTORS</w:t>
      </w:r>
    </w:p>
    <w:p>
      <w:pPr>
        <w:spacing w:after="0" w:line="98"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The board of directors shall consist of one or more members, each of whom shall be a natural person. Unless the certificate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3.3 ELECTION, QUALIFICATION AND TERM OF OFFICE OF DIRECTORS</w:t>
      </w:r>
    </w:p>
    <w:p>
      <w:pPr>
        <w:spacing w:after="0" w:line="98"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55" w:lineRule="exact"/>
        <w:rPr>
          <w:sz w:val="20"/>
          <w:szCs w:val="20"/>
          <w:color w:val="auto"/>
        </w:rPr>
      </w:pPr>
    </w:p>
    <w:p>
      <w:pPr>
        <w:ind w:right="60" w:firstLine="458"/>
        <w:spacing w:after="0" w:line="275" w:lineRule="auto"/>
        <w:rPr>
          <w:sz w:val="20"/>
          <w:szCs w:val="20"/>
          <w:color w:val="auto"/>
        </w:rPr>
      </w:pPr>
      <w:r>
        <w:rPr>
          <w:rFonts w:ascii="Arial" w:cs="Arial" w:eastAsia="Arial" w:hAnsi="Arial"/>
          <w:sz w:val="15"/>
          <w:szCs w:val="15"/>
          <w:color w:val="auto"/>
        </w:rPr>
        <w:t>If so provided in the certificate of incorporation, the directors of the corporation shall be divided into three classes. Until such time, the directors of the corporation shall be elected at each annual meeting of stockholders to hold office until the next annual meeting.</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3.4 RESIGNATION AND VACANCIES</w:t>
      </w:r>
    </w:p>
    <w:p>
      <w:pPr>
        <w:spacing w:after="0" w:line="98" w:lineRule="exact"/>
        <w:rPr>
          <w:sz w:val="20"/>
          <w:szCs w:val="20"/>
          <w:color w:val="auto"/>
        </w:rPr>
      </w:pPr>
    </w:p>
    <w:p>
      <w:pPr>
        <w:ind w:right="20" w:firstLine="458"/>
        <w:spacing w:after="0" w:line="255" w:lineRule="auto"/>
        <w:rPr>
          <w:sz w:val="20"/>
          <w:szCs w:val="20"/>
          <w:color w:val="auto"/>
        </w:rPr>
      </w:pPr>
      <w:r>
        <w:rPr>
          <w:rFonts w:ascii="Arial" w:cs="Arial" w:eastAsia="Arial" w:hAnsi="Arial"/>
          <w:sz w:val="15"/>
          <w:szCs w:val="15"/>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64" w:lineRule="exact"/>
        <w:rPr>
          <w:sz w:val="20"/>
          <w:szCs w:val="20"/>
          <w:color w:val="auto"/>
        </w:rPr>
      </w:pPr>
    </w:p>
    <w:p>
      <w:pPr>
        <w:ind w:right="140" w:firstLine="458"/>
        <w:spacing w:after="0" w:line="290" w:lineRule="auto"/>
        <w:rPr>
          <w:sz w:val="20"/>
          <w:szCs w:val="20"/>
          <w:color w:val="auto"/>
        </w:rPr>
      </w:pPr>
      <w:r>
        <w:rPr>
          <w:rFonts w:ascii="Arial" w:cs="Arial" w:eastAsia="Arial" w:hAnsi="Arial"/>
          <w:sz w:val="14"/>
          <w:szCs w:val="14"/>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249" w:right="239" w:bottom="1440" w:gutter="0" w:footer="0" w:header="0"/>
        </w:sectPr>
      </w:pPr>
    </w:p>
    <w:bookmarkStart w:id="323" w:name="page324"/>
    <w:bookmarkEnd w:id="323"/>
    <w:p>
      <w:pPr>
        <w:ind w:right="4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If the directors are divided into classes as provided by the certificate of incorporation,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3.5 PLACE OF MEETINGS; MEETINGS BY TELEPHONE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board of directors may hold meetings, both regular and special, either within or outside the State of Delaware.</w:t>
      </w:r>
    </w:p>
    <w:p>
      <w:pPr>
        <w:spacing w:after="0" w:line="188"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3.6 REGULAR MEETINGS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Regular meetings of the board of directors may be held without notice at such time and at such place as shall from time to time be determined by the board of directors.</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3.7 SPECIAL MEETINGS; NOTICE</w:t>
      </w:r>
    </w:p>
    <w:p>
      <w:pPr>
        <w:spacing w:after="0" w:line="98"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Notice of the time and place of special meetings shall be:</w:t>
      </w:r>
    </w:p>
    <w:p>
      <w:pPr>
        <w:spacing w:after="0" w:line="98" w:lineRule="exact"/>
        <w:rPr>
          <w:sz w:val="20"/>
          <w:szCs w:val="20"/>
          <w:color w:val="auto"/>
        </w:rPr>
      </w:pPr>
    </w:p>
    <w:p>
      <w:pPr>
        <w:ind w:left="1080" w:hanging="174"/>
        <w:spacing w:after="0"/>
        <w:tabs>
          <w:tab w:leader="none" w:pos="108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delivered personally by hand, by courier or by telephone;</w:t>
      </w:r>
    </w:p>
    <w:p>
      <w:pPr>
        <w:spacing w:after="0" w:line="98" w:lineRule="exact"/>
        <w:rPr>
          <w:rFonts w:ascii="Arial" w:cs="Arial" w:eastAsia="Arial" w:hAnsi="Arial"/>
          <w:sz w:val="15"/>
          <w:szCs w:val="15"/>
          <w:color w:val="auto"/>
        </w:rPr>
      </w:pPr>
    </w:p>
    <w:p>
      <w:pPr>
        <w:ind w:left="1120" w:hanging="214"/>
        <w:spacing w:after="0"/>
        <w:tabs>
          <w:tab w:leader="none" w:pos="112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sent by United States first-class mail, postage prepaid;</w:t>
      </w:r>
    </w:p>
    <w:p>
      <w:pPr>
        <w:spacing w:after="0" w:line="98" w:lineRule="exact"/>
        <w:rPr>
          <w:rFonts w:ascii="Arial" w:cs="Arial" w:eastAsia="Arial" w:hAnsi="Arial"/>
          <w:sz w:val="15"/>
          <w:szCs w:val="15"/>
          <w:color w:val="auto"/>
        </w:rPr>
      </w:pPr>
    </w:p>
    <w:p>
      <w:pPr>
        <w:ind w:left="1160" w:hanging="254"/>
        <w:spacing w:after="0"/>
        <w:tabs>
          <w:tab w:leader="none" w:pos="11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sent by facsimile;</w:t>
      </w:r>
    </w:p>
    <w:p>
      <w:pPr>
        <w:spacing w:after="0" w:line="98" w:lineRule="exact"/>
        <w:rPr>
          <w:rFonts w:ascii="Arial" w:cs="Arial" w:eastAsia="Arial" w:hAnsi="Arial"/>
          <w:sz w:val="15"/>
          <w:szCs w:val="15"/>
          <w:color w:val="auto"/>
        </w:rPr>
      </w:pPr>
    </w:p>
    <w:p>
      <w:pPr>
        <w:ind w:left="1160" w:hanging="254"/>
        <w:spacing w:after="0"/>
        <w:tabs>
          <w:tab w:leader="none" w:pos="11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sent by electronic mail; or</w:t>
      </w:r>
    </w:p>
    <w:p>
      <w:pPr>
        <w:spacing w:after="0" w:line="98" w:lineRule="exact"/>
        <w:rPr>
          <w:rFonts w:ascii="Arial" w:cs="Arial" w:eastAsia="Arial" w:hAnsi="Arial"/>
          <w:sz w:val="15"/>
          <w:szCs w:val="15"/>
          <w:color w:val="auto"/>
        </w:rPr>
      </w:pPr>
    </w:p>
    <w:p>
      <w:pPr>
        <w:ind w:left="1120" w:hanging="214"/>
        <w:spacing w:after="0"/>
        <w:tabs>
          <w:tab w:leader="none" w:pos="112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otherwise given by electronic transmission (as defined in Section 7.2),</w:t>
      </w:r>
    </w:p>
    <w:p>
      <w:pPr>
        <w:spacing w:after="0" w:line="98"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46" w:lineRule="exact"/>
        <w:rPr>
          <w:sz w:val="20"/>
          <w:szCs w:val="20"/>
          <w:color w:val="auto"/>
        </w:rPr>
      </w:pPr>
    </w:p>
    <w:p>
      <w:pPr>
        <w:ind w:right="100" w:firstLine="458"/>
        <w:spacing w:after="0" w:line="283" w:lineRule="auto"/>
        <w:rPr>
          <w:sz w:val="20"/>
          <w:szCs w:val="20"/>
          <w:color w:val="auto"/>
        </w:rPr>
      </w:pPr>
      <w:r>
        <w:rPr>
          <w:rFonts w:ascii="Arial" w:cs="Arial" w:eastAsia="Arial" w:hAnsi="Arial"/>
          <w:sz w:val="14"/>
          <w:szCs w:val="14"/>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 unless required by statute.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253" w:right="239" w:bottom="1440" w:gutter="0" w:footer="0" w:header="0"/>
        </w:sectPr>
      </w:pPr>
    </w:p>
    <w:bookmarkStart w:id="324" w:name="page325"/>
    <w:bookmarkEnd w:id="324"/>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3.8 QUORUM; VOTING</w:t>
      </w:r>
    </w:p>
    <w:p>
      <w:pPr>
        <w:spacing w:after="0" w:line="98" w:lineRule="exact"/>
        <w:rPr>
          <w:sz w:val="20"/>
          <w:szCs w:val="20"/>
          <w:color w:val="auto"/>
        </w:rPr>
      </w:pPr>
    </w:p>
    <w:p>
      <w:pPr>
        <w:ind w:right="280" w:firstLine="458"/>
        <w:spacing w:after="0" w:line="354" w:lineRule="auto"/>
        <w:rPr>
          <w:sz w:val="20"/>
          <w:szCs w:val="20"/>
          <w:color w:val="auto"/>
        </w:rPr>
      </w:pPr>
      <w:r>
        <w:rPr>
          <w:rFonts w:ascii="Arial" w:cs="Arial" w:eastAsia="Arial" w:hAnsi="Arial"/>
          <w:sz w:val="13"/>
          <w:szCs w:val="13"/>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00" w:lineRule="exact"/>
        <w:rPr>
          <w:sz w:val="20"/>
          <w:szCs w:val="20"/>
          <w:color w:val="auto"/>
        </w:rPr>
      </w:pPr>
    </w:p>
    <w:p>
      <w:pPr>
        <w:ind w:right="620" w:firstLine="458"/>
        <w:spacing w:after="0" w:line="275" w:lineRule="auto"/>
        <w:rPr>
          <w:sz w:val="20"/>
          <w:szCs w:val="20"/>
          <w:color w:val="auto"/>
        </w:rPr>
      </w:pPr>
      <w:r>
        <w:rPr>
          <w:rFonts w:ascii="Arial" w:cs="Arial" w:eastAsia="Arial" w:hAnsi="Arial"/>
          <w:sz w:val="15"/>
          <w:szCs w:val="15"/>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3.9 BOARD ACTION BY WRITTEN CONSENT WITHOUT A MEETING</w:t>
      </w:r>
    </w:p>
    <w:p>
      <w:pPr>
        <w:spacing w:after="0" w:line="98" w:lineRule="exact"/>
        <w:rPr>
          <w:sz w:val="20"/>
          <w:szCs w:val="20"/>
          <w:color w:val="auto"/>
        </w:rPr>
      </w:pPr>
    </w:p>
    <w:p>
      <w:pPr>
        <w:ind w:firstLine="458"/>
        <w:spacing w:after="0" w:line="276" w:lineRule="auto"/>
        <w:rPr>
          <w:sz w:val="20"/>
          <w:szCs w:val="20"/>
          <w:color w:val="auto"/>
        </w:rPr>
      </w:pPr>
      <w:r>
        <w:rPr>
          <w:rFonts w:ascii="Arial" w:cs="Arial" w:eastAsia="Arial" w:hAnsi="Arial"/>
          <w:sz w:val="14"/>
          <w:szCs w:val="14"/>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3.10 FEES AND COMPENSATION OF DIRECTORS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Unless otherwise restricted by the certificate of incorporation or these bylaws, the board of directors shall have the authority to fix the compensation of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3.11 REMOVAL OF DIRECTORS</w:t>
      </w:r>
    </w:p>
    <w:p>
      <w:pPr>
        <w:spacing w:after="0" w:line="9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Any director may be removed from office at any time, with or without cause, by the affirmative vote of the holders of at least a majority of the voting power of the outstanding shares then entitled to vote for the election of directors; provided, however, for so long as the directors of the corporation are divided into classes, any director may be removed from office by the stockholders of the corporation only for cause.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 reduction of the authorized number of directors shall have the effect of removing any director prior to the expiration of such director’s term of office.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IV - COMMITTEES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4.1 COMMITTEES OF DIRECTORS</w:t>
      </w:r>
    </w:p>
    <w:p>
      <w:pPr>
        <w:spacing w:after="0" w:line="98" w:lineRule="exact"/>
        <w:rPr>
          <w:sz w:val="20"/>
          <w:szCs w:val="20"/>
          <w:color w:val="auto"/>
        </w:rPr>
      </w:pPr>
    </w:p>
    <w:p>
      <w:pPr>
        <w:ind w:right="140" w:firstLine="458"/>
        <w:spacing w:after="0" w:line="275" w:lineRule="auto"/>
        <w:rPr>
          <w:sz w:val="20"/>
          <w:szCs w:val="20"/>
          <w:color w:val="auto"/>
        </w:rPr>
      </w:pPr>
      <w:r>
        <w:rPr>
          <w:rFonts w:ascii="Arial" w:cs="Arial" w:eastAsia="Arial" w:hAnsi="Arial"/>
          <w:sz w:val="15"/>
          <w:szCs w:val="15"/>
          <w:color w:val="auto"/>
        </w:rPr>
        <w:t>The board of directors may, by resolution passed by a majority of the Whole Board, designate one or more committees, each committee to consist of one or more of the directors of the corporation. The board of directors may designate one or more directors as alternate members of any committee, who may replace 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380"/>
          </w:cols>
          <w:pgMar w:left="240" w:top="253" w:right="279" w:bottom="1440" w:gutter="0" w:footer="0" w:header="0"/>
        </w:sectPr>
      </w:pPr>
    </w:p>
    <w:bookmarkStart w:id="325" w:name="page326"/>
    <w:bookmarkEnd w:id="325"/>
    <w:p>
      <w:pPr>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4.2 COMMITTEE MINUTES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Each committee shall keep regular minutes of its meetings and report the same to the board of directors when required.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4.3 MEETINGS AND ACTION OF COMMITTEES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Meetings and actions of committees shall be governed by, and held and taken in accordance with, the provisions of:</w:t>
      </w:r>
    </w:p>
    <w:p>
      <w:pPr>
        <w:spacing w:after="0" w:line="98" w:lineRule="exact"/>
        <w:rPr>
          <w:sz w:val="20"/>
          <w:szCs w:val="20"/>
          <w:color w:val="auto"/>
        </w:rPr>
      </w:pPr>
    </w:p>
    <w:p>
      <w:pPr>
        <w:ind w:left="1080" w:hanging="174"/>
        <w:spacing w:after="0"/>
        <w:tabs>
          <w:tab w:leader="none" w:pos="108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Section 3.5 (place of meetings and meetings by telephone);</w:t>
      </w:r>
    </w:p>
    <w:p>
      <w:pPr>
        <w:spacing w:after="0" w:line="98" w:lineRule="exact"/>
        <w:rPr>
          <w:rFonts w:ascii="Arial" w:cs="Arial" w:eastAsia="Arial" w:hAnsi="Arial"/>
          <w:sz w:val="15"/>
          <w:szCs w:val="15"/>
          <w:color w:val="auto"/>
        </w:rPr>
      </w:pPr>
    </w:p>
    <w:p>
      <w:pPr>
        <w:ind w:left="1120" w:hanging="214"/>
        <w:spacing w:after="0"/>
        <w:tabs>
          <w:tab w:leader="none" w:pos="112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Section 3.6 (regular meetings);</w:t>
      </w:r>
    </w:p>
    <w:p>
      <w:pPr>
        <w:spacing w:after="0" w:line="98" w:lineRule="exact"/>
        <w:rPr>
          <w:rFonts w:ascii="Arial" w:cs="Arial" w:eastAsia="Arial" w:hAnsi="Arial"/>
          <w:sz w:val="15"/>
          <w:szCs w:val="15"/>
          <w:color w:val="auto"/>
        </w:rPr>
      </w:pPr>
    </w:p>
    <w:p>
      <w:pPr>
        <w:ind w:left="1160" w:hanging="254"/>
        <w:spacing w:after="0"/>
        <w:tabs>
          <w:tab w:leader="none" w:pos="1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Section 3.7 (special meetings and notice);</w:t>
      </w:r>
    </w:p>
    <w:p>
      <w:pPr>
        <w:spacing w:after="0" w:line="98" w:lineRule="exact"/>
        <w:rPr>
          <w:rFonts w:ascii="Arial" w:cs="Arial" w:eastAsia="Arial" w:hAnsi="Arial"/>
          <w:sz w:val="15"/>
          <w:szCs w:val="15"/>
          <w:color w:val="auto"/>
        </w:rPr>
      </w:pPr>
    </w:p>
    <w:p>
      <w:pPr>
        <w:ind w:left="1160" w:hanging="254"/>
        <w:spacing w:after="0"/>
        <w:tabs>
          <w:tab w:leader="none" w:pos="1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Section 3.8 (quorum; voting);</w:t>
      </w:r>
    </w:p>
    <w:p>
      <w:pPr>
        <w:spacing w:after="0" w:line="98" w:lineRule="exact"/>
        <w:rPr>
          <w:rFonts w:ascii="Arial" w:cs="Arial" w:eastAsia="Arial" w:hAnsi="Arial"/>
          <w:sz w:val="15"/>
          <w:szCs w:val="15"/>
          <w:color w:val="auto"/>
        </w:rPr>
      </w:pPr>
    </w:p>
    <w:p>
      <w:pPr>
        <w:ind w:left="1120" w:hanging="214"/>
        <w:spacing w:after="0"/>
        <w:tabs>
          <w:tab w:leader="none" w:pos="112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Section 3.9 (action without a meeting); and</w:t>
      </w:r>
    </w:p>
    <w:p>
      <w:pPr>
        <w:spacing w:after="0" w:line="98" w:lineRule="exact"/>
        <w:rPr>
          <w:rFonts w:ascii="Arial" w:cs="Arial" w:eastAsia="Arial" w:hAnsi="Arial"/>
          <w:sz w:val="15"/>
          <w:szCs w:val="15"/>
          <w:color w:val="auto"/>
        </w:rPr>
      </w:pPr>
    </w:p>
    <w:p>
      <w:pPr>
        <w:ind w:left="1160" w:hanging="254"/>
        <w:spacing w:after="0"/>
        <w:tabs>
          <w:tab w:leader="none" w:pos="1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Section 7.5 (waiver of notice)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with such changes in the context of those bylaws as are necessary to substitute the committee and its members for the board of directors and its members. </w:t>
      </w:r>
      <w:r>
        <w:rPr>
          <w:rFonts w:ascii="Arial" w:cs="Arial" w:eastAsia="Arial" w:hAnsi="Arial"/>
          <w:sz w:val="15"/>
          <w:szCs w:val="15"/>
          <w:i w:val="1"/>
          <w:iCs w:val="1"/>
          <w:color w:val="auto"/>
        </w:rPr>
        <w:t>However</w:t>
      </w:r>
      <w:r>
        <w:rPr>
          <w:rFonts w:ascii="Arial" w:cs="Arial" w:eastAsia="Arial" w:hAnsi="Arial"/>
          <w:sz w:val="15"/>
          <w:szCs w:val="15"/>
          <w:color w:val="auto"/>
        </w:rPr>
        <w:t>:</w:t>
      </w:r>
    </w:p>
    <w:p>
      <w:pPr>
        <w:spacing w:after="0" w:line="98" w:lineRule="exact"/>
        <w:rPr>
          <w:sz w:val="20"/>
          <w:szCs w:val="20"/>
          <w:color w:val="auto"/>
        </w:rPr>
      </w:pPr>
    </w:p>
    <w:p>
      <w:pPr>
        <w:ind w:left="1080" w:hanging="174"/>
        <w:spacing w:after="0"/>
        <w:tabs>
          <w:tab w:leader="none" w:pos="108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time of regular meetings of committees may be determined either by resolution of the board of directors or by resolution of the committee;</w:t>
      </w:r>
    </w:p>
    <w:p>
      <w:pPr>
        <w:spacing w:after="0" w:line="98" w:lineRule="exact"/>
        <w:rPr>
          <w:rFonts w:ascii="Arial" w:cs="Arial" w:eastAsia="Arial" w:hAnsi="Arial"/>
          <w:sz w:val="15"/>
          <w:szCs w:val="15"/>
          <w:color w:val="auto"/>
        </w:rPr>
      </w:pPr>
    </w:p>
    <w:p>
      <w:pPr>
        <w:ind w:left="1120" w:hanging="214"/>
        <w:spacing w:after="0"/>
        <w:tabs>
          <w:tab w:leader="none" w:pos="112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special meetings of committees may also be called by resolution of the board of directors; and</w:t>
      </w:r>
    </w:p>
    <w:p>
      <w:pPr>
        <w:spacing w:after="0" w:line="98" w:lineRule="exact"/>
        <w:rPr>
          <w:rFonts w:ascii="Arial" w:cs="Arial" w:eastAsia="Arial" w:hAnsi="Arial"/>
          <w:sz w:val="15"/>
          <w:szCs w:val="15"/>
          <w:color w:val="auto"/>
        </w:rPr>
      </w:pPr>
    </w:p>
    <w:p>
      <w:pPr>
        <w:ind w:right="380" w:firstLine="906"/>
        <w:spacing w:after="0" w:line="275" w:lineRule="auto"/>
        <w:tabs>
          <w:tab w:leader="none" w:pos="1179" w:val="left"/>
        </w:tabs>
        <w:numPr>
          <w:ilvl w:val="0"/>
          <w:numId w:val="207"/>
        </w:numPr>
        <w:rPr>
          <w:rFonts w:ascii="Arial" w:cs="Arial" w:eastAsia="Arial" w:hAnsi="Arial"/>
          <w:sz w:val="15"/>
          <w:szCs w:val="15"/>
          <w:color w:val="auto"/>
        </w:rPr>
      </w:pPr>
      <w:r>
        <w:rPr>
          <w:rFonts w:ascii="Arial" w:cs="Arial" w:eastAsia="Arial" w:hAnsi="Arial"/>
          <w:sz w:val="15"/>
          <w:szCs w:val="15"/>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00"/>
          </w:cols>
          <w:pgMar w:left="240" w:top="253" w:right="259" w:bottom="1440" w:gutter="0" w:footer="0" w:header="0"/>
        </w:sectPr>
      </w:pPr>
    </w:p>
    <w:bookmarkStart w:id="326" w:name="page327"/>
    <w:bookmarkEnd w:id="326"/>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4.4 SUBCOMMITTEES</w:t>
      </w:r>
    </w:p>
    <w:p>
      <w:pPr>
        <w:spacing w:after="0" w:line="98" w:lineRule="exact"/>
        <w:rPr>
          <w:sz w:val="20"/>
          <w:szCs w:val="20"/>
          <w:color w:val="auto"/>
        </w:rPr>
      </w:pPr>
    </w:p>
    <w:p>
      <w:pPr>
        <w:ind w:right="60" w:firstLine="458"/>
        <w:spacing w:after="0" w:line="354" w:lineRule="auto"/>
        <w:rPr>
          <w:sz w:val="20"/>
          <w:szCs w:val="20"/>
          <w:color w:val="auto"/>
        </w:rPr>
      </w:pPr>
      <w:r>
        <w:rPr>
          <w:rFonts w:ascii="Arial" w:cs="Arial" w:eastAsia="Arial" w:hAnsi="Arial"/>
          <w:sz w:val="13"/>
          <w:szCs w:val="13"/>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 - OFFICERS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5.1 OFFICERS</w:t>
      </w:r>
    </w:p>
    <w:p>
      <w:pPr>
        <w:spacing w:after="0" w:line="98" w:lineRule="exact"/>
        <w:rPr>
          <w:sz w:val="20"/>
          <w:szCs w:val="20"/>
          <w:color w:val="auto"/>
        </w:rPr>
      </w:pPr>
    </w:p>
    <w:p>
      <w:pPr>
        <w:ind w:right="60" w:firstLine="458"/>
        <w:spacing w:after="0" w:line="259" w:lineRule="auto"/>
        <w:rPr>
          <w:sz w:val="20"/>
          <w:szCs w:val="20"/>
          <w:color w:val="auto"/>
        </w:rPr>
      </w:pPr>
      <w:r>
        <w:rPr>
          <w:rFonts w:ascii="Arial" w:cs="Arial" w:eastAsia="Arial" w:hAnsi="Arial"/>
          <w:sz w:val="15"/>
          <w:szCs w:val="15"/>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5.2 APPOINTMENT OF OFFICERS</w:t>
      </w:r>
    </w:p>
    <w:p>
      <w:pPr>
        <w:spacing w:after="0" w:line="98"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5.3 SUBORDINATE OFFICERS</w:t>
      </w:r>
    </w:p>
    <w:p>
      <w:pPr>
        <w:spacing w:after="0" w:line="98"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5.4 REMOVAL AND RESIGNATION OF OFFICERS</w:t>
      </w:r>
    </w:p>
    <w:p>
      <w:pPr>
        <w:spacing w:after="0" w:line="98" w:lineRule="exact"/>
        <w:rPr>
          <w:sz w:val="20"/>
          <w:szCs w:val="20"/>
          <w:color w:val="auto"/>
        </w:rPr>
      </w:pPr>
    </w:p>
    <w:p>
      <w:pPr>
        <w:jc w:val="both"/>
        <w:ind w:right="60" w:firstLine="458"/>
        <w:spacing w:after="0" w:line="263" w:lineRule="auto"/>
        <w:rPr>
          <w:sz w:val="20"/>
          <w:szCs w:val="20"/>
          <w:color w:val="auto"/>
        </w:rPr>
      </w:pPr>
      <w:r>
        <w:rPr>
          <w:rFonts w:ascii="Arial" w:cs="Arial" w:eastAsia="Arial" w:hAnsi="Arial"/>
          <w:sz w:val="15"/>
          <w:szCs w:val="15"/>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w:t>
      </w:r>
    </w:p>
    <w:p>
      <w:pPr>
        <w:spacing w:after="0" w:line="155"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5.5 VACANCIES IN OFFICES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Any vacancy occurring in any office of the corporation shall be filled by the board of directors or as provided in Section 5.3.</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40" w:top="253" w:right="219" w:bottom="1440" w:gutter="0" w:footer="0" w:header="0"/>
        </w:sectPr>
      </w:pPr>
    </w:p>
    <w:bookmarkStart w:id="327" w:name="page328"/>
    <w:bookmarkEnd w:id="327"/>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5.6 REPRESENTATION OF SECURITIES OF OTHER ENTITIES</w:t>
      </w:r>
    </w:p>
    <w:p>
      <w:pPr>
        <w:spacing w:after="0" w:line="98" w:lineRule="exact"/>
        <w:rPr>
          <w:sz w:val="20"/>
          <w:szCs w:val="20"/>
          <w:color w:val="auto"/>
        </w:rPr>
      </w:pPr>
    </w:p>
    <w:p>
      <w:pPr>
        <w:ind w:right="60" w:firstLine="458"/>
        <w:spacing w:after="0" w:line="311" w:lineRule="auto"/>
        <w:rPr>
          <w:sz w:val="20"/>
          <w:szCs w:val="20"/>
          <w:color w:val="auto"/>
        </w:rPr>
      </w:pPr>
      <w:r>
        <w:rPr>
          <w:rFonts w:ascii="Arial" w:cs="Arial" w:eastAsia="Arial" w:hAnsi="Arial"/>
          <w:sz w:val="13"/>
          <w:szCs w:val="13"/>
          <w:color w:val="auto"/>
        </w:rPr>
        <w:t>The chairperson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any other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5.7 AUTHORITY AND DUTIES OF OFFICERS</w:t>
      </w:r>
    </w:p>
    <w:p>
      <w:pPr>
        <w:spacing w:after="0" w:line="98" w:lineRule="exact"/>
        <w:rPr>
          <w:sz w:val="20"/>
          <w:szCs w:val="20"/>
          <w:color w:val="auto"/>
        </w:rPr>
      </w:pPr>
    </w:p>
    <w:p>
      <w:pPr>
        <w:ind w:right="60" w:firstLine="458"/>
        <w:spacing w:after="0" w:line="312" w:lineRule="auto"/>
        <w:rPr>
          <w:sz w:val="20"/>
          <w:szCs w:val="20"/>
          <w:color w:val="auto"/>
        </w:rPr>
      </w:pPr>
      <w:r>
        <w:rPr>
          <w:rFonts w:ascii="Arial" w:cs="Arial" w:eastAsia="Arial" w:hAnsi="Arial"/>
          <w:sz w:val="14"/>
          <w:szCs w:val="14"/>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 - STOCK</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6.1 STOCK CERTIFICATES; PARTLY PAID SHARES</w:t>
      </w:r>
    </w:p>
    <w:p>
      <w:pPr>
        <w:spacing w:after="0" w:line="98" w:lineRule="exact"/>
        <w:rPr>
          <w:sz w:val="20"/>
          <w:szCs w:val="20"/>
          <w:color w:val="auto"/>
        </w:rPr>
      </w:pPr>
    </w:p>
    <w:p>
      <w:pPr>
        <w:ind w:right="60" w:firstLine="458"/>
        <w:spacing w:after="0" w:line="255" w:lineRule="auto"/>
        <w:rPr>
          <w:sz w:val="20"/>
          <w:szCs w:val="20"/>
          <w:color w:val="auto"/>
        </w:rPr>
      </w:pPr>
      <w:r>
        <w:rPr>
          <w:rFonts w:ascii="Arial" w:cs="Arial" w:eastAsia="Arial" w:hAnsi="Arial"/>
          <w:sz w:val="15"/>
          <w:szCs w:val="15"/>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61"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6.2 SPECIAL DESIGNATION ON CERTIFICATES</w:t>
      </w:r>
    </w:p>
    <w:p>
      <w:pPr>
        <w:spacing w:after="0" w:line="98" w:lineRule="exact"/>
        <w:rPr>
          <w:sz w:val="20"/>
          <w:szCs w:val="20"/>
          <w:color w:val="auto"/>
        </w:rPr>
      </w:pPr>
    </w:p>
    <w:p>
      <w:pPr>
        <w:ind w:right="60" w:firstLine="458"/>
        <w:spacing w:after="0" w:line="290" w:lineRule="auto"/>
        <w:rPr>
          <w:sz w:val="20"/>
          <w:szCs w:val="20"/>
          <w:color w:val="auto"/>
        </w:rPr>
      </w:pPr>
      <w:r>
        <w:rPr>
          <w:rFonts w:ascii="Arial" w:cs="Arial" w:eastAsia="Arial" w:hAnsi="Arial"/>
          <w:sz w:val="14"/>
          <w:szCs w:val="14"/>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4"/>
          <w:szCs w:val="14"/>
          <w:i w:val="1"/>
          <w:iCs w:val="1"/>
          <w:color w:val="auto"/>
        </w:rPr>
        <w:t>provided, however</w:t>
      </w:r>
      <w:r>
        <w:rPr>
          <w:rFonts w:ascii="Arial" w:cs="Arial" w:eastAsia="Arial" w:hAnsi="Arial"/>
          <w:sz w:val="14"/>
          <w:szCs w:val="14"/>
          <w:color w:val="auto"/>
        </w:rPr>
        <w:t>, that, except as otherwise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253" w:right="239" w:bottom="1440" w:gutter="0" w:footer="0" w:header="0"/>
        </w:sectPr>
      </w:pPr>
    </w:p>
    <w:bookmarkStart w:id="328" w:name="page329"/>
    <w:bookmarkEnd w:id="328"/>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308850" cy="33655"/>
                    </a:xfrm>
                    <a:prstGeom prst="rect">
                      <a:avLst/>
                    </a:prstGeom>
                    <a:noFill/>
                  </pic:spPr>
                </pic:pic>
              </a:graphicData>
            </a:graphic>
          </wp:anchor>
        </w:drawing>
        <w:t>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6.3 LOST CERTIFICATES</w:t>
      </w:r>
    </w:p>
    <w:p>
      <w:pPr>
        <w:spacing w:after="0" w:line="98" w:lineRule="exact"/>
        <w:rPr>
          <w:sz w:val="20"/>
          <w:szCs w:val="20"/>
          <w:color w:val="auto"/>
        </w:rPr>
      </w:pPr>
    </w:p>
    <w:p>
      <w:pPr>
        <w:ind w:right="100" w:firstLine="458"/>
        <w:spacing w:after="0" w:line="257" w:lineRule="auto"/>
        <w:rPr>
          <w:sz w:val="20"/>
          <w:szCs w:val="20"/>
          <w:color w:val="auto"/>
        </w:rPr>
      </w:pPr>
      <w:r>
        <w:rPr>
          <w:rFonts w:ascii="Arial" w:cs="Arial" w:eastAsia="Arial" w:hAnsi="Arial"/>
          <w:sz w:val="15"/>
          <w:szCs w:val="15"/>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6.4 DIVIDENDS</w:t>
      </w:r>
    </w:p>
    <w:p>
      <w:pPr>
        <w:spacing w:after="0" w:line="98" w:lineRule="exact"/>
        <w:rPr>
          <w:sz w:val="20"/>
          <w:szCs w:val="20"/>
          <w:color w:val="auto"/>
        </w:rPr>
      </w:pPr>
    </w:p>
    <w:p>
      <w:pPr>
        <w:jc w:val="both"/>
        <w:ind w:right="140" w:firstLine="458"/>
        <w:spacing w:after="0" w:line="290" w:lineRule="auto"/>
        <w:rPr>
          <w:sz w:val="20"/>
          <w:szCs w:val="20"/>
          <w:color w:val="auto"/>
        </w:rPr>
      </w:pPr>
      <w:r>
        <w:rPr>
          <w:rFonts w:ascii="Arial" w:cs="Arial" w:eastAsia="Arial" w:hAnsi="Arial"/>
          <w:sz w:val="14"/>
          <w:szCs w:val="14"/>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6.5 TRANSFER OF STOCK</w:t>
      </w:r>
    </w:p>
    <w:p>
      <w:pPr>
        <w:spacing w:after="0" w:line="98" w:lineRule="exact"/>
        <w:rPr>
          <w:sz w:val="20"/>
          <w:szCs w:val="20"/>
          <w:color w:val="auto"/>
        </w:rPr>
      </w:pPr>
    </w:p>
    <w:p>
      <w:pPr>
        <w:jc w:val="both"/>
        <w:ind w:right="200" w:firstLine="458"/>
        <w:spacing w:after="0" w:line="263" w:lineRule="auto"/>
        <w:rPr>
          <w:sz w:val="20"/>
          <w:szCs w:val="20"/>
          <w:color w:val="auto"/>
        </w:rPr>
      </w:pPr>
      <w:r>
        <w:rPr>
          <w:rFonts w:ascii="Arial" w:cs="Arial" w:eastAsia="Arial" w:hAnsi="Arial"/>
          <w:sz w:val="15"/>
          <w:szCs w:val="15"/>
          <w:color w:val="auto"/>
        </w:rPr>
        <w:t>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6.6 STOCK TRANSFER AGREEMENTS</w:t>
      </w:r>
    </w:p>
    <w:p>
      <w:pPr>
        <w:spacing w:after="0" w:line="98" w:lineRule="exact"/>
        <w:rPr>
          <w:sz w:val="20"/>
          <w:szCs w:val="20"/>
          <w:color w:val="auto"/>
        </w:rPr>
      </w:pPr>
    </w:p>
    <w:p>
      <w:pPr>
        <w:ind w:right="340" w:firstLine="458"/>
        <w:spacing w:after="0" w:line="312" w:lineRule="auto"/>
        <w:rPr>
          <w:sz w:val="20"/>
          <w:szCs w:val="20"/>
          <w:color w:val="auto"/>
        </w:rPr>
      </w:pPr>
      <w:r>
        <w:rPr>
          <w:rFonts w:ascii="Arial" w:cs="Arial" w:eastAsia="Arial" w:hAnsi="Arial"/>
          <w:sz w:val="14"/>
          <w:szCs w:val="14"/>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380"/>
          </w:cols>
          <w:pgMar w:left="240" w:top="252" w:right="279" w:bottom="1440" w:gutter="0" w:footer="0" w:header="0"/>
        </w:sectPr>
      </w:pPr>
    </w:p>
    <w:bookmarkStart w:id="329" w:name="page330"/>
    <w:bookmarkEnd w:id="329"/>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308850" cy="33655"/>
                    </a:xfrm>
                    <a:prstGeom prst="rect">
                      <a:avLst/>
                    </a:prstGeom>
                    <a:noFill/>
                  </pic:spPr>
                </pic:pic>
              </a:graphicData>
            </a:graphic>
          </wp:anchor>
        </w:drawing>
        <w:t>6.7 REGISTERED STOCKHOLDERS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corporation:</w:t>
      </w:r>
    </w:p>
    <w:p>
      <w:pPr>
        <w:spacing w:after="0" w:line="98" w:lineRule="exact"/>
        <w:rPr>
          <w:sz w:val="20"/>
          <w:szCs w:val="20"/>
          <w:color w:val="auto"/>
        </w:rPr>
      </w:pPr>
    </w:p>
    <w:p>
      <w:pPr>
        <w:ind w:left="1080" w:hanging="174"/>
        <w:spacing w:after="0"/>
        <w:tabs>
          <w:tab w:leader="none" w:pos="10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shall be entitled to recognize the exclusive right of a person registered on its books as the owner of shares to receive dividends and to vote as such owner; and</w:t>
      </w:r>
    </w:p>
    <w:p>
      <w:pPr>
        <w:spacing w:after="0" w:line="109" w:lineRule="exact"/>
        <w:rPr>
          <w:rFonts w:ascii="Arial" w:cs="Arial" w:eastAsia="Arial" w:hAnsi="Arial"/>
          <w:sz w:val="14"/>
          <w:szCs w:val="14"/>
          <w:color w:val="auto"/>
        </w:rPr>
      </w:pPr>
    </w:p>
    <w:p>
      <w:pPr>
        <w:ind w:firstLine="906"/>
        <w:spacing w:after="0" w:line="275" w:lineRule="auto"/>
        <w:tabs>
          <w:tab w:leader="none" w:pos="1137" w:val="left"/>
        </w:tabs>
        <w:numPr>
          <w:ilvl w:val="0"/>
          <w:numId w:val="208"/>
        </w:numPr>
        <w:rPr>
          <w:rFonts w:ascii="Arial" w:cs="Arial" w:eastAsia="Arial" w:hAnsi="Arial"/>
          <w:sz w:val="15"/>
          <w:szCs w:val="15"/>
          <w:color w:val="auto"/>
        </w:rPr>
      </w:pPr>
      <w:r>
        <w:rPr>
          <w:rFonts w:ascii="Arial" w:cs="Arial" w:eastAsia="Arial" w:hAnsi="Arial"/>
          <w:sz w:val="15"/>
          <w:szCs w:val="15"/>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 - MANNER OF GIVING NOTICE AND WAIVER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7.1 NOTICE OF STOCKHOLDERS’ MEETINGS</w:t>
      </w:r>
    </w:p>
    <w:p>
      <w:pPr>
        <w:spacing w:after="0" w:line="98"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the facts stated therein.</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7.2 NOTICE BY ELECTRONIC TRANSMISSION</w:t>
      </w:r>
    </w:p>
    <w:p>
      <w:pPr>
        <w:spacing w:after="0" w:line="98" w:lineRule="exact"/>
        <w:rPr>
          <w:sz w:val="20"/>
          <w:szCs w:val="20"/>
          <w:color w:val="auto"/>
        </w:rPr>
      </w:pPr>
    </w:p>
    <w:p>
      <w:pPr>
        <w:ind w:right="60" w:firstLine="458"/>
        <w:spacing w:after="0" w:line="259" w:lineRule="auto"/>
        <w:rPr>
          <w:sz w:val="20"/>
          <w:szCs w:val="20"/>
          <w:color w:val="auto"/>
        </w:rPr>
      </w:pPr>
      <w:r>
        <w:rPr>
          <w:rFonts w:ascii="Arial" w:cs="Arial" w:eastAsia="Arial" w:hAnsi="Arial"/>
          <w:sz w:val="15"/>
          <w:szCs w:val="15"/>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67" w:lineRule="exact"/>
        <w:rPr>
          <w:sz w:val="20"/>
          <w:szCs w:val="20"/>
          <w:color w:val="auto"/>
        </w:rPr>
      </w:pPr>
    </w:p>
    <w:p>
      <w:pPr>
        <w:ind w:left="1080" w:hanging="174"/>
        <w:spacing w:after="0"/>
        <w:tabs>
          <w:tab w:leader="none" w:pos="108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corporation is unable to deliver by electronic transmission two consecutive notices given by the corporation in accordance with such consent; and</w:t>
      </w:r>
    </w:p>
    <w:p>
      <w:pPr>
        <w:spacing w:after="0" w:line="98" w:lineRule="exact"/>
        <w:rPr>
          <w:rFonts w:ascii="Arial" w:cs="Arial" w:eastAsia="Arial" w:hAnsi="Arial"/>
          <w:sz w:val="15"/>
          <w:szCs w:val="15"/>
          <w:color w:val="auto"/>
        </w:rPr>
      </w:pPr>
    </w:p>
    <w:p>
      <w:pPr>
        <w:ind w:left="1120" w:hanging="214"/>
        <w:spacing w:after="0"/>
        <w:tabs>
          <w:tab w:leader="none" w:pos="112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such inability becomes known to the secretary or an assistant secretary of the corporation or to the transfer agent, or other person responsible for the giving of notice.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However, the inadvertent failure to treat such inability as a revocation shall not invalidate any meeting or other action.</w:t>
      </w:r>
    </w:p>
    <w:p>
      <w:pPr>
        <w:spacing w:after="0" w:line="18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 xml:space="preserve">Any notice given pursuant to the preceding paragraph shall be deemed given as provided under Section 232 of the DGCL. 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the facts stated therein.</w:t>
      </w:r>
    </w:p>
    <w:p>
      <w:pPr>
        <w:spacing w:after="0" w:line="151" w:lineRule="exact"/>
        <w:rPr>
          <w:sz w:val="20"/>
          <w:szCs w:val="20"/>
          <w:color w:val="auto"/>
        </w:rPr>
      </w:pPr>
    </w:p>
    <w:p>
      <w:pPr>
        <w:ind w:right="320" w:firstLine="458"/>
        <w:spacing w:after="0" w:line="266" w:lineRule="auto"/>
        <w:rPr>
          <w:sz w:val="20"/>
          <w:szCs w:val="20"/>
          <w:color w:val="auto"/>
        </w:rPr>
      </w:pPr>
      <w:r>
        <w:rPr>
          <w:rFonts w:ascii="Arial" w:cs="Arial" w:eastAsia="Arial" w:hAnsi="Arial"/>
          <w:sz w:val="15"/>
          <w:szCs w:val="15"/>
          <w:color w:val="auto"/>
        </w:rPr>
        <w:t>An “</w:t>
      </w:r>
      <w:r>
        <w:rPr>
          <w:rFonts w:ascii="Arial" w:cs="Arial" w:eastAsia="Arial" w:hAnsi="Arial"/>
          <w:sz w:val="15"/>
          <w:szCs w:val="15"/>
          <w:b w:val="1"/>
          <w:bCs w:val="1"/>
          <w:color w:val="auto"/>
        </w:rPr>
        <w:t>electronic transmission</w:t>
      </w:r>
      <w:r>
        <w:rPr>
          <w:rFonts w:ascii="Arial" w:cs="Arial" w:eastAsia="Arial" w:hAnsi="Arial"/>
          <w:sz w:val="15"/>
          <w:szCs w:val="15"/>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0"/>
          </w:cols>
          <w:pgMar w:left="240" w:top="253" w:right="239" w:bottom="1440" w:gutter="0" w:footer="0" w:header="0"/>
        </w:sectPr>
      </w:pPr>
    </w:p>
    <w:bookmarkStart w:id="330" w:name="page331"/>
    <w:bookmarkEnd w:id="330"/>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Notice by a form of electronic transmission shall not apply to Sections 164, 296, 311, 312 or 324 of the DGCL.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7.3 NOTICE TO STOCKHOLDERS SHARING AN ADDRESS</w:t>
      </w:r>
    </w:p>
    <w:p>
      <w:pPr>
        <w:spacing w:after="0" w:line="98" w:lineRule="exact"/>
        <w:rPr>
          <w:sz w:val="20"/>
          <w:szCs w:val="20"/>
          <w:color w:val="auto"/>
        </w:rPr>
      </w:pPr>
    </w:p>
    <w:p>
      <w:pPr>
        <w:ind w:firstLine="458"/>
        <w:spacing w:after="0" w:line="279" w:lineRule="auto"/>
        <w:rPr>
          <w:sz w:val="20"/>
          <w:szCs w:val="20"/>
          <w:color w:val="auto"/>
        </w:rPr>
      </w:pPr>
      <w:r>
        <w:rPr>
          <w:rFonts w:ascii="Arial" w:cs="Arial" w:eastAsia="Arial" w:hAnsi="Arial"/>
          <w:sz w:val="14"/>
          <w:szCs w:val="14"/>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7.3 shall not apply to Sections 164, 296, 311, 312 or 324 of the DGCL.</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7.4 NOTICE TO PERSON WITH WHOM COMMUNICATION IS UNLAWFUL</w:t>
      </w:r>
    </w:p>
    <w:p>
      <w:pPr>
        <w:spacing w:after="0" w:line="98" w:lineRule="exact"/>
        <w:rPr>
          <w:sz w:val="20"/>
          <w:szCs w:val="20"/>
          <w:color w:val="auto"/>
        </w:rPr>
      </w:pPr>
    </w:p>
    <w:p>
      <w:pPr>
        <w:jc w:val="both"/>
        <w:ind w:right="100" w:firstLine="458"/>
        <w:spacing w:after="0" w:line="279" w:lineRule="auto"/>
        <w:rPr>
          <w:sz w:val="20"/>
          <w:szCs w:val="20"/>
          <w:color w:val="auto"/>
        </w:rPr>
      </w:pPr>
      <w:r>
        <w:rPr>
          <w:rFonts w:ascii="Arial" w:cs="Arial" w:eastAsia="Arial" w:hAnsi="Arial"/>
          <w:sz w:val="14"/>
          <w:szCs w:val="14"/>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7.5 WAIVER OF NOTICE</w:t>
      </w:r>
    </w:p>
    <w:p>
      <w:pPr>
        <w:spacing w:after="0" w:line="98" w:lineRule="exact"/>
        <w:rPr>
          <w:sz w:val="20"/>
          <w:szCs w:val="20"/>
          <w:color w:val="auto"/>
        </w:rPr>
      </w:pPr>
    </w:p>
    <w:p>
      <w:pPr>
        <w:ind w:firstLine="458"/>
        <w:spacing w:after="0" w:line="255" w:lineRule="auto"/>
        <w:rPr>
          <w:sz w:val="20"/>
          <w:szCs w:val="20"/>
          <w:color w:val="auto"/>
        </w:rPr>
      </w:pPr>
      <w:r>
        <w:rPr>
          <w:rFonts w:ascii="Arial" w:cs="Arial" w:eastAsia="Arial" w:hAnsi="Arial"/>
          <w:sz w:val="15"/>
          <w:szCs w:val="15"/>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certificate of incorporation or these bylaws.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253" w:right="239" w:bottom="1440" w:gutter="0" w:footer="0" w:header="0"/>
        </w:sectPr>
      </w:pPr>
    </w:p>
    <w:bookmarkStart w:id="331" w:name="page332"/>
    <w:bookmarkEnd w:id="331"/>
    <w:p>
      <w:pPr>
        <w:ind w:left="44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ARTICLE VIII - INDEMNIFICATION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8.1 INDEMNIFICATION OF DIRECTORS AND OFFICERS IN THIRD PARTY PROCEEDINGS</w:t>
      </w:r>
    </w:p>
    <w:p>
      <w:pPr>
        <w:spacing w:after="0" w:line="98"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3"/>
          <w:szCs w:val="13"/>
          <w:b w:val="1"/>
          <w:bCs w:val="1"/>
          <w:color w:val="auto"/>
        </w:rPr>
        <w:t>Proceeding</w:t>
      </w:r>
      <w:r>
        <w:rPr>
          <w:rFonts w:ascii="Arial" w:cs="Arial" w:eastAsia="Arial" w:hAnsi="Arial"/>
          <w:sz w:val="13"/>
          <w:szCs w:val="13"/>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8.2 INDEMNIFICATION OF DIRECTORS AND OFFICERS IN ACTIONS BY OR IN THE RIGHT OF THE CORPORATION</w:t>
      </w:r>
    </w:p>
    <w:p>
      <w:pPr>
        <w:spacing w:after="0" w:line="98" w:lineRule="exact"/>
        <w:rPr>
          <w:sz w:val="20"/>
          <w:szCs w:val="20"/>
          <w:color w:val="auto"/>
        </w:rPr>
      </w:pPr>
    </w:p>
    <w:p>
      <w:pPr>
        <w:ind w:firstLine="458"/>
        <w:spacing w:after="0" w:line="298" w:lineRule="auto"/>
        <w:rPr>
          <w:sz w:val="20"/>
          <w:szCs w:val="20"/>
          <w:color w:val="auto"/>
        </w:rPr>
      </w:pPr>
      <w:r>
        <w:rPr>
          <w:rFonts w:ascii="Arial" w:cs="Arial" w:eastAsia="Arial" w:hAnsi="Arial"/>
          <w:sz w:val="13"/>
          <w:szCs w:val="13"/>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8.3 SUCCESSFUL DEFENSE</w:t>
      </w:r>
    </w:p>
    <w:p>
      <w:pPr>
        <w:spacing w:after="0" w:line="98" w:lineRule="exact"/>
        <w:rPr>
          <w:sz w:val="20"/>
          <w:szCs w:val="20"/>
          <w:color w:val="auto"/>
        </w:rPr>
      </w:pPr>
    </w:p>
    <w:p>
      <w:pPr>
        <w:ind w:right="120" w:firstLine="458"/>
        <w:spacing w:after="0" w:line="263" w:lineRule="auto"/>
        <w:rPr>
          <w:sz w:val="20"/>
          <w:szCs w:val="20"/>
          <w:color w:val="auto"/>
        </w:rPr>
      </w:pPr>
      <w:r>
        <w:rPr>
          <w:rFonts w:ascii="Arial" w:cs="Arial" w:eastAsia="Arial" w:hAnsi="Arial"/>
          <w:sz w:val="15"/>
          <w:szCs w:val="15"/>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0"/>
          </w:cols>
          <w:pgMar w:left="240" w:top="249" w:right="219" w:bottom="1440" w:gutter="0" w:footer="0" w:header="0"/>
        </w:sectPr>
      </w:pPr>
    </w:p>
    <w:bookmarkStart w:id="332" w:name="page333"/>
    <w:bookmarkEnd w:id="332"/>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8.4 INDEMNIFICATION OF OTHERS</w:t>
      </w:r>
    </w:p>
    <w:p>
      <w:pPr>
        <w:spacing w:after="0" w:line="98"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Subject to the other provisions of this Article VIII, the corporation shall have power to indemnify its employees and agents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8.5 ADVANCE PAYMENT OF EXPENSES</w:t>
      </w:r>
    </w:p>
    <w:p>
      <w:pPr>
        <w:spacing w:after="0" w:line="98" w:lineRule="exact"/>
        <w:rPr>
          <w:sz w:val="20"/>
          <w:szCs w:val="20"/>
          <w:color w:val="auto"/>
        </w:rPr>
      </w:pPr>
    </w:p>
    <w:p>
      <w:pPr>
        <w:ind w:right="40" w:firstLine="458"/>
        <w:spacing w:after="0" w:line="300" w:lineRule="auto"/>
        <w:rPr>
          <w:sz w:val="20"/>
          <w:szCs w:val="20"/>
          <w:color w:val="auto"/>
        </w:rPr>
      </w:pPr>
      <w:r>
        <w:rPr>
          <w:rFonts w:ascii="Arial" w:cs="Arial" w:eastAsia="Arial" w:hAnsi="Arial"/>
          <w:sz w:val="13"/>
          <w:szCs w:val="13"/>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8.6(ii) or 8.6(iii) prior to a determination that the person is not entitled to be indemnified by the corporation.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8.6 LIMITATION ON INDEMNIFICATION</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Subject to the requirements in Section 8.3 and the DGCL, the corporation shall not be obligated to indemnify any person pursuant to this Article VIII in connection with any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Proceeding (or any part of any Proceeding):</w:t>
      </w:r>
    </w:p>
    <w:p>
      <w:pPr>
        <w:spacing w:after="0" w:line="89" w:lineRule="exact"/>
        <w:rPr>
          <w:sz w:val="20"/>
          <w:szCs w:val="20"/>
          <w:color w:val="auto"/>
        </w:rPr>
      </w:pPr>
    </w:p>
    <w:p>
      <w:pPr>
        <w:ind w:firstLine="906"/>
        <w:spacing w:after="0" w:line="275" w:lineRule="auto"/>
        <w:tabs>
          <w:tab w:leader="none" w:pos="1095" w:val="left"/>
        </w:tabs>
        <w:numPr>
          <w:ilvl w:val="0"/>
          <w:numId w:val="210"/>
        </w:numPr>
        <w:rPr>
          <w:rFonts w:ascii="Arial" w:cs="Arial" w:eastAsia="Arial" w:hAnsi="Arial"/>
          <w:sz w:val="15"/>
          <w:szCs w:val="15"/>
          <w:color w:val="auto"/>
        </w:rPr>
      </w:pPr>
      <w:r>
        <w:rPr>
          <w:rFonts w:ascii="Arial" w:cs="Arial" w:eastAsia="Arial" w:hAnsi="Arial"/>
          <w:sz w:val="15"/>
          <w:szCs w:val="15"/>
          <w:color w:val="auto"/>
        </w:rPr>
        <w:t>for which payment has actually been made to or on behalf of such person under any statute, insurance policy, indemnity provision, vote or otherwise, except with respect to any excess beyond the amount paid;</w:t>
      </w:r>
    </w:p>
    <w:p>
      <w:pPr>
        <w:spacing w:after="0" w:line="55" w:lineRule="exact"/>
        <w:rPr>
          <w:rFonts w:ascii="Arial" w:cs="Arial" w:eastAsia="Arial" w:hAnsi="Arial"/>
          <w:sz w:val="15"/>
          <w:szCs w:val="15"/>
          <w:color w:val="auto"/>
        </w:rPr>
      </w:pPr>
    </w:p>
    <w:p>
      <w:pPr>
        <w:ind w:right="20" w:firstLine="906"/>
        <w:spacing w:after="0" w:line="275" w:lineRule="auto"/>
        <w:tabs>
          <w:tab w:leader="none" w:pos="1137" w:val="left"/>
        </w:tabs>
        <w:numPr>
          <w:ilvl w:val="0"/>
          <w:numId w:val="210"/>
        </w:numPr>
        <w:rPr>
          <w:rFonts w:ascii="Arial" w:cs="Arial" w:eastAsia="Arial" w:hAnsi="Arial"/>
          <w:sz w:val="15"/>
          <w:szCs w:val="15"/>
          <w:color w:val="auto"/>
        </w:rPr>
      </w:pPr>
      <w:r>
        <w:rPr>
          <w:rFonts w:ascii="Arial" w:cs="Arial" w:eastAsia="Arial" w:hAnsi="Arial"/>
          <w:sz w:val="15"/>
          <w:szCs w:val="15"/>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55" w:lineRule="exact"/>
        <w:rPr>
          <w:rFonts w:ascii="Arial" w:cs="Arial" w:eastAsia="Arial" w:hAnsi="Arial"/>
          <w:sz w:val="15"/>
          <w:szCs w:val="15"/>
          <w:color w:val="auto"/>
        </w:rPr>
      </w:pPr>
    </w:p>
    <w:p>
      <w:pPr>
        <w:jc w:val="both"/>
        <w:ind w:right="200" w:firstLine="906"/>
        <w:spacing w:after="0" w:line="283" w:lineRule="auto"/>
        <w:tabs>
          <w:tab w:leader="none" w:pos="1179" w:val="left"/>
        </w:tabs>
        <w:numPr>
          <w:ilvl w:val="0"/>
          <w:numId w:val="210"/>
        </w:numPr>
        <w:rPr>
          <w:rFonts w:ascii="Arial" w:cs="Arial" w:eastAsia="Arial" w:hAnsi="Arial"/>
          <w:sz w:val="14"/>
          <w:szCs w:val="14"/>
          <w:color w:val="auto"/>
        </w:rPr>
      </w:pPr>
      <w:r>
        <w:rPr>
          <w:rFonts w:ascii="Arial" w:cs="Arial" w:eastAsia="Arial" w:hAnsi="Arial"/>
          <w:sz w:val="14"/>
          <w:szCs w:val="14"/>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4"/>
          <w:szCs w:val="14"/>
          <w:b w:val="1"/>
          <w:bCs w:val="1"/>
          <w:color w:val="auto"/>
        </w:rPr>
        <w:t>Sarbanes-Oxley Act</w:t>
      </w:r>
      <w:r>
        <w:rPr>
          <w:rFonts w:ascii="Arial" w:cs="Arial" w:eastAsia="Arial" w:hAnsi="Arial"/>
          <w:sz w:val="14"/>
          <w:szCs w:val="14"/>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52" w:lineRule="exact"/>
        <w:rPr>
          <w:rFonts w:ascii="Arial" w:cs="Arial" w:eastAsia="Arial" w:hAnsi="Arial"/>
          <w:sz w:val="14"/>
          <w:szCs w:val="14"/>
          <w:color w:val="auto"/>
        </w:rPr>
      </w:pPr>
    </w:p>
    <w:p>
      <w:pPr>
        <w:ind w:right="20" w:firstLine="906"/>
        <w:spacing w:after="0" w:line="259" w:lineRule="auto"/>
        <w:tabs>
          <w:tab w:leader="none" w:pos="117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00"/>
          </w:cols>
          <w:pgMar w:left="240" w:top="253" w:right="259" w:bottom="1440" w:gutter="0" w:footer="0" w:header="0"/>
        </w:sectPr>
      </w:pPr>
    </w:p>
    <w:bookmarkStart w:id="333" w:name="page334"/>
    <w:bookmarkEnd w:id="333"/>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(v) if prohibited by applicable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8.7 DETERMINATION; CLAIM</w:t>
      </w:r>
    </w:p>
    <w:p>
      <w:pPr>
        <w:spacing w:after="0" w:line="98" w:lineRule="exact"/>
        <w:rPr>
          <w:sz w:val="20"/>
          <w:szCs w:val="20"/>
          <w:color w:val="auto"/>
        </w:rPr>
      </w:pPr>
    </w:p>
    <w:p>
      <w:pPr>
        <w:ind w:firstLine="458"/>
        <w:spacing w:after="0" w:line="279" w:lineRule="auto"/>
        <w:rPr>
          <w:sz w:val="20"/>
          <w:szCs w:val="20"/>
          <w:color w:val="auto"/>
        </w:rPr>
      </w:pPr>
      <w:r>
        <w:rPr>
          <w:rFonts w:ascii="Arial" w:cs="Arial" w:eastAsia="Arial" w:hAnsi="Arial"/>
          <w:sz w:val="14"/>
          <w:szCs w:val="14"/>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8.8 NON-EXCLUSIVITY OF RIGHTS</w:t>
      </w:r>
    </w:p>
    <w:p>
      <w:pPr>
        <w:spacing w:after="0" w:line="98" w:lineRule="exact"/>
        <w:rPr>
          <w:sz w:val="20"/>
          <w:szCs w:val="20"/>
          <w:color w:val="auto"/>
        </w:rPr>
      </w:pPr>
    </w:p>
    <w:p>
      <w:pPr>
        <w:ind w:right="40" w:firstLine="458"/>
        <w:spacing w:after="0" w:line="257" w:lineRule="auto"/>
        <w:rPr>
          <w:sz w:val="20"/>
          <w:szCs w:val="20"/>
          <w:color w:val="auto"/>
        </w:rPr>
      </w:pPr>
      <w:r>
        <w:rPr>
          <w:rFonts w:ascii="Arial" w:cs="Arial" w:eastAsia="Arial" w:hAnsi="Arial"/>
          <w:sz w:val="15"/>
          <w:szCs w:val="15"/>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8.9 INSURANCE</w:t>
      </w:r>
    </w:p>
    <w:p>
      <w:pPr>
        <w:spacing w:after="0" w:line="98" w:lineRule="exact"/>
        <w:rPr>
          <w:sz w:val="20"/>
          <w:szCs w:val="20"/>
          <w:color w:val="auto"/>
        </w:rPr>
      </w:pPr>
    </w:p>
    <w:p>
      <w:pPr>
        <w:ind w:right="20" w:firstLine="458"/>
        <w:spacing w:after="0" w:line="259" w:lineRule="auto"/>
        <w:rPr>
          <w:sz w:val="20"/>
          <w:szCs w:val="20"/>
          <w:color w:val="auto"/>
        </w:rPr>
      </w:pPr>
      <w:r>
        <w:rPr>
          <w:rFonts w:ascii="Arial" w:cs="Arial" w:eastAsia="Arial" w:hAnsi="Arial"/>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8.10 SURVIVAL</w:t>
      </w:r>
    </w:p>
    <w:p>
      <w:pPr>
        <w:spacing w:after="0" w:line="98"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8.11 EFFECT OF REPEAL OR MODIFICATION</w:t>
      </w:r>
    </w:p>
    <w:p>
      <w:pPr>
        <w:spacing w:after="0" w:line="98"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00"/>
          </w:cols>
          <w:pgMar w:left="240" w:top="253" w:right="259" w:bottom="1440" w:gutter="0" w:footer="0" w:header="0"/>
        </w:sectPr>
      </w:pPr>
    </w:p>
    <w:bookmarkStart w:id="334" w:name="page335"/>
    <w:bookmarkEnd w:id="334"/>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8.12 CERTAIN DEFINITIONS</w:t>
      </w:r>
    </w:p>
    <w:p>
      <w:pPr>
        <w:spacing w:after="0" w:line="94" w:lineRule="exact"/>
        <w:rPr>
          <w:sz w:val="20"/>
          <w:szCs w:val="20"/>
          <w:color w:val="auto"/>
        </w:rPr>
      </w:pPr>
    </w:p>
    <w:p>
      <w:pPr>
        <w:ind w:firstLine="458"/>
        <w:spacing w:after="0" w:line="274" w:lineRule="auto"/>
        <w:rPr>
          <w:sz w:val="20"/>
          <w:szCs w:val="20"/>
          <w:color w:val="auto"/>
        </w:rPr>
      </w:pPr>
      <w:r>
        <w:rPr>
          <w:rFonts w:ascii="Arial" w:cs="Arial" w:eastAsia="Arial" w:hAnsi="Arial"/>
          <w:sz w:val="14"/>
          <w:szCs w:val="14"/>
          <w:color w:val="auto"/>
        </w:rPr>
        <w:t>For purposes of this Article VIII, references to the “</w:t>
      </w:r>
      <w:r>
        <w:rPr>
          <w:rFonts w:ascii="Arial" w:cs="Arial" w:eastAsia="Arial" w:hAnsi="Arial"/>
          <w:sz w:val="14"/>
          <w:szCs w:val="14"/>
          <w:b w:val="1"/>
          <w:bCs w:val="1"/>
          <w:color w:val="auto"/>
        </w:rPr>
        <w:t>corporation</w:t>
      </w:r>
      <w:r>
        <w:rPr>
          <w:rFonts w:ascii="Arial" w:cs="Arial" w:eastAsia="Arial" w:hAnsi="Arial"/>
          <w:sz w:val="14"/>
          <w:szCs w:val="14"/>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4"/>
          <w:szCs w:val="14"/>
          <w:b w:val="1"/>
          <w:bCs w:val="1"/>
          <w:color w:val="auto"/>
        </w:rPr>
        <w:t>other enterprises</w:t>
      </w:r>
      <w:r>
        <w:rPr>
          <w:rFonts w:ascii="Arial" w:cs="Arial" w:eastAsia="Arial" w:hAnsi="Arial"/>
          <w:sz w:val="14"/>
          <w:szCs w:val="14"/>
          <w:color w:val="auto"/>
        </w:rPr>
        <w:t>” shall include employee benefit plans; references to “</w:t>
      </w:r>
      <w:r>
        <w:rPr>
          <w:rFonts w:ascii="Arial" w:cs="Arial" w:eastAsia="Arial" w:hAnsi="Arial"/>
          <w:sz w:val="14"/>
          <w:szCs w:val="14"/>
          <w:b w:val="1"/>
          <w:bCs w:val="1"/>
          <w:color w:val="auto"/>
        </w:rPr>
        <w:t>fines</w:t>
      </w:r>
      <w:r>
        <w:rPr>
          <w:rFonts w:ascii="Arial" w:cs="Arial" w:eastAsia="Arial" w:hAnsi="Arial"/>
          <w:sz w:val="14"/>
          <w:szCs w:val="14"/>
          <w:color w:val="auto"/>
        </w:rPr>
        <w:t>” shall include any excise taxes assessed on a person with respect to an employee benefit plan; and references to “</w:t>
      </w:r>
      <w:r>
        <w:rPr>
          <w:rFonts w:ascii="Arial" w:cs="Arial" w:eastAsia="Arial" w:hAnsi="Arial"/>
          <w:sz w:val="14"/>
          <w:szCs w:val="14"/>
          <w:b w:val="1"/>
          <w:bCs w:val="1"/>
          <w:color w:val="auto"/>
        </w:rPr>
        <w:t>serving at the request of the corporation</w:t>
      </w:r>
      <w:r>
        <w:rPr>
          <w:rFonts w:ascii="Arial" w:cs="Arial" w:eastAsia="Arial" w:hAnsi="Arial"/>
          <w:sz w:val="14"/>
          <w:szCs w:val="14"/>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4"/>
          <w:szCs w:val="14"/>
          <w:b w:val="1"/>
          <w:bCs w:val="1"/>
          <w:color w:val="auto"/>
        </w:rPr>
        <w:t>not opposed to the best</w:t>
      </w:r>
      <w:r>
        <w:rPr>
          <w:rFonts w:ascii="Arial" w:cs="Arial" w:eastAsia="Arial" w:hAnsi="Arial"/>
          <w:sz w:val="14"/>
          <w:szCs w:val="14"/>
          <w:color w:val="auto"/>
        </w:rPr>
        <w:t xml:space="preserve"> </w:t>
      </w:r>
      <w:r>
        <w:rPr>
          <w:rFonts w:ascii="Arial" w:cs="Arial" w:eastAsia="Arial" w:hAnsi="Arial"/>
          <w:sz w:val="14"/>
          <w:szCs w:val="14"/>
          <w:b w:val="1"/>
          <w:bCs w:val="1"/>
          <w:color w:val="auto"/>
        </w:rPr>
        <w:t>interests of the corporation</w:t>
      </w:r>
      <w:r>
        <w:rPr>
          <w:rFonts w:ascii="Arial" w:cs="Arial" w:eastAsia="Arial" w:hAnsi="Arial"/>
          <w:sz w:val="14"/>
          <w:szCs w:val="14"/>
          <w:color w:val="auto"/>
        </w:rPr>
        <w:t>” as referred to in this Article VIII.</w:t>
      </w:r>
    </w:p>
    <w:p>
      <w:pPr>
        <w:spacing w:after="0" w:line="327"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ARTICLE IX - GENERAL MATTERS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9.1 EXECUTION OF CORPORATE CONTRACTS AND INSTRUMENTS</w:t>
      </w:r>
    </w:p>
    <w:p>
      <w:pPr>
        <w:spacing w:after="0" w:line="98" w:lineRule="exact"/>
        <w:rPr>
          <w:sz w:val="20"/>
          <w:szCs w:val="20"/>
          <w:color w:val="auto"/>
        </w:rPr>
      </w:pPr>
    </w:p>
    <w:p>
      <w:pPr>
        <w:ind w:right="20" w:firstLine="458"/>
        <w:spacing w:after="0" w:line="259" w:lineRule="auto"/>
        <w:rPr>
          <w:sz w:val="20"/>
          <w:szCs w:val="20"/>
          <w:color w:val="auto"/>
        </w:rPr>
      </w:pPr>
      <w:r>
        <w:rPr>
          <w:rFonts w:ascii="Arial" w:cs="Arial" w:eastAsia="Arial" w:hAnsi="Arial"/>
          <w:sz w:val="15"/>
          <w:szCs w:val="15"/>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9.2 FISCAL YEAR</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fiscal year of the corporation shall be fixed by resolution of the board of directors and may be changed by the board of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9.3 SEAL</w:t>
      </w:r>
    </w:p>
    <w:p>
      <w:pPr>
        <w:spacing w:after="0" w:line="98"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360"/>
          </w:cols>
          <w:pgMar w:left="240" w:top="253" w:right="299" w:bottom="1440" w:gutter="0" w:footer="0" w:header="0"/>
        </w:sectPr>
      </w:pPr>
    </w:p>
    <w:bookmarkStart w:id="335" w:name="page336"/>
    <w:bookmarkEnd w:id="335"/>
    <w:p>
      <w:pPr>
        <w:ind w:left="45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9.4 CONSTRUCTION; DEFINITIONS</w:t>
      </w:r>
    </w:p>
    <w:p>
      <w:pPr>
        <w:spacing w:after="0" w:line="98" w:lineRule="exact"/>
        <w:rPr>
          <w:sz w:val="20"/>
          <w:szCs w:val="20"/>
          <w:color w:val="auto"/>
        </w:rPr>
      </w:pPr>
    </w:p>
    <w:p>
      <w:pPr>
        <w:ind w:left="10" w:right="140" w:firstLine="458"/>
        <w:spacing w:after="0" w:line="354" w:lineRule="auto"/>
        <w:rPr>
          <w:sz w:val="20"/>
          <w:szCs w:val="20"/>
          <w:color w:val="auto"/>
        </w:rPr>
      </w:pPr>
      <w:r>
        <w:rPr>
          <w:rFonts w:ascii="Arial" w:cs="Arial" w:eastAsia="Arial" w:hAnsi="Arial"/>
          <w:sz w:val="13"/>
          <w:szCs w:val="13"/>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3"/>
          <w:szCs w:val="13"/>
          <w:b w:val="1"/>
          <w:bCs w:val="1"/>
          <w:color w:val="auto"/>
        </w:rPr>
        <w:t>person</w:t>
      </w:r>
      <w:r>
        <w:rPr>
          <w:rFonts w:ascii="Arial" w:cs="Arial" w:eastAsia="Arial" w:hAnsi="Arial"/>
          <w:sz w:val="13"/>
          <w:szCs w:val="13"/>
          <w:color w:val="auto"/>
        </w:rPr>
        <w:t>” includes both a corporation and a natural person.</w:t>
      </w:r>
    </w:p>
    <w:p>
      <w:pPr>
        <w:spacing w:after="0" w:line="277" w:lineRule="exact"/>
        <w:rPr>
          <w:sz w:val="20"/>
          <w:szCs w:val="20"/>
          <w:color w:val="auto"/>
        </w:rPr>
      </w:pPr>
    </w:p>
    <w:p>
      <w:pPr>
        <w:jc w:val="center"/>
        <w:ind w:right="-29"/>
        <w:spacing w:after="0"/>
        <w:rPr>
          <w:sz w:val="20"/>
          <w:szCs w:val="20"/>
          <w:color w:val="auto"/>
        </w:rPr>
      </w:pPr>
      <w:r>
        <w:rPr>
          <w:rFonts w:ascii="Arial" w:cs="Arial" w:eastAsia="Arial" w:hAnsi="Arial"/>
          <w:sz w:val="15"/>
          <w:szCs w:val="15"/>
          <w:b w:val="1"/>
          <w:bCs w:val="1"/>
          <w:color w:val="auto"/>
        </w:rPr>
        <w:t>ARTICLE X - AMENDMENTS</w:t>
      </w:r>
    </w:p>
    <w:p>
      <w:pPr>
        <w:spacing w:after="0" w:line="192" w:lineRule="exact"/>
        <w:rPr>
          <w:sz w:val="20"/>
          <w:szCs w:val="20"/>
          <w:color w:val="auto"/>
        </w:rPr>
      </w:pPr>
    </w:p>
    <w:p>
      <w:pPr>
        <w:ind w:left="10" w:right="20" w:firstLine="458"/>
        <w:spacing w:after="0" w:line="283" w:lineRule="auto"/>
        <w:rPr>
          <w:sz w:val="20"/>
          <w:szCs w:val="20"/>
          <w:color w:val="auto"/>
        </w:rPr>
      </w:pPr>
      <w:r>
        <w:rPr>
          <w:rFonts w:ascii="Arial" w:cs="Arial" w:eastAsia="Arial" w:hAnsi="Arial"/>
          <w:sz w:val="14"/>
          <w:szCs w:val="14"/>
          <w:color w:val="auto"/>
        </w:rPr>
        <w:t xml:space="preserve">These bylaws may be adopted, amended or repealed by the stockholders entitled to vote;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43" w:lineRule="exact"/>
        <w:rPr>
          <w:sz w:val="20"/>
          <w:szCs w:val="20"/>
          <w:color w:val="auto"/>
        </w:rPr>
      </w:pPr>
    </w:p>
    <w:p>
      <w:pPr>
        <w:ind w:left="10" w:right="180" w:firstLine="458"/>
        <w:spacing w:after="0" w:line="275" w:lineRule="auto"/>
        <w:rPr>
          <w:sz w:val="20"/>
          <w:szCs w:val="20"/>
          <w:color w:val="auto"/>
        </w:rPr>
      </w:pPr>
      <w:r>
        <w:rPr>
          <w:rFonts w:ascii="Arial" w:cs="Arial" w:eastAsia="Arial" w:hAnsi="Arial"/>
          <w:sz w:val="15"/>
          <w:szCs w:val="15"/>
          <w:color w:val="auto"/>
        </w:rPr>
        <w:t>A bylaw amendment adopted by stockholders which specifies the votes that shall be necessary for the election of directors shall not be further amended or repealed by the board of directors.</w:t>
      </w:r>
    </w:p>
    <w:p>
      <w:pPr>
        <w:spacing w:after="0" w:line="323" w:lineRule="exact"/>
        <w:rPr>
          <w:sz w:val="20"/>
          <w:szCs w:val="20"/>
          <w:color w:val="auto"/>
        </w:rPr>
      </w:pPr>
    </w:p>
    <w:p>
      <w:pPr>
        <w:jc w:val="center"/>
        <w:ind w:right="-29"/>
        <w:spacing w:after="0"/>
        <w:rPr>
          <w:sz w:val="20"/>
          <w:szCs w:val="20"/>
          <w:color w:val="auto"/>
        </w:rPr>
      </w:pPr>
      <w:r>
        <w:rPr>
          <w:rFonts w:ascii="Arial" w:cs="Arial" w:eastAsia="Arial" w:hAnsi="Arial"/>
          <w:sz w:val="15"/>
          <w:szCs w:val="15"/>
          <w:b w:val="1"/>
          <w:bCs w:val="1"/>
          <w:color w:val="auto"/>
        </w:rPr>
        <w:t>ARTICLE XI - EXCLUSIVE FORUM</w:t>
      </w:r>
    </w:p>
    <w:p>
      <w:pPr>
        <w:spacing w:after="0" w:line="192" w:lineRule="exact"/>
        <w:rPr>
          <w:sz w:val="20"/>
          <w:szCs w:val="20"/>
          <w:color w:val="auto"/>
        </w:rPr>
      </w:pPr>
    </w:p>
    <w:p>
      <w:pPr>
        <w:ind w:left="10" w:firstLine="458"/>
        <w:spacing w:after="0" w:line="293" w:lineRule="auto"/>
        <w:rPr>
          <w:sz w:val="20"/>
          <w:szCs w:val="20"/>
          <w:color w:val="auto"/>
        </w:rPr>
      </w:pPr>
      <w:r>
        <w:rPr>
          <w:rFonts w:ascii="Arial" w:cs="Arial" w:eastAsia="Arial" w:hAnsi="Arial"/>
          <w:sz w:val="13"/>
          <w:szCs w:val="13"/>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certificate of incorporation or these bylaws (as either may be amended from time to time), or</w:t>
      </w:r>
    </w:p>
    <w:p>
      <w:pPr>
        <w:spacing w:after="0" w:line="1" w:lineRule="exact"/>
        <w:rPr>
          <w:sz w:val="20"/>
          <w:szCs w:val="20"/>
          <w:color w:val="auto"/>
        </w:rPr>
      </w:pPr>
    </w:p>
    <w:p>
      <w:pPr>
        <w:ind w:left="10" w:right="220" w:hanging="10"/>
        <w:spacing w:after="0" w:line="283" w:lineRule="auto"/>
        <w:tabs>
          <w:tab w:leader="none" w:pos="264" w:val="left"/>
        </w:tabs>
        <w:numPr>
          <w:ilvl w:val="0"/>
          <w:numId w:val="211"/>
        </w:numPr>
        <w:rPr>
          <w:rFonts w:ascii="Arial" w:cs="Arial" w:eastAsia="Arial" w:hAnsi="Arial"/>
          <w:sz w:val="14"/>
          <w:szCs w:val="14"/>
          <w:color w:val="auto"/>
        </w:rPr>
      </w:pPr>
      <w:r>
        <w:rPr>
          <w:rFonts w:ascii="Arial" w:cs="Arial" w:eastAsia="Arial" w:hAnsi="Arial"/>
          <w:sz w:val="14"/>
          <w:szCs w:val="14"/>
          <w:color w:val="auto"/>
        </w:rPr>
        <w:t>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 which is vested in the exclusive jurisdiction of a court or forum other than such court, or for which such court does not have subject matter jurisdiction.</w:t>
      </w:r>
    </w:p>
    <w:p>
      <w:pPr>
        <w:spacing w:after="0" w:line="143" w:lineRule="exact"/>
        <w:rPr>
          <w:sz w:val="20"/>
          <w:szCs w:val="20"/>
          <w:color w:val="auto"/>
        </w:rPr>
      </w:pPr>
    </w:p>
    <w:p>
      <w:pPr>
        <w:ind w:left="10" w:right="360" w:firstLine="458"/>
        <w:spacing w:after="0" w:line="275" w:lineRule="auto"/>
        <w:rPr>
          <w:sz w:val="20"/>
          <w:szCs w:val="20"/>
          <w:color w:val="auto"/>
        </w:rPr>
      </w:pPr>
      <w:r>
        <w:rPr>
          <w:rFonts w:ascii="Arial" w:cs="Arial" w:eastAsia="Arial" w:hAnsi="Arial"/>
          <w:sz w:val="15"/>
          <w:szCs w:val="15"/>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w:t>
      </w:r>
    </w:p>
    <w:p>
      <w:pPr>
        <w:spacing w:after="0" w:line="146" w:lineRule="exact"/>
        <w:rPr>
          <w:sz w:val="20"/>
          <w:szCs w:val="20"/>
          <w:color w:val="auto"/>
        </w:rPr>
      </w:pPr>
    </w:p>
    <w:p>
      <w:pPr>
        <w:ind w:left="450"/>
        <w:spacing w:after="0"/>
        <w:rPr>
          <w:sz w:val="20"/>
          <w:szCs w:val="20"/>
          <w:color w:val="auto"/>
        </w:rPr>
      </w:pPr>
      <w:r>
        <w:rPr>
          <w:rFonts w:ascii="Arial" w:cs="Arial" w:eastAsia="Arial" w:hAnsi="Arial"/>
          <w:sz w:val="13"/>
          <w:szCs w:val="13"/>
          <w:color w:val="auto"/>
        </w:rPr>
        <w:t>Any person or entity purchasing or otherwise acquiring any interest in any security of the corporation shall be deemed to have notice of and consented to the provisions of this Article</w:t>
      </w:r>
    </w:p>
    <w:p>
      <w:pPr>
        <w:spacing w:after="0" w:line="40" w:lineRule="exact"/>
        <w:rPr>
          <w:sz w:val="20"/>
          <w:szCs w:val="20"/>
          <w:color w:val="auto"/>
        </w:rPr>
      </w:pPr>
    </w:p>
    <w:p>
      <w:pPr>
        <w:ind w:left="10"/>
        <w:spacing w:after="0"/>
        <w:rPr>
          <w:sz w:val="20"/>
          <w:szCs w:val="20"/>
          <w:color w:val="auto"/>
        </w:rPr>
      </w:pPr>
      <w:r>
        <w:rPr>
          <w:rFonts w:ascii="Arial" w:cs="Arial" w:eastAsia="Arial" w:hAnsi="Arial"/>
          <w:sz w:val="15"/>
          <w:szCs w:val="15"/>
          <w:color w:val="auto"/>
        </w:rPr>
        <w:t>XI.</w:t>
      </w:r>
    </w:p>
    <w:p>
      <w:pPr>
        <w:spacing w:after="0" w:line="123"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10"/>
          </w:cols>
          <w:pgMar w:left="230" w:top="253" w:right="259" w:bottom="1440" w:gutter="0" w:footer="0" w:header="0"/>
        </w:sectPr>
      </w:pPr>
    </w:p>
    <w:bookmarkStart w:id="336" w:name="page337"/>
    <w:bookmarkEnd w:id="336"/>
    <w:p>
      <w:pPr>
        <w:ind w:left="9540"/>
        <w:spacing w:after="0"/>
        <w:rPr>
          <w:sz w:val="20"/>
          <w:szCs w:val="20"/>
          <w:color w:val="auto"/>
        </w:rPr>
      </w:pPr>
      <w:r>
        <w:rPr>
          <w:rFonts w:ascii="Arial" w:cs="Arial" w:eastAsia="Arial" w:hAnsi="Arial"/>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157480</wp:posOffset>
            </wp:positionV>
            <wp:extent cx="6015990" cy="36525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6015990" cy="365252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56648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308850" cy="566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jc w:val="right"/>
        <w:spacing w:after="0"/>
        <w:rPr>
          <w:sz w:val="20"/>
          <w:szCs w:val="20"/>
          <w:color w:val="auto"/>
        </w:rPr>
      </w:pPr>
      <w:r>
        <w:rPr>
          <w:rFonts w:ascii="Arial" w:cs="Arial" w:eastAsia="Arial" w:hAnsi="Arial"/>
          <w:sz w:val="15"/>
          <w:szCs w:val="15"/>
          <w:b w:val="1"/>
          <w:bCs w:val="1"/>
          <w:color w:val="auto"/>
        </w:rPr>
        <w:t>Exhibit 5.1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2399030" cy="2362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2399030" cy="2362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5"/>
          <w:szCs w:val="15"/>
          <w:color w:val="auto"/>
        </w:rPr>
        <w:t>Palo Alto, CA 94304-1050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PHONE 650.493.9300</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FAX 650.493.6811</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www.wsgr.com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March 12, 2018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Dropbox,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333 Brannan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94107</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b w:val="1"/>
          <w:bCs w:val="1"/>
          <w:color w:val="auto"/>
        </w:rPr>
        <w:t>Re:</w:t>
      </w:r>
      <w:r>
        <w:rPr>
          <w:sz w:val="20"/>
          <w:szCs w:val="20"/>
          <w:color w:val="auto"/>
        </w:rPr>
        <w:tab/>
      </w:r>
      <w:r>
        <w:rPr>
          <w:rFonts w:ascii="Arial" w:cs="Arial" w:eastAsia="Arial" w:hAnsi="Arial"/>
          <w:sz w:val="13"/>
          <w:szCs w:val="13"/>
          <w:b w:val="1"/>
          <w:bCs w:val="1"/>
          <w:u w:val="single" w:color="auto"/>
          <w:color w:val="auto"/>
        </w:rPr>
        <w:t>Registration Statement on Form S-1</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This opinion is furnished to you in connection with the Registration Statement on Form S-1 (Registration No. 333-223182), as amended (the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filed by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Dropbox,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with the Securities and Exchange Commission in connection with the registration under the Securities Act of 1933, as amended, of shares of the Company’s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Class A common stock, $0.00001 par value per share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which up to 32,222,409 shares (including up to 5,400,000 shares issuable upon exercise of an option granted to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underwriters by the Company) will be issued and sold by the Company and 9,177,591 shares will be sold by certain selling stockholders identified in such Registration Statement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Selling Stockholders</w:t>
      </w:r>
      <w:r>
        <w:rPr>
          <w:rFonts w:ascii="Arial" w:cs="Arial" w:eastAsia="Arial" w:hAnsi="Arial"/>
          <w:sz w:val="13"/>
          <w:szCs w:val="13"/>
          <w:color w:val="auto"/>
        </w:rPr>
        <w:t>”). We understand that the Shares are to be sold to the underwriters for resale to the public as described in the Registration Statement and pursuant to an underwriting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agreement, substantially in the form filed as an exhibit to the Registration Statement, to be entered into by and among the Company, the Selling Stockholders and the underwriters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Underwriting Agreement</w:t>
      </w:r>
      <w:r>
        <w:rPr>
          <w:rFonts w:ascii="Arial" w:cs="Arial" w:eastAsia="Arial" w:hAnsi="Arial"/>
          <w:sz w:val="15"/>
          <w:szCs w:val="15"/>
          <w:color w:val="auto"/>
        </w:rPr>
        <w:t>”).</w:t>
      </w:r>
    </w:p>
    <w:p>
      <w:pPr>
        <w:spacing w:after="0" w:line="179" w:lineRule="exact"/>
        <w:rPr>
          <w:sz w:val="20"/>
          <w:szCs w:val="20"/>
          <w:color w:val="auto"/>
        </w:rPr>
      </w:pPr>
    </w:p>
    <w:p>
      <w:pPr>
        <w:ind w:right="60" w:firstLine="458"/>
        <w:spacing w:after="0" w:line="311" w:lineRule="auto"/>
        <w:rPr>
          <w:sz w:val="20"/>
          <w:szCs w:val="20"/>
          <w:color w:val="auto"/>
        </w:rPr>
      </w:pPr>
      <w:r>
        <w:rPr>
          <w:rFonts w:ascii="Arial" w:cs="Arial" w:eastAsia="Arial" w:hAnsi="Arial"/>
          <w:sz w:val="13"/>
          <w:szCs w:val="13"/>
          <w:color w:val="auto"/>
        </w:rPr>
        <w:t>We are acting as counsel for the Company in connection with the sale of the Shares by the Company and the Selling Stockholders.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27" w:lineRule="exact"/>
        <w:rPr>
          <w:sz w:val="20"/>
          <w:szCs w:val="20"/>
          <w:color w:val="auto"/>
        </w:rPr>
      </w:pPr>
    </w:p>
    <w:p>
      <w:pPr>
        <w:ind w:right="260" w:firstLine="458"/>
        <w:spacing w:after="0" w:line="275" w:lineRule="auto"/>
        <w:rPr>
          <w:sz w:val="20"/>
          <w:szCs w:val="20"/>
          <w:color w:val="auto"/>
        </w:rPr>
      </w:pPr>
      <w:r>
        <w:rPr>
          <w:rFonts w:ascii="Arial" w:cs="Arial" w:eastAsia="Arial" w:hAnsi="Arial"/>
          <w:sz w:val="15"/>
          <w:szCs w:val="15"/>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ectPr>
          <w:pgSz w:w="11900" w:h="16838" w:orient="portrait"/>
          <w:cols w:equalWidth="0" w:num="1">
            <w:col w:w="11440"/>
          </w:cols>
          <w:pgMar w:left="240" w:top="124" w:right="219" w:bottom="1440" w:gutter="0" w:footer="0" w:header="0"/>
        </w:sectPr>
      </w:pPr>
    </w:p>
    <w:bookmarkStart w:id="339" w:name="page340"/>
    <w:bookmarkEnd w:id="33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March 12, 2018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123"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On the basis of the foregoing, we are of the opinion that upon the effectiveness of the Company’s Amended and Restated Certificate of Incorporation, a form of which has been filed as Exhibit 3.5 to the Registration Statement, (i) the Shares to be issued and sold by the Company have been duly authorized and, when such Shares are issued and paid for in accordance with the terms of the Underwriting Agreement, will be validly issued, fully paid and nonassessable, and (ii) the Shares to be sold by the Selling Stockholders have been duly authorized and are validly issued, fully paid and nonassessable.</w:t>
      </w:r>
    </w:p>
    <w:p>
      <w:pPr>
        <w:spacing w:after="0" w:line="158" w:lineRule="exact"/>
        <w:rPr>
          <w:sz w:val="20"/>
          <w:szCs w:val="20"/>
          <w:color w:val="auto"/>
        </w:rPr>
      </w:pPr>
    </w:p>
    <w:p>
      <w:pPr>
        <w:ind w:right="260" w:firstLine="458"/>
        <w:spacing w:after="0" w:line="275" w:lineRule="auto"/>
        <w:rPr>
          <w:sz w:val="20"/>
          <w:szCs w:val="20"/>
          <w:color w:val="auto"/>
        </w:rPr>
      </w:pPr>
      <w:r>
        <w:rPr>
          <w:rFonts w:ascii="Arial" w:cs="Arial" w:eastAsia="Arial" w:hAnsi="Arial"/>
          <w:sz w:val="15"/>
          <w:szCs w:val="15"/>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Very truly yours,</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WILSON SONSINI GOODRICH &amp; ROSATI</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Professional Corporation</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 Wilson Sonsini Goodrich &amp; Rosati</w:t>
      </w:r>
    </w:p>
    <w:p>
      <w:pPr>
        <w:sectPr>
          <w:pgSz w:w="11900" w:h="16838" w:orient="portrait"/>
          <w:cols w:equalWidth="0" w:num="1">
            <w:col w:w="11400"/>
          </w:cols>
          <w:pgMar w:left="240" w:top="253" w:right="259" w:bottom="1440" w:gutter="0" w:footer="0" w:header="0"/>
        </w:sectPr>
      </w:pPr>
    </w:p>
    <w:bookmarkStart w:id="340" w:name="page341"/>
    <w:bookmarkEnd w:id="340"/>
    <w:p>
      <w:pPr>
        <w:jc w:val="right"/>
        <w:spacing w:after="0"/>
        <w:rPr>
          <w:sz w:val="20"/>
          <w:szCs w:val="20"/>
          <w:color w:val="auto"/>
        </w:rPr>
      </w:pPr>
      <w:r>
        <w:rPr>
          <w:rFonts w:ascii="Arial" w:cs="Arial" w:eastAsia="Arial" w:hAnsi="Arial"/>
          <w:sz w:val="15"/>
          <w:szCs w:val="15"/>
          <w:b w:val="1"/>
          <w:bCs w:val="1"/>
          <w:color w:val="auto"/>
        </w:rPr>
        <w:t>Exhibit 10.12</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 xml:space="preserve">March </w:t>
      </w:r>
      <w:r>
        <w:rPr>
          <w:rFonts w:ascii="Arial" w:cs="Arial" w:eastAsia="Arial" w:hAnsi="Arial"/>
          <w:sz w:val="15"/>
          <w:szCs w:val="15"/>
          <w:u w:val="single" w:color="auto"/>
          <w:color w:val="auto"/>
        </w:rPr>
        <w:t>8</w:t>
      </w:r>
      <w:r>
        <w:rPr>
          <w:rFonts w:ascii="Arial" w:cs="Arial" w:eastAsia="Arial" w:hAnsi="Arial"/>
          <w:sz w:val="15"/>
          <w:szCs w:val="15"/>
          <w:color w:val="auto"/>
        </w:rPr>
        <w:t>, 2018</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15"/>
          <w:szCs w:val="15"/>
          <w:color w:val="auto"/>
        </w:rPr>
        <w:t>Andrew Houston</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 Dropbox, Inc.</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333 Brannan Street</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San Francisco, CA 94107</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 Confirmatory Employment Letter</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Dear Andrew:</w:t>
      </w:r>
    </w:p>
    <w:p>
      <w:pPr>
        <w:spacing w:after="0" w:line="98" w:lineRule="exact"/>
        <w:rPr>
          <w:sz w:val="20"/>
          <w:szCs w:val="20"/>
          <w:color w:val="auto"/>
        </w:rPr>
      </w:pPr>
    </w:p>
    <w:p>
      <w:pPr>
        <w:ind w:left="10" w:right="100" w:firstLine="916"/>
        <w:spacing w:after="0" w:line="275" w:lineRule="auto"/>
        <w:rPr>
          <w:sz w:val="20"/>
          <w:szCs w:val="20"/>
          <w:color w:val="auto"/>
        </w:rPr>
      </w:pPr>
      <w:r>
        <w:rPr>
          <w:rFonts w:ascii="Arial" w:cs="Arial" w:eastAsia="Arial" w:hAnsi="Arial"/>
          <w:sz w:val="15"/>
          <w:szCs w:val="15"/>
          <w:color w:val="auto"/>
        </w:rPr>
        <w:t>This letter agreement (the “Agreement”) is entered into between Andrew Houston (“you”) and Dropbox, Inc. (the “Company” or “we”). This Agreement is effective as of the date you sign it, as indicated below. The purpose of this Agreement is to confirm the current terms and conditions of your employment.</w:t>
      </w:r>
    </w:p>
    <w:p>
      <w:pPr>
        <w:spacing w:after="0" w:line="67" w:lineRule="exact"/>
        <w:rPr>
          <w:sz w:val="20"/>
          <w:szCs w:val="20"/>
          <w:color w:val="auto"/>
        </w:rPr>
      </w:pPr>
    </w:p>
    <w:p>
      <w:pPr>
        <w:ind w:left="450" w:right="520" w:hanging="450"/>
        <w:spacing w:after="0" w:line="263" w:lineRule="auto"/>
        <w:tabs>
          <w:tab w:leader="none" w:pos="450" w:val="left"/>
        </w:tabs>
        <w:numPr>
          <w:ilvl w:val="0"/>
          <w:numId w:val="212"/>
        </w:numPr>
        <w:rPr>
          <w:rFonts w:ascii="Arial" w:cs="Arial" w:eastAsia="Arial" w:hAnsi="Arial"/>
          <w:sz w:val="15"/>
          <w:szCs w:val="15"/>
          <w:color w:val="auto"/>
        </w:rPr>
      </w:pPr>
      <w:r>
        <w:rPr>
          <w:rFonts w:ascii="Arial" w:cs="Arial" w:eastAsia="Arial" w:hAnsi="Arial"/>
          <w:sz w:val="15"/>
          <w:szCs w:val="15"/>
          <w:i w:val="1"/>
          <w:iCs w:val="1"/>
          <w:color w:val="auto"/>
        </w:rPr>
        <w:t xml:space="preserve">Title; Position. </w:t>
      </w:r>
      <w:r>
        <w:rPr>
          <w:rFonts w:ascii="Arial" w:cs="Arial" w:eastAsia="Arial" w:hAnsi="Arial"/>
          <w:sz w:val="15"/>
          <w:szCs w:val="15"/>
          <w:color w:val="auto"/>
        </w:rPr>
        <w:t>Your position will continue to be Chief Executive Officer, and you will continue to report to the Board of Directors, with responsibilities as defined in the job</w:t>
      </w:r>
      <w:r>
        <w:rPr>
          <w:rFonts w:ascii="Arial" w:cs="Arial" w:eastAsia="Arial" w:hAnsi="Arial"/>
          <w:sz w:val="15"/>
          <w:szCs w:val="15"/>
          <w:i w:val="1"/>
          <w:iCs w:val="1"/>
          <w:color w:val="auto"/>
        </w:rPr>
        <w:t xml:space="preserve"> </w:t>
      </w:r>
      <w:r>
        <w:rPr>
          <w:rFonts w:ascii="Arial" w:cs="Arial" w:eastAsia="Arial" w:hAnsi="Arial"/>
          <w:sz w:val="15"/>
          <w:szCs w:val="15"/>
          <w:color w:val="auto"/>
        </w:rPr>
        <w:t>description previously provided to you or as otherwise reasonably assigned to you by your lead, or the Company’s board of directors or its authorized committee (the board of directors or its authorized committee, collectively the “Committee”).</w:t>
      </w:r>
    </w:p>
    <w:p>
      <w:pPr>
        <w:spacing w:after="0" w:line="75" w:lineRule="exact"/>
        <w:rPr>
          <w:rFonts w:ascii="Arial" w:cs="Arial" w:eastAsia="Arial" w:hAnsi="Arial"/>
          <w:sz w:val="15"/>
          <w:szCs w:val="15"/>
          <w:color w:val="auto"/>
        </w:rPr>
      </w:pPr>
    </w:p>
    <w:p>
      <w:pPr>
        <w:ind w:left="450" w:right="380" w:hanging="450"/>
        <w:spacing w:after="0" w:line="312" w:lineRule="auto"/>
        <w:tabs>
          <w:tab w:leader="none" w:pos="450" w:val="left"/>
        </w:tabs>
        <w:numPr>
          <w:ilvl w:val="0"/>
          <w:numId w:val="212"/>
        </w:numPr>
        <w:rPr>
          <w:rFonts w:ascii="Arial" w:cs="Arial" w:eastAsia="Arial" w:hAnsi="Arial"/>
          <w:sz w:val="14"/>
          <w:szCs w:val="14"/>
          <w:color w:val="auto"/>
        </w:rPr>
      </w:pPr>
      <w:r>
        <w:rPr>
          <w:rFonts w:ascii="Arial" w:cs="Arial" w:eastAsia="Arial" w:hAnsi="Arial"/>
          <w:sz w:val="14"/>
          <w:szCs w:val="14"/>
          <w:i w:val="1"/>
          <w:iCs w:val="1"/>
          <w:color w:val="auto"/>
        </w:rPr>
        <w:t xml:space="preserve">Base Salary. </w:t>
      </w:r>
      <w:r>
        <w:rPr>
          <w:rFonts w:ascii="Arial" w:cs="Arial" w:eastAsia="Arial" w:hAnsi="Arial"/>
          <w:sz w:val="14"/>
          <w:szCs w:val="14"/>
          <w:color w:val="auto"/>
        </w:rPr>
        <w:t>Your current annual base salary is $700,000, which will be payable, less applicable withholdings and deductions, in accordance with the Company’s normal payroll</w:t>
      </w:r>
      <w:r>
        <w:rPr>
          <w:rFonts w:ascii="Arial" w:cs="Arial" w:eastAsia="Arial" w:hAnsi="Arial"/>
          <w:sz w:val="14"/>
          <w:szCs w:val="14"/>
          <w:i w:val="1"/>
          <w:iCs w:val="1"/>
          <w:color w:val="auto"/>
        </w:rPr>
        <w:t xml:space="preserve"> </w:t>
      </w:r>
      <w:r>
        <w:rPr>
          <w:rFonts w:ascii="Arial" w:cs="Arial" w:eastAsia="Arial" w:hAnsi="Arial"/>
          <w:sz w:val="14"/>
          <w:szCs w:val="14"/>
          <w:color w:val="auto"/>
        </w:rPr>
        <w:t>practices. Your annual base salary will be subject to review and adjustment based upon the Company’s normal performance review practices.</w:t>
      </w:r>
    </w:p>
    <w:p>
      <w:pPr>
        <w:spacing w:after="0" w:line="43" w:lineRule="exact"/>
        <w:rPr>
          <w:rFonts w:ascii="Arial" w:cs="Arial" w:eastAsia="Arial" w:hAnsi="Arial"/>
          <w:sz w:val="14"/>
          <w:szCs w:val="14"/>
          <w:color w:val="auto"/>
        </w:rPr>
      </w:pPr>
    </w:p>
    <w:p>
      <w:pPr>
        <w:ind w:left="450" w:right="160" w:hanging="450"/>
        <w:spacing w:after="0" w:line="259" w:lineRule="auto"/>
        <w:tabs>
          <w:tab w:leader="none" w:pos="450" w:val="left"/>
        </w:tabs>
        <w:numPr>
          <w:ilvl w:val="0"/>
          <w:numId w:val="212"/>
        </w:numPr>
        <w:rPr>
          <w:rFonts w:ascii="Arial" w:cs="Arial" w:eastAsia="Arial" w:hAnsi="Arial"/>
          <w:sz w:val="15"/>
          <w:szCs w:val="15"/>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You are eligible to earn an annual cash bonus with a target value of 100% of your base salary, based on achieving performance objectives established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in its sole discretion and payable upon achievement of those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pacing w:after="0" w:line="78" w:lineRule="exact"/>
        <w:rPr>
          <w:rFonts w:ascii="Arial" w:cs="Arial" w:eastAsia="Arial" w:hAnsi="Arial"/>
          <w:sz w:val="15"/>
          <w:szCs w:val="15"/>
          <w:color w:val="auto"/>
        </w:rPr>
      </w:pPr>
    </w:p>
    <w:p>
      <w:pPr>
        <w:jc w:val="both"/>
        <w:ind w:left="450" w:right="120" w:hanging="450"/>
        <w:spacing w:after="0" w:line="263" w:lineRule="auto"/>
        <w:tabs>
          <w:tab w:leader="none" w:pos="450" w:val="left"/>
        </w:tabs>
        <w:numPr>
          <w:ilvl w:val="0"/>
          <w:numId w:val="212"/>
        </w:numPr>
        <w:rPr>
          <w:rFonts w:ascii="Arial" w:cs="Arial" w:eastAsia="Arial" w:hAnsi="Arial"/>
          <w:sz w:val="15"/>
          <w:szCs w:val="15"/>
          <w:color w:val="auto"/>
        </w:rPr>
      </w:pPr>
      <w:r>
        <w:rPr>
          <w:rFonts w:ascii="Arial" w:cs="Arial" w:eastAsia="Arial" w:hAnsi="Arial"/>
          <w:sz w:val="15"/>
          <w:szCs w:val="15"/>
          <w:i w:val="1"/>
          <w:iCs w:val="1"/>
          <w:color w:val="auto"/>
        </w:rPr>
        <w:t>Equity Awards</w:t>
      </w:r>
      <w:r>
        <w:rPr>
          <w:rFonts w:ascii="Arial" w:cs="Arial" w:eastAsia="Arial" w:hAnsi="Arial"/>
          <w:sz w:val="15"/>
          <w:szCs w:val="15"/>
          <w:color w:val="auto"/>
        </w:rPr>
        <w:t>. You will be eligible to receive awards of stock options, restricted stock units or other equity awards pursuant to any plans or arrangements the Company may have in</w:t>
      </w:r>
      <w:r>
        <w:rPr>
          <w:rFonts w:ascii="Arial" w:cs="Arial" w:eastAsia="Arial" w:hAnsi="Arial"/>
          <w:sz w:val="15"/>
          <w:szCs w:val="15"/>
          <w:i w:val="1"/>
          <w:iCs w:val="1"/>
          <w:color w:val="auto"/>
        </w:rPr>
        <w:t xml:space="preserve"> </w:t>
      </w:r>
      <w:r>
        <w:rPr>
          <w:rFonts w:ascii="Arial" w:cs="Arial" w:eastAsia="Arial" w:hAnsi="Arial"/>
          <w:sz w:val="15"/>
          <w:szCs w:val="15"/>
          <w:color w:val="auto"/>
        </w:rPr>
        <w:t>effect from time to time. The Committee will determine in its discretion whether you will be granted any such equity awards and the terms of any such award in accordance with the terms of any applicable plan or arrangement that may be in effect from time to time.</w:t>
      </w:r>
    </w:p>
    <w:p>
      <w:pPr>
        <w:spacing w:after="0" w:line="75" w:lineRule="exact"/>
        <w:rPr>
          <w:rFonts w:ascii="Arial" w:cs="Arial" w:eastAsia="Arial" w:hAnsi="Arial"/>
          <w:sz w:val="15"/>
          <w:szCs w:val="15"/>
          <w:color w:val="auto"/>
        </w:rPr>
      </w:pPr>
    </w:p>
    <w:p>
      <w:pPr>
        <w:ind w:left="450" w:right="540" w:hanging="450"/>
        <w:spacing w:after="0" w:line="312" w:lineRule="auto"/>
        <w:tabs>
          <w:tab w:leader="none" w:pos="450" w:val="left"/>
        </w:tabs>
        <w:numPr>
          <w:ilvl w:val="0"/>
          <w:numId w:val="212"/>
        </w:numPr>
        <w:rPr>
          <w:rFonts w:ascii="Arial" w:cs="Arial" w:eastAsia="Arial" w:hAnsi="Arial"/>
          <w:sz w:val="14"/>
          <w:szCs w:val="14"/>
          <w:color w:val="auto"/>
        </w:rPr>
      </w:pPr>
      <w:r>
        <w:rPr>
          <w:rFonts w:ascii="Arial" w:cs="Arial" w:eastAsia="Arial" w:hAnsi="Arial"/>
          <w:sz w:val="14"/>
          <w:szCs w:val="14"/>
          <w:i w:val="1"/>
          <w:iCs w:val="1"/>
          <w:color w:val="auto"/>
        </w:rPr>
        <w:t xml:space="preserve">Employee Benefits. </w:t>
      </w:r>
      <w:r>
        <w:rPr>
          <w:rFonts w:ascii="Arial" w:cs="Arial" w:eastAsia="Arial" w:hAnsi="Arial"/>
          <w:sz w:val="14"/>
          <w:szCs w:val="14"/>
          <w:color w:val="auto"/>
        </w:rPr>
        <w:t>You also will continue to be eligible to participate in all of the Company benefit plans and programs in effect for similarly-situated employees during your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The Company reserves the right to cancel or change the benefit plans and programs it offers to its employees at any time.</w:t>
      </w:r>
    </w:p>
    <w:p>
      <w:pPr>
        <w:sectPr>
          <w:pgSz w:w="11900" w:h="16838" w:orient="portrait"/>
          <w:cols w:equalWidth="0" w:num="1">
            <w:col w:w="11450"/>
          </w:cols>
          <w:pgMar w:left="230" w:top="125" w:right="219" w:bottom="1440" w:gutter="0" w:footer="0" w:header="0"/>
        </w:sectPr>
      </w:pPr>
    </w:p>
    <w:bookmarkStart w:id="341" w:name="page342"/>
    <w:bookmarkEnd w:id="341"/>
    <w:p>
      <w:pPr>
        <w:ind w:left="450" w:right="140" w:hanging="450"/>
        <w:spacing w:after="0" w:line="259" w:lineRule="auto"/>
        <w:tabs>
          <w:tab w:leader="none" w:pos="450" w:val="left"/>
        </w:tabs>
        <w:numPr>
          <w:ilvl w:val="0"/>
          <w:numId w:val="213"/>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Severance. </w:t>
      </w:r>
      <w:r>
        <w:rPr>
          <w:rFonts w:ascii="Arial" w:cs="Arial" w:eastAsia="Arial" w:hAnsi="Arial"/>
          <w:sz w:val="15"/>
          <w:szCs w:val="15"/>
          <w:color w:val="auto"/>
        </w:rPr>
        <w:t>You will be eligible to enter into a Change in Control and Severance Agreement (the “Severance Agreement”) applicable to you based on your position within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The Severance Agreement will specify the severance payments and benefits you would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78" w:lineRule="exact"/>
        <w:rPr>
          <w:rFonts w:ascii="Arial" w:cs="Arial" w:eastAsia="Arial" w:hAnsi="Arial"/>
          <w:sz w:val="15"/>
          <w:szCs w:val="15"/>
          <w:color w:val="auto"/>
        </w:rPr>
      </w:pPr>
    </w:p>
    <w:p>
      <w:pPr>
        <w:ind w:left="450" w:right="140" w:hanging="450"/>
        <w:spacing w:after="0" w:line="322" w:lineRule="auto"/>
        <w:tabs>
          <w:tab w:leader="none" w:pos="450" w:val="left"/>
        </w:tabs>
        <w:numPr>
          <w:ilvl w:val="0"/>
          <w:numId w:val="213"/>
        </w:numPr>
        <w:rPr>
          <w:rFonts w:ascii="Arial" w:cs="Arial" w:eastAsia="Arial" w:hAnsi="Arial"/>
          <w:sz w:val="13"/>
          <w:szCs w:val="13"/>
          <w:color w:val="auto"/>
        </w:rPr>
      </w:pPr>
      <w:r>
        <w:rPr>
          <w:rFonts w:ascii="Arial" w:cs="Arial" w:eastAsia="Arial" w:hAnsi="Arial"/>
          <w:sz w:val="13"/>
          <w:szCs w:val="13"/>
          <w:i w:val="1"/>
          <w:iCs w:val="1"/>
          <w:color w:val="auto"/>
        </w:rPr>
        <w:t xml:space="preserve">Confidentiality Agreement. </w:t>
      </w:r>
      <w:r>
        <w:rPr>
          <w:rFonts w:ascii="Arial" w:cs="Arial" w:eastAsia="Arial" w:hAnsi="Arial"/>
          <w:sz w:val="13"/>
          <w:szCs w:val="13"/>
          <w:color w:val="auto"/>
        </w:rPr>
        <w:t>As an employee of the Company, you will continue to have access to certain confidential information of the Company and you may, during the course of</w:t>
      </w:r>
      <w:r>
        <w:rPr>
          <w:rFonts w:ascii="Arial" w:cs="Arial" w:eastAsia="Arial" w:hAnsi="Arial"/>
          <w:sz w:val="13"/>
          <w:szCs w:val="13"/>
          <w:i w:val="1"/>
          <w:iCs w:val="1"/>
          <w:color w:val="auto"/>
        </w:rPr>
        <w:t xml:space="preserve"> </w:t>
      </w:r>
      <w:r>
        <w:rPr>
          <w:rFonts w:ascii="Arial" w:cs="Arial" w:eastAsia="Arial" w:hAnsi="Arial"/>
          <w:sz w:val="13"/>
          <w:szCs w:val="13"/>
          <w:color w:val="auto"/>
        </w:rPr>
        <w:t>your employment, develop certain information or inventions that will be the property of the Company. To protect the interests of the Company, your acceptance of this Agreement confirms that the terms of the Company’s Employee Invention Assignment and Confidentiality Agreement you previously signed with the Company (the “EIACA”) still apply.</w:t>
      </w:r>
    </w:p>
    <w:p>
      <w:pPr>
        <w:spacing w:after="0" w:line="41" w:lineRule="exact"/>
        <w:rPr>
          <w:rFonts w:ascii="Arial" w:cs="Arial" w:eastAsia="Arial" w:hAnsi="Arial"/>
          <w:sz w:val="13"/>
          <w:szCs w:val="13"/>
          <w:color w:val="auto"/>
        </w:rPr>
      </w:pPr>
    </w:p>
    <w:p>
      <w:pPr>
        <w:ind w:left="450" w:hanging="450"/>
        <w:spacing w:after="0" w:line="294" w:lineRule="auto"/>
        <w:tabs>
          <w:tab w:leader="none" w:pos="450" w:val="left"/>
        </w:tabs>
        <w:numPr>
          <w:ilvl w:val="0"/>
          <w:numId w:val="213"/>
        </w:numPr>
        <w:rPr>
          <w:rFonts w:ascii="Arial" w:cs="Arial" w:eastAsia="Arial" w:hAnsi="Arial"/>
          <w:sz w:val="13"/>
          <w:szCs w:val="13"/>
          <w:color w:val="auto"/>
        </w:rPr>
      </w:pPr>
      <w:r>
        <w:rPr>
          <w:rFonts w:ascii="Arial" w:cs="Arial" w:eastAsia="Arial" w:hAnsi="Arial"/>
          <w:sz w:val="13"/>
          <w:szCs w:val="13"/>
          <w:i w:val="1"/>
          <w:iCs w:val="1"/>
          <w:color w:val="auto"/>
        </w:rPr>
        <w:t xml:space="preserve">Arbitration. </w:t>
      </w:r>
      <w:r>
        <w:rPr>
          <w:rFonts w:ascii="Arial" w:cs="Arial" w:eastAsia="Arial" w:hAnsi="Arial"/>
          <w:sz w:val="13"/>
          <w:szCs w:val="13"/>
          <w:color w:val="auto"/>
        </w:rPr>
        <w:t>You and the Company shall submit to mandatory and exclusive binding arbitration any and all controversies or claims arising out of, or relating to, your employment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The sole exception are claims under applicable workers’ compensation law, unemployment insurance claims, actions seeking provisional remedies pursuant to California Code of Civil Procedure Section 1281.8 and other claims expressly prohibited by law from being subject to binding arbitration for which ether party may seek direct court intervention. THE PARTIES HEREBY WAIVE ANY RIGHTS THEY MAY HAVE TO TRIAL BY JURY IN REGARD TO SUCH CLAIMS. You and the Company agree that the arbitrator shall have the sole authority to determine the arbitrability of all claims. 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Such arbitration shall be governed by the Federal Arbitration Act and conducted through the American Arbitration Association in the State of California, San Francisco County, before a single neutral arbitrator, in accordance with the employment arbitration rules in effect at that time. The AAA Employment Arbitration Rules and Mediation may be found and reviewed at http://www.adr.org and click on “Rules and Procedures.” If you are unable to access these rules, please let me know and I will provide you a hardcopy. The arbitrator shall issue a written decision that contains the essential findings and conclusions on which the decision is based. The arbitration shall provide for adequate discovery and allow for all types of relief otherwise available in court. The Company shall pay all the arbitration fees, except an amount equal to the filing fees you would have paid had you filed a complaint in a court of law. Judgment upon the determination or award rendered by the arbitrator may be entered in any court having jurisdiction thereof.</w:t>
      </w:r>
    </w:p>
    <w:p>
      <w:pPr>
        <w:spacing w:after="0" w:line="8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30"/>
          </w:cols>
          <w:pgMar w:left="230" w:top="253" w:right="239" w:bottom="1440" w:gutter="0" w:footer="0" w:header="0"/>
        </w:sectPr>
      </w:pPr>
    </w:p>
    <w:bookmarkStart w:id="342" w:name="page343"/>
    <w:bookmarkEnd w:id="342"/>
    <w:p>
      <w:pPr>
        <w:ind w:left="450" w:right="60" w:hanging="450"/>
        <w:spacing w:after="0" w:line="259" w:lineRule="auto"/>
        <w:tabs>
          <w:tab w:leader="none" w:pos="450" w:val="left"/>
        </w:tabs>
        <w:numPr>
          <w:ilvl w:val="0"/>
          <w:numId w:val="21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At-Will Employment. </w:t>
      </w:r>
      <w:r>
        <w:rPr>
          <w:rFonts w:ascii="Arial" w:cs="Arial" w:eastAsia="Arial" w:hAnsi="Arial"/>
          <w:sz w:val="15"/>
          <w:szCs w:val="15"/>
          <w:color w:val="auto"/>
        </w:rPr>
        <w:t>Your employment with the Company will continue to be “at will.” It is for no specified term, and may be terminated by you or the Company at any time, with or</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cause or advance notice. Although the Company may change the terms and conditions of your employment from time-to-time, (including, but not limited to, changes in your position, compensation, and/or benefits), nothing will change the at-will employment relationship between you and the Company. In addition, the compensation terms described herein will not affect your at-will employment status.</w:t>
      </w:r>
    </w:p>
    <w:p>
      <w:pPr>
        <w:spacing w:after="0" w:line="78" w:lineRule="exact"/>
        <w:rPr>
          <w:rFonts w:ascii="Arial" w:cs="Arial" w:eastAsia="Arial" w:hAnsi="Arial"/>
          <w:sz w:val="15"/>
          <w:szCs w:val="15"/>
          <w:color w:val="auto"/>
        </w:rPr>
      </w:pPr>
    </w:p>
    <w:p>
      <w:pPr>
        <w:ind w:left="450" w:right="20" w:hanging="450"/>
        <w:spacing w:after="0" w:line="254" w:lineRule="auto"/>
        <w:tabs>
          <w:tab w:leader="none" w:pos="450" w:val="left"/>
        </w:tabs>
        <w:numPr>
          <w:ilvl w:val="0"/>
          <w:numId w:val="214"/>
        </w:numPr>
        <w:rPr>
          <w:rFonts w:ascii="Arial" w:cs="Arial" w:eastAsia="Arial" w:hAnsi="Arial"/>
          <w:sz w:val="15"/>
          <w:szCs w:val="15"/>
          <w:color w:val="auto"/>
        </w:rPr>
      </w:pPr>
      <w:r>
        <w:rPr>
          <w:rFonts w:ascii="Arial" w:cs="Arial" w:eastAsia="Arial" w:hAnsi="Arial"/>
          <w:sz w:val="15"/>
          <w:szCs w:val="15"/>
          <w:i w:val="1"/>
          <w:iCs w:val="1"/>
          <w:color w:val="auto"/>
        </w:rPr>
        <w:t xml:space="preserve">Commitment to Company. </w:t>
      </w:r>
      <w:r>
        <w:rPr>
          <w:rFonts w:ascii="Arial" w:cs="Arial" w:eastAsia="Arial" w:hAnsi="Arial"/>
          <w:sz w:val="15"/>
          <w:szCs w:val="15"/>
          <w:color w:val="auto"/>
        </w:rPr>
        <w:t>During your employment with the Company, you will perform your duties faithfully and to the best of your ability and will devote your full business efforts</w:t>
      </w:r>
      <w:r>
        <w:rPr>
          <w:rFonts w:ascii="Arial" w:cs="Arial" w:eastAsia="Arial" w:hAnsi="Arial"/>
          <w:sz w:val="15"/>
          <w:szCs w:val="15"/>
          <w:i w:val="1"/>
          <w:iCs w:val="1"/>
          <w:color w:val="auto"/>
        </w:rPr>
        <w:t xml:space="preserve"> </w:t>
      </w:r>
      <w:r>
        <w:rPr>
          <w:rFonts w:ascii="Arial" w:cs="Arial" w:eastAsia="Arial" w:hAnsi="Arial"/>
          <w:sz w:val="15"/>
          <w:szCs w:val="15"/>
          <w:color w:val="auto"/>
        </w:rPr>
        <w:t>and time to the Company. Except as specifically approved by the Committee, you agree that, during the term of your employment with the Company, you will not (i) engage in any other employment, occupation, consulting, business or other activity related to the business in which the Company or any of its subsidiaries or affiliates is now involved, any proposed business of the Company or any of its subsidiaries or affiliates, or any business in which the Company or any of its subsidiaries or affiliates becomes involved during the term of your employment, (ii) assist any other person or organization in competing with the Company or in preparing to engage in competition with the business or proposed business of the Company, or (iii) engage in any other activities that conflict with your obligations to the Company or any of its subsidiaries or affiliates. Similarly, you agree not to bring any third party confidential information to the Company, including that of your former employer, and that in performing your duties for the Company you will not in any way utilize any such information. You will disclose to the Company in writing any other employment, business or activity that you are currently associated with or participate in that competes with the Company.</w:t>
      </w:r>
    </w:p>
    <w:p>
      <w:pPr>
        <w:spacing w:after="0" w:line="82" w:lineRule="exact"/>
        <w:rPr>
          <w:rFonts w:ascii="Arial" w:cs="Arial" w:eastAsia="Arial" w:hAnsi="Arial"/>
          <w:sz w:val="15"/>
          <w:szCs w:val="15"/>
          <w:color w:val="auto"/>
        </w:rPr>
      </w:pPr>
    </w:p>
    <w:p>
      <w:pPr>
        <w:ind w:left="450" w:hanging="450"/>
        <w:spacing w:after="0" w:line="274" w:lineRule="auto"/>
        <w:tabs>
          <w:tab w:leader="none" w:pos="450" w:val="left"/>
        </w:tabs>
        <w:numPr>
          <w:ilvl w:val="0"/>
          <w:numId w:val="214"/>
        </w:numPr>
        <w:rPr>
          <w:rFonts w:ascii="Arial" w:cs="Arial" w:eastAsia="Arial" w:hAnsi="Arial"/>
          <w:sz w:val="14"/>
          <w:szCs w:val="14"/>
          <w:color w:val="auto"/>
        </w:rPr>
      </w:pPr>
      <w:r>
        <w:rPr>
          <w:rFonts w:ascii="Arial" w:cs="Arial" w:eastAsia="Arial" w:hAnsi="Arial"/>
          <w:sz w:val="14"/>
          <w:szCs w:val="14"/>
          <w:i w:val="1"/>
          <w:iCs w:val="1"/>
          <w:color w:val="auto"/>
        </w:rPr>
        <w:t xml:space="preserve">Protected Activity Not Prohibited. </w:t>
      </w:r>
      <w:r>
        <w:rPr>
          <w:rFonts w:ascii="Arial" w:cs="Arial" w:eastAsia="Arial" w:hAnsi="Arial"/>
          <w:sz w:val="14"/>
          <w:szCs w:val="14"/>
          <w:color w:val="auto"/>
        </w:rPr>
        <w:t>Nothing in this Agreement or in any other agreement between you or the Company, as applicable, will in any way limit or prohibit you from</w:t>
      </w:r>
      <w:r>
        <w:rPr>
          <w:rFonts w:ascii="Arial" w:cs="Arial" w:eastAsia="Arial" w:hAnsi="Arial"/>
          <w:sz w:val="14"/>
          <w:szCs w:val="14"/>
          <w:i w:val="1"/>
          <w:iCs w:val="1"/>
          <w:color w:val="auto"/>
        </w:rPr>
        <w:t xml:space="preserve"> </w:t>
      </w:r>
      <w:r>
        <w:rPr>
          <w:rFonts w:ascii="Arial" w:cs="Arial" w:eastAsia="Arial" w:hAnsi="Arial"/>
          <w:sz w:val="14"/>
          <w:szCs w:val="14"/>
          <w:color w:val="auto"/>
        </w:rPr>
        <w:t>engaging for a lawful purpose in any Protected Activity. For purposes of this Agreement,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Company attorney-client privileged communications, and that any such disclosure without the Company’s written consent will constitute a material</w:t>
      </w:r>
    </w:p>
    <w:p>
      <w:pPr>
        <w:spacing w:after="0" w:line="9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50"/>
          </w:cols>
          <w:pgMar w:left="230" w:top="253" w:right="219" w:bottom="1440" w:gutter="0" w:footer="0" w:header="0"/>
        </w:sectPr>
      </w:pPr>
    </w:p>
    <w:bookmarkStart w:id="343" w:name="page344"/>
    <w:bookmarkEnd w:id="343"/>
    <w:p>
      <w:pPr>
        <w:ind w:left="450" w:right="3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67" w:lineRule="exact"/>
        <w:rPr>
          <w:sz w:val="20"/>
          <w:szCs w:val="20"/>
          <w:color w:val="auto"/>
        </w:rPr>
      </w:pPr>
    </w:p>
    <w:p>
      <w:pPr>
        <w:ind w:left="450" w:right="220" w:hanging="450"/>
        <w:spacing w:after="0" w:line="263" w:lineRule="auto"/>
        <w:tabs>
          <w:tab w:leader="none" w:pos="450" w:val="left"/>
        </w:tabs>
        <w:numPr>
          <w:ilvl w:val="0"/>
          <w:numId w:val="215"/>
        </w:numPr>
        <w:rPr>
          <w:rFonts w:ascii="Arial" w:cs="Arial" w:eastAsia="Arial" w:hAnsi="Arial"/>
          <w:sz w:val="15"/>
          <w:szCs w:val="15"/>
          <w:color w:val="auto"/>
        </w:rPr>
      </w:pPr>
      <w:r>
        <w:rPr>
          <w:rFonts w:ascii="Arial" w:cs="Arial" w:eastAsia="Arial" w:hAnsi="Arial"/>
          <w:sz w:val="15"/>
          <w:szCs w:val="15"/>
          <w:i w:val="1"/>
          <w:iCs w:val="1"/>
          <w:color w:val="auto"/>
        </w:rPr>
        <w:t xml:space="preserve">Miscellaneous. </w:t>
      </w:r>
      <w:r>
        <w:rPr>
          <w:rFonts w:ascii="Arial" w:cs="Arial" w:eastAsia="Arial" w:hAnsi="Arial"/>
          <w:sz w:val="15"/>
          <w:szCs w:val="15"/>
          <w:color w:val="auto"/>
        </w:rPr>
        <w:t>This Agreement, along with the EIACA and the Severance Agreement, constitute the entire agreement between you and the Company regarding the subject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discussed herein, and they supersede all prior negotiations, representations or agreements between you and the Company. This Agreement may only be modified by a written agreement signed by you and the Company’s Chief Executive Officer.</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5"/>
          <w:szCs w:val="15"/>
          <w:color w:val="auto"/>
        </w:rPr>
        <w:t>To confirm the current terms and conditions of your employment, please sign and date in the spaces indicated and return this Agreement to the Company.</w:t>
      </w:r>
    </w:p>
    <w:p>
      <w:pPr>
        <w:spacing w:after="0" w:line="211" w:lineRule="exact"/>
        <w:rPr>
          <w:sz w:val="20"/>
          <w:szCs w:val="20"/>
          <w:color w:val="auto"/>
        </w:rPr>
      </w:pPr>
    </w:p>
    <w:p>
      <w:pPr>
        <w:ind w:left="6870"/>
        <w:spacing w:after="0"/>
        <w:rPr>
          <w:sz w:val="20"/>
          <w:szCs w:val="20"/>
          <w:color w:val="auto"/>
        </w:rPr>
      </w:pPr>
      <w:r>
        <w:rPr>
          <w:rFonts w:ascii="Arial" w:cs="Arial" w:eastAsia="Arial" w:hAnsi="Arial"/>
          <w:sz w:val="15"/>
          <w:szCs w:val="15"/>
          <w:color w:val="auto"/>
        </w:rPr>
        <w:t>Sincerely,</w:t>
      </w:r>
    </w:p>
    <w:p>
      <w:pPr>
        <w:spacing w:after="0" w:line="98" w:lineRule="exact"/>
        <w:rPr>
          <w:sz w:val="20"/>
          <w:szCs w:val="20"/>
          <w:color w:val="auto"/>
        </w:rPr>
      </w:pPr>
    </w:p>
    <w:p>
      <w:pPr>
        <w:ind w:left="6870"/>
        <w:spacing w:after="0"/>
        <w:rPr>
          <w:sz w:val="20"/>
          <w:szCs w:val="20"/>
          <w:color w:val="auto"/>
        </w:rPr>
      </w:pPr>
      <w:r>
        <w:rPr>
          <w:rFonts w:ascii="Arial" w:cs="Arial" w:eastAsia="Arial" w:hAnsi="Arial"/>
          <w:sz w:val="15"/>
          <w:szCs w:val="15"/>
          <w:color w:val="auto"/>
        </w:rPr>
        <w:t>Dropbox, Inc.</w:t>
      </w:r>
    </w:p>
    <w:p>
      <w:pPr>
        <w:spacing w:after="0" w:line="188" w:lineRule="exact"/>
        <w:rPr>
          <w:sz w:val="20"/>
          <w:szCs w:val="20"/>
          <w:color w:val="auto"/>
        </w:rPr>
      </w:pPr>
    </w:p>
    <w:p>
      <w:pPr>
        <w:ind w:left="6870"/>
        <w:spacing w:after="0"/>
        <w:tabs>
          <w:tab w:leader="none" w:pos="7229" w:val="left"/>
        </w:tabs>
        <w:rPr>
          <w:sz w:val="20"/>
          <w:szCs w:val="20"/>
          <w:color w:val="auto"/>
        </w:rPr>
      </w:pPr>
      <w:r>
        <w:rPr>
          <w:rFonts w:ascii="Arial" w:cs="Arial" w:eastAsia="Arial" w:hAnsi="Arial"/>
          <w:sz w:val="15"/>
          <w:szCs w:val="15"/>
          <w:color w:val="auto"/>
        </w:rPr>
        <w:t>By:</w:t>
        <w:tab/>
        <w:t>/s/ Arash Ferdowsi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12065</wp:posOffset>
            </wp:positionV>
            <wp:extent cx="272859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ind w:left="7250"/>
        <w:spacing w:after="0"/>
        <w:rPr>
          <w:sz w:val="20"/>
          <w:szCs w:val="20"/>
          <w:color w:val="auto"/>
        </w:rPr>
      </w:pPr>
      <w:r>
        <w:rPr>
          <w:rFonts w:ascii="Arial" w:cs="Arial" w:eastAsia="Arial" w:hAnsi="Arial"/>
          <w:sz w:val="15"/>
          <w:szCs w:val="15"/>
          <w:color w:val="auto"/>
        </w:rPr>
        <w:t>Arash Ferdowsi</w:t>
      </w:r>
    </w:p>
    <w:p>
      <w:pPr>
        <w:spacing w:after="0" w:line="17" w:lineRule="exact"/>
        <w:rPr>
          <w:sz w:val="20"/>
          <w:szCs w:val="20"/>
          <w:color w:val="auto"/>
        </w:rPr>
      </w:pPr>
    </w:p>
    <w:p>
      <w:pPr>
        <w:ind w:left="7250"/>
        <w:spacing w:after="0"/>
        <w:rPr>
          <w:sz w:val="20"/>
          <w:szCs w:val="20"/>
          <w:color w:val="auto"/>
        </w:rPr>
      </w:pPr>
      <w:r>
        <w:rPr>
          <w:rFonts w:ascii="Arial" w:cs="Arial" w:eastAsia="Arial" w:hAnsi="Arial"/>
          <w:sz w:val="15"/>
          <w:szCs w:val="15"/>
          <w:color w:val="auto"/>
        </w:rPr>
        <w:t>Co-Founder and Director</w:t>
      </w:r>
    </w:p>
    <w:p>
      <w:pPr>
        <w:spacing w:after="0" w:line="179" w:lineRule="exact"/>
        <w:rPr>
          <w:sz w:val="20"/>
          <w:szCs w:val="20"/>
          <w:color w:val="auto"/>
        </w:rPr>
      </w:pPr>
    </w:p>
    <w:p>
      <w:pPr>
        <w:ind w:left="10" w:right="300" w:firstLine="916"/>
        <w:spacing w:after="0" w:line="275" w:lineRule="auto"/>
        <w:rPr>
          <w:sz w:val="20"/>
          <w:szCs w:val="20"/>
          <w:color w:val="auto"/>
        </w:rPr>
      </w:pPr>
      <w:r>
        <w:rPr>
          <w:rFonts w:ascii="Arial" w:cs="Arial" w:eastAsia="Arial" w:hAnsi="Arial"/>
          <w:sz w:val="15"/>
          <w:szCs w:val="15"/>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3440" w:type="dxa"/>
            <w:vAlign w:val="bottom"/>
            <w:gridSpan w:val="3"/>
          </w:tcPr>
          <w:p>
            <w:pPr>
              <w:spacing w:after="0"/>
              <w:rPr>
                <w:sz w:val="20"/>
                <w:szCs w:val="20"/>
                <w:color w:val="auto"/>
              </w:rPr>
            </w:pPr>
            <w:r>
              <w:rPr>
                <w:rFonts w:ascii="Arial" w:cs="Arial" w:eastAsia="Arial" w:hAnsi="Arial"/>
                <w:sz w:val="15"/>
                <w:szCs w:val="15"/>
                <w:color w:val="auto"/>
              </w:rPr>
              <w:t>Date: March 8, 2018</w:t>
            </w:r>
          </w:p>
        </w:tc>
        <w:tc>
          <w:tcPr>
            <w:tcW w:w="26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5"/>
                <w:szCs w:val="15"/>
                <w:color w:val="auto"/>
              </w:rPr>
              <w:t>/s/ Andrew Houston</w:t>
            </w:r>
          </w:p>
        </w:tc>
      </w:tr>
      <w:tr>
        <w:trPr>
          <w:trHeight w:val="20"/>
        </w:trPr>
        <w:tc>
          <w:tcPr>
            <w:tcW w:w="7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ind w:left="120"/>
              <w:spacing w:after="0"/>
              <w:rPr>
                <w:sz w:val="20"/>
                <w:szCs w:val="20"/>
                <w:color w:val="auto"/>
              </w:rPr>
            </w:pPr>
            <w:r>
              <w:rPr>
                <w:rFonts w:ascii="Arial" w:cs="Arial" w:eastAsia="Arial" w:hAnsi="Arial"/>
                <w:sz w:val="15"/>
                <w:szCs w:val="15"/>
                <w:color w:val="auto"/>
              </w:rPr>
              <w:t>Signature</w:t>
            </w:r>
          </w:p>
        </w:tc>
      </w:tr>
      <w:tr>
        <w:trPr>
          <w:trHeight w:val="29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20" w:type="dxa"/>
            <w:vAlign w:val="bottom"/>
          </w:tcPr>
          <w:p>
            <w:pPr>
              <w:jc w:val="right"/>
              <w:ind w:right="185"/>
              <w:spacing w:after="0"/>
              <w:rPr>
                <w:sz w:val="20"/>
                <w:szCs w:val="20"/>
                <w:color w:val="auto"/>
              </w:rPr>
            </w:pPr>
            <w:r>
              <w:rPr>
                <w:rFonts w:ascii="Arial" w:cs="Arial" w:eastAsia="Arial" w:hAnsi="Arial"/>
                <w:sz w:val="15"/>
                <w:szCs w:val="15"/>
                <w:color w:val="auto"/>
              </w:rPr>
              <w:t>-4-</w:t>
            </w:r>
          </w:p>
        </w:tc>
        <w:tc>
          <w:tcPr>
            <w:tcW w:w="5380" w:type="dxa"/>
            <w:vAlign w:val="bottom"/>
          </w:tcPr>
          <w:p>
            <w:pPr>
              <w:spacing w:after="0"/>
              <w:rPr>
                <w:sz w:val="24"/>
                <w:szCs w:val="24"/>
                <w:color w:val="auto"/>
              </w:rPr>
            </w:pPr>
          </w:p>
        </w:tc>
      </w:tr>
    </w:tbl>
    <w:p>
      <w:pPr>
        <w:sectPr>
          <w:pgSz w:w="11900" w:h="16838" w:orient="portrait"/>
          <w:cols w:equalWidth="0" w:num="1">
            <w:col w:w="11450"/>
          </w:cols>
          <w:pgMar w:left="230" w:top="253" w:right="21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7 OF THE DEFEND TRADE SECRETS ACT OF 2016</w:t>
      </w:r>
    </w:p>
    <w:p>
      <w:pPr>
        <w:spacing w:after="0" w:line="192" w:lineRule="exact"/>
        <w:rPr>
          <w:sz w:val="20"/>
          <w:szCs w:val="20"/>
          <w:color w:val="auto"/>
        </w:rPr>
      </w:pPr>
    </w:p>
    <w:p>
      <w:pPr>
        <w:ind w:firstLine="916"/>
        <w:spacing w:after="0" w:line="279" w:lineRule="auto"/>
        <w:rPr>
          <w:sz w:val="20"/>
          <w:szCs w:val="20"/>
          <w:color w:val="auto"/>
        </w:rPr>
      </w:pPr>
      <w:r>
        <w:rPr>
          <w:rFonts w:ascii="Arial" w:cs="Arial" w:eastAsia="Arial" w:hAnsi="Arial"/>
          <w:sz w:val="14"/>
          <w:szCs w:val="14"/>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49" w:right="2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5"/>
          <w:szCs w:val="15"/>
          <w:b w:val="1"/>
          <w:bCs w:val="1"/>
          <w:color w:val="auto"/>
        </w:rPr>
        <w:t>Exhibit 10.13</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March 5, 2018</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15"/>
          <w:szCs w:val="15"/>
          <w:color w:val="auto"/>
        </w:rPr>
        <w:t>Arash Ferdowsi</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 Dropbox, Inc.</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333 Brannan Street</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San Francisco, CA 94107</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 Confirmatory Employment Letter</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Dear Arash:</w:t>
      </w:r>
    </w:p>
    <w:p>
      <w:pPr>
        <w:spacing w:after="0" w:line="98" w:lineRule="exact"/>
        <w:rPr>
          <w:sz w:val="20"/>
          <w:szCs w:val="20"/>
          <w:color w:val="auto"/>
        </w:rPr>
      </w:pPr>
    </w:p>
    <w:p>
      <w:pPr>
        <w:ind w:left="10" w:right="160" w:firstLine="916"/>
        <w:spacing w:after="0" w:line="275" w:lineRule="auto"/>
        <w:rPr>
          <w:sz w:val="20"/>
          <w:szCs w:val="20"/>
          <w:color w:val="auto"/>
        </w:rPr>
      </w:pPr>
      <w:r>
        <w:rPr>
          <w:rFonts w:ascii="Arial" w:cs="Arial" w:eastAsia="Arial" w:hAnsi="Arial"/>
          <w:sz w:val="15"/>
          <w:szCs w:val="15"/>
          <w:color w:val="auto"/>
        </w:rPr>
        <w:t>This letter agreement (the “Agreement”) is entered into between Arash Ferdowsi (“you”) and Dropbox, Inc. (the “Company” or “we”). This Agreement is effective as of the date you sign it, as indicated below. The purpose of this Agreement is to confirm the current terms and conditions of your employment.</w:t>
      </w:r>
    </w:p>
    <w:p>
      <w:pPr>
        <w:spacing w:after="0" w:line="67" w:lineRule="exact"/>
        <w:rPr>
          <w:sz w:val="20"/>
          <w:szCs w:val="20"/>
          <w:color w:val="auto"/>
        </w:rPr>
      </w:pPr>
    </w:p>
    <w:p>
      <w:pPr>
        <w:jc w:val="both"/>
        <w:ind w:left="450" w:right="300" w:hanging="450"/>
        <w:spacing w:after="0" w:line="263" w:lineRule="auto"/>
        <w:tabs>
          <w:tab w:leader="none" w:pos="450" w:val="left"/>
        </w:tabs>
        <w:numPr>
          <w:ilvl w:val="0"/>
          <w:numId w:val="217"/>
        </w:numPr>
        <w:rPr>
          <w:rFonts w:ascii="Arial" w:cs="Arial" w:eastAsia="Arial" w:hAnsi="Arial"/>
          <w:sz w:val="15"/>
          <w:szCs w:val="15"/>
          <w:color w:val="auto"/>
        </w:rPr>
      </w:pPr>
      <w:r>
        <w:rPr>
          <w:rFonts w:ascii="Arial" w:cs="Arial" w:eastAsia="Arial" w:hAnsi="Arial"/>
          <w:sz w:val="15"/>
          <w:szCs w:val="15"/>
          <w:i w:val="1"/>
          <w:iCs w:val="1"/>
          <w:color w:val="auto"/>
        </w:rPr>
        <w:t xml:space="preserve">Title; Position. </w:t>
      </w:r>
      <w:r>
        <w:rPr>
          <w:rFonts w:ascii="Arial" w:cs="Arial" w:eastAsia="Arial" w:hAnsi="Arial"/>
          <w:sz w:val="15"/>
          <w:szCs w:val="15"/>
          <w:color w:val="auto"/>
        </w:rPr>
        <w:t>Your position will continue to be Co-Founder, and you will continue to report to the Chief Executive Officer, with responsibilities as defined in the job description</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provided to you or as otherwise reasonably assigned to you by your lead, or the Company’s board of directors or its authorized committee (the board of directors or its authorized committee, collectively the “Committee”).</w:t>
      </w:r>
    </w:p>
    <w:p>
      <w:pPr>
        <w:spacing w:after="0" w:line="75" w:lineRule="exact"/>
        <w:rPr>
          <w:rFonts w:ascii="Arial" w:cs="Arial" w:eastAsia="Arial" w:hAnsi="Arial"/>
          <w:sz w:val="15"/>
          <w:szCs w:val="15"/>
          <w:color w:val="auto"/>
        </w:rPr>
      </w:pPr>
    </w:p>
    <w:p>
      <w:pPr>
        <w:ind w:left="450" w:right="380" w:hanging="450"/>
        <w:spacing w:after="0" w:line="312" w:lineRule="auto"/>
        <w:tabs>
          <w:tab w:leader="none" w:pos="450" w:val="left"/>
        </w:tabs>
        <w:numPr>
          <w:ilvl w:val="0"/>
          <w:numId w:val="217"/>
        </w:numPr>
        <w:rPr>
          <w:rFonts w:ascii="Arial" w:cs="Arial" w:eastAsia="Arial" w:hAnsi="Arial"/>
          <w:sz w:val="14"/>
          <w:szCs w:val="14"/>
          <w:color w:val="auto"/>
        </w:rPr>
      </w:pPr>
      <w:r>
        <w:rPr>
          <w:rFonts w:ascii="Arial" w:cs="Arial" w:eastAsia="Arial" w:hAnsi="Arial"/>
          <w:sz w:val="14"/>
          <w:szCs w:val="14"/>
          <w:i w:val="1"/>
          <w:iCs w:val="1"/>
          <w:color w:val="auto"/>
        </w:rPr>
        <w:t xml:space="preserve">Base Salary. </w:t>
      </w:r>
      <w:r>
        <w:rPr>
          <w:rFonts w:ascii="Arial" w:cs="Arial" w:eastAsia="Arial" w:hAnsi="Arial"/>
          <w:sz w:val="14"/>
          <w:szCs w:val="14"/>
          <w:color w:val="auto"/>
        </w:rPr>
        <w:t>Your current annual base salary is $550,000, which will be payable, less applicable withholdings and deductions, in accordance with the Company’s normal payroll</w:t>
      </w:r>
      <w:r>
        <w:rPr>
          <w:rFonts w:ascii="Arial" w:cs="Arial" w:eastAsia="Arial" w:hAnsi="Arial"/>
          <w:sz w:val="14"/>
          <w:szCs w:val="14"/>
          <w:i w:val="1"/>
          <w:iCs w:val="1"/>
          <w:color w:val="auto"/>
        </w:rPr>
        <w:t xml:space="preserve"> </w:t>
      </w:r>
      <w:r>
        <w:rPr>
          <w:rFonts w:ascii="Arial" w:cs="Arial" w:eastAsia="Arial" w:hAnsi="Arial"/>
          <w:sz w:val="14"/>
          <w:szCs w:val="14"/>
          <w:color w:val="auto"/>
        </w:rPr>
        <w:t>practices. Your annual base salary will be subject to review and adjustment based upon the Company’s normal performance review practices.</w:t>
      </w:r>
    </w:p>
    <w:p>
      <w:pPr>
        <w:spacing w:after="0" w:line="43" w:lineRule="exact"/>
        <w:rPr>
          <w:rFonts w:ascii="Arial" w:cs="Arial" w:eastAsia="Arial" w:hAnsi="Arial"/>
          <w:sz w:val="14"/>
          <w:szCs w:val="14"/>
          <w:color w:val="auto"/>
        </w:rPr>
      </w:pPr>
    </w:p>
    <w:p>
      <w:pPr>
        <w:ind w:left="450" w:right="60" w:hanging="450"/>
        <w:spacing w:after="0" w:line="259" w:lineRule="auto"/>
        <w:tabs>
          <w:tab w:leader="none" w:pos="450" w:val="left"/>
        </w:tabs>
        <w:numPr>
          <w:ilvl w:val="0"/>
          <w:numId w:val="217"/>
        </w:numPr>
        <w:rPr>
          <w:rFonts w:ascii="Arial" w:cs="Arial" w:eastAsia="Arial" w:hAnsi="Arial"/>
          <w:sz w:val="15"/>
          <w:szCs w:val="15"/>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You are eligible to earn an annual cash bonus with a target value of 65% of your base salary, based on achieving performance objectives established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in its sole discretion and payable upon achievement of those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pacing w:after="0" w:line="78" w:lineRule="exact"/>
        <w:rPr>
          <w:rFonts w:ascii="Arial" w:cs="Arial" w:eastAsia="Arial" w:hAnsi="Arial"/>
          <w:sz w:val="15"/>
          <w:szCs w:val="15"/>
          <w:color w:val="auto"/>
        </w:rPr>
      </w:pPr>
    </w:p>
    <w:p>
      <w:pPr>
        <w:jc w:val="both"/>
        <w:ind w:left="450" w:right="120" w:hanging="450"/>
        <w:spacing w:after="0" w:line="263" w:lineRule="auto"/>
        <w:tabs>
          <w:tab w:leader="none" w:pos="450" w:val="left"/>
        </w:tabs>
        <w:numPr>
          <w:ilvl w:val="0"/>
          <w:numId w:val="217"/>
        </w:numPr>
        <w:rPr>
          <w:rFonts w:ascii="Arial" w:cs="Arial" w:eastAsia="Arial" w:hAnsi="Arial"/>
          <w:sz w:val="15"/>
          <w:szCs w:val="15"/>
          <w:color w:val="auto"/>
        </w:rPr>
      </w:pPr>
      <w:r>
        <w:rPr>
          <w:rFonts w:ascii="Arial" w:cs="Arial" w:eastAsia="Arial" w:hAnsi="Arial"/>
          <w:sz w:val="15"/>
          <w:szCs w:val="15"/>
          <w:i w:val="1"/>
          <w:iCs w:val="1"/>
          <w:color w:val="auto"/>
        </w:rPr>
        <w:t>Equity Awards</w:t>
      </w:r>
      <w:r>
        <w:rPr>
          <w:rFonts w:ascii="Arial" w:cs="Arial" w:eastAsia="Arial" w:hAnsi="Arial"/>
          <w:sz w:val="15"/>
          <w:szCs w:val="15"/>
          <w:color w:val="auto"/>
        </w:rPr>
        <w:t>. You will be eligible to receive awards of stock options, restricted stock units or other equity awards pursuant to any plans or arrangements the Company may have in</w:t>
      </w:r>
      <w:r>
        <w:rPr>
          <w:rFonts w:ascii="Arial" w:cs="Arial" w:eastAsia="Arial" w:hAnsi="Arial"/>
          <w:sz w:val="15"/>
          <w:szCs w:val="15"/>
          <w:i w:val="1"/>
          <w:iCs w:val="1"/>
          <w:color w:val="auto"/>
        </w:rPr>
        <w:t xml:space="preserve"> </w:t>
      </w:r>
      <w:r>
        <w:rPr>
          <w:rFonts w:ascii="Arial" w:cs="Arial" w:eastAsia="Arial" w:hAnsi="Arial"/>
          <w:sz w:val="15"/>
          <w:szCs w:val="15"/>
          <w:color w:val="auto"/>
        </w:rPr>
        <w:t>effect from time to time. The Committee will determine in its discretion whether you will be granted any such equity awards and the terms of any such award in accordance with the terms of any applicable plan or arrangement that may be in effect from time to time.</w:t>
      </w:r>
    </w:p>
    <w:p>
      <w:pPr>
        <w:spacing w:after="0" w:line="75" w:lineRule="exact"/>
        <w:rPr>
          <w:rFonts w:ascii="Arial" w:cs="Arial" w:eastAsia="Arial" w:hAnsi="Arial"/>
          <w:sz w:val="15"/>
          <w:szCs w:val="15"/>
          <w:color w:val="auto"/>
        </w:rPr>
      </w:pPr>
    </w:p>
    <w:p>
      <w:pPr>
        <w:ind w:left="450" w:right="540" w:hanging="450"/>
        <w:spacing w:after="0" w:line="312" w:lineRule="auto"/>
        <w:tabs>
          <w:tab w:leader="none" w:pos="450" w:val="left"/>
        </w:tabs>
        <w:numPr>
          <w:ilvl w:val="0"/>
          <w:numId w:val="217"/>
        </w:numPr>
        <w:rPr>
          <w:rFonts w:ascii="Arial" w:cs="Arial" w:eastAsia="Arial" w:hAnsi="Arial"/>
          <w:sz w:val="14"/>
          <w:szCs w:val="14"/>
          <w:color w:val="auto"/>
        </w:rPr>
      </w:pPr>
      <w:r>
        <w:rPr>
          <w:rFonts w:ascii="Arial" w:cs="Arial" w:eastAsia="Arial" w:hAnsi="Arial"/>
          <w:sz w:val="14"/>
          <w:szCs w:val="14"/>
          <w:i w:val="1"/>
          <w:iCs w:val="1"/>
          <w:color w:val="auto"/>
        </w:rPr>
        <w:t xml:space="preserve">Employee Benefits. </w:t>
      </w:r>
      <w:r>
        <w:rPr>
          <w:rFonts w:ascii="Arial" w:cs="Arial" w:eastAsia="Arial" w:hAnsi="Arial"/>
          <w:sz w:val="14"/>
          <w:szCs w:val="14"/>
          <w:color w:val="auto"/>
        </w:rPr>
        <w:t>You also will continue to be eligible to participate in all of the Company benefit plans and programs in effect for similarly-situated employees during your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The Company reserves the right to cancel or change the benefit plans and programs it offers to its employees at any time.</w:t>
      </w:r>
    </w:p>
    <w:p>
      <w:pPr>
        <w:sectPr>
          <w:pgSz w:w="11900" w:h="16838" w:orient="portrait"/>
          <w:cols w:equalWidth="0" w:num="1">
            <w:col w:w="11450"/>
          </w:cols>
          <w:pgMar w:left="230" w:top="125" w:right="219" w:bottom="1440" w:gutter="0" w:footer="0" w:header="0"/>
        </w:sectPr>
      </w:pPr>
    </w:p>
    <w:bookmarkStart w:id="346" w:name="page347"/>
    <w:bookmarkEnd w:id="346"/>
    <w:p>
      <w:pPr>
        <w:ind w:left="450" w:right="140" w:hanging="450"/>
        <w:spacing w:after="0" w:line="259" w:lineRule="auto"/>
        <w:tabs>
          <w:tab w:leader="none" w:pos="450" w:val="left"/>
        </w:tabs>
        <w:numPr>
          <w:ilvl w:val="0"/>
          <w:numId w:val="218"/>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Severance. </w:t>
      </w:r>
      <w:r>
        <w:rPr>
          <w:rFonts w:ascii="Arial" w:cs="Arial" w:eastAsia="Arial" w:hAnsi="Arial"/>
          <w:sz w:val="15"/>
          <w:szCs w:val="15"/>
          <w:color w:val="auto"/>
        </w:rPr>
        <w:t>You will be eligible to enter into a Change in Control and Severance Agreement (the “Severance Agreement”) applicable to you based on your position within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The Severance Agreement will specify the severance payments and benefits you would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78" w:lineRule="exact"/>
        <w:rPr>
          <w:rFonts w:ascii="Arial" w:cs="Arial" w:eastAsia="Arial" w:hAnsi="Arial"/>
          <w:sz w:val="15"/>
          <w:szCs w:val="15"/>
          <w:color w:val="auto"/>
        </w:rPr>
      </w:pPr>
    </w:p>
    <w:p>
      <w:pPr>
        <w:ind w:left="450" w:right="140" w:hanging="450"/>
        <w:spacing w:after="0" w:line="322" w:lineRule="auto"/>
        <w:tabs>
          <w:tab w:leader="none" w:pos="450" w:val="left"/>
        </w:tabs>
        <w:numPr>
          <w:ilvl w:val="0"/>
          <w:numId w:val="218"/>
        </w:numPr>
        <w:rPr>
          <w:rFonts w:ascii="Arial" w:cs="Arial" w:eastAsia="Arial" w:hAnsi="Arial"/>
          <w:sz w:val="13"/>
          <w:szCs w:val="13"/>
          <w:color w:val="auto"/>
        </w:rPr>
      </w:pPr>
      <w:r>
        <w:rPr>
          <w:rFonts w:ascii="Arial" w:cs="Arial" w:eastAsia="Arial" w:hAnsi="Arial"/>
          <w:sz w:val="13"/>
          <w:szCs w:val="13"/>
          <w:i w:val="1"/>
          <w:iCs w:val="1"/>
          <w:color w:val="auto"/>
        </w:rPr>
        <w:t xml:space="preserve">Confidentiality Agreement. </w:t>
      </w:r>
      <w:r>
        <w:rPr>
          <w:rFonts w:ascii="Arial" w:cs="Arial" w:eastAsia="Arial" w:hAnsi="Arial"/>
          <w:sz w:val="13"/>
          <w:szCs w:val="13"/>
          <w:color w:val="auto"/>
        </w:rPr>
        <w:t>As an employee of the Company, you will continue to have access to certain confidential information of the Company and you may, during the course of</w:t>
      </w:r>
      <w:r>
        <w:rPr>
          <w:rFonts w:ascii="Arial" w:cs="Arial" w:eastAsia="Arial" w:hAnsi="Arial"/>
          <w:sz w:val="13"/>
          <w:szCs w:val="13"/>
          <w:i w:val="1"/>
          <w:iCs w:val="1"/>
          <w:color w:val="auto"/>
        </w:rPr>
        <w:t xml:space="preserve"> </w:t>
      </w:r>
      <w:r>
        <w:rPr>
          <w:rFonts w:ascii="Arial" w:cs="Arial" w:eastAsia="Arial" w:hAnsi="Arial"/>
          <w:sz w:val="13"/>
          <w:szCs w:val="13"/>
          <w:color w:val="auto"/>
        </w:rPr>
        <w:t>your employment, develop certain information or inventions that will be the property of the Company. To protect the interests of the Company, your acceptance of this Agreement confirms that the terms of the Company’s Employee Invention Assignment and Confidentiality Agreement you previously signed with the Company (the “EIACA”) still apply.</w:t>
      </w:r>
    </w:p>
    <w:p>
      <w:pPr>
        <w:spacing w:after="0" w:line="41" w:lineRule="exact"/>
        <w:rPr>
          <w:rFonts w:ascii="Arial" w:cs="Arial" w:eastAsia="Arial" w:hAnsi="Arial"/>
          <w:sz w:val="13"/>
          <w:szCs w:val="13"/>
          <w:color w:val="auto"/>
        </w:rPr>
      </w:pPr>
    </w:p>
    <w:p>
      <w:pPr>
        <w:ind w:left="450" w:hanging="450"/>
        <w:spacing w:after="0" w:line="294" w:lineRule="auto"/>
        <w:tabs>
          <w:tab w:leader="none" w:pos="450" w:val="left"/>
        </w:tabs>
        <w:numPr>
          <w:ilvl w:val="0"/>
          <w:numId w:val="218"/>
        </w:numPr>
        <w:rPr>
          <w:rFonts w:ascii="Arial" w:cs="Arial" w:eastAsia="Arial" w:hAnsi="Arial"/>
          <w:sz w:val="13"/>
          <w:szCs w:val="13"/>
          <w:color w:val="auto"/>
        </w:rPr>
      </w:pPr>
      <w:r>
        <w:rPr>
          <w:rFonts w:ascii="Arial" w:cs="Arial" w:eastAsia="Arial" w:hAnsi="Arial"/>
          <w:sz w:val="13"/>
          <w:szCs w:val="13"/>
          <w:i w:val="1"/>
          <w:iCs w:val="1"/>
          <w:color w:val="auto"/>
        </w:rPr>
        <w:t xml:space="preserve">Arbitration. </w:t>
      </w:r>
      <w:r>
        <w:rPr>
          <w:rFonts w:ascii="Arial" w:cs="Arial" w:eastAsia="Arial" w:hAnsi="Arial"/>
          <w:sz w:val="13"/>
          <w:szCs w:val="13"/>
          <w:color w:val="auto"/>
        </w:rPr>
        <w:t>You and the Company shall submit to mandatory and exclusive binding arbitration any and all controversies or claims arising out of, or relating to, your employment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The sole exception are claims under applicable workers’ compensation law, unemployment insurance claims, actions seeking provisional remedies pursuant to California Code of Civil Procedure Section 1281.8 and other claims expressly prohibited by law from being subject to binding arbitration for which ether party may seek direct court intervention. THE PARTIES HEREBY WAIVE ANY RIGHTS THEY MAY HAVE TO TRIAL BY JURY IN REGARD TO SUCH CLAIMS. You and the Company agree that the arbitrator shall have the sole authority to determine the arbitrability of all claims. 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Such arbitration shall be governed by the Federal Arbitration Act and conducted through the American Arbitration Association in the State of California, San Francisco County, before a single neutral arbitrator, in accordance with the employment arbitration rules in effect at that time. The AAA Employment Arbitration Rules and Mediation may be found and reviewed at http://www.adr.org and click on “Rules and Procedures.” If you are unable to access these rules, please let me know and I will provide you a hardcopy. The arbitrator shall issue a written decision that contains the essential findings and conclusions on which the decision is based. The arbitration shall provide for adequate discovery and allow for all types of relief otherwise available in court. The Company shall pay all the arbitration fees, except an amount equal to the filing fees you would have paid had you filed a complaint in a court of law. Judgment upon the determination or award rendered by the arbitrator may be entered in any court having jurisdiction thereof.</w:t>
      </w:r>
    </w:p>
    <w:p>
      <w:pPr>
        <w:spacing w:after="0" w:line="8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30"/>
          </w:cols>
          <w:pgMar w:left="230" w:top="253" w:right="239" w:bottom="1440" w:gutter="0" w:footer="0" w:header="0"/>
        </w:sectPr>
      </w:pPr>
    </w:p>
    <w:bookmarkStart w:id="347" w:name="page348"/>
    <w:bookmarkEnd w:id="347"/>
    <w:p>
      <w:pPr>
        <w:ind w:left="450" w:right="60" w:hanging="450"/>
        <w:spacing w:after="0" w:line="259" w:lineRule="auto"/>
        <w:tabs>
          <w:tab w:leader="none" w:pos="450" w:val="left"/>
        </w:tabs>
        <w:numPr>
          <w:ilvl w:val="0"/>
          <w:numId w:val="219"/>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At-Will Employment. </w:t>
      </w:r>
      <w:r>
        <w:rPr>
          <w:rFonts w:ascii="Arial" w:cs="Arial" w:eastAsia="Arial" w:hAnsi="Arial"/>
          <w:sz w:val="15"/>
          <w:szCs w:val="15"/>
          <w:color w:val="auto"/>
        </w:rPr>
        <w:t>Your employment with the Company will continue to be “at will.” It is for no specified term, and may be terminated by you or the Company at any time, with or</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cause or advance notice. Although the Company may change the terms and conditions of your employment from time-to-time, (including, but not limited to, changes in your position, compensation, and/or benefits), nothing will change the at-will employment relationship between you and the Company. In addition, the compensation terms described herein will not affect your at-will employment status.</w:t>
      </w:r>
    </w:p>
    <w:p>
      <w:pPr>
        <w:spacing w:after="0" w:line="78" w:lineRule="exact"/>
        <w:rPr>
          <w:rFonts w:ascii="Arial" w:cs="Arial" w:eastAsia="Arial" w:hAnsi="Arial"/>
          <w:sz w:val="15"/>
          <w:szCs w:val="15"/>
          <w:color w:val="auto"/>
        </w:rPr>
      </w:pPr>
    </w:p>
    <w:p>
      <w:pPr>
        <w:ind w:left="450" w:right="20" w:hanging="450"/>
        <w:spacing w:after="0" w:line="254" w:lineRule="auto"/>
        <w:tabs>
          <w:tab w:leader="none" w:pos="450" w:val="left"/>
        </w:tabs>
        <w:numPr>
          <w:ilvl w:val="0"/>
          <w:numId w:val="219"/>
        </w:numPr>
        <w:rPr>
          <w:rFonts w:ascii="Arial" w:cs="Arial" w:eastAsia="Arial" w:hAnsi="Arial"/>
          <w:sz w:val="15"/>
          <w:szCs w:val="15"/>
          <w:color w:val="auto"/>
        </w:rPr>
      </w:pPr>
      <w:r>
        <w:rPr>
          <w:rFonts w:ascii="Arial" w:cs="Arial" w:eastAsia="Arial" w:hAnsi="Arial"/>
          <w:sz w:val="15"/>
          <w:szCs w:val="15"/>
          <w:i w:val="1"/>
          <w:iCs w:val="1"/>
          <w:color w:val="auto"/>
        </w:rPr>
        <w:t xml:space="preserve">Commitment to Company. </w:t>
      </w:r>
      <w:r>
        <w:rPr>
          <w:rFonts w:ascii="Arial" w:cs="Arial" w:eastAsia="Arial" w:hAnsi="Arial"/>
          <w:sz w:val="15"/>
          <w:szCs w:val="15"/>
          <w:color w:val="auto"/>
        </w:rPr>
        <w:t>During your employment with the Company, you will perform your duties faithfully and to the best of your ability and will devote your full business efforts</w:t>
      </w:r>
      <w:r>
        <w:rPr>
          <w:rFonts w:ascii="Arial" w:cs="Arial" w:eastAsia="Arial" w:hAnsi="Arial"/>
          <w:sz w:val="15"/>
          <w:szCs w:val="15"/>
          <w:i w:val="1"/>
          <w:iCs w:val="1"/>
          <w:color w:val="auto"/>
        </w:rPr>
        <w:t xml:space="preserve"> </w:t>
      </w:r>
      <w:r>
        <w:rPr>
          <w:rFonts w:ascii="Arial" w:cs="Arial" w:eastAsia="Arial" w:hAnsi="Arial"/>
          <w:sz w:val="15"/>
          <w:szCs w:val="15"/>
          <w:color w:val="auto"/>
        </w:rPr>
        <w:t>and time to the Company. Except as specifically approved by the Committee, you agree that, during the term of your employment with the Company, you will not (i) engage in any other employment, occupation, consulting, business or other activity related to the business in which the Company or any of its subsidiaries or affiliates is now involved, any proposed business of the Company or any of its subsidiaries or affiliates, or any business in which the Company or any of its subsidiaries or affiliates becomes involved during the term of your employment, (ii) assist any other person or organization in competing with the Company or in preparing to engage in competition with the business or proposed business of the Company, or (iii) engage in any other activities that conflict with your obligations to the Company or any of its subsidiaries or affiliates. Similarly, you agree not to bring any third party confidential information to the Company, including that of your former employer, and that in performing your duties for the Company you will not in any way utilize any such information. You will disclose to the Company in writing any other employment, business or activity that you are currently associated with or participate in that competes with the Company.</w:t>
      </w:r>
    </w:p>
    <w:p>
      <w:pPr>
        <w:spacing w:after="0" w:line="82" w:lineRule="exact"/>
        <w:rPr>
          <w:rFonts w:ascii="Arial" w:cs="Arial" w:eastAsia="Arial" w:hAnsi="Arial"/>
          <w:sz w:val="15"/>
          <w:szCs w:val="15"/>
          <w:color w:val="auto"/>
        </w:rPr>
      </w:pPr>
    </w:p>
    <w:p>
      <w:pPr>
        <w:ind w:left="450" w:hanging="450"/>
        <w:spacing w:after="0" w:line="274" w:lineRule="auto"/>
        <w:tabs>
          <w:tab w:leader="none" w:pos="450" w:val="left"/>
        </w:tabs>
        <w:numPr>
          <w:ilvl w:val="0"/>
          <w:numId w:val="219"/>
        </w:numPr>
        <w:rPr>
          <w:rFonts w:ascii="Arial" w:cs="Arial" w:eastAsia="Arial" w:hAnsi="Arial"/>
          <w:sz w:val="14"/>
          <w:szCs w:val="14"/>
          <w:color w:val="auto"/>
        </w:rPr>
      </w:pPr>
      <w:r>
        <w:rPr>
          <w:rFonts w:ascii="Arial" w:cs="Arial" w:eastAsia="Arial" w:hAnsi="Arial"/>
          <w:sz w:val="14"/>
          <w:szCs w:val="14"/>
          <w:i w:val="1"/>
          <w:iCs w:val="1"/>
          <w:color w:val="auto"/>
        </w:rPr>
        <w:t xml:space="preserve">Protected Activity Not Prohibited. </w:t>
      </w:r>
      <w:r>
        <w:rPr>
          <w:rFonts w:ascii="Arial" w:cs="Arial" w:eastAsia="Arial" w:hAnsi="Arial"/>
          <w:sz w:val="14"/>
          <w:szCs w:val="14"/>
          <w:color w:val="auto"/>
        </w:rPr>
        <w:t>Nothing in this Agreement or in any other agreement between you or the Company, as applicable, will in any way limit or prohibit you from</w:t>
      </w:r>
      <w:r>
        <w:rPr>
          <w:rFonts w:ascii="Arial" w:cs="Arial" w:eastAsia="Arial" w:hAnsi="Arial"/>
          <w:sz w:val="14"/>
          <w:szCs w:val="14"/>
          <w:i w:val="1"/>
          <w:iCs w:val="1"/>
          <w:color w:val="auto"/>
        </w:rPr>
        <w:t xml:space="preserve"> </w:t>
      </w:r>
      <w:r>
        <w:rPr>
          <w:rFonts w:ascii="Arial" w:cs="Arial" w:eastAsia="Arial" w:hAnsi="Arial"/>
          <w:sz w:val="14"/>
          <w:szCs w:val="14"/>
          <w:color w:val="auto"/>
        </w:rPr>
        <w:t>engaging for a lawful purpose in any Protected Activity. For purposes of this Agreement,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Company attorney-client privileged communications, and that any such disclosure without the Company’s written consent will constitute a material</w:t>
      </w:r>
    </w:p>
    <w:p>
      <w:pPr>
        <w:spacing w:after="0" w:line="9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50"/>
          </w:cols>
          <w:pgMar w:left="230" w:top="253" w:right="219" w:bottom="1440" w:gutter="0" w:footer="0" w:header="0"/>
        </w:sectPr>
      </w:pPr>
    </w:p>
    <w:bookmarkStart w:id="348" w:name="page349"/>
    <w:bookmarkEnd w:id="348"/>
    <w:p>
      <w:pPr>
        <w:ind w:left="450" w:right="3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67" w:lineRule="exact"/>
        <w:rPr>
          <w:sz w:val="20"/>
          <w:szCs w:val="20"/>
          <w:color w:val="auto"/>
        </w:rPr>
      </w:pPr>
    </w:p>
    <w:p>
      <w:pPr>
        <w:ind w:left="450" w:right="220" w:hanging="450"/>
        <w:spacing w:after="0" w:line="263" w:lineRule="auto"/>
        <w:tabs>
          <w:tab w:leader="none" w:pos="450" w:val="left"/>
        </w:tabs>
        <w:numPr>
          <w:ilvl w:val="0"/>
          <w:numId w:val="220"/>
        </w:numPr>
        <w:rPr>
          <w:rFonts w:ascii="Arial" w:cs="Arial" w:eastAsia="Arial" w:hAnsi="Arial"/>
          <w:sz w:val="15"/>
          <w:szCs w:val="15"/>
          <w:color w:val="auto"/>
        </w:rPr>
      </w:pPr>
      <w:r>
        <w:rPr>
          <w:rFonts w:ascii="Arial" w:cs="Arial" w:eastAsia="Arial" w:hAnsi="Arial"/>
          <w:sz w:val="15"/>
          <w:szCs w:val="15"/>
          <w:i w:val="1"/>
          <w:iCs w:val="1"/>
          <w:color w:val="auto"/>
        </w:rPr>
        <w:t xml:space="preserve">Miscellaneous. </w:t>
      </w:r>
      <w:r>
        <w:rPr>
          <w:rFonts w:ascii="Arial" w:cs="Arial" w:eastAsia="Arial" w:hAnsi="Arial"/>
          <w:sz w:val="15"/>
          <w:szCs w:val="15"/>
          <w:color w:val="auto"/>
        </w:rPr>
        <w:t>This Agreement, along with the EIACA and the Severance Agreement, constitute the entire agreement between you and the Company regarding the subject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discussed herein, and they supersede all prior negotiations, representations or agreements between you and the Company. This Agreement may only be modified by a written agreement signed by you and the Company’s Chief Executive Officer.</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5"/>
          <w:szCs w:val="15"/>
          <w:color w:val="auto"/>
        </w:rPr>
        <w:t>To confirm the current terms and conditions of your employment, please sign and date in the spaces indicated and return this Agreement to the Company.</w:t>
      </w:r>
    </w:p>
    <w:p>
      <w:pPr>
        <w:spacing w:after="0" w:line="211" w:lineRule="exact"/>
        <w:rPr>
          <w:sz w:val="20"/>
          <w:szCs w:val="20"/>
          <w:color w:val="auto"/>
        </w:rPr>
      </w:pPr>
    </w:p>
    <w:p>
      <w:pPr>
        <w:ind w:left="6870"/>
        <w:spacing w:after="0"/>
        <w:rPr>
          <w:sz w:val="20"/>
          <w:szCs w:val="20"/>
          <w:color w:val="auto"/>
        </w:rPr>
      </w:pPr>
      <w:r>
        <w:rPr>
          <w:rFonts w:ascii="Arial" w:cs="Arial" w:eastAsia="Arial" w:hAnsi="Arial"/>
          <w:sz w:val="15"/>
          <w:szCs w:val="15"/>
          <w:color w:val="auto"/>
        </w:rPr>
        <w:t>Sincerely,</w:t>
      </w:r>
    </w:p>
    <w:p>
      <w:pPr>
        <w:spacing w:after="0" w:line="98" w:lineRule="exact"/>
        <w:rPr>
          <w:sz w:val="20"/>
          <w:szCs w:val="20"/>
          <w:color w:val="auto"/>
        </w:rPr>
      </w:pPr>
    </w:p>
    <w:p>
      <w:pPr>
        <w:ind w:left="6870"/>
        <w:spacing w:after="0"/>
        <w:rPr>
          <w:sz w:val="20"/>
          <w:szCs w:val="20"/>
          <w:color w:val="auto"/>
        </w:rPr>
      </w:pPr>
      <w:r>
        <w:rPr>
          <w:rFonts w:ascii="Arial" w:cs="Arial" w:eastAsia="Arial" w:hAnsi="Arial"/>
          <w:sz w:val="15"/>
          <w:szCs w:val="15"/>
          <w:color w:val="auto"/>
        </w:rPr>
        <w:t>Dropbox, Inc.</w:t>
      </w:r>
    </w:p>
    <w:p>
      <w:pPr>
        <w:spacing w:after="0" w:line="188" w:lineRule="exact"/>
        <w:rPr>
          <w:sz w:val="20"/>
          <w:szCs w:val="20"/>
          <w:color w:val="auto"/>
        </w:rPr>
      </w:pPr>
    </w:p>
    <w:p>
      <w:pPr>
        <w:ind w:left="6870"/>
        <w:spacing w:after="0"/>
        <w:tabs>
          <w:tab w:leader="none" w:pos="7229" w:val="left"/>
        </w:tabs>
        <w:rPr>
          <w:sz w:val="20"/>
          <w:szCs w:val="20"/>
          <w:color w:val="auto"/>
        </w:rPr>
      </w:pPr>
      <w:r>
        <w:rPr>
          <w:rFonts w:ascii="Arial" w:cs="Arial" w:eastAsia="Arial" w:hAnsi="Arial"/>
          <w:sz w:val="15"/>
          <w:szCs w:val="15"/>
          <w:color w:val="auto"/>
        </w:rPr>
        <w:t>By:</w:t>
        <w:tab/>
        <w:t>/s/ Andrew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12065</wp:posOffset>
            </wp:positionV>
            <wp:extent cx="272859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ind w:left="7250"/>
        <w:spacing w:after="0"/>
        <w:rPr>
          <w:sz w:val="20"/>
          <w:szCs w:val="20"/>
          <w:color w:val="auto"/>
        </w:rPr>
      </w:pPr>
      <w:r>
        <w:rPr>
          <w:rFonts w:ascii="Arial" w:cs="Arial" w:eastAsia="Arial" w:hAnsi="Arial"/>
          <w:sz w:val="15"/>
          <w:szCs w:val="15"/>
          <w:color w:val="auto"/>
        </w:rPr>
        <w:t>Andrew Houston</w:t>
      </w:r>
    </w:p>
    <w:p>
      <w:pPr>
        <w:spacing w:after="0" w:line="17" w:lineRule="exact"/>
        <w:rPr>
          <w:sz w:val="20"/>
          <w:szCs w:val="20"/>
          <w:color w:val="auto"/>
        </w:rPr>
      </w:pPr>
    </w:p>
    <w:p>
      <w:pPr>
        <w:ind w:left="7250"/>
        <w:spacing w:after="0"/>
        <w:rPr>
          <w:sz w:val="20"/>
          <w:szCs w:val="20"/>
          <w:color w:val="auto"/>
        </w:rPr>
      </w:pPr>
      <w:r>
        <w:rPr>
          <w:rFonts w:ascii="Arial" w:cs="Arial" w:eastAsia="Arial" w:hAnsi="Arial"/>
          <w:sz w:val="15"/>
          <w:szCs w:val="15"/>
          <w:color w:val="auto"/>
        </w:rPr>
        <w:t>Chief Executive Officer</w:t>
      </w:r>
    </w:p>
    <w:p>
      <w:pPr>
        <w:spacing w:after="0" w:line="179" w:lineRule="exact"/>
        <w:rPr>
          <w:sz w:val="20"/>
          <w:szCs w:val="20"/>
          <w:color w:val="auto"/>
        </w:rPr>
      </w:pPr>
    </w:p>
    <w:p>
      <w:pPr>
        <w:ind w:left="10" w:right="300" w:firstLine="916"/>
        <w:spacing w:after="0" w:line="275" w:lineRule="auto"/>
        <w:rPr>
          <w:sz w:val="20"/>
          <w:szCs w:val="20"/>
          <w:color w:val="auto"/>
        </w:rPr>
      </w:pPr>
      <w:r>
        <w:rPr>
          <w:rFonts w:ascii="Arial" w:cs="Arial" w:eastAsia="Arial" w:hAnsi="Arial"/>
          <w:sz w:val="15"/>
          <w:szCs w:val="15"/>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440" w:type="dxa"/>
            <w:vAlign w:val="bottom"/>
          </w:tcPr>
          <w:p>
            <w:pPr>
              <w:spacing w:after="0"/>
              <w:rPr>
                <w:sz w:val="20"/>
                <w:szCs w:val="20"/>
                <w:color w:val="auto"/>
              </w:rPr>
            </w:pPr>
            <w:r>
              <w:rPr>
                <w:rFonts w:ascii="Arial" w:cs="Arial" w:eastAsia="Arial" w:hAnsi="Arial"/>
                <w:sz w:val="15"/>
                <w:szCs w:val="15"/>
                <w:color w:val="auto"/>
              </w:rPr>
              <w:t>Date: March 5, 2018</w:t>
            </w:r>
          </w:p>
        </w:tc>
        <w:tc>
          <w:tcPr>
            <w:tcW w:w="2620" w:type="dxa"/>
            <w:vAlign w:val="bottom"/>
          </w:tcPr>
          <w:p>
            <w:pPr>
              <w:spacing w:after="0"/>
              <w:rPr>
                <w:sz w:val="16"/>
                <w:szCs w:val="16"/>
                <w:color w:val="auto"/>
              </w:rPr>
            </w:pPr>
          </w:p>
        </w:tc>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/s/ Arash Ferdowsi</w:t>
            </w:r>
          </w:p>
        </w:tc>
      </w:tr>
      <w:tr>
        <w:trPr>
          <w:trHeight w:val="182"/>
        </w:trPr>
        <w:tc>
          <w:tcPr>
            <w:tcW w:w="34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ind w:left="120"/>
              <w:spacing w:after="0"/>
              <w:rPr>
                <w:sz w:val="20"/>
                <w:szCs w:val="20"/>
                <w:color w:val="auto"/>
              </w:rPr>
            </w:pPr>
            <w:r>
              <w:rPr>
                <w:rFonts w:ascii="Arial" w:cs="Arial" w:eastAsia="Arial" w:hAnsi="Arial"/>
                <w:sz w:val="15"/>
                <w:szCs w:val="15"/>
                <w:color w:val="auto"/>
              </w:rPr>
              <w:t>Signature</w:t>
            </w:r>
          </w:p>
        </w:tc>
      </w:tr>
      <w:tr>
        <w:trPr>
          <w:trHeight w:val="294"/>
        </w:trPr>
        <w:tc>
          <w:tcPr>
            <w:tcW w:w="3440" w:type="dxa"/>
            <w:vAlign w:val="bottom"/>
          </w:tcPr>
          <w:p>
            <w:pPr>
              <w:spacing w:after="0"/>
              <w:rPr>
                <w:sz w:val="24"/>
                <w:szCs w:val="24"/>
                <w:color w:val="auto"/>
              </w:rPr>
            </w:pPr>
          </w:p>
        </w:tc>
        <w:tc>
          <w:tcPr>
            <w:tcW w:w="2620" w:type="dxa"/>
            <w:vAlign w:val="bottom"/>
          </w:tcPr>
          <w:p>
            <w:pPr>
              <w:jc w:val="right"/>
              <w:ind w:right="185"/>
              <w:spacing w:after="0"/>
              <w:rPr>
                <w:sz w:val="20"/>
                <w:szCs w:val="20"/>
                <w:color w:val="auto"/>
              </w:rPr>
            </w:pPr>
            <w:r>
              <w:rPr>
                <w:rFonts w:ascii="Arial" w:cs="Arial" w:eastAsia="Arial" w:hAnsi="Arial"/>
                <w:sz w:val="15"/>
                <w:szCs w:val="15"/>
                <w:color w:val="auto"/>
              </w:rPr>
              <w:t>-4-</w:t>
            </w:r>
          </w:p>
        </w:tc>
        <w:tc>
          <w:tcPr>
            <w:tcW w:w="5380" w:type="dxa"/>
            <w:vAlign w:val="bottom"/>
          </w:tcPr>
          <w:p>
            <w:pPr>
              <w:spacing w:after="0"/>
              <w:rPr>
                <w:sz w:val="24"/>
                <w:szCs w:val="24"/>
                <w:color w:val="auto"/>
              </w:rPr>
            </w:pPr>
          </w:p>
        </w:tc>
      </w:tr>
    </w:tbl>
    <w:p>
      <w:pPr>
        <w:sectPr>
          <w:pgSz w:w="11900" w:h="16838" w:orient="portrait"/>
          <w:cols w:equalWidth="0" w:num="1">
            <w:col w:w="11450"/>
          </w:cols>
          <w:pgMar w:left="230" w:top="253" w:right="21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7 OF THE DEFEND TRADE SECRETS ACT OF 2016</w:t>
      </w:r>
    </w:p>
    <w:p>
      <w:pPr>
        <w:spacing w:after="0" w:line="192" w:lineRule="exact"/>
        <w:rPr>
          <w:sz w:val="20"/>
          <w:szCs w:val="20"/>
          <w:color w:val="auto"/>
        </w:rPr>
      </w:pPr>
    </w:p>
    <w:p>
      <w:pPr>
        <w:ind w:firstLine="916"/>
        <w:spacing w:after="0" w:line="279" w:lineRule="auto"/>
        <w:rPr>
          <w:sz w:val="20"/>
          <w:szCs w:val="20"/>
          <w:color w:val="auto"/>
        </w:rPr>
      </w:pPr>
      <w:r>
        <w:rPr>
          <w:rFonts w:ascii="Arial" w:cs="Arial" w:eastAsia="Arial" w:hAnsi="Arial"/>
          <w:sz w:val="14"/>
          <w:szCs w:val="14"/>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49"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5"/>
          <w:szCs w:val="15"/>
          <w:b w:val="1"/>
          <w:bCs w:val="1"/>
          <w:color w:val="auto"/>
        </w:rPr>
        <w:t>Exhibit 10.14</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March 7, 2018</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15"/>
          <w:szCs w:val="15"/>
          <w:color w:val="auto"/>
        </w:rPr>
        <w:t>Quentin Clark</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 Dropbox, Inc.</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333 Brannan Street</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San Francisco, CA 94107</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 Confirmatory Employment Letter</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Dear Quentin:</w:t>
      </w:r>
    </w:p>
    <w:p>
      <w:pPr>
        <w:spacing w:after="0" w:line="98" w:lineRule="exact"/>
        <w:rPr>
          <w:sz w:val="20"/>
          <w:szCs w:val="20"/>
          <w:color w:val="auto"/>
        </w:rPr>
      </w:pPr>
    </w:p>
    <w:p>
      <w:pPr>
        <w:ind w:left="10" w:right="260" w:firstLine="916"/>
        <w:spacing w:after="0" w:line="275" w:lineRule="auto"/>
        <w:rPr>
          <w:sz w:val="20"/>
          <w:szCs w:val="20"/>
          <w:color w:val="auto"/>
        </w:rPr>
      </w:pPr>
      <w:r>
        <w:rPr>
          <w:rFonts w:ascii="Arial" w:cs="Arial" w:eastAsia="Arial" w:hAnsi="Arial"/>
          <w:sz w:val="15"/>
          <w:szCs w:val="15"/>
          <w:color w:val="auto"/>
        </w:rPr>
        <w:t>This letter agreement (the “Agreement”) is entered into between Quentin Clark (“you”) and Dropbox, Inc. (the “Company” or “we”). This Agreement is effective as of the date you sign it, as indicated below. The purpose of this Agreement is to confirm the current terms and conditions of your employment.</w:t>
      </w:r>
    </w:p>
    <w:p>
      <w:pPr>
        <w:spacing w:after="0" w:line="67" w:lineRule="exact"/>
        <w:rPr>
          <w:sz w:val="20"/>
          <w:szCs w:val="20"/>
          <w:color w:val="auto"/>
        </w:rPr>
      </w:pPr>
    </w:p>
    <w:p>
      <w:pPr>
        <w:ind w:left="450" w:right="400" w:hanging="450"/>
        <w:spacing w:after="0" w:line="263" w:lineRule="auto"/>
        <w:tabs>
          <w:tab w:leader="none" w:pos="450"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 xml:space="preserve">Title; Position. </w:t>
      </w:r>
      <w:r>
        <w:rPr>
          <w:rFonts w:ascii="Arial" w:cs="Arial" w:eastAsia="Arial" w:hAnsi="Arial"/>
          <w:sz w:val="15"/>
          <w:szCs w:val="15"/>
          <w:color w:val="auto"/>
        </w:rPr>
        <w:t>Your position will continue to be Senior Vice President of Engineering, Product, and Design, and you will continue to report to the Chief Executive Officer, with</w:t>
      </w:r>
      <w:r>
        <w:rPr>
          <w:rFonts w:ascii="Arial" w:cs="Arial" w:eastAsia="Arial" w:hAnsi="Arial"/>
          <w:sz w:val="15"/>
          <w:szCs w:val="15"/>
          <w:i w:val="1"/>
          <w:iCs w:val="1"/>
          <w:color w:val="auto"/>
        </w:rPr>
        <w:t xml:space="preserve"> </w:t>
      </w:r>
      <w:r>
        <w:rPr>
          <w:rFonts w:ascii="Arial" w:cs="Arial" w:eastAsia="Arial" w:hAnsi="Arial"/>
          <w:sz w:val="15"/>
          <w:szCs w:val="15"/>
          <w:color w:val="auto"/>
        </w:rPr>
        <w:t>responsibilities as defined in the job description previously provided to you or as otherwise reasonably assigned to you by your lead, or the Company’s board of directors or its authorized committee (the board of directors or its authorized committee, collectively the “Committee”).</w:t>
      </w:r>
    </w:p>
    <w:p>
      <w:pPr>
        <w:spacing w:after="0" w:line="75" w:lineRule="exact"/>
        <w:rPr>
          <w:rFonts w:ascii="Arial" w:cs="Arial" w:eastAsia="Arial" w:hAnsi="Arial"/>
          <w:sz w:val="15"/>
          <w:szCs w:val="15"/>
          <w:color w:val="auto"/>
        </w:rPr>
      </w:pPr>
    </w:p>
    <w:p>
      <w:pPr>
        <w:ind w:left="450" w:right="380" w:hanging="450"/>
        <w:spacing w:after="0" w:line="312" w:lineRule="auto"/>
        <w:tabs>
          <w:tab w:leader="none" w:pos="450" w:val="left"/>
        </w:tabs>
        <w:numPr>
          <w:ilvl w:val="0"/>
          <w:numId w:val="222"/>
        </w:numPr>
        <w:rPr>
          <w:rFonts w:ascii="Arial" w:cs="Arial" w:eastAsia="Arial" w:hAnsi="Arial"/>
          <w:sz w:val="14"/>
          <w:szCs w:val="14"/>
          <w:color w:val="auto"/>
        </w:rPr>
      </w:pPr>
      <w:r>
        <w:rPr>
          <w:rFonts w:ascii="Arial" w:cs="Arial" w:eastAsia="Arial" w:hAnsi="Arial"/>
          <w:sz w:val="14"/>
          <w:szCs w:val="14"/>
          <w:i w:val="1"/>
          <w:iCs w:val="1"/>
          <w:color w:val="auto"/>
        </w:rPr>
        <w:t xml:space="preserve">Base Salary. </w:t>
      </w:r>
      <w:r>
        <w:rPr>
          <w:rFonts w:ascii="Arial" w:cs="Arial" w:eastAsia="Arial" w:hAnsi="Arial"/>
          <w:sz w:val="14"/>
          <w:szCs w:val="14"/>
          <w:color w:val="auto"/>
        </w:rPr>
        <w:t>Your current annual base salary is $550,000, which will be payable, less applicable withholdings and deductions, in accordance with the Company’s normal payroll</w:t>
      </w:r>
      <w:r>
        <w:rPr>
          <w:rFonts w:ascii="Arial" w:cs="Arial" w:eastAsia="Arial" w:hAnsi="Arial"/>
          <w:sz w:val="14"/>
          <w:szCs w:val="14"/>
          <w:i w:val="1"/>
          <w:iCs w:val="1"/>
          <w:color w:val="auto"/>
        </w:rPr>
        <w:t xml:space="preserve"> </w:t>
      </w:r>
      <w:r>
        <w:rPr>
          <w:rFonts w:ascii="Arial" w:cs="Arial" w:eastAsia="Arial" w:hAnsi="Arial"/>
          <w:sz w:val="14"/>
          <w:szCs w:val="14"/>
          <w:color w:val="auto"/>
        </w:rPr>
        <w:t>practices. Your annual base salary will be subject to review and adjustment based upon the Company’s normal performance review practices.</w:t>
      </w:r>
    </w:p>
    <w:p>
      <w:pPr>
        <w:spacing w:after="0" w:line="43" w:lineRule="exact"/>
        <w:rPr>
          <w:rFonts w:ascii="Arial" w:cs="Arial" w:eastAsia="Arial" w:hAnsi="Arial"/>
          <w:sz w:val="14"/>
          <w:szCs w:val="14"/>
          <w:color w:val="auto"/>
        </w:rPr>
      </w:pPr>
    </w:p>
    <w:p>
      <w:pPr>
        <w:ind w:left="450" w:right="60" w:hanging="450"/>
        <w:spacing w:after="0" w:line="259" w:lineRule="auto"/>
        <w:tabs>
          <w:tab w:leader="none" w:pos="450"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You are eligible to earn an annual cash bonus with a target value of 65% of your base salary, based on achieving performance objectives established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in its sole discretion and payable upon achievement of those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pacing w:after="0" w:line="78" w:lineRule="exact"/>
        <w:rPr>
          <w:rFonts w:ascii="Arial" w:cs="Arial" w:eastAsia="Arial" w:hAnsi="Arial"/>
          <w:sz w:val="15"/>
          <w:szCs w:val="15"/>
          <w:color w:val="auto"/>
        </w:rPr>
      </w:pPr>
    </w:p>
    <w:p>
      <w:pPr>
        <w:jc w:val="both"/>
        <w:ind w:left="450" w:right="120" w:hanging="450"/>
        <w:spacing w:after="0" w:line="263" w:lineRule="auto"/>
        <w:tabs>
          <w:tab w:leader="none" w:pos="450"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Equity Awards</w:t>
      </w:r>
      <w:r>
        <w:rPr>
          <w:rFonts w:ascii="Arial" w:cs="Arial" w:eastAsia="Arial" w:hAnsi="Arial"/>
          <w:sz w:val="15"/>
          <w:szCs w:val="15"/>
          <w:color w:val="auto"/>
        </w:rPr>
        <w:t>. You will be eligible to receive awards of stock options, restricted stock units or other equity awards pursuant to any plans or arrangements the Company may have in</w:t>
      </w:r>
      <w:r>
        <w:rPr>
          <w:rFonts w:ascii="Arial" w:cs="Arial" w:eastAsia="Arial" w:hAnsi="Arial"/>
          <w:sz w:val="15"/>
          <w:szCs w:val="15"/>
          <w:i w:val="1"/>
          <w:iCs w:val="1"/>
          <w:color w:val="auto"/>
        </w:rPr>
        <w:t xml:space="preserve"> </w:t>
      </w:r>
      <w:r>
        <w:rPr>
          <w:rFonts w:ascii="Arial" w:cs="Arial" w:eastAsia="Arial" w:hAnsi="Arial"/>
          <w:sz w:val="15"/>
          <w:szCs w:val="15"/>
          <w:color w:val="auto"/>
        </w:rPr>
        <w:t>effect from time to time. The Committee will determine in its discretion whether you will be granted any such equity awards and the terms of any such award in accordance with the terms of any applicable plan or arrangement that may be in effect from time to time.</w:t>
      </w:r>
    </w:p>
    <w:p>
      <w:pPr>
        <w:spacing w:after="0" w:line="75" w:lineRule="exact"/>
        <w:rPr>
          <w:rFonts w:ascii="Arial" w:cs="Arial" w:eastAsia="Arial" w:hAnsi="Arial"/>
          <w:sz w:val="15"/>
          <w:szCs w:val="15"/>
          <w:color w:val="auto"/>
        </w:rPr>
      </w:pPr>
    </w:p>
    <w:p>
      <w:pPr>
        <w:ind w:left="450" w:right="540" w:hanging="450"/>
        <w:spacing w:after="0" w:line="275" w:lineRule="auto"/>
        <w:tabs>
          <w:tab w:leader="none" w:pos="450"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 xml:space="preserve">Employee Benefits. </w:t>
      </w:r>
      <w:r>
        <w:rPr>
          <w:rFonts w:ascii="Arial" w:cs="Arial" w:eastAsia="Arial" w:hAnsi="Arial"/>
          <w:sz w:val="15"/>
          <w:szCs w:val="15"/>
          <w:color w:val="auto"/>
        </w:rPr>
        <w:t>You also will continue to be eligible to participate in all of the Company benefit plans and programs in effect for similarly-situated employees during your</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In addition, the Company will continue to provide you a monthly travel stipend</w:t>
      </w:r>
    </w:p>
    <w:p>
      <w:pPr>
        <w:sectPr>
          <w:pgSz w:w="11900" w:h="16838" w:orient="portrait"/>
          <w:cols w:equalWidth="0" w:num="1">
            <w:col w:w="11450"/>
          </w:cols>
          <w:pgMar w:left="230" w:top="125" w:right="219" w:bottom="1440" w:gutter="0" w:footer="0" w:header="0"/>
        </w:sectPr>
      </w:pPr>
    </w:p>
    <w:bookmarkStart w:id="351" w:name="page352"/>
    <w:bookmarkEnd w:id="351"/>
    <w:p>
      <w:pPr>
        <w:ind w:left="450" w:right="460"/>
        <w:spacing w:after="0" w:line="31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for your commuting costs in an amount determined by the Company and grossed up for applicable taxes, and payable to you in accordance with the Company’s normal payroll practices. The Company reserves the right to cancel or change the benefit plans and programs it offers to its employees at any time.</w:t>
      </w:r>
    </w:p>
    <w:p>
      <w:pPr>
        <w:spacing w:after="0" w:line="44" w:lineRule="exact"/>
        <w:rPr>
          <w:sz w:val="20"/>
          <w:szCs w:val="20"/>
          <w:color w:val="auto"/>
        </w:rPr>
      </w:pPr>
    </w:p>
    <w:p>
      <w:pPr>
        <w:ind w:left="450" w:right="140" w:hanging="450"/>
        <w:spacing w:after="0" w:line="259" w:lineRule="auto"/>
        <w:tabs>
          <w:tab w:leader="none" w:pos="450" w:val="left"/>
        </w:tabs>
        <w:numPr>
          <w:ilvl w:val="0"/>
          <w:numId w:val="223"/>
        </w:numPr>
        <w:rPr>
          <w:rFonts w:ascii="Arial" w:cs="Arial" w:eastAsia="Arial" w:hAnsi="Arial"/>
          <w:sz w:val="15"/>
          <w:szCs w:val="15"/>
          <w:color w:val="auto"/>
        </w:rPr>
      </w:pPr>
      <w:r>
        <w:rPr>
          <w:rFonts w:ascii="Arial" w:cs="Arial" w:eastAsia="Arial" w:hAnsi="Arial"/>
          <w:sz w:val="15"/>
          <w:szCs w:val="15"/>
          <w:i w:val="1"/>
          <w:iCs w:val="1"/>
          <w:color w:val="auto"/>
        </w:rPr>
        <w:t xml:space="preserve">Severance. </w:t>
      </w:r>
      <w:r>
        <w:rPr>
          <w:rFonts w:ascii="Arial" w:cs="Arial" w:eastAsia="Arial" w:hAnsi="Arial"/>
          <w:sz w:val="15"/>
          <w:szCs w:val="15"/>
          <w:color w:val="auto"/>
        </w:rPr>
        <w:t>You will be eligible to enter into a Change in Control and Severance Agreement (the “Severance Agreement”) applicable to you based on your position within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The Severance Agreement will specify the severance payments and benefits you would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78" w:lineRule="exact"/>
        <w:rPr>
          <w:rFonts w:ascii="Arial" w:cs="Arial" w:eastAsia="Arial" w:hAnsi="Arial"/>
          <w:sz w:val="15"/>
          <w:szCs w:val="15"/>
          <w:color w:val="auto"/>
        </w:rPr>
      </w:pPr>
    </w:p>
    <w:p>
      <w:pPr>
        <w:ind w:left="450" w:right="140" w:hanging="450"/>
        <w:spacing w:after="0" w:line="322" w:lineRule="auto"/>
        <w:tabs>
          <w:tab w:leader="none" w:pos="450" w:val="left"/>
        </w:tabs>
        <w:numPr>
          <w:ilvl w:val="0"/>
          <w:numId w:val="223"/>
        </w:numPr>
        <w:rPr>
          <w:rFonts w:ascii="Arial" w:cs="Arial" w:eastAsia="Arial" w:hAnsi="Arial"/>
          <w:sz w:val="13"/>
          <w:szCs w:val="13"/>
          <w:color w:val="auto"/>
        </w:rPr>
      </w:pPr>
      <w:r>
        <w:rPr>
          <w:rFonts w:ascii="Arial" w:cs="Arial" w:eastAsia="Arial" w:hAnsi="Arial"/>
          <w:sz w:val="13"/>
          <w:szCs w:val="13"/>
          <w:i w:val="1"/>
          <w:iCs w:val="1"/>
          <w:color w:val="auto"/>
        </w:rPr>
        <w:t xml:space="preserve">Confidentiality Agreement. </w:t>
      </w:r>
      <w:r>
        <w:rPr>
          <w:rFonts w:ascii="Arial" w:cs="Arial" w:eastAsia="Arial" w:hAnsi="Arial"/>
          <w:sz w:val="13"/>
          <w:szCs w:val="13"/>
          <w:color w:val="auto"/>
        </w:rPr>
        <w:t>As an employee of the Company, you will continue to have access to certain confidential information of the Company and you may, during the course of</w:t>
      </w:r>
      <w:r>
        <w:rPr>
          <w:rFonts w:ascii="Arial" w:cs="Arial" w:eastAsia="Arial" w:hAnsi="Arial"/>
          <w:sz w:val="13"/>
          <w:szCs w:val="13"/>
          <w:i w:val="1"/>
          <w:iCs w:val="1"/>
          <w:color w:val="auto"/>
        </w:rPr>
        <w:t xml:space="preserve"> </w:t>
      </w:r>
      <w:r>
        <w:rPr>
          <w:rFonts w:ascii="Arial" w:cs="Arial" w:eastAsia="Arial" w:hAnsi="Arial"/>
          <w:sz w:val="13"/>
          <w:szCs w:val="13"/>
          <w:color w:val="auto"/>
        </w:rPr>
        <w:t>your employment, develop certain information or inventions that will be the property of the Company. To protect the interests of the Company, your acceptance of this Agreement confirms that the terms of the Company’s Employee Invention Assignment and Confidentiality Agreement you previously signed with the Company (the “EIACA”) still apply.</w:t>
      </w:r>
    </w:p>
    <w:p>
      <w:pPr>
        <w:spacing w:after="0" w:line="41" w:lineRule="exact"/>
        <w:rPr>
          <w:rFonts w:ascii="Arial" w:cs="Arial" w:eastAsia="Arial" w:hAnsi="Arial"/>
          <w:sz w:val="13"/>
          <w:szCs w:val="13"/>
          <w:color w:val="auto"/>
        </w:rPr>
      </w:pPr>
    </w:p>
    <w:p>
      <w:pPr>
        <w:ind w:left="450" w:hanging="450"/>
        <w:spacing w:after="0" w:line="272" w:lineRule="auto"/>
        <w:tabs>
          <w:tab w:leader="none" w:pos="450" w:val="left"/>
        </w:tabs>
        <w:numPr>
          <w:ilvl w:val="0"/>
          <w:numId w:val="223"/>
        </w:numPr>
        <w:rPr>
          <w:rFonts w:ascii="Arial" w:cs="Arial" w:eastAsia="Arial" w:hAnsi="Arial"/>
          <w:sz w:val="14"/>
          <w:szCs w:val="14"/>
          <w:color w:val="auto"/>
        </w:rPr>
      </w:pPr>
      <w:r>
        <w:rPr>
          <w:rFonts w:ascii="Arial" w:cs="Arial" w:eastAsia="Arial" w:hAnsi="Arial"/>
          <w:sz w:val="14"/>
          <w:szCs w:val="14"/>
          <w:i w:val="1"/>
          <w:iCs w:val="1"/>
          <w:color w:val="auto"/>
        </w:rPr>
        <w:t xml:space="preserve">Arbitration. </w:t>
      </w:r>
      <w:r>
        <w:rPr>
          <w:rFonts w:ascii="Arial" w:cs="Arial" w:eastAsia="Arial" w:hAnsi="Arial"/>
          <w:sz w:val="14"/>
          <w:szCs w:val="14"/>
          <w:color w:val="auto"/>
        </w:rPr>
        <w:t>You and the Company shall submit to mandatory and exclusive binding arbitration any and all controversies or claims arising out of, or relating to, your employment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The sole exception are claims under applicable workers’ compensation law, unemployment insurance claims, actions seeking provisional remedies pursuant to California Code of Civil Procedure Section 1281.8 and other claims expressly prohibited by law from being subject to binding arbitration for which ether party may seek direct court intervention. THE PARTIES HEREBY WAIVE ANY RIGHTS THEY MAY HAVE TO TRIAL BY JURY IN REGARD TO SUCH CLAIMS. You and the Company agree that the arbitrator shall have the sole authority to determine the arbitrability of all claims. 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Such arbitration shall be governed by the Federal Arbitration Act and conducted through the American Arbitration Association in the State of California, San Francisco County, before a single neutral arbitrator, in accordance with the employment arbitration rules in effect at that time. The AAA Employment Arbitration Rules and Mediation may be found and reviewed at http://www.adr.org and click on “Rules and Procedures.” If you are unable to access these rules, please let me know and I will provide you a hardcopy. The arbitrator shall issue a written decision that contains the essential</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30"/>
          </w:cols>
          <w:pgMar w:left="230" w:top="253" w:right="239" w:bottom="1440" w:gutter="0" w:footer="0" w:header="0"/>
        </w:sectPr>
      </w:pPr>
    </w:p>
    <w:bookmarkStart w:id="352" w:name="page353"/>
    <w:bookmarkEnd w:id="352"/>
    <w:p>
      <w:pPr>
        <w:ind w:left="450" w:right="52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findings and conclusions on which the decision is based. The arbitration shall provide for adequate discovery and allow for all types of relief otherwise available in court. The Company shall pay all the arbitration fees, except an amount equal to the filing fees you would have paid had you filed a complaint in a court of law. Judgment upon the determination or award rendered by the arbitrator may be entered in any court having jurisdiction thereof.</w:t>
      </w:r>
    </w:p>
    <w:p>
      <w:pPr>
        <w:spacing w:after="0" w:line="76" w:lineRule="exact"/>
        <w:rPr>
          <w:sz w:val="20"/>
          <w:szCs w:val="20"/>
          <w:color w:val="auto"/>
        </w:rPr>
      </w:pPr>
    </w:p>
    <w:p>
      <w:pPr>
        <w:ind w:left="450" w:right="60" w:hanging="450"/>
        <w:spacing w:after="0" w:line="259" w:lineRule="auto"/>
        <w:tabs>
          <w:tab w:leader="none" w:pos="450" w:val="left"/>
        </w:tabs>
        <w:numPr>
          <w:ilvl w:val="0"/>
          <w:numId w:val="224"/>
        </w:numPr>
        <w:rPr>
          <w:rFonts w:ascii="Arial" w:cs="Arial" w:eastAsia="Arial" w:hAnsi="Arial"/>
          <w:sz w:val="15"/>
          <w:szCs w:val="15"/>
          <w:color w:val="auto"/>
        </w:rPr>
      </w:pPr>
      <w:r>
        <w:rPr>
          <w:rFonts w:ascii="Arial" w:cs="Arial" w:eastAsia="Arial" w:hAnsi="Arial"/>
          <w:sz w:val="15"/>
          <w:szCs w:val="15"/>
          <w:i w:val="1"/>
          <w:iCs w:val="1"/>
          <w:color w:val="auto"/>
        </w:rPr>
        <w:t xml:space="preserve">At-Will Employment. </w:t>
      </w:r>
      <w:r>
        <w:rPr>
          <w:rFonts w:ascii="Arial" w:cs="Arial" w:eastAsia="Arial" w:hAnsi="Arial"/>
          <w:sz w:val="15"/>
          <w:szCs w:val="15"/>
          <w:color w:val="auto"/>
        </w:rPr>
        <w:t>Your employment with the Company will continue to be “at will.” It is for no specified term, and may be terminated by you or the Company at any time, with or</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cause or advance notice. Although the Company may change the terms and conditions of your employment from time-to-time, (including, but not limited to, changes in your position, compensation, and/or benefits), nothing will change the at-will employment relationship between you and the Company. In addition, the compensation terms described herein will not affect your at-will employment status.</w:t>
      </w:r>
    </w:p>
    <w:p>
      <w:pPr>
        <w:spacing w:after="0" w:line="78" w:lineRule="exact"/>
        <w:rPr>
          <w:rFonts w:ascii="Arial" w:cs="Arial" w:eastAsia="Arial" w:hAnsi="Arial"/>
          <w:sz w:val="15"/>
          <w:szCs w:val="15"/>
          <w:color w:val="auto"/>
        </w:rPr>
      </w:pPr>
    </w:p>
    <w:p>
      <w:pPr>
        <w:ind w:left="450" w:right="20" w:hanging="450"/>
        <w:spacing w:after="0" w:line="254" w:lineRule="auto"/>
        <w:tabs>
          <w:tab w:leader="none" w:pos="450" w:val="left"/>
        </w:tabs>
        <w:numPr>
          <w:ilvl w:val="0"/>
          <w:numId w:val="224"/>
        </w:numPr>
        <w:rPr>
          <w:rFonts w:ascii="Arial" w:cs="Arial" w:eastAsia="Arial" w:hAnsi="Arial"/>
          <w:sz w:val="15"/>
          <w:szCs w:val="15"/>
          <w:color w:val="auto"/>
        </w:rPr>
      </w:pPr>
      <w:r>
        <w:rPr>
          <w:rFonts w:ascii="Arial" w:cs="Arial" w:eastAsia="Arial" w:hAnsi="Arial"/>
          <w:sz w:val="15"/>
          <w:szCs w:val="15"/>
          <w:i w:val="1"/>
          <w:iCs w:val="1"/>
          <w:color w:val="auto"/>
        </w:rPr>
        <w:t xml:space="preserve">Commitment to Company. </w:t>
      </w:r>
      <w:r>
        <w:rPr>
          <w:rFonts w:ascii="Arial" w:cs="Arial" w:eastAsia="Arial" w:hAnsi="Arial"/>
          <w:sz w:val="15"/>
          <w:szCs w:val="15"/>
          <w:color w:val="auto"/>
        </w:rPr>
        <w:t>During your employment with the Company, you will perform your duties faithfully and to the best of your ability and will devote your full business efforts</w:t>
      </w:r>
      <w:r>
        <w:rPr>
          <w:rFonts w:ascii="Arial" w:cs="Arial" w:eastAsia="Arial" w:hAnsi="Arial"/>
          <w:sz w:val="15"/>
          <w:szCs w:val="15"/>
          <w:i w:val="1"/>
          <w:iCs w:val="1"/>
          <w:color w:val="auto"/>
        </w:rPr>
        <w:t xml:space="preserve"> </w:t>
      </w:r>
      <w:r>
        <w:rPr>
          <w:rFonts w:ascii="Arial" w:cs="Arial" w:eastAsia="Arial" w:hAnsi="Arial"/>
          <w:sz w:val="15"/>
          <w:szCs w:val="15"/>
          <w:color w:val="auto"/>
        </w:rPr>
        <w:t>and time to the Company. Except as specifically approved by the Committee, you agree that, during the term of your employment with the Company, you will not (i) engage in any other employment, occupation, consulting, business or other activity related to the business in which the Company or any of its subsidiaries or affiliates is now involved, any proposed business of the Company or any of its subsidiaries or affiliates, or any business in which the Company or any of its subsidiaries or affiliates becomes involved during the term of your employment, (ii) assist any other person or organization in competing with the Company or in preparing to engage in competition with the business or proposed business of the Company, or (iii) engage in any other activities that conflict with your obligations to the Company or any of its subsidiaries or affiliates. Similarly, you agree not to bring any third party confidential information to the Company, including that of your former employer, and that in performing your duties for the Company you will not in any way utilize any such information. You will disclose to the Company in writing any other employment, business or activity that you are currently associated with or participate in that competes with the Company.</w:t>
      </w:r>
    </w:p>
    <w:p>
      <w:pPr>
        <w:spacing w:after="0" w:line="82" w:lineRule="exact"/>
        <w:rPr>
          <w:rFonts w:ascii="Arial" w:cs="Arial" w:eastAsia="Arial" w:hAnsi="Arial"/>
          <w:sz w:val="15"/>
          <w:szCs w:val="15"/>
          <w:color w:val="auto"/>
        </w:rPr>
      </w:pPr>
    </w:p>
    <w:p>
      <w:pPr>
        <w:ind w:left="450" w:hanging="450"/>
        <w:spacing w:after="0" w:line="276" w:lineRule="auto"/>
        <w:tabs>
          <w:tab w:leader="none" w:pos="450" w:val="left"/>
        </w:tabs>
        <w:numPr>
          <w:ilvl w:val="0"/>
          <w:numId w:val="224"/>
        </w:numPr>
        <w:rPr>
          <w:rFonts w:ascii="Arial" w:cs="Arial" w:eastAsia="Arial" w:hAnsi="Arial"/>
          <w:sz w:val="14"/>
          <w:szCs w:val="14"/>
          <w:color w:val="auto"/>
        </w:rPr>
      </w:pPr>
      <w:r>
        <w:rPr>
          <w:rFonts w:ascii="Arial" w:cs="Arial" w:eastAsia="Arial" w:hAnsi="Arial"/>
          <w:sz w:val="14"/>
          <w:szCs w:val="14"/>
          <w:i w:val="1"/>
          <w:iCs w:val="1"/>
          <w:color w:val="auto"/>
        </w:rPr>
        <w:t xml:space="preserve">Protected Activity Not Prohibited. </w:t>
      </w:r>
      <w:r>
        <w:rPr>
          <w:rFonts w:ascii="Arial" w:cs="Arial" w:eastAsia="Arial" w:hAnsi="Arial"/>
          <w:sz w:val="14"/>
          <w:szCs w:val="14"/>
          <w:color w:val="auto"/>
        </w:rPr>
        <w:t>Nothing in this Agreement or in any other agreement between you or the Company, as applicable, will in any way limit or prohibit you from</w:t>
      </w:r>
      <w:r>
        <w:rPr>
          <w:rFonts w:ascii="Arial" w:cs="Arial" w:eastAsia="Arial" w:hAnsi="Arial"/>
          <w:sz w:val="14"/>
          <w:szCs w:val="14"/>
          <w:i w:val="1"/>
          <w:iCs w:val="1"/>
          <w:color w:val="auto"/>
        </w:rPr>
        <w:t xml:space="preserve"> </w:t>
      </w:r>
      <w:r>
        <w:rPr>
          <w:rFonts w:ascii="Arial" w:cs="Arial" w:eastAsia="Arial" w:hAnsi="Arial"/>
          <w:sz w:val="14"/>
          <w:szCs w:val="14"/>
          <w:color w:val="auto"/>
        </w:rPr>
        <w:t>engaging for a lawful purpose in any Protected Activity. For purposes of this Agreement,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w:t>
      </w:r>
    </w:p>
    <w:p>
      <w:pPr>
        <w:spacing w:after="0" w:line="91"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50"/>
          </w:cols>
          <w:pgMar w:left="230" w:top="253" w:right="219" w:bottom="1440" w:gutter="0" w:footer="0" w:header="0"/>
        </w:sectPr>
      </w:pPr>
    </w:p>
    <w:bookmarkStart w:id="353" w:name="page354"/>
    <w:bookmarkEnd w:id="353"/>
    <w:p>
      <w:pPr>
        <w:ind w:left="450" w:right="160"/>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constitute Confidential Information (within the meaning of the EIACA) to any parties other than the relevant government agencies. You further understand that “Protected Activity” does 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79" w:lineRule="exact"/>
        <w:rPr>
          <w:sz w:val="20"/>
          <w:szCs w:val="20"/>
          <w:color w:val="auto"/>
        </w:rPr>
      </w:pPr>
    </w:p>
    <w:p>
      <w:pPr>
        <w:ind w:left="450" w:right="220" w:hanging="450"/>
        <w:spacing w:after="0" w:line="263" w:lineRule="auto"/>
        <w:tabs>
          <w:tab w:leader="none" w:pos="450" w:val="left"/>
        </w:tabs>
        <w:numPr>
          <w:ilvl w:val="0"/>
          <w:numId w:val="225"/>
        </w:numPr>
        <w:rPr>
          <w:rFonts w:ascii="Arial" w:cs="Arial" w:eastAsia="Arial" w:hAnsi="Arial"/>
          <w:sz w:val="15"/>
          <w:szCs w:val="15"/>
          <w:color w:val="auto"/>
        </w:rPr>
      </w:pPr>
      <w:r>
        <w:rPr>
          <w:rFonts w:ascii="Arial" w:cs="Arial" w:eastAsia="Arial" w:hAnsi="Arial"/>
          <w:sz w:val="15"/>
          <w:szCs w:val="15"/>
          <w:i w:val="1"/>
          <w:iCs w:val="1"/>
          <w:color w:val="auto"/>
        </w:rPr>
        <w:t xml:space="preserve">Miscellaneous. </w:t>
      </w:r>
      <w:r>
        <w:rPr>
          <w:rFonts w:ascii="Arial" w:cs="Arial" w:eastAsia="Arial" w:hAnsi="Arial"/>
          <w:sz w:val="15"/>
          <w:szCs w:val="15"/>
          <w:color w:val="auto"/>
        </w:rPr>
        <w:t>This Agreement, along with the EIACA and the Severance Agreement, constitute the entire agreement between you and the Company regarding the subject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discussed herein, and they supersede all prior negotiations, representations or agreements between you and the Company. This Agreement may only be modified by a written agreement signed by you and the Company’s Chief Executive Officer.</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5"/>
          <w:szCs w:val="15"/>
          <w:color w:val="auto"/>
        </w:rPr>
        <w:t>To confirm the current terms and conditions of your employment, please sign and date in the spaces indicated and return this Agreement to the Company.</w:t>
      </w:r>
    </w:p>
    <w:p>
      <w:pPr>
        <w:spacing w:after="0" w:line="211" w:lineRule="exact"/>
        <w:rPr>
          <w:sz w:val="20"/>
          <w:szCs w:val="20"/>
          <w:color w:val="auto"/>
        </w:rPr>
      </w:pPr>
    </w:p>
    <w:p>
      <w:pPr>
        <w:ind w:left="6870"/>
        <w:spacing w:after="0"/>
        <w:rPr>
          <w:sz w:val="20"/>
          <w:szCs w:val="20"/>
          <w:color w:val="auto"/>
        </w:rPr>
      </w:pPr>
      <w:r>
        <w:rPr>
          <w:rFonts w:ascii="Arial" w:cs="Arial" w:eastAsia="Arial" w:hAnsi="Arial"/>
          <w:sz w:val="15"/>
          <w:szCs w:val="15"/>
          <w:color w:val="auto"/>
        </w:rPr>
        <w:t>Sincerely,</w:t>
      </w:r>
    </w:p>
    <w:p>
      <w:pPr>
        <w:spacing w:after="0" w:line="98" w:lineRule="exact"/>
        <w:rPr>
          <w:sz w:val="20"/>
          <w:szCs w:val="20"/>
          <w:color w:val="auto"/>
        </w:rPr>
      </w:pPr>
    </w:p>
    <w:p>
      <w:pPr>
        <w:ind w:left="6870"/>
        <w:spacing w:after="0"/>
        <w:rPr>
          <w:sz w:val="20"/>
          <w:szCs w:val="20"/>
          <w:color w:val="auto"/>
        </w:rPr>
      </w:pPr>
      <w:r>
        <w:rPr>
          <w:rFonts w:ascii="Arial" w:cs="Arial" w:eastAsia="Arial" w:hAnsi="Arial"/>
          <w:sz w:val="15"/>
          <w:szCs w:val="15"/>
          <w:color w:val="auto"/>
        </w:rPr>
        <w:t>Dropbox, Inc.</w:t>
      </w:r>
    </w:p>
    <w:p>
      <w:pPr>
        <w:spacing w:after="0" w:line="188" w:lineRule="exact"/>
        <w:rPr>
          <w:sz w:val="20"/>
          <w:szCs w:val="20"/>
          <w:color w:val="auto"/>
        </w:rPr>
      </w:pPr>
    </w:p>
    <w:p>
      <w:pPr>
        <w:ind w:left="6870"/>
        <w:spacing w:after="0"/>
        <w:tabs>
          <w:tab w:leader="none" w:pos="7229" w:val="left"/>
        </w:tabs>
        <w:rPr>
          <w:sz w:val="20"/>
          <w:szCs w:val="20"/>
          <w:color w:val="auto"/>
        </w:rPr>
      </w:pPr>
      <w:r>
        <w:rPr>
          <w:rFonts w:ascii="Arial" w:cs="Arial" w:eastAsia="Arial" w:hAnsi="Arial"/>
          <w:sz w:val="15"/>
          <w:szCs w:val="15"/>
          <w:color w:val="auto"/>
        </w:rPr>
        <w:t>By:</w:t>
        <w:tab/>
        <w:t>/s/ Andrew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12065</wp:posOffset>
            </wp:positionV>
            <wp:extent cx="272859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ind w:left="7250"/>
        <w:spacing w:after="0"/>
        <w:rPr>
          <w:sz w:val="20"/>
          <w:szCs w:val="20"/>
          <w:color w:val="auto"/>
        </w:rPr>
      </w:pPr>
      <w:r>
        <w:rPr>
          <w:rFonts w:ascii="Arial" w:cs="Arial" w:eastAsia="Arial" w:hAnsi="Arial"/>
          <w:sz w:val="15"/>
          <w:szCs w:val="15"/>
          <w:color w:val="auto"/>
        </w:rPr>
        <w:t>Andrew Houston</w:t>
      </w:r>
    </w:p>
    <w:p>
      <w:pPr>
        <w:spacing w:after="0" w:line="17" w:lineRule="exact"/>
        <w:rPr>
          <w:sz w:val="20"/>
          <w:szCs w:val="20"/>
          <w:color w:val="auto"/>
        </w:rPr>
      </w:pPr>
    </w:p>
    <w:p>
      <w:pPr>
        <w:ind w:left="7250"/>
        <w:spacing w:after="0"/>
        <w:rPr>
          <w:sz w:val="20"/>
          <w:szCs w:val="20"/>
          <w:color w:val="auto"/>
        </w:rPr>
      </w:pPr>
      <w:r>
        <w:rPr>
          <w:rFonts w:ascii="Arial" w:cs="Arial" w:eastAsia="Arial" w:hAnsi="Arial"/>
          <w:sz w:val="15"/>
          <w:szCs w:val="15"/>
          <w:color w:val="auto"/>
        </w:rPr>
        <w:t>Chief Executive Officer</w:t>
      </w:r>
    </w:p>
    <w:p>
      <w:pPr>
        <w:spacing w:after="0" w:line="179" w:lineRule="exact"/>
        <w:rPr>
          <w:sz w:val="20"/>
          <w:szCs w:val="20"/>
          <w:color w:val="auto"/>
        </w:rPr>
      </w:pPr>
    </w:p>
    <w:p>
      <w:pPr>
        <w:ind w:left="10" w:right="300" w:firstLine="916"/>
        <w:spacing w:after="0" w:line="275" w:lineRule="auto"/>
        <w:rPr>
          <w:sz w:val="20"/>
          <w:szCs w:val="20"/>
          <w:color w:val="auto"/>
        </w:rPr>
      </w:pPr>
      <w:r>
        <w:rPr>
          <w:rFonts w:ascii="Arial" w:cs="Arial" w:eastAsia="Arial" w:hAnsi="Arial"/>
          <w:sz w:val="15"/>
          <w:szCs w:val="15"/>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440" w:type="dxa"/>
            <w:vAlign w:val="bottom"/>
          </w:tcPr>
          <w:p>
            <w:pPr>
              <w:spacing w:after="0"/>
              <w:rPr>
                <w:sz w:val="20"/>
                <w:szCs w:val="20"/>
                <w:color w:val="auto"/>
              </w:rPr>
            </w:pPr>
            <w:r>
              <w:rPr>
                <w:rFonts w:ascii="Arial" w:cs="Arial" w:eastAsia="Arial" w:hAnsi="Arial"/>
                <w:sz w:val="15"/>
                <w:szCs w:val="15"/>
                <w:color w:val="auto"/>
              </w:rPr>
              <w:t>Date: March 7, 2018</w:t>
            </w:r>
          </w:p>
        </w:tc>
        <w:tc>
          <w:tcPr>
            <w:tcW w:w="2620" w:type="dxa"/>
            <w:vAlign w:val="bottom"/>
          </w:tcPr>
          <w:p>
            <w:pPr>
              <w:spacing w:after="0"/>
              <w:rPr>
                <w:sz w:val="16"/>
                <w:szCs w:val="16"/>
                <w:color w:val="auto"/>
              </w:rPr>
            </w:pPr>
          </w:p>
        </w:tc>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/s/ Quentin Clark</w:t>
            </w:r>
          </w:p>
        </w:tc>
      </w:tr>
      <w:tr>
        <w:trPr>
          <w:trHeight w:val="182"/>
        </w:trPr>
        <w:tc>
          <w:tcPr>
            <w:tcW w:w="34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ind w:left="120"/>
              <w:spacing w:after="0"/>
              <w:rPr>
                <w:sz w:val="20"/>
                <w:szCs w:val="20"/>
                <w:color w:val="auto"/>
              </w:rPr>
            </w:pPr>
            <w:r>
              <w:rPr>
                <w:rFonts w:ascii="Arial" w:cs="Arial" w:eastAsia="Arial" w:hAnsi="Arial"/>
                <w:sz w:val="15"/>
                <w:szCs w:val="15"/>
                <w:color w:val="auto"/>
              </w:rPr>
              <w:t>Signature</w:t>
            </w:r>
          </w:p>
        </w:tc>
      </w:tr>
      <w:tr>
        <w:trPr>
          <w:trHeight w:val="294"/>
        </w:trPr>
        <w:tc>
          <w:tcPr>
            <w:tcW w:w="3440" w:type="dxa"/>
            <w:vAlign w:val="bottom"/>
          </w:tcPr>
          <w:p>
            <w:pPr>
              <w:spacing w:after="0"/>
              <w:rPr>
                <w:sz w:val="24"/>
                <w:szCs w:val="24"/>
                <w:color w:val="auto"/>
              </w:rPr>
            </w:pPr>
          </w:p>
        </w:tc>
        <w:tc>
          <w:tcPr>
            <w:tcW w:w="2620" w:type="dxa"/>
            <w:vAlign w:val="bottom"/>
          </w:tcPr>
          <w:p>
            <w:pPr>
              <w:jc w:val="right"/>
              <w:ind w:right="185"/>
              <w:spacing w:after="0"/>
              <w:rPr>
                <w:sz w:val="20"/>
                <w:szCs w:val="20"/>
                <w:color w:val="auto"/>
              </w:rPr>
            </w:pPr>
            <w:r>
              <w:rPr>
                <w:rFonts w:ascii="Arial" w:cs="Arial" w:eastAsia="Arial" w:hAnsi="Arial"/>
                <w:sz w:val="15"/>
                <w:szCs w:val="15"/>
                <w:color w:val="auto"/>
              </w:rPr>
              <w:t>-4-</w:t>
            </w:r>
          </w:p>
        </w:tc>
        <w:tc>
          <w:tcPr>
            <w:tcW w:w="5380" w:type="dxa"/>
            <w:vAlign w:val="bottom"/>
          </w:tcPr>
          <w:p>
            <w:pPr>
              <w:spacing w:after="0"/>
              <w:rPr>
                <w:sz w:val="24"/>
                <w:szCs w:val="24"/>
                <w:color w:val="auto"/>
              </w:rPr>
            </w:pPr>
          </w:p>
        </w:tc>
      </w:tr>
    </w:tbl>
    <w:p>
      <w:pPr>
        <w:sectPr>
          <w:pgSz w:w="11900" w:h="16838" w:orient="portrait"/>
          <w:cols w:equalWidth="0" w:num="1">
            <w:col w:w="11450"/>
          </w:cols>
          <w:pgMar w:left="230" w:top="253" w:right="21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7 OF THE DEFEND TRADE SECRETS ACT OF 2016</w:t>
      </w:r>
    </w:p>
    <w:p>
      <w:pPr>
        <w:spacing w:after="0" w:line="192" w:lineRule="exact"/>
        <w:rPr>
          <w:sz w:val="20"/>
          <w:szCs w:val="20"/>
          <w:color w:val="auto"/>
        </w:rPr>
      </w:pPr>
    </w:p>
    <w:p>
      <w:pPr>
        <w:ind w:firstLine="916"/>
        <w:spacing w:after="0" w:line="279" w:lineRule="auto"/>
        <w:rPr>
          <w:sz w:val="20"/>
          <w:szCs w:val="20"/>
          <w:color w:val="auto"/>
        </w:rPr>
      </w:pPr>
      <w:r>
        <w:rPr>
          <w:rFonts w:ascii="Arial" w:cs="Arial" w:eastAsia="Arial" w:hAnsi="Arial"/>
          <w:sz w:val="14"/>
          <w:szCs w:val="14"/>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49"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5"/>
          <w:szCs w:val="15"/>
          <w:b w:val="1"/>
          <w:bCs w:val="1"/>
          <w:color w:val="auto"/>
        </w:rPr>
        <w:t>Exhibit 10.22</w:t>
      </w:r>
    </w:p>
    <w:p>
      <w:pPr>
        <w:spacing w:after="0" w:line="369"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CLASS A COMMON STOCK PURCHASE AGREEMENT</w:t>
      </w:r>
    </w:p>
    <w:p>
      <w:pPr>
        <w:spacing w:after="0" w:line="188"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March 7, 2018</w:t>
      </w:r>
    </w:p>
    <w:p>
      <w:pPr>
        <w:sectPr>
          <w:pgSz w:w="11900" w:h="16838" w:orient="portrait"/>
          <w:cols w:equalWidth="0" w:num="1">
            <w:col w:w="10240"/>
          </w:cols>
          <w:pgMar w:left="1440" w:top="125" w:right="21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194"/>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840" w:type="dxa"/>
            <w:vAlign w:val="bottom"/>
          </w:tcPr>
          <w:p>
            <w:pPr>
              <w:jc w:val="right"/>
              <w:ind w:right="4625"/>
              <w:spacing w:after="0"/>
              <w:rPr>
                <w:sz w:val="20"/>
                <w:szCs w:val="20"/>
                <w:color w:val="auto"/>
              </w:rPr>
            </w:pPr>
            <w:r>
              <w:rPr>
                <w:rFonts w:ascii="Arial" w:cs="Arial" w:eastAsia="Arial" w:hAnsi="Arial"/>
                <w:sz w:val="15"/>
                <w:szCs w:val="15"/>
                <w:b w:val="1"/>
                <w:bCs w:val="1"/>
                <w:color w:val="auto"/>
              </w:rPr>
              <w:t>TABLE OF CONTENTS</w:t>
            </w:r>
          </w:p>
        </w:tc>
      </w:tr>
      <w:tr>
        <w:trPr>
          <w:trHeight w:val="318"/>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80"/>
        </w:trPr>
        <w:tc>
          <w:tcPr>
            <w:tcW w:w="4380" w:type="dxa"/>
            <w:vAlign w:val="bottom"/>
            <w:gridSpan w:val="3"/>
          </w:tcPr>
          <w:p>
            <w:pPr>
              <w:spacing w:after="0"/>
              <w:rPr>
                <w:sz w:val="20"/>
                <w:szCs w:val="20"/>
                <w:color w:val="auto"/>
              </w:rPr>
            </w:pPr>
            <w:r>
              <w:rPr>
                <w:rFonts w:ascii="Arial" w:cs="Arial" w:eastAsia="Arial" w:hAnsi="Arial"/>
                <w:sz w:val="15"/>
                <w:szCs w:val="15"/>
                <w:color w:val="auto"/>
              </w:rPr>
              <w:t>1.   Purchase and Sale of Stock</w:t>
            </w:r>
          </w:p>
        </w:tc>
        <w:tc>
          <w:tcPr>
            <w:tcW w:w="6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1.1</w:t>
            </w:r>
          </w:p>
        </w:tc>
        <w:tc>
          <w:tcPr>
            <w:tcW w:w="3740" w:type="dxa"/>
            <w:vAlign w:val="bottom"/>
          </w:tcPr>
          <w:p>
            <w:pPr>
              <w:ind w:left="60"/>
              <w:spacing w:after="0"/>
              <w:rPr>
                <w:sz w:val="20"/>
                <w:szCs w:val="20"/>
                <w:color w:val="auto"/>
              </w:rPr>
            </w:pPr>
            <w:r>
              <w:rPr>
                <w:rFonts w:ascii="Arial" w:cs="Arial" w:eastAsia="Arial" w:hAnsi="Arial"/>
                <w:sz w:val="15"/>
                <w:szCs w:val="15"/>
                <w:color w:val="auto"/>
              </w:rPr>
              <w:t>Sale and Issuance of Common Stock</w:t>
            </w:r>
          </w:p>
        </w:tc>
        <w:tc>
          <w:tcPr>
            <w:tcW w:w="6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0"/>
        </w:trPr>
        <w:tc>
          <w:tcPr>
            <w:tcW w:w="22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1.2</w:t>
            </w:r>
          </w:p>
        </w:tc>
        <w:tc>
          <w:tcPr>
            <w:tcW w:w="3740" w:type="dxa"/>
            <w:vAlign w:val="bottom"/>
          </w:tcPr>
          <w:p>
            <w:pPr>
              <w:ind w:left="60"/>
              <w:spacing w:after="0"/>
              <w:rPr>
                <w:sz w:val="20"/>
                <w:szCs w:val="20"/>
                <w:color w:val="auto"/>
              </w:rPr>
            </w:pPr>
            <w:r>
              <w:rPr>
                <w:rFonts w:ascii="Arial" w:cs="Arial" w:eastAsia="Arial" w:hAnsi="Arial"/>
                <w:sz w:val="15"/>
                <w:szCs w:val="15"/>
                <w:color w:val="auto"/>
              </w:rPr>
              <w:t>Closing</w:t>
            </w:r>
          </w:p>
        </w:tc>
        <w:tc>
          <w:tcPr>
            <w:tcW w:w="6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71"/>
        </w:trPr>
        <w:tc>
          <w:tcPr>
            <w:tcW w:w="220" w:type="dxa"/>
            <w:vAlign w:val="bottom"/>
          </w:tcPr>
          <w:p>
            <w:pPr>
              <w:spacing w:after="0"/>
              <w:rPr>
                <w:sz w:val="20"/>
                <w:szCs w:val="20"/>
                <w:color w:val="auto"/>
              </w:rPr>
            </w:pPr>
            <w:r>
              <w:rPr>
                <w:rFonts w:ascii="Arial" w:cs="Arial" w:eastAsia="Arial" w:hAnsi="Arial"/>
                <w:sz w:val="15"/>
                <w:szCs w:val="15"/>
                <w:color w:val="auto"/>
              </w:rPr>
              <w:t>2.</w:t>
            </w:r>
          </w:p>
        </w:tc>
        <w:tc>
          <w:tcPr>
            <w:tcW w:w="4160" w:type="dxa"/>
            <w:vAlign w:val="bottom"/>
            <w:gridSpan w:val="2"/>
          </w:tcPr>
          <w:p>
            <w:pPr>
              <w:ind w:left="100"/>
              <w:spacing w:after="0"/>
              <w:rPr>
                <w:sz w:val="20"/>
                <w:szCs w:val="20"/>
                <w:color w:val="auto"/>
              </w:rPr>
            </w:pPr>
            <w:r>
              <w:rPr>
                <w:rFonts w:ascii="Arial" w:cs="Arial" w:eastAsia="Arial" w:hAnsi="Arial"/>
                <w:sz w:val="15"/>
                <w:szCs w:val="15"/>
                <w:color w:val="auto"/>
              </w:rPr>
              <w:t>Registration Rights</w:t>
            </w:r>
          </w:p>
        </w:tc>
        <w:tc>
          <w:tcPr>
            <w:tcW w:w="6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61"/>
        </w:trPr>
        <w:tc>
          <w:tcPr>
            <w:tcW w:w="4380" w:type="dxa"/>
            <w:vAlign w:val="bottom"/>
            <w:gridSpan w:val="3"/>
          </w:tcPr>
          <w:p>
            <w:pPr>
              <w:spacing w:after="0"/>
              <w:rPr>
                <w:sz w:val="20"/>
                <w:szCs w:val="20"/>
                <w:color w:val="auto"/>
              </w:rPr>
            </w:pPr>
            <w:r>
              <w:rPr>
                <w:rFonts w:ascii="Arial" w:cs="Arial" w:eastAsia="Arial" w:hAnsi="Arial"/>
                <w:sz w:val="15"/>
                <w:szCs w:val="15"/>
                <w:color w:val="auto"/>
              </w:rPr>
              <w:t>3.   Representations and Warranties of the Company</w:t>
            </w:r>
          </w:p>
        </w:tc>
        <w:tc>
          <w:tcPr>
            <w:tcW w:w="6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3.1</w:t>
            </w:r>
          </w:p>
        </w:tc>
        <w:tc>
          <w:tcPr>
            <w:tcW w:w="3740" w:type="dxa"/>
            <w:vAlign w:val="bottom"/>
          </w:tcPr>
          <w:p>
            <w:pPr>
              <w:ind w:left="60"/>
              <w:spacing w:after="0"/>
              <w:rPr>
                <w:sz w:val="20"/>
                <w:szCs w:val="20"/>
                <w:color w:val="auto"/>
              </w:rPr>
            </w:pPr>
            <w:r>
              <w:rPr>
                <w:rFonts w:ascii="Arial" w:cs="Arial" w:eastAsia="Arial" w:hAnsi="Arial"/>
                <w:sz w:val="15"/>
                <w:szCs w:val="15"/>
                <w:color w:val="auto"/>
              </w:rPr>
              <w:t>Organization, Good Standing and Qualification</w:t>
            </w:r>
          </w:p>
        </w:tc>
        <w:tc>
          <w:tcPr>
            <w:tcW w:w="6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3.2</w:t>
            </w:r>
          </w:p>
        </w:tc>
        <w:tc>
          <w:tcPr>
            <w:tcW w:w="3740" w:type="dxa"/>
            <w:vAlign w:val="bottom"/>
          </w:tcPr>
          <w:p>
            <w:pPr>
              <w:ind w:left="60"/>
              <w:spacing w:after="0"/>
              <w:rPr>
                <w:sz w:val="20"/>
                <w:szCs w:val="20"/>
                <w:color w:val="auto"/>
              </w:rPr>
            </w:pPr>
            <w:r>
              <w:rPr>
                <w:rFonts w:ascii="Arial" w:cs="Arial" w:eastAsia="Arial" w:hAnsi="Arial"/>
                <w:sz w:val="15"/>
                <w:szCs w:val="15"/>
                <w:color w:val="auto"/>
              </w:rPr>
              <w:t>Authorization</w:t>
            </w:r>
          </w:p>
        </w:tc>
        <w:tc>
          <w:tcPr>
            <w:tcW w:w="6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3.3</w:t>
            </w:r>
          </w:p>
        </w:tc>
        <w:tc>
          <w:tcPr>
            <w:tcW w:w="3740" w:type="dxa"/>
            <w:vAlign w:val="bottom"/>
          </w:tcPr>
          <w:p>
            <w:pPr>
              <w:ind w:left="60"/>
              <w:spacing w:after="0"/>
              <w:rPr>
                <w:sz w:val="20"/>
                <w:szCs w:val="20"/>
                <w:color w:val="auto"/>
              </w:rPr>
            </w:pPr>
            <w:r>
              <w:rPr>
                <w:rFonts w:ascii="Arial" w:cs="Arial" w:eastAsia="Arial" w:hAnsi="Arial"/>
                <w:sz w:val="15"/>
                <w:szCs w:val="15"/>
                <w:color w:val="auto"/>
              </w:rPr>
              <w:t>Valid Issuance of Common Stock</w:t>
            </w:r>
          </w:p>
        </w:tc>
        <w:tc>
          <w:tcPr>
            <w:tcW w:w="6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3.4</w:t>
            </w:r>
          </w:p>
        </w:tc>
        <w:tc>
          <w:tcPr>
            <w:tcW w:w="3740" w:type="dxa"/>
            <w:vAlign w:val="bottom"/>
          </w:tcPr>
          <w:p>
            <w:pPr>
              <w:ind w:left="60"/>
              <w:spacing w:after="0"/>
              <w:rPr>
                <w:sz w:val="20"/>
                <w:szCs w:val="20"/>
                <w:color w:val="auto"/>
              </w:rPr>
            </w:pPr>
            <w:r>
              <w:rPr>
                <w:rFonts w:ascii="Arial" w:cs="Arial" w:eastAsia="Arial" w:hAnsi="Arial"/>
                <w:sz w:val="15"/>
                <w:szCs w:val="15"/>
                <w:color w:val="auto"/>
              </w:rPr>
              <w:t>Compliance with Other Instruments</w:t>
            </w:r>
          </w:p>
        </w:tc>
        <w:tc>
          <w:tcPr>
            <w:tcW w:w="6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3.5</w:t>
            </w:r>
          </w:p>
        </w:tc>
        <w:tc>
          <w:tcPr>
            <w:tcW w:w="3740" w:type="dxa"/>
            <w:vAlign w:val="bottom"/>
          </w:tcPr>
          <w:p>
            <w:pPr>
              <w:ind w:left="60"/>
              <w:spacing w:after="0"/>
              <w:rPr>
                <w:sz w:val="20"/>
                <w:szCs w:val="20"/>
                <w:color w:val="auto"/>
              </w:rPr>
            </w:pPr>
            <w:r>
              <w:rPr>
                <w:rFonts w:ascii="Arial" w:cs="Arial" w:eastAsia="Arial" w:hAnsi="Arial"/>
                <w:sz w:val="15"/>
                <w:szCs w:val="15"/>
                <w:color w:val="auto"/>
              </w:rPr>
              <w:t>Description of Capital Stock</w:t>
            </w:r>
          </w:p>
        </w:tc>
        <w:tc>
          <w:tcPr>
            <w:tcW w:w="6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3.6</w:t>
            </w:r>
          </w:p>
        </w:tc>
        <w:tc>
          <w:tcPr>
            <w:tcW w:w="3740" w:type="dxa"/>
            <w:vAlign w:val="bottom"/>
          </w:tcPr>
          <w:p>
            <w:pPr>
              <w:ind w:left="60"/>
              <w:spacing w:after="0"/>
              <w:rPr>
                <w:sz w:val="20"/>
                <w:szCs w:val="20"/>
                <w:color w:val="auto"/>
              </w:rPr>
            </w:pPr>
            <w:r>
              <w:rPr>
                <w:rFonts w:ascii="Arial" w:cs="Arial" w:eastAsia="Arial" w:hAnsi="Arial"/>
                <w:sz w:val="15"/>
                <w:szCs w:val="15"/>
                <w:color w:val="auto"/>
              </w:rPr>
              <w:t>Registration Statement</w:t>
            </w:r>
          </w:p>
        </w:tc>
        <w:tc>
          <w:tcPr>
            <w:tcW w:w="6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3.7</w:t>
            </w:r>
          </w:p>
        </w:tc>
        <w:tc>
          <w:tcPr>
            <w:tcW w:w="3740" w:type="dxa"/>
            <w:vAlign w:val="bottom"/>
          </w:tcPr>
          <w:p>
            <w:pPr>
              <w:ind w:left="60"/>
              <w:spacing w:after="0"/>
              <w:rPr>
                <w:sz w:val="20"/>
                <w:szCs w:val="20"/>
                <w:color w:val="auto"/>
              </w:rPr>
            </w:pPr>
            <w:r>
              <w:rPr>
                <w:rFonts w:ascii="Arial" w:cs="Arial" w:eastAsia="Arial" w:hAnsi="Arial"/>
                <w:sz w:val="15"/>
                <w:szCs w:val="15"/>
                <w:color w:val="auto"/>
              </w:rPr>
              <w:t>Brokers or Finders</w:t>
            </w:r>
          </w:p>
        </w:tc>
        <w:tc>
          <w:tcPr>
            <w:tcW w:w="6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22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3.8</w:t>
            </w:r>
          </w:p>
        </w:tc>
        <w:tc>
          <w:tcPr>
            <w:tcW w:w="3740" w:type="dxa"/>
            <w:vAlign w:val="bottom"/>
          </w:tcPr>
          <w:p>
            <w:pPr>
              <w:ind w:left="60"/>
              <w:spacing w:after="0"/>
              <w:rPr>
                <w:sz w:val="20"/>
                <w:szCs w:val="20"/>
                <w:color w:val="auto"/>
              </w:rPr>
            </w:pPr>
            <w:r>
              <w:rPr>
                <w:rFonts w:ascii="Arial" w:cs="Arial" w:eastAsia="Arial" w:hAnsi="Arial"/>
                <w:sz w:val="15"/>
                <w:szCs w:val="15"/>
                <w:color w:val="auto"/>
              </w:rPr>
              <w:t>Private Placement</w:t>
            </w:r>
          </w:p>
        </w:tc>
        <w:tc>
          <w:tcPr>
            <w:tcW w:w="6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61"/>
        </w:trPr>
        <w:tc>
          <w:tcPr>
            <w:tcW w:w="4380" w:type="dxa"/>
            <w:vAlign w:val="bottom"/>
            <w:gridSpan w:val="3"/>
          </w:tcPr>
          <w:p>
            <w:pPr>
              <w:spacing w:after="0"/>
              <w:rPr>
                <w:sz w:val="20"/>
                <w:szCs w:val="20"/>
                <w:color w:val="auto"/>
              </w:rPr>
            </w:pPr>
            <w:r>
              <w:rPr>
                <w:rFonts w:ascii="Arial" w:cs="Arial" w:eastAsia="Arial" w:hAnsi="Arial"/>
                <w:sz w:val="15"/>
                <w:szCs w:val="15"/>
                <w:color w:val="auto"/>
              </w:rPr>
              <w:t>4.   Representations, Warranties and Covenants of the Investor</w:t>
            </w:r>
          </w:p>
        </w:tc>
        <w:tc>
          <w:tcPr>
            <w:tcW w:w="6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4.1</w:t>
            </w:r>
          </w:p>
        </w:tc>
        <w:tc>
          <w:tcPr>
            <w:tcW w:w="3740" w:type="dxa"/>
            <w:vAlign w:val="bottom"/>
          </w:tcPr>
          <w:p>
            <w:pPr>
              <w:ind w:left="60"/>
              <w:spacing w:after="0"/>
              <w:rPr>
                <w:sz w:val="20"/>
                <w:szCs w:val="20"/>
                <w:color w:val="auto"/>
              </w:rPr>
            </w:pPr>
            <w:r>
              <w:rPr>
                <w:rFonts w:ascii="Arial" w:cs="Arial" w:eastAsia="Arial" w:hAnsi="Arial"/>
                <w:sz w:val="15"/>
                <w:szCs w:val="15"/>
                <w:color w:val="auto"/>
              </w:rPr>
              <w:t>Organization, Good Standing and Qualification</w:t>
            </w:r>
          </w:p>
        </w:tc>
        <w:tc>
          <w:tcPr>
            <w:tcW w:w="6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4.2</w:t>
            </w:r>
          </w:p>
        </w:tc>
        <w:tc>
          <w:tcPr>
            <w:tcW w:w="3740" w:type="dxa"/>
            <w:vAlign w:val="bottom"/>
          </w:tcPr>
          <w:p>
            <w:pPr>
              <w:ind w:left="60"/>
              <w:spacing w:after="0"/>
              <w:rPr>
                <w:sz w:val="20"/>
                <w:szCs w:val="20"/>
                <w:color w:val="auto"/>
              </w:rPr>
            </w:pPr>
            <w:r>
              <w:rPr>
                <w:rFonts w:ascii="Arial" w:cs="Arial" w:eastAsia="Arial" w:hAnsi="Arial"/>
                <w:sz w:val="15"/>
                <w:szCs w:val="15"/>
                <w:color w:val="auto"/>
              </w:rPr>
              <w:t>Authorization</w:t>
            </w:r>
          </w:p>
        </w:tc>
        <w:tc>
          <w:tcPr>
            <w:tcW w:w="6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4.3</w:t>
            </w:r>
          </w:p>
        </w:tc>
        <w:tc>
          <w:tcPr>
            <w:tcW w:w="3740" w:type="dxa"/>
            <w:vAlign w:val="bottom"/>
          </w:tcPr>
          <w:p>
            <w:pPr>
              <w:ind w:left="60"/>
              <w:spacing w:after="0"/>
              <w:rPr>
                <w:sz w:val="20"/>
                <w:szCs w:val="20"/>
                <w:color w:val="auto"/>
              </w:rPr>
            </w:pPr>
            <w:r>
              <w:rPr>
                <w:rFonts w:ascii="Arial" w:cs="Arial" w:eastAsia="Arial" w:hAnsi="Arial"/>
                <w:sz w:val="15"/>
                <w:szCs w:val="15"/>
                <w:color w:val="auto"/>
              </w:rPr>
              <w:t>Purchase Entirely for Own Account</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4.4</w:t>
            </w:r>
          </w:p>
        </w:tc>
        <w:tc>
          <w:tcPr>
            <w:tcW w:w="3740" w:type="dxa"/>
            <w:vAlign w:val="bottom"/>
          </w:tcPr>
          <w:p>
            <w:pPr>
              <w:ind w:left="60"/>
              <w:spacing w:after="0"/>
              <w:rPr>
                <w:sz w:val="20"/>
                <w:szCs w:val="20"/>
                <w:color w:val="auto"/>
              </w:rPr>
            </w:pPr>
            <w:r>
              <w:rPr>
                <w:rFonts w:ascii="Arial" w:cs="Arial" w:eastAsia="Arial" w:hAnsi="Arial"/>
                <w:sz w:val="15"/>
                <w:szCs w:val="15"/>
                <w:color w:val="auto"/>
              </w:rPr>
              <w:t>Disclosure of Information</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4.5</w:t>
            </w:r>
          </w:p>
        </w:tc>
        <w:tc>
          <w:tcPr>
            <w:tcW w:w="3740" w:type="dxa"/>
            <w:vAlign w:val="bottom"/>
          </w:tcPr>
          <w:p>
            <w:pPr>
              <w:ind w:left="60"/>
              <w:spacing w:after="0"/>
              <w:rPr>
                <w:sz w:val="20"/>
                <w:szCs w:val="20"/>
                <w:color w:val="auto"/>
              </w:rPr>
            </w:pPr>
            <w:r>
              <w:rPr>
                <w:rFonts w:ascii="Arial" w:cs="Arial" w:eastAsia="Arial" w:hAnsi="Arial"/>
                <w:sz w:val="15"/>
                <w:szCs w:val="15"/>
                <w:color w:val="auto"/>
              </w:rPr>
              <w:t>Investment Experience</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4.6</w:t>
            </w:r>
          </w:p>
        </w:tc>
        <w:tc>
          <w:tcPr>
            <w:tcW w:w="3740" w:type="dxa"/>
            <w:vAlign w:val="bottom"/>
          </w:tcPr>
          <w:p>
            <w:pPr>
              <w:ind w:left="60"/>
              <w:spacing w:after="0"/>
              <w:rPr>
                <w:sz w:val="20"/>
                <w:szCs w:val="20"/>
                <w:color w:val="auto"/>
              </w:rPr>
            </w:pPr>
            <w:r>
              <w:rPr>
                <w:rFonts w:ascii="Arial" w:cs="Arial" w:eastAsia="Arial" w:hAnsi="Arial"/>
                <w:sz w:val="15"/>
                <w:szCs w:val="15"/>
                <w:color w:val="auto"/>
              </w:rPr>
              <w:t>Accredited Investor</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4.7</w:t>
            </w:r>
          </w:p>
        </w:tc>
        <w:tc>
          <w:tcPr>
            <w:tcW w:w="3740" w:type="dxa"/>
            <w:vAlign w:val="bottom"/>
          </w:tcPr>
          <w:p>
            <w:pPr>
              <w:ind w:left="60"/>
              <w:spacing w:after="0"/>
              <w:rPr>
                <w:sz w:val="20"/>
                <w:szCs w:val="20"/>
                <w:color w:val="auto"/>
              </w:rPr>
            </w:pPr>
            <w:r>
              <w:rPr>
                <w:rFonts w:ascii="Arial" w:cs="Arial" w:eastAsia="Arial" w:hAnsi="Arial"/>
                <w:sz w:val="15"/>
                <w:szCs w:val="15"/>
                <w:color w:val="auto"/>
              </w:rPr>
              <w:t>Brokers or Finders</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4.8</w:t>
            </w:r>
          </w:p>
        </w:tc>
        <w:tc>
          <w:tcPr>
            <w:tcW w:w="3740" w:type="dxa"/>
            <w:vAlign w:val="bottom"/>
          </w:tcPr>
          <w:p>
            <w:pPr>
              <w:ind w:left="60"/>
              <w:spacing w:after="0"/>
              <w:rPr>
                <w:sz w:val="20"/>
                <w:szCs w:val="20"/>
                <w:color w:val="auto"/>
              </w:rPr>
            </w:pPr>
            <w:r>
              <w:rPr>
                <w:rFonts w:ascii="Arial" w:cs="Arial" w:eastAsia="Arial" w:hAnsi="Arial"/>
                <w:sz w:val="15"/>
                <w:szCs w:val="15"/>
                <w:color w:val="auto"/>
              </w:rPr>
              <w:t>Restricted Securities</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4.9</w:t>
            </w:r>
          </w:p>
        </w:tc>
        <w:tc>
          <w:tcPr>
            <w:tcW w:w="3740" w:type="dxa"/>
            <w:vAlign w:val="bottom"/>
          </w:tcPr>
          <w:p>
            <w:pPr>
              <w:ind w:left="60"/>
              <w:spacing w:after="0"/>
              <w:rPr>
                <w:sz w:val="20"/>
                <w:szCs w:val="20"/>
                <w:color w:val="auto"/>
              </w:rPr>
            </w:pPr>
            <w:r>
              <w:rPr>
                <w:rFonts w:ascii="Arial" w:cs="Arial" w:eastAsia="Arial" w:hAnsi="Arial"/>
                <w:sz w:val="15"/>
                <w:szCs w:val="15"/>
                <w:color w:val="auto"/>
              </w:rPr>
              <w:t>Legends</w:t>
            </w:r>
          </w:p>
        </w:tc>
        <w:tc>
          <w:tcPr>
            <w:tcW w:w="6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4.10</w:t>
            </w:r>
          </w:p>
        </w:tc>
        <w:tc>
          <w:tcPr>
            <w:tcW w:w="3740" w:type="dxa"/>
            <w:vAlign w:val="bottom"/>
          </w:tcPr>
          <w:p>
            <w:pPr>
              <w:ind w:left="60"/>
              <w:spacing w:after="0"/>
              <w:rPr>
                <w:sz w:val="20"/>
                <w:szCs w:val="20"/>
                <w:color w:val="auto"/>
              </w:rPr>
            </w:pPr>
            <w:r>
              <w:rPr>
                <w:rFonts w:ascii="Arial" w:cs="Arial" w:eastAsia="Arial" w:hAnsi="Arial"/>
                <w:sz w:val="15"/>
                <w:szCs w:val="15"/>
                <w:color w:val="auto"/>
              </w:rPr>
              <w:t>Market Stand-Off Agreement; Lock-Up Agreement</w:t>
            </w:r>
          </w:p>
        </w:tc>
        <w:tc>
          <w:tcPr>
            <w:tcW w:w="68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90"/>
        </w:trPr>
        <w:tc>
          <w:tcPr>
            <w:tcW w:w="22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4.11</w:t>
            </w:r>
          </w:p>
        </w:tc>
        <w:tc>
          <w:tcPr>
            <w:tcW w:w="3740" w:type="dxa"/>
            <w:vAlign w:val="bottom"/>
          </w:tcPr>
          <w:p>
            <w:pPr>
              <w:ind w:left="60"/>
              <w:spacing w:after="0"/>
              <w:rPr>
                <w:sz w:val="20"/>
                <w:szCs w:val="20"/>
                <w:color w:val="auto"/>
              </w:rPr>
            </w:pPr>
            <w:r>
              <w:rPr>
                <w:rFonts w:ascii="Arial" w:cs="Arial" w:eastAsia="Arial" w:hAnsi="Arial"/>
                <w:sz w:val="15"/>
                <w:szCs w:val="15"/>
                <w:color w:val="auto"/>
              </w:rPr>
              <w:t>Standstill</w:t>
            </w:r>
          </w:p>
        </w:tc>
        <w:tc>
          <w:tcPr>
            <w:tcW w:w="68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61"/>
        </w:trPr>
        <w:tc>
          <w:tcPr>
            <w:tcW w:w="4380" w:type="dxa"/>
            <w:vAlign w:val="bottom"/>
            <w:gridSpan w:val="3"/>
          </w:tcPr>
          <w:p>
            <w:pPr>
              <w:spacing w:after="0"/>
              <w:rPr>
                <w:sz w:val="20"/>
                <w:szCs w:val="20"/>
                <w:color w:val="auto"/>
              </w:rPr>
            </w:pPr>
            <w:r>
              <w:rPr>
                <w:rFonts w:ascii="Arial" w:cs="Arial" w:eastAsia="Arial" w:hAnsi="Arial"/>
                <w:sz w:val="15"/>
                <w:szCs w:val="15"/>
                <w:color w:val="auto"/>
              </w:rPr>
              <w:t>5.   Conditions of the Investor’s Obligations at Closing</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5.1</w:t>
            </w:r>
          </w:p>
        </w:tc>
        <w:tc>
          <w:tcPr>
            <w:tcW w:w="3740" w:type="dxa"/>
            <w:vAlign w:val="bottom"/>
          </w:tcPr>
          <w:p>
            <w:pPr>
              <w:ind w:left="60"/>
              <w:spacing w:after="0"/>
              <w:rPr>
                <w:sz w:val="20"/>
                <w:szCs w:val="20"/>
                <w:color w:val="auto"/>
              </w:rPr>
            </w:pPr>
            <w:r>
              <w:rPr>
                <w:rFonts w:ascii="Arial" w:cs="Arial" w:eastAsia="Arial" w:hAnsi="Arial"/>
                <w:sz w:val="15"/>
                <w:szCs w:val="15"/>
                <w:color w:val="auto"/>
              </w:rPr>
              <w:t>Representations and Warranties</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5.2</w:t>
            </w:r>
          </w:p>
        </w:tc>
        <w:tc>
          <w:tcPr>
            <w:tcW w:w="3740" w:type="dxa"/>
            <w:vAlign w:val="bottom"/>
          </w:tcPr>
          <w:p>
            <w:pPr>
              <w:ind w:left="60"/>
              <w:spacing w:after="0"/>
              <w:rPr>
                <w:sz w:val="20"/>
                <w:szCs w:val="20"/>
                <w:color w:val="auto"/>
              </w:rPr>
            </w:pPr>
            <w:r>
              <w:rPr>
                <w:rFonts w:ascii="Arial" w:cs="Arial" w:eastAsia="Arial" w:hAnsi="Arial"/>
                <w:sz w:val="15"/>
                <w:szCs w:val="15"/>
                <w:color w:val="auto"/>
              </w:rPr>
              <w:t>Public Offering Shares</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5.3</w:t>
            </w:r>
          </w:p>
        </w:tc>
        <w:tc>
          <w:tcPr>
            <w:tcW w:w="3740" w:type="dxa"/>
            <w:vAlign w:val="bottom"/>
          </w:tcPr>
          <w:p>
            <w:pPr>
              <w:ind w:left="60"/>
              <w:spacing w:after="0"/>
              <w:rPr>
                <w:sz w:val="20"/>
                <w:szCs w:val="20"/>
                <w:color w:val="auto"/>
              </w:rPr>
            </w:pPr>
            <w:r>
              <w:rPr>
                <w:rFonts w:ascii="Arial" w:cs="Arial" w:eastAsia="Arial" w:hAnsi="Arial"/>
                <w:sz w:val="15"/>
                <w:szCs w:val="15"/>
                <w:color w:val="auto"/>
              </w:rPr>
              <w:t>Rights Agreement Amendment</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90"/>
        </w:trPr>
        <w:tc>
          <w:tcPr>
            <w:tcW w:w="22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5.4</w:t>
            </w:r>
          </w:p>
        </w:tc>
        <w:tc>
          <w:tcPr>
            <w:tcW w:w="3740" w:type="dxa"/>
            <w:vAlign w:val="bottom"/>
          </w:tcPr>
          <w:p>
            <w:pPr>
              <w:ind w:left="60"/>
              <w:spacing w:after="0"/>
              <w:rPr>
                <w:sz w:val="20"/>
                <w:szCs w:val="20"/>
                <w:color w:val="auto"/>
              </w:rPr>
            </w:pPr>
            <w:r>
              <w:rPr>
                <w:rFonts w:ascii="Arial" w:cs="Arial" w:eastAsia="Arial" w:hAnsi="Arial"/>
                <w:sz w:val="15"/>
                <w:szCs w:val="15"/>
                <w:color w:val="auto"/>
              </w:rPr>
              <w:t>Absence of Injunctions, Decrees, Etc.</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61"/>
        </w:trPr>
        <w:tc>
          <w:tcPr>
            <w:tcW w:w="4380" w:type="dxa"/>
            <w:vAlign w:val="bottom"/>
            <w:gridSpan w:val="3"/>
          </w:tcPr>
          <w:p>
            <w:pPr>
              <w:spacing w:after="0"/>
              <w:rPr>
                <w:sz w:val="20"/>
                <w:szCs w:val="20"/>
                <w:color w:val="auto"/>
              </w:rPr>
            </w:pPr>
            <w:r>
              <w:rPr>
                <w:rFonts w:ascii="Arial" w:cs="Arial" w:eastAsia="Arial" w:hAnsi="Arial"/>
                <w:sz w:val="15"/>
                <w:szCs w:val="15"/>
                <w:color w:val="auto"/>
              </w:rPr>
              <w:t>6.   Conditions of the Company’s Obligations at Closing</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6.1</w:t>
            </w:r>
          </w:p>
        </w:tc>
        <w:tc>
          <w:tcPr>
            <w:tcW w:w="3740" w:type="dxa"/>
            <w:vAlign w:val="bottom"/>
          </w:tcPr>
          <w:p>
            <w:pPr>
              <w:ind w:left="60"/>
              <w:spacing w:after="0"/>
              <w:rPr>
                <w:sz w:val="20"/>
                <w:szCs w:val="20"/>
                <w:color w:val="auto"/>
              </w:rPr>
            </w:pPr>
            <w:r>
              <w:rPr>
                <w:rFonts w:ascii="Arial" w:cs="Arial" w:eastAsia="Arial" w:hAnsi="Arial"/>
                <w:sz w:val="15"/>
                <w:szCs w:val="15"/>
                <w:color w:val="auto"/>
              </w:rPr>
              <w:t>Representations, Warranties and Covenants</w:t>
            </w:r>
          </w:p>
        </w:tc>
        <w:tc>
          <w:tcPr>
            <w:tcW w:w="6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6.2</w:t>
            </w:r>
          </w:p>
        </w:tc>
        <w:tc>
          <w:tcPr>
            <w:tcW w:w="3740" w:type="dxa"/>
            <w:vAlign w:val="bottom"/>
          </w:tcPr>
          <w:p>
            <w:pPr>
              <w:ind w:left="60"/>
              <w:spacing w:after="0"/>
              <w:rPr>
                <w:sz w:val="20"/>
                <w:szCs w:val="20"/>
                <w:color w:val="auto"/>
              </w:rPr>
            </w:pPr>
            <w:r>
              <w:rPr>
                <w:rFonts w:ascii="Arial" w:cs="Arial" w:eastAsia="Arial" w:hAnsi="Arial"/>
                <w:sz w:val="15"/>
                <w:szCs w:val="15"/>
                <w:color w:val="auto"/>
              </w:rPr>
              <w:t>Public Offering Shares</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90"/>
        </w:trPr>
        <w:tc>
          <w:tcPr>
            <w:tcW w:w="22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6.3</w:t>
            </w:r>
          </w:p>
        </w:tc>
        <w:tc>
          <w:tcPr>
            <w:tcW w:w="3740" w:type="dxa"/>
            <w:vAlign w:val="bottom"/>
          </w:tcPr>
          <w:p>
            <w:pPr>
              <w:ind w:left="60"/>
              <w:spacing w:after="0"/>
              <w:rPr>
                <w:sz w:val="20"/>
                <w:szCs w:val="20"/>
                <w:color w:val="auto"/>
              </w:rPr>
            </w:pPr>
            <w:r>
              <w:rPr>
                <w:rFonts w:ascii="Arial" w:cs="Arial" w:eastAsia="Arial" w:hAnsi="Arial"/>
                <w:sz w:val="15"/>
                <w:szCs w:val="15"/>
                <w:color w:val="auto"/>
              </w:rPr>
              <w:t>Absence of Injunctions, Decrees, Etc.</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71"/>
        </w:trPr>
        <w:tc>
          <w:tcPr>
            <w:tcW w:w="220" w:type="dxa"/>
            <w:vAlign w:val="bottom"/>
          </w:tcPr>
          <w:p>
            <w:pPr>
              <w:spacing w:after="0"/>
              <w:rPr>
                <w:sz w:val="20"/>
                <w:szCs w:val="20"/>
                <w:color w:val="auto"/>
              </w:rPr>
            </w:pPr>
            <w:r>
              <w:rPr>
                <w:rFonts w:ascii="Arial" w:cs="Arial" w:eastAsia="Arial" w:hAnsi="Arial"/>
                <w:sz w:val="15"/>
                <w:szCs w:val="15"/>
                <w:color w:val="auto"/>
              </w:rPr>
              <w:t>7.</w:t>
            </w:r>
          </w:p>
        </w:tc>
        <w:tc>
          <w:tcPr>
            <w:tcW w:w="4160" w:type="dxa"/>
            <w:vAlign w:val="bottom"/>
            <w:gridSpan w:val="2"/>
          </w:tcPr>
          <w:p>
            <w:pPr>
              <w:ind w:left="100"/>
              <w:spacing w:after="0"/>
              <w:rPr>
                <w:sz w:val="20"/>
                <w:szCs w:val="20"/>
                <w:color w:val="auto"/>
              </w:rPr>
            </w:pPr>
            <w:r>
              <w:rPr>
                <w:rFonts w:ascii="Arial" w:cs="Arial" w:eastAsia="Arial" w:hAnsi="Arial"/>
                <w:sz w:val="15"/>
                <w:szCs w:val="15"/>
                <w:color w:val="auto"/>
              </w:rPr>
              <w:t>Termination</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61"/>
        </w:trPr>
        <w:tc>
          <w:tcPr>
            <w:tcW w:w="220" w:type="dxa"/>
            <w:vAlign w:val="bottom"/>
          </w:tcPr>
          <w:p>
            <w:pPr>
              <w:spacing w:after="0"/>
              <w:rPr>
                <w:sz w:val="20"/>
                <w:szCs w:val="20"/>
                <w:color w:val="auto"/>
              </w:rPr>
            </w:pPr>
            <w:r>
              <w:rPr>
                <w:rFonts w:ascii="Arial" w:cs="Arial" w:eastAsia="Arial" w:hAnsi="Arial"/>
                <w:sz w:val="15"/>
                <w:szCs w:val="15"/>
                <w:color w:val="auto"/>
              </w:rPr>
              <w:t>8.</w:t>
            </w:r>
          </w:p>
        </w:tc>
        <w:tc>
          <w:tcPr>
            <w:tcW w:w="4160" w:type="dxa"/>
            <w:vAlign w:val="bottom"/>
            <w:gridSpan w:val="2"/>
          </w:tcPr>
          <w:p>
            <w:pPr>
              <w:ind w:left="100"/>
              <w:spacing w:after="0"/>
              <w:rPr>
                <w:sz w:val="20"/>
                <w:szCs w:val="20"/>
                <w:color w:val="auto"/>
              </w:rPr>
            </w:pPr>
            <w:r>
              <w:rPr>
                <w:rFonts w:ascii="Arial" w:cs="Arial" w:eastAsia="Arial" w:hAnsi="Arial"/>
                <w:sz w:val="15"/>
                <w:szCs w:val="15"/>
                <w:color w:val="auto"/>
              </w:rPr>
              <w:t>Miscellaneous</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8.1</w:t>
            </w:r>
          </w:p>
        </w:tc>
        <w:tc>
          <w:tcPr>
            <w:tcW w:w="3740" w:type="dxa"/>
            <w:vAlign w:val="bottom"/>
          </w:tcPr>
          <w:p>
            <w:pPr>
              <w:ind w:left="60"/>
              <w:spacing w:after="0"/>
              <w:rPr>
                <w:sz w:val="20"/>
                <w:szCs w:val="20"/>
                <w:color w:val="auto"/>
              </w:rPr>
            </w:pPr>
            <w:r>
              <w:rPr>
                <w:rFonts w:ascii="Arial" w:cs="Arial" w:eastAsia="Arial" w:hAnsi="Arial"/>
                <w:sz w:val="15"/>
                <w:szCs w:val="15"/>
                <w:color w:val="auto"/>
              </w:rPr>
              <w:t>Publicity</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8.2</w:t>
            </w:r>
          </w:p>
        </w:tc>
        <w:tc>
          <w:tcPr>
            <w:tcW w:w="3740" w:type="dxa"/>
            <w:vAlign w:val="bottom"/>
          </w:tcPr>
          <w:p>
            <w:pPr>
              <w:ind w:left="60"/>
              <w:spacing w:after="0"/>
              <w:rPr>
                <w:sz w:val="20"/>
                <w:szCs w:val="20"/>
                <w:color w:val="auto"/>
              </w:rPr>
            </w:pPr>
            <w:r>
              <w:rPr>
                <w:rFonts w:ascii="Arial" w:cs="Arial" w:eastAsia="Arial" w:hAnsi="Arial"/>
                <w:sz w:val="15"/>
                <w:szCs w:val="15"/>
                <w:color w:val="auto"/>
              </w:rPr>
              <w:t>Survival of Warranties</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22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8.3</w:t>
            </w:r>
          </w:p>
        </w:tc>
        <w:tc>
          <w:tcPr>
            <w:tcW w:w="3740" w:type="dxa"/>
            <w:vAlign w:val="bottom"/>
          </w:tcPr>
          <w:p>
            <w:pPr>
              <w:ind w:left="60"/>
              <w:spacing w:after="0"/>
              <w:rPr>
                <w:sz w:val="20"/>
                <w:szCs w:val="20"/>
                <w:color w:val="auto"/>
              </w:rPr>
            </w:pPr>
            <w:r>
              <w:rPr>
                <w:rFonts w:ascii="Arial" w:cs="Arial" w:eastAsia="Arial" w:hAnsi="Arial"/>
                <w:sz w:val="15"/>
                <w:szCs w:val="15"/>
                <w:color w:val="auto"/>
              </w:rPr>
              <w:t>Successors and Assigns</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90"/>
        </w:trPr>
        <w:tc>
          <w:tcPr>
            <w:tcW w:w="22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5"/>
                <w:szCs w:val="15"/>
                <w:color w:val="auto"/>
              </w:rPr>
              <w:t>8.4</w:t>
            </w:r>
          </w:p>
        </w:tc>
        <w:tc>
          <w:tcPr>
            <w:tcW w:w="3740" w:type="dxa"/>
            <w:vAlign w:val="bottom"/>
          </w:tcPr>
          <w:p>
            <w:pPr>
              <w:ind w:left="60"/>
              <w:spacing w:after="0"/>
              <w:rPr>
                <w:sz w:val="20"/>
                <w:szCs w:val="20"/>
                <w:color w:val="auto"/>
              </w:rPr>
            </w:pPr>
            <w:r>
              <w:rPr>
                <w:rFonts w:ascii="Arial" w:cs="Arial" w:eastAsia="Arial" w:hAnsi="Arial"/>
                <w:sz w:val="15"/>
                <w:szCs w:val="15"/>
                <w:color w:val="auto"/>
              </w:rPr>
              <w:t>Governing Law</w:t>
            </w:r>
          </w:p>
        </w:tc>
        <w:tc>
          <w:tcPr>
            <w:tcW w:w="6840" w:type="dxa"/>
            <w:vAlign w:val="bottom"/>
          </w:tcPr>
          <w:p>
            <w:pPr>
              <w:jc w:val="right"/>
              <w:spacing w:after="0"/>
              <w:rPr>
                <w:sz w:val="20"/>
                <w:szCs w:val="20"/>
                <w:color w:val="auto"/>
              </w:rPr>
            </w:pPr>
            <w:r>
              <w:rPr>
                <w:rFonts w:ascii="Arial" w:cs="Arial" w:eastAsia="Arial" w:hAnsi="Arial"/>
                <w:sz w:val="15"/>
                <w:szCs w:val="15"/>
                <w:color w:val="auto"/>
              </w:rPr>
              <w:t>7</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220"/>
          </w:cols>
          <w:pgMar w:left="240" w:top="249" w:right="4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8.5</w:t>
            </w:r>
          </w:p>
        </w:tc>
        <w:tc>
          <w:tcPr>
            <w:tcW w:w="6160" w:type="dxa"/>
            <w:vAlign w:val="bottom"/>
          </w:tcPr>
          <w:p>
            <w:pPr>
              <w:ind w:left="160"/>
              <w:spacing w:after="0"/>
              <w:rPr>
                <w:sz w:val="20"/>
                <w:szCs w:val="20"/>
                <w:color w:val="auto"/>
              </w:rPr>
            </w:pPr>
            <w:r>
              <w:rPr>
                <w:rFonts w:ascii="Arial" w:cs="Arial" w:eastAsia="Arial" w:hAnsi="Arial"/>
                <w:sz w:val="15"/>
                <w:szCs w:val="15"/>
                <w:color w:val="auto"/>
              </w:rPr>
              <w:t>Counterparts</w:t>
            </w:r>
          </w:p>
        </w:tc>
        <w:tc>
          <w:tcPr>
            <w:tcW w:w="45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8.6</w:t>
            </w:r>
          </w:p>
        </w:tc>
        <w:tc>
          <w:tcPr>
            <w:tcW w:w="6160" w:type="dxa"/>
            <w:vAlign w:val="bottom"/>
          </w:tcPr>
          <w:p>
            <w:pPr>
              <w:ind w:left="160"/>
              <w:spacing w:after="0"/>
              <w:rPr>
                <w:sz w:val="20"/>
                <w:szCs w:val="20"/>
                <w:color w:val="auto"/>
              </w:rPr>
            </w:pPr>
            <w:r>
              <w:rPr>
                <w:rFonts w:ascii="Arial" w:cs="Arial" w:eastAsia="Arial" w:hAnsi="Arial"/>
                <w:sz w:val="15"/>
                <w:szCs w:val="15"/>
                <w:color w:val="auto"/>
              </w:rPr>
              <w:t>Notices</w:t>
            </w:r>
          </w:p>
        </w:tc>
        <w:tc>
          <w:tcPr>
            <w:tcW w:w="45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8.7</w:t>
            </w:r>
          </w:p>
        </w:tc>
        <w:tc>
          <w:tcPr>
            <w:tcW w:w="6160" w:type="dxa"/>
            <w:vAlign w:val="bottom"/>
          </w:tcPr>
          <w:p>
            <w:pPr>
              <w:ind w:left="160"/>
              <w:spacing w:after="0"/>
              <w:rPr>
                <w:sz w:val="20"/>
                <w:szCs w:val="20"/>
                <w:color w:val="auto"/>
              </w:rPr>
            </w:pPr>
            <w:r>
              <w:rPr>
                <w:rFonts w:ascii="Arial" w:cs="Arial" w:eastAsia="Arial" w:hAnsi="Arial"/>
                <w:sz w:val="15"/>
                <w:szCs w:val="15"/>
                <w:color w:val="auto"/>
              </w:rPr>
              <w:t>Brokers or Finders</w:t>
            </w:r>
          </w:p>
        </w:tc>
        <w:tc>
          <w:tcPr>
            <w:tcW w:w="45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8.8</w:t>
            </w:r>
          </w:p>
        </w:tc>
        <w:tc>
          <w:tcPr>
            <w:tcW w:w="6160" w:type="dxa"/>
            <w:vAlign w:val="bottom"/>
          </w:tcPr>
          <w:p>
            <w:pPr>
              <w:ind w:left="160"/>
              <w:spacing w:after="0"/>
              <w:rPr>
                <w:sz w:val="20"/>
                <w:szCs w:val="20"/>
                <w:color w:val="auto"/>
              </w:rPr>
            </w:pPr>
            <w:r>
              <w:rPr>
                <w:rFonts w:ascii="Arial" w:cs="Arial" w:eastAsia="Arial" w:hAnsi="Arial"/>
                <w:sz w:val="15"/>
                <w:szCs w:val="15"/>
                <w:color w:val="auto"/>
              </w:rPr>
              <w:t>Amendments and Waivers</w:t>
            </w:r>
          </w:p>
        </w:tc>
        <w:tc>
          <w:tcPr>
            <w:tcW w:w="45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8.9</w:t>
            </w:r>
          </w:p>
        </w:tc>
        <w:tc>
          <w:tcPr>
            <w:tcW w:w="6160" w:type="dxa"/>
            <w:vAlign w:val="bottom"/>
          </w:tcPr>
          <w:p>
            <w:pPr>
              <w:ind w:left="160"/>
              <w:spacing w:after="0"/>
              <w:rPr>
                <w:sz w:val="20"/>
                <w:szCs w:val="20"/>
                <w:color w:val="auto"/>
              </w:rPr>
            </w:pPr>
            <w:r>
              <w:rPr>
                <w:rFonts w:ascii="Arial" w:cs="Arial" w:eastAsia="Arial" w:hAnsi="Arial"/>
                <w:sz w:val="15"/>
                <w:szCs w:val="15"/>
                <w:color w:val="auto"/>
              </w:rPr>
              <w:t>Severability</w:t>
            </w:r>
          </w:p>
        </w:tc>
        <w:tc>
          <w:tcPr>
            <w:tcW w:w="450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8.10</w:t>
            </w:r>
          </w:p>
        </w:tc>
        <w:tc>
          <w:tcPr>
            <w:tcW w:w="6160" w:type="dxa"/>
            <w:vAlign w:val="bottom"/>
          </w:tcPr>
          <w:p>
            <w:pPr>
              <w:ind w:left="160"/>
              <w:spacing w:after="0"/>
              <w:rPr>
                <w:sz w:val="20"/>
                <w:szCs w:val="20"/>
                <w:color w:val="auto"/>
              </w:rPr>
            </w:pPr>
            <w:r>
              <w:rPr>
                <w:rFonts w:ascii="Arial" w:cs="Arial" w:eastAsia="Arial" w:hAnsi="Arial"/>
                <w:sz w:val="15"/>
                <w:szCs w:val="15"/>
                <w:color w:val="auto"/>
              </w:rPr>
              <w:t>Corporate Securities Law</w:t>
            </w:r>
          </w:p>
        </w:tc>
        <w:tc>
          <w:tcPr>
            <w:tcW w:w="450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420" w:type="dxa"/>
            <w:vAlign w:val="bottom"/>
          </w:tcPr>
          <w:p>
            <w:pPr>
              <w:spacing w:after="0"/>
              <w:rPr>
                <w:sz w:val="20"/>
                <w:szCs w:val="20"/>
                <w:color w:val="auto"/>
              </w:rPr>
            </w:pPr>
            <w:r>
              <w:rPr>
                <w:rFonts w:ascii="Arial" w:cs="Arial" w:eastAsia="Arial" w:hAnsi="Arial"/>
                <w:sz w:val="15"/>
                <w:szCs w:val="15"/>
                <w:color w:val="auto"/>
              </w:rPr>
              <w:t>8.11</w:t>
            </w:r>
          </w:p>
        </w:tc>
        <w:tc>
          <w:tcPr>
            <w:tcW w:w="6160" w:type="dxa"/>
            <w:vAlign w:val="bottom"/>
          </w:tcPr>
          <w:p>
            <w:pPr>
              <w:ind w:left="160"/>
              <w:spacing w:after="0"/>
              <w:rPr>
                <w:sz w:val="20"/>
                <w:szCs w:val="20"/>
                <w:color w:val="auto"/>
              </w:rPr>
            </w:pPr>
            <w:r>
              <w:rPr>
                <w:rFonts w:ascii="Arial" w:cs="Arial" w:eastAsia="Arial" w:hAnsi="Arial"/>
                <w:sz w:val="15"/>
                <w:szCs w:val="15"/>
                <w:color w:val="auto"/>
              </w:rPr>
              <w:t>Entire Agreement</w:t>
            </w:r>
          </w:p>
        </w:tc>
        <w:tc>
          <w:tcPr>
            <w:tcW w:w="450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90"/>
        </w:trPr>
        <w:tc>
          <w:tcPr>
            <w:tcW w:w="420" w:type="dxa"/>
            <w:vAlign w:val="bottom"/>
          </w:tcPr>
          <w:p>
            <w:pPr>
              <w:spacing w:after="0"/>
              <w:rPr>
                <w:sz w:val="20"/>
                <w:szCs w:val="20"/>
                <w:color w:val="auto"/>
              </w:rPr>
            </w:pPr>
            <w:r>
              <w:rPr>
                <w:rFonts w:ascii="Arial" w:cs="Arial" w:eastAsia="Arial" w:hAnsi="Arial"/>
                <w:sz w:val="15"/>
                <w:szCs w:val="15"/>
                <w:color w:val="auto"/>
              </w:rPr>
              <w:t>8.12</w:t>
            </w:r>
          </w:p>
        </w:tc>
        <w:tc>
          <w:tcPr>
            <w:tcW w:w="6160" w:type="dxa"/>
            <w:vAlign w:val="bottom"/>
          </w:tcPr>
          <w:p>
            <w:pPr>
              <w:ind w:left="160"/>
              <w:spacing w:after="0"/>
              <w:rPr>
                <w:sz w:val="20"/>
                <w:szCs w:val="20"/>
                <w:color w:val="auto"/>
              </w:rPr>
            </w:pPr>
            <w:r>
              <w:rPr>
                <w:rFonts w:ascii="Arial" w:cs="Arial" w:eastAsia="Arial" w:hAnsi="Arial"/>
                <w:sz w:val="15"/>
                <w:szCs w:val="15"/>
                <w:color w:val="auto"/>
              </w:rPr>
              <w:t>Specific Performance</w:t>
            </w:r>
          </w:p>
        </w:tc>
        <w:tc>
          <w:tcPr>
            <w:tcW w:w="4500" w:type="dxa"/>
            <w:vAlign w:val="bottom"/>
          </w:tcPr>
          <w:p>
            <w:pPr>
              <w:jc w:val="right"/>
              <w:spacing w:after="0"/>
              <w:rPr>
                <w:sz w:val="20"/>
                <w:szCs w:val="20"/>
                <w:color w:val="auto"/>
              </w:rPr>
            </w:pPr>
            <w:r>
              <w:rPr>
                <w:rFonts w:ascii="Arial" w:cs="Arial" w:eastAsia="Arial" w:hAnsi="Arial"/>
                <w:sz w:val="15"/>
                <w:szCs w:val="15"/>
                <w:color w:val="auto"/>
              </w:rPr>
              <w:t>9</w:t>
            </w: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080"/>
          </w:cols>
          <w:pgMar w:left="380" w:top="253" w:right="4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 A COMMON STOCK PURCHASE AGREEMENT</w:t>
      </w:r>
    </w:p>
    <w:p>
      <w:pPr>
        <w:spacing w:after="0" w:line="179" w:lineRule="exact"/>
        <w:rPr>
          <w:sz w:val="20"/>
          <w:szCs w:val="20"/>
          <w:color w:val="auto"/>
        </w:rPr>
      </w:pPr>
    </w:p>
    <w:p>
      <w:pPr>
        <w:ind w:right="40" w:firstLine="916"/>
        <w:spacing w:after="0" w:line="312" w:lineRule="auto"/>
        <w:rPr>
          <w:sz w:val="20"/>
          <w:szCs w:val="20"/>
          <w:color w:val="auto"/>
        </w:rPr>
      </w:pPr>
      <w:r>
        <w:rPr>
          <w:rFonts w:ascii="Arial" w:cs="Arial" w:eastAsia="Arial" w:hAnsi="Arial"/>
          <w:sz w:val="14"/>
          <w:szCs w:val="14"/>
          <w:color w:val="auto"/>
        </w:rPr>
        <w:t>THIS CLASS A COMMON STOCK PURCHASE AGREEMENT (the “</w:t>
      </w:r>
      <w:r>
        <w:rPr>
          <w:rFonts w:ascii="Arial" w:cs="Arial" w:eastAsia="Arial" w:hAnsi="Arial"/>
          <w:sz w:val="14"/>
          <w:szCs w:val="14"/>
          <w:u w:val="single" w:color="auto"/>
          <w:color w:val="auto"/>
        </w:rPr>
        <w:t>Agreement</w:t>
      </w:r>
      <w:r>
        <w:rPr>
          <w:rFonts w:ascii="Arial" w:cs="Arial" w:eastAsia="Arial" w:hAnsi="Arial"/>
          <w:sz w:val="14"/>
          <w:szCs w:val="14"/>
          <w:color w:val="auto"/>
        </w:rPr>
        <w:t>”) is made as of March 7, 2018, by and among Dropbox,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Salesforce Ventures LLC, a Delaware limited liability company (the “</w:t>
      </w:r>
      <w:r>
        <w:rPr>
          <w:rFonts w:ascii="Arial" w:cs="Arial" w:eastAsia="Arial" w:hAnsi="Arial"/>
          <w:sz w:val="14"/>
          <w:szCs w:val="14"/>
          <w:u w:val="single" w:color="auto"/>
          <w:color w:val="auto"/>
        </w:rPr>
        <w:t>Investor</w:t>
      </w:r>
      <w:r>
        <w:rPr>
          <w:rFonts w:ascii="Arial" w:cs="Arial" w:eastAsia="Arial" w:hAnsi="Arial"/>
          <w:sz w:val="14"/>
          <w:szCs w:val="14"/>
          <w:color w:val="auto"/>
        </w:rPr>
        <w:t>”), and salesforce.com, inc., a Delaware corporation (the “</w:t>
      </w:r>
      <w:r>
        <w:rPr>
          <w:rFonts w:ascii="Arial" w:cs="Arial" w:eastAsia="Arial" w:hAnsi="Arial"/>
          <w:sz w:val="14"/>
          <w:szCs w:val="14"/>
          <w:u w:val="single" w:color="auto"/>
          <w:color w:val="auto"/>
        </w:rPr>
        <w:t>Parent</w:t>
      </w:r>
      <w:r>
        <w:rPr>
          <w:rFonts w:ascii="Arial" w:cs="Arial" w:eastAsia="Arial" w:hAnsi="Arial"/>
          <w:sz w:val="14"/>
          <w:szCs w:val="14"/>
          <w:color w:val="auto"/>
        </w:rPr>
        <w:t>”).</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PARTIES HEREBY AGREE AS FOLLOWS:</w:t>
      </w:r>
    </w:p>
    <w:p>
      <w:pPr>
        <w:spacing w:after="0" w:line="98" w:lineRule="exact"/>
        <w:rPr>
          <w:sz w:val="20"/>
          <w:szCs w:val="20"/>
          <w:color w:val="auto"/>
        </w:rPr>
      </w:pPr>
    </w:p>
    <w:p>
      <w:pPr>
        <w:ind w:left="600" w:hanging="152"/>
        <w:spacing w:after="0"/>
        <w:tabs>
          <w:tab w:leader="none" w:pos="600" w:val="left"/>
        </w:tabs>
        <w:numPr>
          <w:ilvl w:val="0"/>
          <w:numId w:val="227"/>
        </w:numPr>
        <w:rPr>
          <w:rFonts w:ascii="Arial" w:cs="Arial" w:eastAsia="Arial" w:hAnsi="Arial"/>
          <w:sz w:val="15"/>
          <w:szCs w:val="15"/>
          <w:color w:val="auto"/>
        </w:rPr>
      </w:pPr>
      <w:r>
        <w:rPr>
          <w:rFonts w:ascii="Arial" w:cs="Arial" w:eastAsia="Arial" w:hAnsi="Arial"/>
          <w:sz w:val="15"/>
          <w:szCs w:val="15"/>
          <w:u w:val="single" w:color="auto"/>
          <w:color w:val="auto"/>
        </w:rPr>
        <w:t>Purchase and Sale of Stock</w:t>
      </w:r>
      <w:r>
        <w:rPr>
          <w:rFonts w:ascii="Arial" w:cs="Arial" w:eastAsia="Arial" w:hAnsi="Arial"/>
          <w:sz w:val="15"/>
          <w:szCs w:val="15"/>
          <w:color w:val="auto"/>
        </w:rPr>
        <w:t>.</w:t>
      </w:r>
    </w:p>
    <w:p>
      <w:pPr>
        <w:spacing w:after="0" w:line="98" w:lineRule="exact"/>
        <w:rPr>
          <w:sz w:val="20"/>
          <w:szCs w:val="20"/>
          <w:color w:val="auto"/>
        </w:rPr>
      </w:pPr>
    </w:p>
    <w:p>
      <w:pPr>
        <w:ind w:firstLine="916"/>
        <w:spacing w:after="0" w:line="30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Sale and Issuance of Common Stock</w:t>
      </w:r>
      <w:r>
        <w:rPr>
          <w:rFonts w:ascii="Arial" w:cs="Arial" w:eastAsia="Arial" w:hAnsi="Arial"/>
          <w:sz w:val="13"/>
          <w:szCs w:val="13"/>
          <w:color w:val="auto"/>
        </w:rPr>
        <w:t>. Subject to the terms and conditions of this Agreement, the Investor agrees to purchase from the Company, and the Company agrees to sell and issue to the Investor, the Shares (as defined below) at a price per share equal to the per share initial public offering price (before underwriting discounts and expenses) in the Qualified IPO (as defined below) (the “</w:t>
      </w:r>
      <w:r>
        <w:rPr>
          <w:rFonts w:ascii="Arial" w:cs="Arial" w:eastAsia="Arial" w:hAnsi="Arial"/>
          <w:sz w:val="13"/>
          <w:szCs w:val="13"/>
          <w:u w:val="single" w:color="auto"/>
          <w:color w:val="auto"/>
        </w:rPr>
        <w:t>IPO Price</w:t>
      </w:r>
      <w:r>
        <w:rPr>
          <w:rFonts w:ascii="Arial" w:cs="Arial" w:eastAsia="Arial" w:hAnsi="Arial"/>
          <w:sz w:val="13"/>
          <w:szCs w:val="13"/>
          <w:color w:val="auto"/>
        </w:rPr>
        <w:t>”). “</w:t>
      </w:r>
      <w:r>
        <w:rPr>
          <w:rFonts w:ascii="Arial" w:cs="Arial" w:eastAsia="Arial" w:hAnsi="Arial"/>
          <w:sz w:val="13"/>
          <w:szCs w:val="13"/>
          <w:u w:val="single" w:color="auto"/>
          <w:color w:val="auto"/>
        </w:rPr>
        <w:t>Shares</w:t>
      </w:r>
      <w:r>
        <w:rPr>
          <w:rFonts w:ascii="Arial" w:cs="Arial" w:eastAsia="Arial" w:hAnsi="Arial"/>
          <w:sz w:val="13"/>
          <w:szCs w:val="13"/>
          <w:color w:val="auto"/>
        </w:rPr>
        <w:t>” shall mean the number of shares of Class A Common Stock of the Company, par value $0.00001 (the “</w:t>
      </w:r>
      <w:r>
        <w:rPr>
          <w:rFonts w:ascii="Arial" w:cs="Arial" w:eastAsia="Arial" w:hAnsi="Arial"/>
          <w:sz w:val="13"/>
          <w:szCs w:val="13"/>
          <w:u w:val="single" w:color="auto"/>
          <w:color w:val="auto"/>
        </w:rPr>
        <w:t>Common Stock</w:t>
      </w:r>
      <w:r>
        <w:rPr>
          <w:rFonts w:ascii="Arial" w:cs="Arial" w:eastAsia="Arial" w:hAnsi="Arial"/>
          <w:sz w:val="13"/>
          <w:szCs w:val="13"/>
          <w:color w:val="auto"/>
        </w:rPr>
        <w:t>”), equal to $100,000,000 divided by the IPO Price, rounded up the nearest whole share. “</w:t>
      </w:r>
      <w:r>
        <w:rPr>
          <w:rFonts w:ascii="Arial" w:cs="Arial" w:eastAsia="Arial" w:hAnsi="Arial"/>
          <w:sz w:val="13"/>
          <w:szCs w:val="13"/>
          <w:u w:val="single" w:color="auto"/>
          <w:color w:val="auto"/>
        </w:rPr>
        <w:t>Qualified IPO</w:t>
      </w:r>
      <w:r>
        <w:rPr>
          <w:rFonts w:ascii="Arial" w:cs="Arial" w:eastAsia="Arial" w:hAnsi="Arial"/>
          <w:sz w:val="13"/>
          <w:szCs w:val="13"/>
          <w:color w:val="auto"/>
        </w:rPr>
        <w:t>” shall mean the issuance and sale of shares of the Common Stock by the Company, pursuant to an Underwriting Agreement to be entered into by and among the Company and certain underwriters (the “</w:t>
      </w:r>
      <w:r>
        <w:rPr>
          <w:rFonts w:ascii="Arial" w:cs="Arial" w:eastAsia="Arial" w:hAnsi="Arial"/>
          <w:sz w:val="13"/>
          <w:szCs w:val="13"/>
          <w:u w:val="single" w:color="auto"/>
          <w:color w:val="auto"/>
        </w:rPr>
        <w:t>Underwriters</w:t>
      </w:r>
      <w:r>
        <w:rPr>
          <w:rFonts w:ascii="Arial" w:cs="Arial" w:eastAsia="Arial" w:hAnsi="Arial"/>
          <w:sz w:val="13"/>
          <w:szCs w:val="13"/>
          <w:color w:val="auto"/>
        </w:rPr>
        <w:t>”), in connection with the Company’s initial public offering pursuant to the Company’s Registration Statement on Form S-1 (File No. 333-223182)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and/or any related registration statements (the “</w:t>
      </w:r>
      <w:r>
        <w:rPr>
          <w:rFonts w:ascii="Arial" w:cs="Arial" w:eastAsia="Arial" w:hAnsi="Arial"/>
          <w:sz w:val="13"/>
          <w:szCs w:val="13"/>
          <w:u w:val="single" w:color="auto"/>
          <w:color w:val="auto"/>
        </w:rPr>
        <w:t>Underwriting Agreement</w:t>
      </w:r>
      <w:r>
        <w:rPr>
          <w:rFonts w:ascii="Arial" w:cs="Arial" w:eastAsia="Arial" w:hAnsi="Arial"/>
          <w:sz w:val="13"/>
          <w:szCs w:val="13"/>
          <w:color w:val="auto"/>
        </w:rPr>
        <w:t>”).</w:t>
      </w:r>
    </w:p>
    <w:p>
      <w:pPr>
        <w:spacing w:after="0" w:line="44" w:lineRule="exact"/>
        <w:rPr>
          <w:sz w:val="20"/>
          <w:szCs w:val="20"/>
          <w:color w:val="auto"/>
        </w:rPr>
      </w:pPr>
    </w:p>
    <w:p>
      <w:pPr>
        <w:ind w:right="200" w:firstLine="916"/>
        <w:spacing w:after="0" w:line="290"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Closing</w:t>
      </w:r>
      <w:r>
        <w:rPr>
          <w:rFonts w:ascii="Arial" w:cs="Arial" w:eastAsia="Arial" w:hAnsi="Arial"/>
          <w:sz w:val="14"/>
          <w:szCs w:val="14"/>
          <w:color w:val="auto"/>
        </w:rPr>
        <w:t>. The purchase and sale of the Shares shall take place at the location and at the time immediately subsequent to the closing of the Qualified IPO (which time and place are designated as the “</w:t>
      </w:r>
      <w:r>
        <w:rPr>
          <w:rFonts w:ascii="Arial" w:cs="Arial" w:eastAsia="Arial" w:hAnsi="Arial"/>
          <w:sz w:val="14"/>
          <w:szCs w:val="14"/>
          <w:u w:val="single" w:color="auto"/>
          <w:color w:val="auto"/>
        </w:rPr>
        <w:t>Closing</w:t>
      </w:r>
      <w:r>
        <w:rPr>
          <w:rFonts w:ascii="Arial" w:cs="Arial" w:eastAsia="Arial" w:hAnsi="Arial"/>
          <w:sz w:val="14"/>
          <w:szCs w:val="14"/>
          <w:color w:val="auto"/>
        </w:rPr>
        <w:t>”). At the Closing, the Investor shall make payment of the purchase price of the Shares by wire transfer in immediately available funds to the account specified by the Company against delivery to the Investor of the Shares registered in the name of the Investor, which Shares shall be uncertificated shares.</w:t>
      </w:r>
    </w:p>
    <w:p>
      <w:pPr>
        <w:spacing w:after="0" w:line="48" w:lineRule="exact"/>
        <w:rPr>
          <w:sz w:val="20"/>
          <w:szCs w:val="20"/>
          <w:color w:val="auto"/>
        </w:rPr>
      </w:pPr>
    </w:p>
    <w:p>
      <w:pPr>
        <w:jc w:val="both"/>
        <w:ind w:right="20" w:firstLine="448"/>
        <w:spacing w:after="0" w:line="279" w:lineRule="auto"/>
        <w:tabs>
          <w:tab w:leader="none" w:pos="608" w:val="left"/>
        </w:tabs>
        <w:numPr>
          <w:ilvl w:val="0"/>
          <w:numId w:val="228"/>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At the Closing, in connection with the purchase of the Shares, the Company’s Amended and Restated Investors’ Rights Agreement, dated January 30, 2014, by and among the Company and the stockholders of the Company listed thereto, as amended by Amendment No. 1 to the Amended and Restated Rights Agreement, dated February 22, 2018, by and among the Company and the stockholders of the Company listed thereto (the “</w:t>
      </w:r>
      <w:r>
        <w:rPr>
          <w:rFonts w:ascii="Arial" w:cs="Arial" w:eastAsia="Arial" w:hAnsi="Arial"/>
          <w:sz w:val="14"/>
          <w:szCs w:val="14"/>
          <w:u w:val="single" w:color="auto"/>
          <w:color w:val="auto"/>
        </w:rPr>
        <w:t>Existing Rights Agreement</w:t>
      </w:r>
      <w:r>
        <w:rPr>
          <w:rFonts w:ascii="Arial" w:cs="Arial" w:eastAsia="Arial" w:hAnsi="Arial"/>
          <w:sz w:val="14"/>
          <w:szCs w:val="14"/>
          <w:color w:val="auto"/>
        </w:rPr>
        <w:t xml:space="preserve">”), shall be amended by Amendment No. 2 to the Existing Rights Agreement pursuant to Section 4.2 thereof, in substantially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Rights Agreement Amendment</w:t>
      </w:r>
      <w:r>
        <w:rPr>
          <w:rFonts w:ascii="Arial" w:cs="Arial" w:eastAsia="Arial" w:hAnsi="Arial"/>
          <w:sz w:val="14"/>
          <w:szCs w:val="14"/>
          <w:color w:val="auto"/>
        </w:rPr>
        <w:t>” and, together with the Existing Rights Agreement, the “</w:t>
      </w:r>
      <w:r>
        <w:rPr>
          <w:rFonts w:ascii="Arial" w:cs="Arial" w:eastAsia="Arial" w:hAnsi="Arial"/>
          <w:sz w:val="14"/>
          <w:szCs w:val="14"/>
          <w:u w:val="single" w:color="auto"/>
          <w:color w:val="auto"/>
        </w:rPr>
        <w:t>Rights</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solely for the purpose of providing the Investor with piggyback registration rights under Section 2.3 of the Rights Agreement.</w:t>
      </w:r>
    </w:p>
    <w:p>
      <w:pPr>
        <w:spacing w:after="0" w:line="56" w:lineRule="exact"/>
        <w:rPr>
          <w:rFonts w:ascii="Arial" w:cs="Arial" w:eastAsia="Arial" w:hAnsi="Arial"/>
          <w:sz w:val="14"/>
          <w:szCs w:val="14"/>
          <w:color w:val="auto"/>
        </w:rPr>
      </w:pPr>
    </w:p>
    <w:p>
      <w:pPr>
        <w:ind w:left="600" w:hanging="152"/>
        <w:spacing w:after="0"/>
        <w:tabs>
          <w:tab w:leader="none" w:pos="600" w:val="left"/>
        </w:tabs>
        <w:numPr>
          <w:ilvl w:val="0"/>
          <w:numId w:val="228"/>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the Company</w:t>
      </w:r>
      <w:r>
        <w:rPr>
          <w:rFonts w:ascii="Arial" w:cs="Arial" w:eastAsia="Arial" w:hAnsi="Arial"/>
          <w:sz w:val="13"/>
          <w:szCs w:val="13"/>
          <w:color w:val="auto"/>
        </w:rPr>
        <w:t>. The Company hereby represents and warrants to the Investor and the Parent that as of the date hereof and as of the date of the</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Closing:</w:t>
      </w:r>
    </w:p>
    <w:p>
      <w:pPr>
        <w:spacing w:after="0" w:line="8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Organization, Good Standing and Qualification</w:t>
      </w:r>
      <w:r>
        <w:rPr>
          <w:rFonts w:ascii="Arial" w:cs="Arial" w:eastAsia="Arial" w:hAnsi="Arial"/>
          <w:sz w:val="15"/>
          <w:szCs w:val="15"/>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249" w:right="219" w:bottom="1440" w:gutter="0" w:footer="0" w:header="0"/>
        </w:sectPr>
      </w:pPr>
    </w:p>
    <w:bookmarkStart w:id="359" w:name="page360"/>
    <w:bookmarkEnd w:id="359"/>
    <w:p>
      <w:pPr>
        <w:ind w:firstLine="1478"/>
        <w:spacing w:after="0" w:line="275" w:lineRule="auto"/>
        <w:tabs>
          <w:tab w:leader="none" w:pos="1692" w:val="left"/>
        </w:tabs>
        <w:numPr>
          <w:ilvl w:val="0"/>
          <w:numId w:val="2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Company is a corporation duly organized, validly existing and in good standing under the laws of the State of Delaware and has all requisite corporate power and authority to carry on its business as now conducted.</w:t>
      </w:r>
    </w:p>
    <w:p>
      <w:pPr>
        <w:spacing w:after="0" w:line="55" w:lineRule="exact"/>
        <w:rPr>
          <w:rFonts w:ascii="Arial" w:cs="Arial" w:eastAsia="Arial" w:hAnsi="Arial"/>
          <w:sz w:val="15"/>
          <w:szCs w:val="15"/>
          <w:color w:val="auto"/>
        </w:rPr>
      </w:pPr>
    </w:p>
    <w:p>
      <w:pPr>
        <w:ind w:left="1700" w:hanging="222"/>
        <w:spacing w:after="0"/>
        <w:tabs>
          <w:tab w:leader="none" w:pos="170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Company is duly qualified to transact business and is in good standing in each jurisdiction in which it is required to be so qualified or in good standing.</w:t>
      </w:r>
    </w:p>
    <w:p>
      <w:pPr>
        <w:spacing w:after="0" w:line="110" w:lineRule="exact"/>
        <w:rPr>
          <w:sz w:val="20"/>
          <w:szCs w:val="20"/>
          <w:color w:val="auto"/>
        </w:rPr>
      </w:pPr>
    </w:p>
    <w:p>
      <w:pPr>
        <w:ind w:right="60" w:firstLine="916"/>
        <w:spacing w:after="0" w:line="27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Authorization</w:t>
      </w:r>
      <w:r>
        <w:rPr>
          <w:rFonts w:ascii="Arial" w:cs="Arial" w:eastAsia="Arial" w:hAnsi="Arial"/>
          <w:sz w:val="14"/>
          <w:szCs w:val="14"/>
          <w:color w:val="auto"/>
        </w:rPr>
        <w:t>. All corporate action on the part of the Company, its officers, directors and stockholders necessary for the authorization, execution and delivery of this Agreement and the Rights Agreement Amendment, the performance of all obligations of the Company under this Agreement, and the authorization, issuance, sale and delivery of the Shares being sold hereunder has been taken, and this Agreement and the Rights Agreement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Rights Agreement may be limited by applicable federal or state securities laws.</w:t>
      </w:r>
    </w:p>
    <w:p>
      <w:pPr>
        <w:spacing w:after="0" w:line="58" w:lineRule="exact"/>
        <w:rPr>
          <w:sz w:val="20"/>
          <w:szCs w:val="20"/>
          <w:color w:val="auto"/>
        </w:rPr>
      </w:pPr>
    </w:p>
    <w:p>
      <w:pPr>
        <w:ind w:right="60" w:firstLine="916"/>
        <w:spacing w:after="0" w:line="263"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Valid Issuance of Common Stock</w:t>
      </w:r>
      <w:r>
        <w:rPr>
          <w:rFonts w:ascii="Arial" w:cs="Arial" w:eastAsia="Arial" w:hAnsi="Arial"/>
          <w:sz w:val="15"/>
          <w:szCs w:val="15"/>
          <w:color w:val="auto"/>
        </w:rPr>
        <w:t>. The Shares being purchased by the Investor hereunder, when issued, sold and delivered in accordance with the terms of this Agreement for the consideration expressed herein, will be duly and validly issued, fully paid and nonassessable and will be free of restrictions on transfer other than restrictions on transfer under applicable state and federal securities laws or as contemplated hereby or by the Rights Agreement.</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Compliance with Other Instruments</w:t>
      </w:r>
      <w:r>
        <w:rPr>
          <w:rFonts w:ascii="Arial" w:cs="Arial" w:eastAsia="Arial" w:hAnsi="Arial"/>
          <w:sz w:val="15"/>
          <w:szCs w:val="15"/>
          <w:color w:val="auto"/>
        </w:rPr>
        <w:t>.</w:t>
      </w:r>
    </w:p>
    <w:p>
      <w:pPr>
        <w:spacing w:after="0" w:line="98" w:lineRule="exact"/>
        <w:rPr>
          <w:sz w:val="20"/>
          <w:szCs w:val="20"/>
          <w:color w:val="auto"/>
        </w:rPr>
      </w:pPr>
    </w:p>
    <w:p>
      <w:pPr>
        <w:ind w:left="1680" w:hanging="202"/>
        <w:spacing w:after="0"/>
        <w:tabs>
          <w:tab w:leader="none" w:pos="168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Company is not in violation or default of any provision of its Amended and Restated Certificate of Incorporation or Amended and Restated Bylaws.</w:t>
      </w:r>
    </w:p>
    <w:p>
      <w:pPr>
        <w:spacing w:after="0" w:line="109" w:lineRule="exact"/>
        <w:rPr>
          <w:rFonts w:ascii="Arial" w:cs="Arial" w:eastAsia="Arial" w:hAnsi="Arial"/>
          <w:sz w:val="14"/>
          <w:szCs w:val="14"/>
          <w:color w:val="auto"/>
        </w:rPr>
      </w:pPr>
    </w:p>
    <w:p>
      <w:pPr>
        <w:ind w:right="20" w:firstLine="1478"/>
        <w:spacing w:after="0" w:line="277" w:lineRule="auto"/>
        <w:tabs>
          <w:tab w:leader="none" w:pos="1701"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Company is not in violation or default in any material respect of any instrument, judgment, order, writ, decree or contract to which it is a party or by which it is bound, or, to its knowledge, of any provision of any federal or state statute, rule or regulation applicable to the Company. The execution, delivery and performance of this Agreement and the Rights Agreement Amendment, and the consummation of the transactions contemplated by this Agreement and the Rights Agreement will not result in any such violation or default or be in conflict with or constitute, with or without the passage of time and giving of notice, either a default under any such provision, instrument, judgment, order, writ, decree or contract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58" w:lineRule="exact"/>
        <w:rPr>
          <w:sz w:val="20"/>
          <w:szCs w:val="20"/>
          <w:color w:val="auto"/>
        </w:rPr>
      </w:pPr>
    </w:p>
    <w:p>
      <w:pPr>
        <w:ind w:firstLine="916"/>
        <w:spacing w:after="0" w:line="263"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Description of Capital Stock</w:t>
      </w:r>
      <w:r>
        <w:rPr>
          <w:rFonts w:ascii="Arial" w:cs="Arial" w:eastAsia="Arial" w:hAnsi="Arial"/>
          <w:sz w:val="15"/>
          <w:szCs w:val="15"/>
          <w:color w:val="auto"/>
        </w:rPr>
        <w:t>. As of the date of the Closing, the statements set forth in the Pricing Prospectus (as defined in the Underwriting Agreement) and Prospectus (as defined in the Underwriting Agreement) under the caption “Description of Capital Stock,” insofar as they purport to constitute a summary of the terms of the Company’s capital stock, are accurate, complete and fair in all material respects.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3" w:right="239" w:bottom="1440" w:gutter="0" w:footer="0" w:header="0"/>
        </w:sectPr>
      </w:pPr>
    </w:p>
    <w:bookmarkStart w:id="360" w:name="page361"/>
    <w:bookmarkEnd w:id="360"/>
    <w:p>
      <w:pPr>
        <w:ind w:left="10" w:firstLine="916"/>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3.6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The Registration Statement, and any amendment thereto, including any information deemed to be included therein pursuant to the rules and regulations of the United States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promulgated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complied (or, in the case of amendments filed after the date of this Agreement, will comply) as of its filing date in all material respects with the requirements of the Securities Act and the rules and regulations of the SEC promulgated thereunder, and did not (or, in the case of amendments filed after the date hereof, will not) contain any untrue statement of a material fact or omit to state a material fact required to be stated therein or necessary in order to make the statements therein, in light of the circumstances under which they were made, not misleading. As of the date it is declared effective by the SEC, the Registration Statement, as so amended, and any related registration statements, will comply in all material respects with the requirements of the Securities Act and the rules and regulations of the SEC promulgated thereunder, and will not contain any untrue statement of a material fact or omit to state a material fact required to be stated therein or necessary in order to make the statements therein, in light of the circumstances under which they were made, not misleading. Any preliminary prospectus included in the Registration Statement or any amendment thereto, any free writing prospectus related to the Registration Statement and any final prospectus related to the Registration Statement filed pursuant to Rule 424 promulgated under the Securities Act, in each case as of its date, will comply in all material respects with the requirements of the Securities Act and the rules and regulations promulgated thereunder, and will not contain any untrue statement of a material fact or omit to state a material fact necessary in order to make the statements therein, in light of the circumstances under which they were made, not misleading.</w:t>
      </w:r>
    </w:p>
    <w:p>
      <w:pPr>
        <w:spacing w:after="0" w:line="66" w:lineRule="exact"/>
        <w:rPr>
          <w:sz w:val="20"/>
          <w:szCs w:val="20"/>
          <w:color w:val="auto"/>
        </w:rPr>
      </w:pPr>
    </w:p>
    <w:p>
      <w:pPr>
        <w:ind w:left="10" w:right="100" w:firstLine="916"/>
        <w:spacing w:after="0" w:line="275"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Brokers or Finders</w:t>
      </w:r>
      <w:r>
        <w:rPr>
          <w:rFonts w:ascii="Arial" w:cs="Arial" w:eastAsia="Arial" w:hAnsi="Arial"/>
          <w:sz w:val="15"/>
          <w:szCs w:val="15"/>
          <w:color w:val="auto"/>
        </w:rPr>
        <w:t>. The Company has not incurred, and will not incur, directly or indirectly, as a result of any action taken by the Company, any liability for brokerage or finders’ fees or agents’ commissions or any similar charges in connection with the sale of the Shares contemplated by this Agreement.</w:t>
      </w:r>
    </w:p>
    <w:p>
      <w:pPr>
        <w:spacing w:after="0" w:line="56" w:lineRule="exact"/>
        <w:rPr>
          <w:sz w:val="20"/>
          <w:szCs w:val="20"/>
          <w:color w:val="auto"/>
        </w:rPr>
      </w:pPr>
    </w:p>
    <w:p>
      <w:pPr>
        <w:ind w:left="10" w:right="340" w:firstLine="916"/>
        <w:spacing w:after="0" w:line="275"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Private Placement</w:t>
      </w:r>
      <w:r>
        <w:rPr>
          <w:rFonts w:ascii="Arial" w:cs="Arial" w:eastAsia="Arial" w:hAnsi="Arial"/>
          <w:sz w:val="15"/>
          <w:szCs w:val="15"/>
          <w:color w:val="auto"/>
        </w:rPr>
        <w:t>. Assuming the accuracy of the representations, warranties and covenants of the Investor and the Parent set forth in Section 4 of this Agreement, no registration under the Securities Act is required for the offer and sale of the Shares by the Company to the Investor under this Agreement.</w:t>
      </w:r>
    </w:p>
    <w:p>
      <w:pPr>
        <w:spacing w:after="0" w:line="56" w:lineRule="exact"/>
        <w:rPr>
          <w:sz w:val="20"/>
          <w:szCs w:val="20"/>
          <w:color w:val="auto"/>
        </w:rPr>
      </w:pPr>
    </w:p>
    <w:p>
      <w:pPr>
        <w:ind w:left="10" w:right="60" w:firstLine="448"/>
        <w:spacing w:after="0" w:line="275" w:lineRule="auto"/>
        <w:tabs>
          <w:tab w:leader="none" w:pos="618" w:val="left"/>
        </w:tabs>
        <w:numPr>
          <w:ilvl w:val="0"/>
          <w:numId w:val="231"/>
        </w:numPr>
        <w:rPr>
          <w:rFonts w:ascii="Arial" w:cs="Arial" w:eastAsia="Arial" w:hAnsi="Arial"/>
          <w:sz w:val="15"/>
          <w:szCs w:val="15"/>
          <w:color w:val="auto"/>
        </w:rPr>
      </w:pPr>
      <w:r>
        <w:rPr>
          <w:rFonts w:ascii="Arial" w:cs="Arial" w:eastAsia="Arial" w:hAnsi="Arial"/>
          <w:sz w:val="15"/>
          <w:szCs w:val="15"/>
          <w:u w:val="single" w:color="auto"/>
          <w:color w:val="auto"/>
        </w:rPr>
        <w:t>Representations, Warranties and Covenants of the Investor and the Parent</w:t>
      </w:r>
      <w:r>
        <w:rPr>
          <w:rFonts w:ascii="Arial" w:cs="Arial" w:eastAsia="Arial" w:hAnsi="Arial"/>
          <w:sz w:val="15"/>
          <w:szCs w:val="15"/>
          <w:color w:val="auto"/>
        </w:rPr>
        <w:t>. Each of the Investor and the Parent, on behalf of itself and as applicable, hereby represents and warrants that as of the date hereof and as of the date of the Closing:</w:t>
      </w:r>
    </w:p>
    <w:p>
      <w:pPr>
        <w:spacing w:after="0" w:line="56" w:lineRule="exact"/>
        <w:rPr>
          <w:sz w:val="20"/>
          <w:szCs w:val="20"/>
          <w:color w:val="auto"/>
        </w:rPr>
      </w:pPr>
    </w:p>
    <w:p>
      <w:pPr>
        <w:ind w:left="10" w:right="280" w:firstLine="916"/>
        <w:spacing w:after="0" w:line="27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Organization, Good Standing and Qualification</w:t>
      </w:r>
      <w:r>
        <w:rPr>
          <w:rFonts w:ascii="Arial" w:cs="Arial" w:eastAsia="Arial" w:hAnsi="Arial"/>
          <w:sz w:val="15"/>
          <w:szCs w:val="15"/>
          <w:color w:val="auto"/>
        </w:rPr>
        <w:t>. The Investor is a limited liability company duly organized, validly existing and in good standing under the laws of the State of Delaware. The Parent is a corporation duly organized, validly existing and in good standing under the laws of the State of Delaware.</w:t>
      </w:r>
    </w:p>
    <w:p>
      <w:pPr>
        <w:spacing w:after="0" w:line="56" w:lineRule="exact"/>
        <w:rPr>
          <w:sz w:val="20"/>
          <w:szCs w:val="20"/>
          <w:color w:val="auto"/>
        </w:rPr>
      </w:pPr>
    </w:p>
    <w:p>
      <w:pPr>
        <w:jc w:val="both"/>
        <w:ind w:left="10" w:right="140" w:firstLine="916"/>
        <w:spacing w:after="0" w:line="294"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Authorization</w:t>
      </w:r>
      <w:r>
        <w:rPr>
          <w:rFonts w:ascii="Arial" w:cs="Arial" w:eastAsia="Arial" w:hAnsi="Arial"/>
          <w:sz w:val="13"/>
          <w:szCs w:val="13"/>
          <w:color w:val="auto"/>
        </w:rPr>
        <w:t>. The Investor has full power and authority to enter into this Agreement and the Rights Agreement, and each such agreement constitutes a valid and legally binding obligation of the Investor, enforceable in accordance with its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1" w:lineRule="exact"/>
        <w:rPr>
          <w:sz w:val="20"/>
          <w:szCs w:val="20"/>
          <w:color w:val="auto"/>
        </w:rPr>
      </w:pPr>
    </w:p>
    <w:p>
      <w:pPr>
        <w:ind w:left="10" w:right="160" w:hanging="10"/>
        <w:spacing w:after="0" w:line="254" w:lineRule="auto"/>
        <w:tabs>
          <w:tab w:leader="none" w:pos="273" w:val="left"/>
        </w:tabs>
        <w:numPr>
          <w:ilvl w:val="0"/>
          <w:numId w:val="232"/>
        </w:numPr>
        <w:rPr>
          <w:rFonts w:ascii="Arial" w:cs="Arial" w:eastAsia="Arial" w:hAnsi="Arial"/>
          <w:sz w:val="15"/>
          <w:szCs w:val="15"/>
          <w:color w:val="auto"/>
        </w:rPr>
      </w:pPr>
      <w:r>
        <w:rPr>
          <w:rFonts w:ascii="Arial" w:cs="Arial" w:eastAsia="Arial" w:hAnsi="Arial"/>
          <w:sz w:val="15"/>
          <w:szCs w:val="15"/>
          <w:color w:val="auto"/>
        </w:rPr>
        <w:t>to the extent the indemnification provisions contained in the Rights Agreement may be limited by applicable federal or state securities laws. The Parent has full power and authority to enter into this Agreement, which constitutes a valid and legally binding obligation of the Parent, enforceable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0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30"/>
          </w:cols>
          <w:pgMar w:left="230" w:top="253" w:right="239" w:bottom="1440" w:gutter="0" w:footer="0" w:header="0"/>
        </w:sectPr>
      </w:pPr>
    </w:p>
    <w:bookmarkStart w:id="361" w:name="page362"/>
    <w:bookmarkEnd w:id="361"/>
    <w:p>
      <w:pPr>
        <w:ind w:right="80" w:firstLine="916"/>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4.3 </w:t>
      </w:r>
      <w:r>
        <w:rPr>
          <w:rFonts w:ascii="Arial" w:cs="Arial" w:eastAsia="Arial" w:hAnsi="Arial"/>
          <w:sz w:val="15"/>
          <w:szCs w:val="15"/>
          <w:u w:val="single" w:color="auto"/>
          <w:color w:val="auto"/>
        </w:rPr>
        <w:t>Purchase Entirely for Own Account</w:t>
      </w:r>
      <w:r>
        <w:rPr>
          <w:rFonts w:ascii="Arial" w:cs="Arial" w:eastAsia="Arial" w:hAnsi="Arial"/>
          <w:sz w:val="15"/>
          <w:szCs w:val="15"/>
          <w:color w:val="auto"/>
        </w:rPr>
        <w:t>. By the Investor’s execution of this Agreement, the Investor hereby confirms, that the Shares to be received by the Investor will be acquired for investment for the Investor’s own account, not as a nominee or agent, and not with a view to the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participations to such person or to any third person, with respect to any of the Shares.</w:t>
      </w:r>
    </w:p>
    <w:p>
      <w:pPr>
        <w:spacing w:after="0" w:line="69" w:lineRule="exact"/>
        <w:rPr>
          <w:sz w:val="20"/>
          <w:szCs w:val="20"/>
          <w:color w:val="auto"/>
        </w:rPr>
      </w:pPr>
    </w:p>
    <w:p>
      <w:pPr>
        <w:ind w:right="100" w:firstLine="916"/>
        <w:spacing w:after="0" w:line="25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Disclosure of Information</w:t>
      </w:r>
      <w:r>
        <w:rPr>
          <w:rFonts w:ascii="Arial" w:cs="Arial" w:eastAsia="Arial" w:hAnsi="Arial"/>
          <w:sz w:val="15"/>
          <w:szCs w:val="15"/>
          <w:color w:val="auto"/>
        </w:rPr>
        <w:t>. The Investor believes it has received all the information it considers necessary or appropriate for deciding whether to purchase the Shares. The Investor further represents that it has had an opportunity to ask questions and receive answers from the Company regarding the terms and conditions of the offering of the Shares and the business, properties, prospects and financial condition of the Company. The foregoing, however, does not limit or modify the representations and warranties of the Company in Section 3 of this Agreement or the right of the Investor to rely thereon.</w:t>
      </w:r>
    </w:p>
    <w:p>
      <w:pPr>
        <w:spacing w:after="0" w:line="67" w:lineRule="exact"/>
        <w:rPr>
          <w:sz w:val="20"/>
          <w:szCs w:val="20"/>
          <w:color w:val="auto"/>
        </w:rPr>
      </w:pPr>
    </w:p>
    <w:p>
      <w:pPr>
        <w:ind w:right="180" w:firstLine="916"/>
        <w:spacing w:after="0" w:line="26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The Investor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Shares. Investor also represents it has not been organized for the purpose of acquiring the Shares.</w:t>
      </w:r>
    </w:p>
    <w:p>
      <w:pPr>
        <w:spacing w:after="0" w:line="65" w:lineRule="exact"/>
        <w:rPr>
          <w:sz w:val="20"/>
          <w:szCs w:val="20"/>
          <w:color w:val="auto"/>
        </w:rPr>
      </w:pPr>
    </w:p>
    <w:p>
      <w:pPr>
        <w:ind w:right="420" w:firstLine="916"/>
        <w:spacing w:after="0" w:line="275"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Accredited Investor</w:t>
      </w:r>
      <w:r>
        <w:rPr>
          <w:rFonts w:ascii="Arial" w:cs="Arial" w:eastAsia="Arial" w:hAnsi="Arial"/>
          <w:sz w:val="15"/>
          <w:szCs w:val="15"/>
          <w:color w:val="auto"/>
        </w:rPr>
        <w:t>. The Investor is an “accredited investor” within the meaning of Regulation D, Rule 501(a), promulgated by the SEC under the Securities Act, as presently in effect.</w:t>
      </w:r>
    </w:p>
    <w:p>
      <w:pPr>
        <w:spacing w:after="0" w:line="52" w:lineRule="exact"/>
        <w:rPr>
          <w:sz w:val="20"/>
          <w:szCs w:val="20"/>
          <w:color w:val="auto"/>
        </w:rPr>
      </w:pPr>
    </w:p>
    <w:p>
      <w:pPr>
        <w:ind w:right="220" w:firstLine="916"/>
        <w:spacing w:after="0" w:line="266"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Brokers or Finders</w:t>
      </w:r>
      <w:r>
        <w:rPr>
          <w:rFonts w:ascii="Arial" w:cs="Arial" w:eastAsia="Arial" w:hAnsi="Arial"/>
          <w:sz w:val="15"/>
          <w:szCs w:val="15"/>
          <w:b w:val="1"/>
          <w:bCs w:val="1"/>
          <w:color w:val="auto"/>
        </w:rPr>
        <w:t>.</w:t>
      </w:r>
      <w:r>
        <w:rPr>
          <w:rFonts w:ascii="Arial" w:cs="Arial" w:eastAsia="Arial" w:hAnsi="Arial"/>
          <w:sz w:val="15"/>
          <w:szCs w:val="15"/>
          <w:color w:val="auto"/>
        </w:rPr>
        <w:t xml:space="preserve"> The Investor and the Parent have not engaged any brokers, finders or agents, and neither the Company nor the Investor or the Parent has, nor will, incur, directly or indirectly, as a result of any action taken by the Investor, any liability for brokerage or finders’ fees or agents’ commissions or any similar charges in connection with this Agreement.</w:t>
      </w:r>
    </w:p>
    <w:p>
      <w:pPr>
        <w:spacing w:after="0" w:line="62" w:lineRule="exact"/>
        <w:rPr>
          <w:sz w:val="20"/>
          <w:szCs w:val="20"/>
          <w:color w:val="auto"/>
        </w:rPr>
      </w:pPr>
    </w:p>
    <w:p>
      <w:pPr>
        <w:jc w:val="both"/>
        <w:ind w:right="120" w:firstLine="916"/>
        <w:spacing w:after="0" w:line="259"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Restricted Securities</w:t>
      </w:r>
      <w:r>
        <w:rPr>
          <w:rFonts w:ascii="Arial" w:cs="Arial" w:eastAsia="Arial" w:hAnsi="Arial"/>
          <w:sz w:val="15"/>
          <w:szCs w:val="15"/>
          <w:color w:val="auto"/>
        </w:rPr>
        <w:t>. The Investor understands that the Shares will be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the Investor represents that it is familiar with Rule 144 promulgated under the Securities Act, as presently in effect, and understands the resale limitations imposed thereby and by the Securities Act.</w:t>
      </w:r>
    </w:p>
    <w:p>
      <w:pPr>
        <w:spacing w:after="0" w:line="6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Legends</w:t>
      </w:r>
      <w:r>
        <w:rPr>
          <w:rFonts w:ascii="Arial" w:cs="Arial" w:eastAsia="Arial" w:hAnsi="Arial"/>
          <w:sz w:val="15"/>
          <w:szCs w:val="15"/>
          <w:color w:val="auto"/>
        </w:rPr>
        <w:t>. The Investor understands that the Shares may bear one or all of the following legends:</w:t>
      </w:r>
    </w:p>
    <w:p>
      <w:pPr>
        <w:spacing w:after="0" w:line="98" w:lineRule="exact"/>
        <w:rPr>
          <w:sz w:val="20"/>
          <w:szCs w:val="20"/>
          <w:color w:val="auto"/>
        </w:rPr>
      </w:pPr>
    </w:p>
    <w:p>
      <w:pPr>
        <w:ind w:firstLine="1478"/>
        <w:spacing w:after="0" w:line="255" w:lineRule="auto"/>
        <w:tabs>
          <w:tab w:leader="none" w:pos="1692" w:val="left"/>
        </w:tabs>
        <w:numPr>
          <w:ilvl w:val="0"/>
          <w:numId w:val="233"/>
        </w:numPr>
        <w:rPr>
          <w:rFonts w:ascii="Arial" w:cs="Arial" w:eastAsia="Arial" w:hAnsi="Arial"/>
          <w:sz w:val="15"/>
          <w:szCs w:val="15"/>
          <w:color w:val="auto"/>
        </w:rPr>
      </w:pPr>
      <w:r>
        <w:rPr>
          <w:rFonts w:ascii="Arial" w:cs="Arial" w:eastAsia="Arial" w:hAnsi="Arial"/>
          <w:sz w:val="15"/>
          <w:szCs w:val="15"/>
          <w:color w:val="auto"/>
        </w:rPr>
        <w:t>“THE SECURITIES REPRESENTED HEREBY HAVE NOT BEEN REGISTERED UNDER THE SECURITIES ACT OF 1933, AS AMENDED (THE “ACT”), OR UNDER THE SECURITIES LAWS OF ANY OTHER JURISDICTIONS. THESE SECURITIES MAY NOT BE TRANSFERRED OR RESOLD EXCEPT AS PERMITTED UNDER THE ACT,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253" w:right="219" w:bottom="1440" w:gutter="0" w:footer="0" w:header="0"/>
        </w:sectPr>
      </w:pPr>
    </w:p>
    <w:bookmarkStart w:id="362" w:name="page363"/>
    <w:bookmarkEnd w:id="362"/>
    <w:p>
      <w:pPr>
        <w:ind w:right="100" w:firstLine="1478"/>
        <w:spacing w:after="0" w:line="259" w:lineRule="auto"/>
        <w:tabs>
          <w:tab w:leader="none" w:pos="1701" w:val="left"/>
        </w:tabs>
        <w:numPr>
          <w:ilvl w:val="0"/>
          <w:numId w:val="23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7308850" cy="33655"/>
                    </a:xfrm>
                    <a:prstGeom prst="rect">
                      <a:avLst/>
                    </a:prstGeom>
                    <a:noFill/>
                  </pic:spPr>
                </pic:pic>
              </a:graphicData>
            </a:graphic>
          </wp:anchor>
        </w:drawing>
        <w:t>“THESE SHARES ARE SUBJECT TO A 180 DAY MARKET STANDOFF RESTRICTION AS SET FORTH IN A CERTAIN AGREEMENT BETWEEN THE ISSUER AND THE INVESTOR, A COPY OF WHICH MAY BE OBTAINED AT THE PRINCIPAL OFFICE OF THE ISSUER. AS A RESULT OF SUCH AGREEMENT, THESE SHARES MAY NOT BE TRADED PRIOR TO 180 DAYS AFTER THE EFFECTIVE DATE OF ANY PUBLIC OFFERING OF THE COMMON STOCK OF THE ISSUER HEREOF. SUCH RESTRICTION IS BINDING ON TRANSFEREES OF THESE SHARES.”</w:t>
      </w:r>
    </w:p>
    <w:p>
      <w:pPr>
        <w:spacing w:after="0" w:line="67" w:lineRule="exact"/>
        <w:rPr>
          <w:rFonts w:ascii="Arial" w:cs="Arial" w:eastAsia="Arial" w:hAnsi="Arial"/>
          <w:sz w:val="15"/>
          <w:szCs w:val="15"/>
          <w:color w:val="auto"/>
        </w:rPr>
      </w:pPr>
    </w:p>
    <w:p>
      <w:pPr>
        <w:ind w:left="1680" w:hanging="202"/>
        <w:spacing w:after="0"/>
        <w:tabs>
          <w:tab w:leader="none" w:pos="16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Any legend required by applicable state “blue sky” securities laws, rules and regulations.</w:t>
      </w:r>
    </w:p>
    <w:p>
      <w:pPr>
        <w:spacing w:after="0" w:line="98" w:lineRule="exact"/>
        <w:rPr>
          <w:sz w:val="20"/>
          <w:szCs w:val="20"/>
          <w:color w:val="auto"/>
        </w:rPr>
      </w:pPr>
    </w:p>
    <w:p>
      <w:pPr>
        <w:ind w:right="20" w:firstLine="916"/>
        <w:spacing w:after="0" w:line="254"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Market Stand-Off Agreement; Lock-Up Agreement</w:t>
      </w:r>
      <w:r>
        <w:rPr>
          <w:rFonts w:ascii="Arial" w:cs="Arial" w:eastAsia="Arial" w:hAnsi="Arial"/>
          <w:sz w:val="15"/>
          <w:szCs w:val="15"/>
          <w:color w:val="auto"/>
        </w:rPr>
        <w:t>. The Investor and the Parent hereby agree that they shall not sell or otherwise transfer or dispose of the Shares, other than to donees, partners or Affiliates (as defined in the Rights Agreement) of the Investor or the Parent who agree to be similarly bound, for up to 180 days following the effective date of the Qualified IPO. In order to enforce this covenant, the Company shall have the right to place restrictive legends on the book-entry accounts representing the Shares and to impose stop transfer instructions with respect to the Shares until the end of such period. The provisions of this Section 4.10 shall not apply to any sale of the Shares pursuant to an underwriting agreement or to shares acquired in market purchases (subject to Section 4.11) following the Qualified IPO, unless otherwise required by the underwriters of securities of the Company. In addition, the Investor and the Parent hereby confirm that they have executed and delivered to the Underwriters the lock-up agreement provided by the Company (the “</w:t>
      </w:r>
      <w:r>
        <w:rPr>
          <w:rFonts w:ascii="Arial" w:cs="Arial" w:eastAsia="Arial" w:hAnsi="Arial"/>
          <w:sz w:val="15"/>
          <w:szCs w:val="15"/>
          <w:u w:val="single" w:color="auto"/>
          <w:color w:val="auto"/>
        </w:rPr>
        <w:t>Lock-Up Agreement</w:t>
      </w:r>
      <w:r>
        <w:rPr>
          <w:rFonts w:ascii="Arial" w:cs="Arial" w:eastAsia="Arial" w:hAnsi="Arial"/>
          <w:sz w:val="15"/>
          <w:szCs w:val="15"/>
          <w:color w:val="auto"/>
        </w:rPr>
        <w:t>”). The Lock-Up Agreement is in full force and effect, and following the consummation of the transactions contemplated by this Agreement will remain in full force and effect, including with respect to the Shares.</w:t>
      </w:r>
    </w:p>
    <w:p>
      <w:pPr>
        <w:spacing w:after="0" w:line="73" w:lineRule="exact"/>
        <w:rPr>
          <w:sz w:val="20"/>
          <w:szCs w:val="20"/>
          <w:color w:val="auto"/>
        </w:rPr>
      </w:pPr>
    </w:p>
    <w:p>
      <w:pPr>
        <w:ind w:right="140" w:firstLine="916"/>
        <w:spacing w:after="0" w:line="263"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Standstill</w:t>
      </w:r>
      <w:r>
        <w:rPr>
          <w:rFonts w:ascii="Arial" w:cs="Arial" w:eastAsia="Arial" w:hAnsi="Arial"/>
          <w:sz w:val="15"/>
          <w:szCs w:val="15"/>
          <w:color w:val="auto"/>
        </w:rPr>
        <w:t>. Unless approved in advance in writing by the board of directors of the Company, the Investor and the Parent agree that, neither they nor any of their Representatives (as defined below) acting on behalf of or in concert with the Investor or the Parent (or any of their Representatives) will, until 16 months following the Closing (“</w:t>
      </w:r>
      <w:r>
        <w:rPr>
          <w:rFonts w:ascii="Arial" w:cs="Arial" w:eastAsia="Arial" w:hAnsi="Arial"/>
          <w:sz w:val="15"/>
          <w:szCs w:val="15"/>
          <w:u w:val="single" w:color="auto"/>
          <w:color w:val="auto"/>
        </w:rPr>
        <w:t>Standstill</w:t>
      </w:r>
      <w:r>
        <w:rPr>
          <w:rFonts w:ascii="Arial" w:cs="Arial" w:eastAsia="Arial" w:hAnsi="Arial"/>
          <w:sz w:val="15"/>
          <w:szCs w:val="15"/>
          <w:color w:val="auto"/>
        </w:rPr>
        <w:t xml:space="preserve"> </w:t>
      </w:r>
      <w:r>
        <w:rPr>
          <w:rFonts w:ascii="Arial" w:cs="Arial" w:eastAsia="Arial" w:hAnsi="Arial"/>
          <w:sz w:val="15"/>
          <w:szCs w:val="15"/>
          <w:u w:val="single" w:color="auto"/>
          <w:color w:val="auto"/>
        </w:rPr>
        <w:t>Expiration</w:t>
      </w:r>
      <w:r>
        <w:rPr>
          <w:rFonts w:ascii="Arial" w:cs="Arial" w:eastAsia="Arial" w:hAnsi="Arial"/>
          <w:sz w:val="15"/>
          <w:szCs w:val="15"/>
          <w:color w:val="auto"/>
        </w:rPr>
        <w:t>”), directly or indirectly:</w:t>
      </w:r>
    </w:p>
    <w:p>
      <w:pPr>
        <w:spacing w:after="0" w:line="65" w:lineRule="exact"/>
        <w:rPr>
          <w:sz w:val="20"/>
          <w:szCs w:val="20"/>
          <w:color w:val="auto"/>
        </w:rPr>
      </w:pPr>
    </w:p>
    <w:p>
      <w:pPr>
        <w:ind w:firstLine="1478"/>
        <w:spacing w:after="0" w:line="275" w:lineRule="auto"/>
        <w:tabs>
          <w:tab w:leader="none" w:pos="1692" w:val="left"/>
        </w:tabs>
        <w:numPr>
          <w:ilvl w:val="0"/>
          <w:numId w:val="235"/>
        </w:numPr>
        <w:rPr>
          <w:rFonts w:ascii="Arial" w:cs="Arial" w:eastAsia="Arial" w:hAnsi="Arial"/>
          <w:sz w:val="14"/>
          <w:szCs w:val="14"/>
          <w:color w:val="auto"/>
        </w:rPr>
      </w:pPr>
      <w:r>
        <w:rPr>
          <w:rFonts w:ascii="Arial" w:cs="Arial" w:eastAsia="Arial" w:hAnsi="Arial"/>
          <w:sz w:val="14"/>
          <w:szCs w:val="14"/>
          <w:color w:val="auto"/>
        </w:rPr>
        <w:t>Make any statement or proposal to any of the Company’s Representatives or any of the Company’s stockholders (other than a private communication with one or more members of the board of directors of the Company) regarding, or make any public announcement, proposal, or offer (including any “solicitation” of “proxies” as such terms are defined or used in Regulation 14A of the Securities Exchange Act of 1934, as amended) with respect to, or otherwise solicit, seek, or offer to effect (including, for the avoidance of doubt, indirectly by means of communication with the press or media) (i) any business combination, merger, tender offer, exchange offer, or similar transaction involving the Company or any of its subsidiaries, (ii) any restructuring, recapitalization, liquidation, or similar transaction involving the Company or any of its subsidiaries, (iii) any acquisition of any of the Company’s loans, debt securities, equity securities or assets, or rights or options to acquire interests in any of the Company’s loans, debt securities, equity securities, or assets, (iv) any proposal to seek representation on the board of directors of the Company or otherwise seek to control or influence the management, board of directors, or policies of the Company, or (v) any proposal, arrangement, or other statement that is inconsistent with the terms of this Agreement, including this Section 4.11;</w:t>
      </w:r>
    </w:p>
    <w:p>
      <w:pPr>
        <w:spacing w:after="0" w:line="58" w:lineRule="exact"/>
        <w:rPr>
          <w:rFonts w:ascii="Arial" w:cs="Arial" w:eastAsia="Arial" w:hAnsi="Arial"/>
          <w:sz w:val="14"/>
          <w:szCs w:val="14"/>
          <w:color w:val="auto"/>
        </w:rPr>
      </w:pPr>
    </w:p>
    <w:p>
      <w:pPr>
        <w:ind w:right="60" w:firstLine="1478"/>
        <w:spacing w:after="0" w:line="275" w:lineRule="auto"/>
        <w:tabs>
          <w:tab w:leader="none" w:pos="1701" w:val="left"/>
        </w:tabs>
        <w:numPr>
          <w:ilvl w:val="0"/>
          <w:numId w:val="235"/>
        </w:numPr>
        <w:rPr>
          <w:rFonts w:ascii="Arial" w:cs="Arial" w:eastAsia="Arial" w:hAnsi="Arial"/>
          <w:sz w:val="15"/>
          <w:szCs w:val="15"/>
          <w:color w:val="auto"/>
        </w:rPr>
      </w:pPr>
      <w:r>
        <w:rPr>
          <w:rFonts w:ascii="Arial" w:cs="Arial" w:eastAsia="Arial" w:hAnsi="Arial"/>
          <w:sz w:val="15"/>
          <w:szCs w:val="15"/>
          <w:color w:val="auto"/>
        </w:rPr>
        <w:t>instigate, encourage, or assist any third party (including forming a “group” with any such third party) to do, or enter into any discussions or agreements with any third party with respect to, any of the actions set forth in Section 4.11(a); 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40" w:top="253" w:right="259" w:bottom="1440" w:gutter="0" w:footer="0" w:header="0"/>
        </w:sectPr>
      </w:pPr>
    </w:p>
    <w:bookmarkStart w:id="363" w:name="page364"/>
    <w:bookmarkEnd w:id="363"/>
    <w:p>
      <w:pPr>
        <w:ind w:left="14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 take any action that would reasonably be expected to require the Company or any of its Affiliates to make a public announcement regarding any of the actions set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forth in Section 4.11(a).</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3"/>
          <w:szCs w:val="13"/>
          <w:color w:val="auto"/>
        </w:rPr>
        <w:t>In addition, until the Standstill Expiration, unless approved in advance in writing by the board of directors of the Company, the Investor and the Parent agree that, neither the Investor nor the Parent, nor any of the direct and indirect subsidiaries of the Parent or the Investor, nor any officer of Parent (within the meaning of Section 3b-2 of the Securities Exchange Act of 1934, as determined by the Board of Directors of the Parent) acting on behalf of or in concert with the Investor or the Parent, will acquire (or propose or agree to acquire), of record or beneficially, by purchase or otherwise, any loans, debt securities, equity securities, or assets of the Company or any of its subsidiaries, or rights or options to acquire interests in any of the Company’s loans, debt securities, equity securities, or assets, other than (i) equity securities acquired from the Company in exchange for equity securities of the Company currently held by the Investor, the Parent, any of the direct and indirect subsidiaries of the Parent and the Investor or any of such officers and (ii) the acquisition of the Shares as contemplated by this Agreement.</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For purposes of this Section 4.11, the term “Representatives” means, as to any person, such person’s Affiliates, and its and their respective directors, officers, employees, managing members, general partners, agents, and consultants (including attorneys, financial advisors, and accountants).</w:t>
      </w:r>
    </w:p>
    <w:p>
      <w:pPr>
        <w:spacing w:after="0" w:line="56" w:lineRule="exact"/>
        <w:rPr>
          <w:sz w:val="20"/>
          <w:szCs w:val="20"/>
          <w:color w:val="auto"/>
        </w:rPr>
      </w:pPr>
    </w:p>
    <w:p>
      <w:pPr>
        <w:ind w:right="20" w:firstLine="448"/>
        <w:spacing w:after="0" w:line="275" w:lineRule="auto"/>
        <w:tabs>
          <w:tab w:leader="none" w:pos="608"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Conditions of the Investor’s Obligations at Closing</w:t>
      </w:r>
      <w:r>
        <w:rPr>
          <w:rFonts w:ascii="Arial" w:cs="Arial" w:eastAsia="Arial" w:hAnsi="Arial"/>
          <w:sz w:val="15"/>
          <w:szCs w:val="15"/>
          <w:color w:val="auto"/>
        </w:rPr>
        <w:t>. The obligations of the Investor under subsection 1.1 of this Agreement are subject to the fulfillment on or before the Closing of each of the following conditions.</w:t>
      </w:r>
    </w:p>
    <w:p>
      <w:pPr>
        <w:spacing w:after="0" w:line="56" w:lineRule="exact"/>
        <w:rPr>
          <w:sz w:val="20"/>
          <w:szCs w:val="20"/>
          <w:color w:val="auto"/>
        </w:rPr>
      </w:pPr>
    </w:p>
    <w:p>
      <w:pPr>
        <w:ind w:firstLine="916"/>
        <w:spacing w:after="0" w:line="263"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the Company contained in Sections 3.1(b), 3.4(b), 3.7 and 3.8 shall be true on and as of the Closing, except as would not reasonably be expected to have a material adverse effect on the Company. The representations and warranties of the Company contained in Sections 3.1(a), 3.2, 3.3, 3.4(a), 3.5 and 3.6 shall be true on and as of the Closing.</w:t>
      </w:r>
    </w:p>
    <w:p>
      <w:pPr>
        <w:spacing w:after="0" w:line="65" w:lineRule="exact"/>
        <w:rPr>
          <w:sz w:val="20"/>
          <w:szCs w:val="20"/>
          <w:color w:val="auto"/>
        </w:rPr>
      </w:pPr>
    </w:p>
    <w:p>
      <w:pPr>
        <w:ind w:right="100" w:firstLine="916"/>
        <w:spacing w:after="0" w:line="27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Public Offering Shares</w:t>
      </w:r>
      <w:r>
        <w:rPr>
          <w:rFonts w:ascii="Arial" w:cs="Arial" w:eastAsia="Arial" w:hAnsi="Arial"/>
          <w:sz w:val="15"/>
          <w:szCs w:val="15"/>
          <w:color w:val="auto"/>
        </w:rPr>
        <w:t>. The Underwriters shall have purchased, immediately prior to the purchase of the Shares by the Investor hereunder, the Firm Shares (as defined in the Underwriting Agreement) pursuant to the Registration Statement and Underwriting Agreement.</w:t>
      </w:r>
    </w:p>
    <w:p>
      <w:pPr>
        <w:spacing w:after="0" w:line="56" w:lineRule="exact"/>
        <w:rPr>
          <w:sz w:val="20"/>
          <w:szCs w:val="20"/>
          <w:color w:val="auto"/>
        </w:rPr>
      </w:pPr>
    </w:p>
    <w:p>
      <w:pPr>
        <w:ind w:right="380" w:firstLine="916"/>
        <w:spacing w:after="0" w:line="27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Rights Agreement Amendment</w:t>
      </w:r>
      <w:r>
        <w:rPr>
          <w:rFonts w:ascii="Arial" w:cs="Arial" w:eastAsia="Arial" w:hAnsi="Arial"/>
          <w:sz w:val="15"/>
          <w:szCs w:val="15"/>
          <w:color w:val="auto"/>
        </w:rPr>
        <w:t>. The Rights Agreement Amendment shall have been executed and delivered by the Company and other parties to the Existing Rights Agreement sufficient to amend the Existing Rights Agreement pursuant to Section 4.2 thereof.</w:t>
      </w:r>
    </w:p>
    <w:p>
      <w:pPr>
        <w:spacing w:after="0" w:line="56" w:lineRule="exact"/>
        <w:rPr>
          <w:sz w:val="20"/>
          <w:szCs w:val="20"/>
          <w:color w:val="auto"/>
        </w:rPr>
      </w:pPr>
    </w:p>
    <w:p>
      <w:pPr>
        <w:ind w:right="280" w:firstLine="916"/>
        <w:spacing w:after="0" w:line="263"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Absence of Injunctions, Decrees, Etc</w:t>
      </w:r>
      <w:r>
        <w:rPr>
          <w:rFonts w:ascii="Arial" w:cs="Arial" w:eastAsia="Arial" w:hAnsi="Arial"/>
          <w:sz w:val="15"/>
          <w:szCs w:val="15"/>
          <w:color w:val="auto"/>
        </w:rPr>
        <w:t>. During this period from the date of this Agreement to immediately prior to the Closing, no governmental authority of competent jurisdiction shall have enacted, issued, promulgated, enforced or entered any decision, injunction, decree, ruling, law or order permanently enjoining or otherwise prohibiting or making illegal the consummation of the transactions contemplated at the Closing.</w:t>
      </w:r>
    </w:p>
    <w:p>
      <w:pPr>
        <w:spacing w:after="0" w:line="65" w:lineRule="exact"/>
        <w:rPr>
          <w:sz w:val="20"/>
          <w:szCs w:val="20"/>
          <w:color w:val="auto"/>
        </w:rPr>
      </w:pPr>
    </w:p>
    <w:p>
      <w:pPr>
        <w:ind w:firstLine="448"/>
        <w:spacing w:after="0" w:line="275" w:lineRule="auto"/>
        <w:tabs>
          <w:tab w:leader="none" w:pos="608"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t>Conditions of the Company’s Obligations at Closing</w:t>
      </w:r>
      <w:r>
        <w:rPr>
          <w:rFonts w:ascii="Arial" w:cs="Arial" w:eastAsia="Arial" w:hAnsi="Arial"/>
          <w:sz w:val="15"/>
          <w:szCs w:val="15"/>
          <w:color w:val="auto"/>
        </w:rPr>
        <w:t>. The obligations of the Company under subsection 1.1 of this Agreement are subject to the fulfillment on or before the Closing of each of the following conditions.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Representations, Warranties and Covenants</w:t>
      </w:r>
      <w:r>
        <w:rPr>
          <w:rFonts w:ascii="Arial" w:cs="Arial" w:eastAsia="Arial" w:hAnsi="Arial"/>
          <w:sz w:val="13"/>
          <w:szCs w:val="13"/>
          <w:color w:val="auto"/>
        </w:rPr>
        <w:t>. The representations, warranties and covenants of the Investor and the Parent contained in Section 4 shall be true on and as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Closing.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253" w:right="239" w:bottom="1440" w:gutter="0" w:footer="0" w:header="0"/>
        </w:sectPr>
      </w:pPr>
    </w:p>
    <w:bookmarkStart w:id="364" w:name="page365"/>
    <w:bookmarkEnd w:id="364"/>
    <w:p>
      <w:pPr>
        <w:ind w:right="120" w:firstLine="916"/>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6.2 </w:t>
      </w:r>
      <w:r>
        <w:rPr>
          <w:rFonts w:ascii="Arial" w:cs="Arial" w:eastAsia="Arial" w:hAnsi="Arial"/>
          <w:sz w:val="15"/>
          <w:szCs w:val="15"/>
          <w:u w:val="single" w:color="auto"/>
          <w:color w:val="auto"/>
        </w:rPr>
        <w:t>Public Offering Shares</w:t>
      </w:r>
      <w:r>
        <w:rPr>
          <w:rFonts w:ascii="Arial" w:cs="Arial" w:eastAsia="Arial" w:hAnsi="Arial"/>
          <w:sz w:val="15"/>
          <w:szCs w:val="15"/>
          <w:color w:val="auto"/>
        </w:rPr>
        <w:t>. The Underwriters shall have purchased, immediately prior to the purchase of the Shares by the Investor hereunder, the Firm Shares (as defined in the Underwriting Agreement) pursuant to the Registration Statement and Underwriting Agreement, with an initial offering price to the public (before underwriting discount and commissions) of at least $500 million.</w:t>
      </w:r>
    </w:p>
    <w:p>
      <w:pPr>
        <w:spacing w:after="0" w:line="65" w:lineRule="exact"/>
        <w:rPr>
          <w:sz w:val="20"/>
          <w:szCs w:val="20"/>
          <w:color w:val="auto"/>
        </w:rPr>
      </w:pPr>
    </w:p>
    <w:p>
      <w:pPr>
        <w:ind w:right="300" w:firstLine="916"/>
        <w:spacing w:after="0" w:line="263"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Absence of Injunctions, Decrees, Etc</w:t>
      </w:r>
      <w:r>
        <w:rPr>
          <w:rFonts w:ascii="Arial" w:cs="Arial" w:eastAsia="Arial" w:hAnsi="Arial"/>
          <w:sz w:val="15"/>
          <w:szCs w:val="15"/>
          <w:color w:val="auto"/>
        </w:rPr>
        <w:t>. During this period from the date of this Agreement to immediately prior to the Closing, no governmental authority of competent jurisdiction shall have enacted, issued, promulgated, enforced or entered any decision, injunction, decree, ruling, law or order permanently enjoining or otherwise prohibiting or making illegal the consummation of the transactions contemplated at the Closing.</w:t>
      </w:r>
    </w:p>
    <w:p>
      <w:pPr>
        <w:spacing w:after="0" w:line="65" w:lineRule="exact"/>
        <w:rPr>
          <w:sz w:val="20"/>
          <w:szCs w:val="20"/>
          <w:color w:val="auto"/>
        </w:rPr>
      </w:pPr>
    </w:p>
    <w:p>
      <w:pPr>
        <w:ind w:right="100" w:firstLine="448"/>
        <w:spacing w:after="0" w:line="275" w:lineRule="auto"/>
        <w:tabs>
          <w:tab w:leader="none" w:pos="608"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shall terminate (i) at any time upon the written consent of the Company, the Investor and the Parent, (ii) upon the withdrawal by the Company of the Registration Statement, or (iii) on May 31, 2018 if the Closing has not occurred.</w:t>
      </w:r>
    </w:p>
    <w:p>
      <w:pPr>
        <w:spacing w:after="0" w:line="55" w:lineRule="exact"/>
        <w:rPr>
          <w:rFonts w:ascii="Arial" w:cs="Arial" w:eastAsia="Arial" w:hAnsi="Arial"/>
          <w:sz w:val="15"/>
          <w:szCs w:val="15"/>
          <w:color w:val="auto"/>
        </w:rPr>
      </w:pPr>
    </w:p>
    <w:p>
      <w:pPr>
        <w:ind w:left="600" w:hanging="152"/>
        <w:spacing w:after="0"/>
        <w:tabs>
          <w:tab w:leader="none" w:pos="600"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98" w:lineRule="exact"/>
        <w:rPr>
          <w:sz w:val="20"/>
          <w:szCs w:val="20"/>
          <w:color w:val="auto"/>
        </w:rPr>
      </w:pPr>
    </w:p>
    <w:p>
      <w:pPr>
        <w:ind w:firstLine="916"/>
        <w:spacing w:after="0" w:line="30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Publicity</w:t>
      </w:r>
      <w:r>
        <w:rPr>
          <w:rFonts w:ascii="Arial" w:cs="Arial" w:eastAsia="Arial" w:hAnsi="Arial"/>
          <w:sz w:val="13"/>
          <w:szCs w:val="13"/>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 has made or proposes to make an investment in the Company, except as may be required by law or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 Notwithstanding the foregoing, the parties may use the other parties’ current logo or logos in connection with describing their portfolio or this investment on their webpages and in their promotional materials.</w:t>
      </w:r>
    </w:p>
    <w:p>
      <w:pPr>
        <w:spacing w:after="0" w:line="43" w:lineRule="exact"/>
        <w:rPr>
          <w:sz w:val="20"/>
          <w:szCs w:val="20"/>
          <w:color w:val="auto"/>
        </w:rPr>
      </w:pPr>
    </w:p>
    <w:p>
      <w:pPr>
        <w:jc w:val="both"/>
        <w:ind w:right="120" w:firstLine="916"/>
        <w:spacing w:after="0" w:line="263"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Survival of Warranties</w:t>
      </w:r>
      <w:r>
        <w:rPr>
          <w:rFonts w:ascii="Arial" w:cs="Arial" w:eastAsia="Arial" w:hAnsi="Arial"/>
          <w:sz w:val="15"/>
          <w:szCs w:val="15"/>
          <w:color w:val="auto"/>
        </w:rPr>
        <w:t>. The warranties, representations and covenants of the Company, the Investor and the Parent contained in or made pursuant to this Agreement shall survive the execution and delivery of this Agreement and the Closing and shall in no way be affected by any investigation of the subject matter thereof made by or on behalf of the Investor, the Parent or the Company.</w:t>
      </w:r>
    </w:p>
    <w:p>
      <w:pPr>
        <w:spacing w:after="0" w:line="65" w:lineRule="exact"/>
        <w:rPr>
          <w:sz w:val="20"/>
          <w:szCs w:val="20"/>
          <w:color w:val="auto"/>
        </w:rPr>
      </w:pPr>
    </w:p>
    <w:p>
      <w:pPr>
        <w:ind w:right="120" w:firstLine="916"/>
        <w:spacing w:after="0" w:line="255"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Agreement, and any and all rights, duties and obligations hereunder, shall not be assigned, transferred, delegated or sublicensed by the Investor without the prior written consent of the Company; provided, however, that after the Closing, the Shares and the rights, duties and obligations of the Investor hereunder may be assigned to an Affiliate of the Investor without the prior written consent of the Company. Any attempt by the Investor without such permission to assign, transfer, delegate or sublicense any rights, duties or obligations that arise under this Agreement in a manner that is not permitted by the foregoing sentence to be made without such permission shall be void. Subject to the foregoing and except as otherwise provided herein, the provisions of this Agreement shall inure to the benefit of, and be binding upon, the successors, assigns, heirs, executors and administrators of the parties hereto. Notwithstanding the foregoing, the Investor, the Parent and their Representatives shall remain subject to Section 4.11 of this Agreement until the Standstill Expiration.</w:t>
      </w:r>
    </w:p>
    <w:p>
      <w:pPr>
        <w:spacing w:after="0" w:line="71" w:lineRule="exact"/>
        <w:rPr>
          <w:sz w:val="20"/>
          <w:szCs w:val="20"/>
          <w:color w:val="auto"/>
        </w:rPr>
      </w:pPr>
    </w:p>
    <w:p>
      <w:pPr>
        <w:ind w:right="240" w:firstLine="916"/>
        <w:spacing w:after="0" w:line="275"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in all respects by the internal laws of the State of California as applied to agreements entered into among California residents to be performed entirely within California, without regard to principles of conflicts of law.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253" w:right="219" w:bottom="1440" w:gutter="0" w:footer="0" w:header="0"/>
        </w:sectPr>
      </w:pPr>
    </w:p>
    <w:bookmarkStart w:id="365" w:name="page366"/>
    <w:bookmarkEnd w:id="365"/>
    <w:p>
      <w:pPr>
        <w:ind w:left="10" w:right="20" w:firstLine="916"/>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8.5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each of which shall be enforceable against the parties actually executing such counterparts, and all of which together shall constitute one instrument.</w:t>
      </w:r>
    </w:p>
    <w:p>
      <w:pPr>
        <w:spacing w:after="0" w:line="56" w:lineRule="exact"/>
        <w:rPr>
          <w:sz w:val="20"/>
          <w:szCs w:val="20"/>
          <w:color w:val="auto"/>
        </w:rPr>
      </w:pPr>
    </w:p>
    <w:p>
      <w:pPr>
        <w:ind w:left="10" w:right="20" w:firstLine="916"/>
        <w:spacing w:after="0" w:line="312"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required or permitted hereunder shall be in writing and shall be mailed by registered or certified mail, postage prepaid, sent by facsimile or electronic mail (if to the Investor, the Parent or any other holder of Company securities) or otherwise delivered by hand, messenger or courier service addressed:</w:t>
      </w:r>
    </w:p>
    <w:p>
      <w:pPr>
        <w:spacing w:after="0" w:line="33" w:lineRule="exact"/>
        <w:rPr>
          <w:sz w:val="20"/>
          <w:szCs w:val="20"/>
          <w:color w:val="auto"/>
        </w:rPr>
      </w:pPr>
    </w:p>
    <w:p>
      <w:pPr>
        <w:ind w:left="10" w:right="180" w:firstLine="1478"/>
        <w:spacing w:after="0" w:line="275" w:lineRule="auto"/>
        <w:tabs>
          <w:tab w:leader="none" w:pos="1702"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if to the Investor, to the Investor’s address or electronic mail address as shown on the Investor’s signature page to this Agreement, with a copy (which shall not constitute notice) to Jodie Bourdet, Cooley LLP, 101 California Street, San Francisco, California 94111.</w:t>
      </w:r>
    </w:p>
    <w:p>
      <w:pPr>
        <w:spacing w:after="0" w:line="55" w:lineRule="exact"/>
        <w:rPr>
          <w:rFonts w:ascii="Arial" w:cs="Arial" w:eastAsia="Arial" w:hAnsi="Arial"/>
          <w:sz w:val="15"/>
          <w:szCs w:val="15"/>
          <w:color w:val="auto"/>
        </w:rPr>
      </w:pPr>
    </w:p>
    <w:p>
      <w:pPr>
        <w:ind w:left="10" w:right="500" w:firstLine="1478"/>
        <w:spacing w:after="0" w:line="275" w:lineRule="auto"/>
        <w:tabs>
          <w:tab w:leader="none" w:pos="1711"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if to the Parent, to the Parent’s address or electronic mail address as shown on the Parent’s signature page to this Agreement, with a copy (which shall not constitute notice) to Jodie Bourdet, Cooley LLP, 101 California Street, San Francisco, California 94111.</w:t>
      </w:r>
    </w:p>
    <w:p>
      <w:pPr>
        <w:spacing w:after="0" w:line="55" w:lineRule="exact"/>
        <w:rPr>
          <w:rFonts w:ascii="Arial" w:cs="Arial" w:eastAsia="Arial" w:hAnsi="Arial"/>
          <w:sz w:val="15"/>
          <w:szCs w:val="15"/>
          <w:color w:val="auto"/>
        </w:rPr>
      </w:pPr>
    </w:p>
    <w:p>
      <w:pPr>
        <w:ind w:left="10" w:right="160" w:firstLine="1478"/>
        <w:spacing w:after="0" w:line="263" w:lineRule="auto"/>
        <w:tabs>
          <w:tab w:leader="none" w:pos="1702"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if to the Company, to the attention of the General Counsel of the Company at 333 Brannan Street, San Francisco, California 94107 or bart@dropbox.com, or at such other current address or electronic mail address as the Company shall have furnished to the Investor and the Parent, with a copy (which shall not constitute notice) to Tony Jeffries, Wilson Sonsini Goodrich &amp; Rosati, P.C., 650 Page Mill Road, Palo Alto, California 94304.</w:t>
      </w:r>
    </w:p>
    <w:p>
      <w:pPr>
        <w:spacing w:after="0" w:line="155" w:lineRule="exact"/>
        <w:rPr>
          <w:sz w:val="20"/>
          <w:szCs w:val="20"/>
          <w:color w:val="auto"/>
        </w:rPr>
      </w:pPr>
    </w:p>
    <w:p>
      <w:pPr>
        <w:ind w:left="10" w:right="140" w:firstLine="458"/>
        <w:spacing w:after="0" w:line="297" w:lineRule="auto"/>
        <w:rPr>
          <w:sz w:val="20"/>
          <w:szCs w:val="20"/>
          <w:color w:val="auto"/>
        </w:rPr>
      </w:pPr>
      <w:r>
        <w:rPr>
          <w:rFonts w:ascii="Arial" w:cs="Arial" w:eastAsia="Arial" w:hAnsi="Arial"/>
          <w:sz w:val="13"/>
          <w:szCs w:val="13"/>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w:t>
      </w:r>
    </w:p>
    <w:p>
      <w:pPr>
        <w:ind w:left="10" w:right="60" w:hanging="10"/>
        <w:spacing w:after="0" w:line="254" w:lineRule="auto"/>
        <w:tabs>
          <w:tab w:leader="none" w:pos="231" w:val="left"/>
        </w:tabs>
        <w:numPr>
          <w:ilvl w:val="0"/>
          <w:numId w:val="240"/>
        </w:numPr>
        <w:rPr>
          <w:rFonts w:ascii="Arial" w:cs="Arial" w:eastAsia="Arial" w:hAnsi="Arial"/>
          <w:sz w:val="15"/>
          <w:szCs w:val="15"/>
          <w:color w:val="auto"/>
        </w:rPr>
      </w:pPr>
      <w:r>
        <w:rPr>
          <w:rFonts w:ascii="Arial" w:cs="Arial" w:eastAsia="Arial" w:hAnsi="Arial"/>
          <w:sz w:val="15"/>
          <w:szCs w:val="15"/>
          <w:color w:val="auto"/>
        </w:rPr>
        <w:t>if sent via mail, at the earlier of its receipt or five days after the same has been deposited in a regularly-maintained receptacle for the deposit of the United States mail, addressed and mailed as aforesaid, or (iii) if sent via electronic mail,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72" w:lineRule="exact"/>
        <w:rPr>
          <w:sz w:val="20"/>
          <w:szCs w:val="20"/>
          <w:color w:val="auto"/>
        </w:rPr>
      </w:pPr>
    </w:p>
    <w:p>
      <w:pPr>
        <w:ind w:left="10" w:firstLine="916"/>
        <w:spacing w:after="0" w:line="276"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Brokers or Finders</w:t>
      </w:r>
      <w:r>
        <w:rPr>
          <w:rFonts w:ascii="Arial" w:cs="Arial" w:eastAsia="Arial" w:hAnsi="Arial"/>
          <w:sz w:val="14"/>
          <w:szCs w:val="14"/>
          <w:color w:val="auto"/>
        </w:rPr>
        <w:t>. The Company shall indemnify and hold harmless the Investor and the Parent from any liability for any commission or compensation in the nature of a brokerage or finder’s fee or agent’s commission (and the costs and expenses of defending against such liability or asserted liability) for which the Investor and the Parent or any of their constituent partners, members, officers, directors, employees or representatives is responsible to the extent such liability is attributable to any inaccuracy or breach of the representations and warranties contained in Section 3.7, and the Investor and the Parent agree to indemnify and hold harmless the Company and the Investor and the Parent from any liability for any commission or compensation in the nature of a brokerage or finder’s fee or agent’s commission (and the costs and expenses of defending against such liability or asserted liability) for which the Company, the Investor, the Parent or any of their constituent partners, members, officers, directors, employees or representatives is responsible to the extent such liability is attributable to any inaccuracy or breach of the representations and warranties contained in Section 4.7.</w:t>
      </w:r>
    </w:p>
    <w:p>
      <w:pPr>
        <w:spacing w:after="0" w:line="57" w:lineRule="exact"/>
        <w:rPr>
          <w:sz w:val="20"/>
          <w:szCs w:val="20"/>
          <w:color w:val="auto"/>
        </w:rPr>
      </w:pPr>
    </w:p>
    <w:p>
      <w:pPr>
        <w:ind w:left="10" w:right="440" w:firstLine="916"/>
        <w:spacing w:after="0" w:line="275"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Any term of this Agreement may be amended and the observance of any term of this Agreement may be waived (either generally or in a particular instance and either retroactively or prospectively), only with the written consent of the Company, the Investor and the Parent.</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30"/>
          </w:cols>
          <w:pgMar w:left="230" w:top="253" w:right="239" w:bottom="1440" w:gutter="0" w:footer="0" w:header="0"/>
        </w:sectPr>
      </w:pPr>
    </w:p>
    <w:bookmarkStart w:id="366" w:name="page367"/>
    <w:bookmarkEnd w:id="366"/>
    <w:p>
      <w:pPr>
        <w:ind w:right="200" w:firstLine="916"/>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8.9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becomes or is declared by a court of competent jurisdiction to be illegal, unenforceable 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67" w:lineRule="exact"/>
        <w:rPr>
          <w:sz w:val="20"/>
          <w:szCs w:val="20"/>
          <w:color w:val="auto"/>
        </w:rPr>
      </w:pPr>
    </w:p>
    <w:p>
      <w:pPr>
        <w:ind w:right="100" w:firstLine="916"/>
        <w:spacing w:after="0" w:line="257"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u w:val="single" w:color="auto"/>
          <w:color w:val="auto"/>
        </w:rPr>
        <w:t>Corporate Securities Law</w:t>
      </w:r>
      <w:r>
        <w:rPr>
          <w:rFonts w:ascii="Arial" w:cs="Arial" w:eastAsia="Arial" w:hAnsi="Arial"/>
          <w:sz w:val="15"/>
          <w:szCs w:val="15"/>
          <w:color w:val="auto"/>
        </w:rPr>
        <w:t>. THE SALE OF THE SECURITIES THAT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69" w:lineRule="exact"/>
        <w:rPr>
          <w:sz w:val="20"/>
          <w:szCs w:val="20"/>
          <w:color w:val="auto"/>
        </w:rPr>
      </w:pPr>
    </w:p>
    <w:p>
      <w:pPr>
        <w:ind w:right="40" w:firstLine="916"/>
        <w:spacing w:after="0" w:line="312" w:lineRule="auto"/>
        <w:rPr>
          <w:sz w:val="20"/>
          <w:szCs w:val="20"/>
          <w:color w:val="auto"/>
        </w:rPr>
      </w:pPr>
      <w:r>
        <w:rPr>
          <w:rFonts w:ascii="Arial" w:cs="Arial" w:eastAsia="Arial" w:hAnsi="Arial"/>
          <w:sz w:val="14"/>
          <w:szCs w:val="14"/>
          <w:color w:val="auto"/>
        </w:rPr>
        <w:t xml:space="preserve">8.11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documents referred to herein constitute the entire agreement among the parties. No party shall be liable or bound to any other party in any manner with regard to the subjects hereof or thereof by any warranties, representations or covenants except as specifically set forth herein or therein.</w:t>
      </w:r>
    </w:p>
    <w:p>
      <w:pPr>
        <w:spacing w:after="0" w:line="33" w:lineRule="exact"/>
        <w:rPr>
          <w:sz w:val="20"/>
          <w:szCs w:val="20"/>
          <w:color w:val="auto"/>
        </w:rPr>
      </w:pPr>
    </w:p>
    <w:p>
      <w:pPr>
        <w:ind w:firstLine="916"/>
        <w:spacing w:after="0" w:line="298" w:lineRule="auto"/>
        <w:rPr>
          <w:sz w:val="20"/>
          <w:szCs w:val="20"/>
          <w:color w:val="auto"/>
        </w:rPr>
      </w:pPr>
      <w:r>
        <w:rPr>
          <w:rFonts w:ascii="Arial" w:cs="Arial" w:eastAsia="Arial" w:hAnsi="Arial"/>
          <w:sz w:val="13"/>
          <w:szCs w:val="13"/>
          <w:color w:val="auto"/>
        </w:rPr>
        <w:t xml:space="preserve">8.12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to this Agreement hereby acknowledge and agree that the Company would be irreparably injured by a breach of this Agreement by the Investor and the Parent, and the Investor and the Parent would be irreparably injured by a breach of this Agreement by the Company, and that money damages are an inadequate remedy for an actual or threatened breach of this Agreement because of the difficulty of ascertaining the amount of damage that will be suffered by the aggrieved party in the event that this agreement is breached. Therefore, each of the parties to this Agreement agree to the granting of specific performance of this Agreement and injunctive or other equitable relief in favor of the aggrieved party as a remedy for any such breach, without proof of actual damages, and the parties to this Agreement further waive any requirement for the securing or posting of any bond in connection with any such remedy. Such remedy shall not be deemed to be the exclusive remedy for breach of this Agreement, but shall be in addition to all other remedies available at law or in equity to the aggrieved party.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Remainder of page intentionally left blank</w:t>
      </w:r>
      <w:r>
        <w:rPr>
          <w:rFonts w:ascii="Arial" w:cs="Arial" w:eastAsia="Arial" w:hAnsi="Arial"/>
          <w:sz w:val="15"/>
          <w:szCs w:val="15"/>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00"/>
          </w:cols>
          <w:pgMar w:left="240" w:top="253" w:right="259" w:bottom="1440" w:gutter="0" w:footer="0" w:header="0"/>
        </w:sectPr>
      </w:pPr>
    </w:p>
    <w:bookmarkStart w:id="367" w:name="page368"/>
    <w:bookmarkEnd w:id="36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w:t>
      </w:r>
      <w:r>
        <w:rPr>
          <w:rFonts w:ascii="Arial" w:cs="Arial" w:eastAsia="Arial" w:hAnsi="Arial"/>
          <w:sz w:val="15"/>
          <w:szCs w:val="15"/>
          <w:color w:val="auto"/>
        </w:rPr>
        <w:t>, the parties have executed this Class A Common Stock Purchase Agreement as of the date first above written.</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DROPBOX, INC.</w:t>
      </w:r>
    </w:p>
    <w:p>
      <w:pPr>
        <w:spacing w:after="0" w:line="226" w:lineRule="exact"/>
        <w:rPr>
          <w:sz w:val="20"/>
          <w:szCs w:val="20"/>
          <w:color w:val="auto"/>
        </w:rPr>
      </w:pPr>
    </w:p>
    <w:tbl>
      <w:tblPr>
        <w:tblLayout w:type="fixed"/>
        <w:tblInd w:w="6420" w:type="dxa"/>
        <w:tblCellMar>
          <w:top w:w="0" w:type="dxa"/>
          <w:left w:w="0" w:type="dxa"/>
          <w:bottom w:w="0" w:type="dxa"/>
          <w:right w:w="0" w:type="dxa"/>
        </w:tblCellMar>
      </w:tblPr>
      <w:tr>
        <w:trPr>
          <w:trHeight w:val="190"/>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Andrew Houston</w:t>
            </w:r>
          </w:p>
        </w:tc>
      </w:tr>
      <w:tr>
        <w:trPr>
          <w:trHeight w:val="174"/>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3980" w:type="dxa"/>
            <w:vAlign w:val="bottom"/>
          </w:tcPr>
          <w:p>
            <w:pPr>
              <w:spacing w:after="0"/>
              <w:rPr>
                <w:sz w:val="20"/>
                <w:szCs w:val="20"/>
                <w:color w:val="auto"/>
              </w:rPr>
            </w:pPr>
            <w:r>
              <w:rPr>
                <w:rFonts w:ascii="Arial" w:cs="Arial" w:eastAsia="Arial" w:hAnsi="Arial"/>
                <w:sz w:val="15"/>
                <w:szCs w:val="15"/>
                <w:color w:val="auto"/>
              </w:rPr>
              <w:t>Andrew Houston</w:t>
            </w:r>
          </w:p>
        </w:tc>
      </w:tr>
      <w:tr>
        <w:trPr>
          <w:trHeight w:val="190"/>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398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383"/>
        </w:trPr>
        <w:tc>
          <w:tcPr>
            <w:tcW w:w="600" w:type="dxa"/>
            <w:vAlign w:val="bottom"/>
          </w:tcPr>
          <w:p>
            <w:pPr>
              <w:spacing w:after="0"/>
              <w:rPr>
                <w:sz w:val="20"/>
                <w:szCs w:val="20"/>
                <w:color w:val="auto"/>
              </w:rPr>
            </w:pPr>
            <w:r>
              <w:rPr>
                <w:rFonts w:ascii="Arial" w:cs="Arial" w:eastAsia="Arial" w:hAnsi="Arial"/>
                <w:sz w:val="15"/>
                <w:szCs w:val="15"/>
                <w:color w:val="auto"/>
                <w:w w:val="97"/>
              </w:rPr>
              <w:t>Address:</w:t>
            </w:r>
          </w:p>
        </w:tc>
        <w:tc>
          <w:tcPr>
            <w:tcW w:w="3980" w:type="dxa"/>
            <w:vAlign w:val="bottom"/>
          </w:tcPr>
          <w:p>
            <w:pPr>
              <w:spacing w:after="0"/>
              <w:rPr>
                <w:sz w:val="24"/>
                <w:szCs w:val="24"/>
                <w:color w:val="auto"/>
              </w:rPr>
            </w:pPr>
          </w:p>
        </w:tc>
      </w:tr>
    </w:tbl>
    <w:p>
      <w:pPr>
        <w:spacing w:after="0" w:line="205"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333 Brannan Street</w:t>
      </w:r>
    </w:p>
    <w:p>
      <w:pPr>
        <w:spacing w:after="0" w:line="1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San Francisco, California 94107</w:t>
      </w:r>
    </w:p>
    <w:p>
      <w:pPr>
        <w:sectPr>
          <w:pgSz w:w="11900" w:h="16838" w:orient="portrait"/>
          <w:cols w:equalWidth="0" w:num="1">
            <w:col w:w="11000"/>
          </w:cols>
          <w:pgMar w:left="680" w:top="249" w:right="219" w:bottom="1440" w:gutter="0" w:footer="0" w:header="0"/>
        </w:sectPr>
      </w:pPr>
    </w:p>
    <w:bookmarkStart w:id="368" w:name="page369"/>
    <w:bookmarkEnd w:id="368"/>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w:t>
      </w:r>
      <w:r>
        <w:rPr>
          <w:rFonts w:ascii="Arial" w:cs="Arial" w:eastAsia="Arial" w:hAnsi="Arial"/>
          <w:sz w:val="15"/>
          <w:szCs w:val="15"/>
          <w:color w:val="auto"/>
        </w:rPr>
        <w:t>, the parties have executed this Class A Common Stock Purchase Agreement as of the date first above written.</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INVESTOR:</w:t>
      </w:r>
    </w:p>
    <w:p>
      <w:pPr>
        <w:spacing w:after="0" w:line="188" w:lineRule="exact"/>
        <w:rPr>
          <w:sz w:val="20"/>
          <w:szCs w:val="20"/>
          <w:color w:val="auto"/>
        </w:rPr>
      </w:pPr>
    </w:p>
    <w:p>
      <w:pPr>
        <w:jc w:val="right"/>
        <w:ind w:right="2380"/>
        <w:spacing w:after="0"/>
        <w:rPr>
          <w:sz w:val="20"/>
          <w:szCs w:val="20"/>
          <w:color w:val="auto"/>
        </w:rPr>
      </w:pPr>
      <w:r>
        <w:rPr>
          <w:rFonts w:ascii="Arial" w:cs="Arial" w:eastAsia="Arial" w:hAnsi="Arial"/>
          <w:sz w:val="15"/>
          <w:szCs w:val="15"/>
          <w:b w:val="1"/>
          <w:bCs w:val="1"/>
          <w:color w:val="auto"/>
        </w:rPr>
        <w:t>SALESFORCE VENTURES LLC</w:t>
      </w:r>
    </w:p>
    <w:p>
      <w:pPr>
        <w:spacing w:after="0" w:line="192" w:lineRule="exact"/>
        <w:rPr>
          <w:sz w:val="20"/>
          <w:szCs w:val="20"/>
          <w:color w:val="auto"/>
        </w:rPr>
      </w:pPr>
    </w:p>
    <w:tbl>
      <w:tblPr>
        <w:tblLayout w:type="fixed"/>
        <w:tblInd w:w="6420" w:type="dxa"/>
        <w:tblCellMar>
          <w:top w:w="0" w:type="dxa"/>
          <w:left w:w="0" w:type="dxa"/>
          <w:bottom w:w="0" w:type="dxa"/>
          <w:right w:w="0" w:type="dxa"/>
        </w:tblCellMar>
      </w:tblPr>
      <w:tr>
        <w:trPr>
          <w:trHeight w:val="190"/>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Somorjai</w:t>
            </w:r>
          </w:p>
        </w:tc>
      </w:tr>
      <w:tr>
        <w:trPr>
          <w:trHeight w:val="174"/>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3980" w:type="dxa"/>
            <w:vAlign w:val="bottom"/>
          </w:tcPr>
          <w:p>
            <w:pPr>
              <w:spacing w:after="0"/>
              <w:rPr>
                <w:sz w:val="20"/>
                <w:szCs w:val="20"/>
                <w:color w:val="auto"/>
              </w:rPr>
            </w:pPr>
            <w:r>
              <w:rPr>
                <w:rFonts w:ascii="Arial" w:cs="Arial" w:eastAsia="Arial" w:hAnsi="Arial"/>
                <w:sz w:val="15"/>
                <w:szCs w:val="15"/>
                <w:color w:val="auto"/>
              </w:rPr>
              <w:t>John Somorjai</w:t>
            </w:r>
          </w:p>
        </w:tc>
      </w:tr>
      <w:tr>
        <w:trPr>
          <w:trHeight w:val="190"/>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3980" w:type="dxa"/>
            <w:vAlign w:val="bottom"/>
          </w:tcPr>
          <w:p>
            <w:pPr>
              <w:spacing w:after="0"/>
              <w:rPr>
                <w:sz w:val="20"/>
                <w:szCs w:val="20"/>
                <w:color w:val="auto"/>
              </w:rPr>
            </w:pPr>
            <w:r>
              <w:rPr>
                <w:rFonts w:ascii="Arial" w:cs="Arial" w:eastAsia="Arial" w:hAnsi="Arial"/>
                <w:sz w:val="15"/>
                <w:szCs w:val="15"/>
                <w:color w:val="auto"/>
              </w:rPr>
              <w:t>President</w:t>
            </w:r>
          </w:p>
        </w:tc>
      </w:tr>
      <w:tr>
        <w:trPr>
          <w:trHeight w:val="351"/>
        </w:trPr>
        <w:tc>
          <w:tcPr>
            <w:tcW w:w="600" w:type="dxa"/>
            <w:vAlign w:val="bottom"/>
          </w:tcPr>
          <w:p>
            <w:pPr>
              <w:spacing w:after="0"/>
              <w:rPr>
                <w:sz w:val="20"/>
                <w:szCs w:val="20"/>
                <w:color w:val="auto"/>
              </w:rPr>
            </w:pPr>
            <w:r>
              <w:rPr>
                <w:rFonts w:ascii="Arial" w:cs="Arial" w:eastAsia="Arial" w:hAnsi="Arial"/>
                <w:sz w:val="15"/>
                <w:szCs w:val="15"/>
                <w:color w:val="auto"/>
                <w:w w:val="97"/>
              </w:rPr>
              <w:t>Address:</w:t>
            </w:r>
          </w:p>
        </w:tc>
        <w:tc>
          <w:tcPr>
            <w:tcW w:w="3980" w:type="dxa"/>
            <w:vAlign w:val="bottom"/>
          </w:tcPr>
          <w:p>
            <w:pPr>
              <w:ind w:left="180"/>
              <w:spacing w:after="0"/>
              <w:rPr>
                <w:sz w:val="20"/>
                <w:szCs w:val="20"/>
                <w:color w:val="auto"/>
              </w:rPr>
            </w:pPr>
            <w:r>
              <w:rPr>
                <w:rFonts w:ascii="Arial" w:cs="Arial" w:eastAsia="Arial" w:hAnsi="Arial"/>
                <w:sz w:val="15"/>
                <w:szCs w:val="15"/>
                <w:color w:val="auto"/>
              </w:rPr>
              <w:t>The Landmark @ One Market Street</w:t>
            </w:r>
          </w:p>
        </w:tc>
      </w:tr>
      <w:tr>
        <w:trPr>
          <w:trHeight w:val="180"/>
        </w:trPr>
        <w:tc>
          <w:tcPr>
            <w:tcW w:w="600" w:type="dxa"/>
            <w:vAlign w:val="bottom"/>
          </w:tcPr>
          <w:p>
            <w:pPr>
              <w:spacing w:after="0"/>
              <w:rPr>
                <w:sz w:val="15"/>
                <w:szCs w:val="15"/>
                <w:color w:val="auto"/>
              </w:rPr>
            </w:pPr>
          </w:p>
        </w:tc>
        <w:tc>
          <w:tcPr>
            <w:tcW w:w="3980" w:type="dxa"/>
            <w:vAlign w:val="bottom"/>
          </w:tcPr>
          <w:p>
            <w:pPr>
              <w:ind w:left="180"/>
              <w:spacing w:after="0"/>
              <w:rPr>
                <w:sz w:val="20"/>
                <w:szCs w:val="20"/>
                <w:color w:val="auto"/>
              </w:rPr>
            </w:pPr>
            <w:r>
              <w:rPr>
                <w:rFonts w:ascii="Arial" w:cs="Arial" w:eastAsia="Arial" w:hAnsi="Arial"/>
                <w:sz w:val="15"/>
                <w:szCs w:val="15"/>
                <w:color w:val="auto"/>
              </w:rPr>
              <w:t>Suite 300</w:t>
            </w:r>
          </w:p>
        </w:tc>
      </w:tr>
      <w:tr>
        <w:trPr>
          <w:trHeight w:val="190"/>
        </w:trPr>
        <w:tc>
          <w:tcPr>
            <w:tcW w:w="60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Arial" w:cs="Arial" w:eastAsia="Arial" w:hAnsi="Arial"/>
                <w:sz w:val="15"/>
                <w:szCs w:val="15"/>
                <w:color w:val="auto"/>
              </w:rPr>
              <w:t>San Francisco, CA 94105</w:t>
            </w:r>
          </w:p>
        </w:tc>
      </w:tr>
      <w:tr>
        <w:trPr>
          <w:trHeight w:val="361"/>
        </w:trPr>
        <w:tc>
          <w:tcPr>
            <w:tcW w:w="600" w:type="dxa"/>
            <w:vAlign w:val="bottom"/>
          </w:tcPr>
          <w:p>
            <w:pPr>
              <w:spacing w:after="0"/>
              <w:rPr>
                <w:sz w:val="20"/>
                <w:szCs w:val="20"/>
                <w:color w:val="auto"/>
              </w:rPr>
            </w:pPr>
            <w:r>
              <w:rPr>
                <w:rFonts w:ascii="Arial" w:cs="Arial" w:eastAsia="Arial" w:hAnsi="Arial"/>
                <w:sz w:val="15"/>
                <w:szCs w:val="15"/>
                <w:color w:val="auto"/>
              </w:rPr>
              <w:t>Email:</w:t>
            </w:r>
          </w:p>
        </w:tc>
        <w:tc>
          <w:tcPr>
            <w:tcW w:w="3980" w:type="dxa"/>
            <w:vAlign w:val="bottom"/>
          </w:tcPr>
          <w:p>
            <w:pPr>
              <w:ind w:left="140"/>
              <w:spacing w:after="0"/>
              <w:rPr>
                <w:sz w:val="20"/>
                <w:szCs w:val="20"/>
                <w:color w:val="auto"/>
              </w:rPr>
            </w:pPr>
            <w:r>
              <w:rPr>
                <w:rFonts w:ascii="Arial" w:cs="Arial" w:eastAsia="Arial" w:hAnsi="Arial"/>
                <w:sz w:val="15"/>
                <w:szCs w:val="15"/>
                <w:color w:val="auto"/>
              </w:rPr>
              <w:t>jsomorjai@salesforce.com</w:t>
            </w:r>
          </w:p>
        </w:tc>
      </w:tr>
    </w:tbl>
    <w:p>
      <w:pPr>
        <w:spacing w:after="0" w:line="167"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PARENT:</w:t>
      </w:r>
    </w:p>
    <w:p>
      <w:pPr>
        <w:spacing w:after="0" w:line="188"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SALESFORCE.COM, INC.</w:t>
      </w:r>
    </w:p>
    <w:p>
      <w:pPr>
        <w:spacing w:after="0" w:line="192" w:lineRule="exact"/>
        <w:rPr>
          <w:sz w:val="20"/>
          <w:szCs w:val="20"/>
          <w:color w:val="auto"/>
        </w:rPr>
      </w:pPr>
    </w:p>
    <w:tbl>
      <w:tblPr>
        <w:tblLayout w:type="fixed"/>
        <w:tblInd w:w="6420" w:type="dxa"/>
        <w:tblCellMar>
          <w:top w:w="0" w:type="dxa"/>
          <w:left w:w="0" w:type="dxa"/>
          <w:bottom w:w="0" w:type="dxa"/>
          <w:right w:w="0" w:type="dxa"/>
        </w:tblCellMar>
      </w:tblPr>
      <w:tr>
        <w:trPr>
          <w:trHeight w:val="190"/>
        </w:trPr>
        <w:tc>
          <w:tcPr>
            <w:tcW w:w="640" w:type="dxa"/>
            <w:vAlign w:val="bottom"/>
          </w:tcPr>
          <w:p>
            <w:pPr>
              <w:spacing w:after="0"/>
              <w:rPr>
                <w:sz w:val="20"/>
                <w:szCs w:val="20"/>
                <w:color w:val="auto"/>
              </w:rPr>
            </w:pPr>
            <w:r>
              <w:rPr>
                <w:rFonts w:ascii="Arial" w:cs="Arial" w:eastAsia="Arial" w:hAnsi="Arial"/>
                <w:sz w:val="15"/>
                <w:szCs w:val="15"/>
                <w:color w:val="auto"/>
              </w:rPr>
              <w:t>By:</w:t>
            </w:r>
          </w:p>
        </w:tc>
        <w:tc>
          <w:tcPr>
            <w:tcW w:w="140" w:type="dxa"/>
            <w:vAlign w:val="bottom"/>
          </w:tcPr>
          <w:p>
            <w:pPr>
              <w:spacing w:after="0"/>
              <w:rPr>
                <w:sz w:val="16"/>
                <w:szCs w:val="16"/>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Somorjai</w:t>
            </w:r>
          </w:p>
        </w:tc>
      </w:tr>
      <w:tr>
        <w:trPr>
          <w:trHeight w:val="174"/>
        </w:trPr>
        <w:tc>
          <w:tcPr>
            <w:tcW w:w="640" w:type="dxa"/>
            <w:vAlign w:val="bottom"/>
          </w:tcPr>
          <w:p>
            <w:pPr>
              <w:spacing w:after="0"/>
              <w:rPr>
                <w:sz w:val="20"/>
                <w:szCs w:val="20"/>
                <w:color w:val="auto"/>
              </w:rPr>
            </w:pPr>
            <w:r>
              <w:rPr>
                <w:rFonts w:ascii="Arial" w:cs="Arial" w:eastAsia="Arial" w:hAnsi="Arial"/>
                <w:sz w:val="15"/>
                <w:szCs w:val="15"/>
                <w:color w:val="auto"/>
              </w:rPr>
              <w:t>Name:</w:t>
            </w:r>
          </w:p>
        </w:tc>
        <w:tc>
          <w:tcPr>
            <w:tcW w:w="14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John Somorjai</w:t>
            </w:r>
          </w:p>
        </w:tc>
      </w:tr>
      <w:tr>
        <w:trPr>
          <w:trHeight w:val="190"/>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14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President</w:t>
            </w:r>
          </w:p>
        </w:tc>
      </w:tr>
      <w:tr>
        <w:trPr>
          <w:trHeight w:val="351"/>
        </w:trPr>
        <w:tc>
          <w:tcPr>
            <w:tcW w:w="640" w:type="dxa"/>
            <w:vAlign w:val="bottom"/>
          </w:tcPr>
          <w:p>
            <w:pPr>
              <w:spacing w:after="0"/>
              <w:rPr>
                <w:sz w:val="20"/>
                <w:szCs w:val="20"/>
                <w:color w:val="auto"/>
              </w:rPr>
            </w:pPr>
            <w:r>
              <w:rPr>
                <w:rFonts w:ascii="Arial" w:cs="Arial" w:eastAsia="Arial" w:hAnsi="Arial"/>
                <w:sz w:val="15"/>
                <w:szCs w:val="15"/>
                <w:color w:val="auto"/>
              </w:rPr>
              <w:t>Address:</w:t>
            </w:r>
          </w:p>
        </w:tc>
        <w:tc>
          <w:tcPr>
            <w:tcW w:w="1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The Landmark @ One Market Street</w:t>
            </w:r>
          </w:p>
        </w:tc>
      </w:tr>
      <w:tr>
        <w:trPr>
          <w:trHeight w:val="180"/>
        </w:trPr>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Suite 300</w:t>
            </w:r>
          </w:p>
        </w:tc>
      </w:tr>
      <w:tr>
        <w:trPr>
          <w:trHeight w:val="190"/>
        </w:trPr>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San Francisco, CA 94105</w:t>
            </w:r>
          </w:p>
        </w:tc>
      </w:tr>
      <w:tr>
        <w:trPr>
          <w:trHeight w:val="383"/>
        </w:trPr>
        <w:tc>
          <w:tcPr>
            <w:tcW w:w="640" w:type="dxa"/>
            <w:vAlign w:val="bottom"/>
          </w:tcPr>
          <w:p>
            <w:pPr>
              <w:spacing w:after="0"/>
              <w:rPr>
                <w:sz w:val="20"/>
                <w:szCs w:val="20"/>
                <w:color w:val="auto"/>
              </w:rPr>
            </w:pPr>
            <w:r>
              <w:rPr>
                <w:rFonts w:ascii="Arial" w:cs="Arial" w:eastAsia="Arial" w:hAnsi="Arial"/>
                <w:sz w:val="15"/>
                <w:szCs w:val="15"/>
                <w:color w:val="auto"/>
              </w:rPr>
              <w:t>Email:</w:t>
            </w:r>
          </w:p>
        </w:tc>
        <w:tc>
          <w:tcPr>
            <w:tcW w:w="3940" w:type="dxa"/>
            <w:vAlign w:val="bottom"/>
            <w:gridSpan w:val="2"/>
          </w:tcPr>
          <w:p>
            <w:pPr>
              <w:ind w:left="100"/>
              <w:spacing w:after="0"/>
              <w:rPr>
                <w:sz w:val="20"/>
                <w:szCs w:val="20"/>
                <w:color w:val="auto"/>
              </w:rPr>
            </w:pPr>
            <w:r>
              <w:rPr>
                <w:rFonts w:ascii="Arial" w:cs="Arial" w:eastAsia="Arial" w:hAnsi="Arial"/>
                <w:sz w:val="15"/>
                <w:szCs w:val="15"/>
                <w:color w:val="auto"/>
              </w:rPr>
              <w:t>jsomorjai@salesforce.com</w:t>
            </w:r>
          </w:p>
        </w:tc>
      </w:tr>
    </w:tbl>
    <w:p>
      <w:pPr>
        <w:sectPr>
          <w:pgSz w:w="11900" w:h="16838" w:orient="portrait"/>
          <w:cols w:equalWidth="0" w:num="1">
            <w:col w:w="11000"/>
          </w:cols>
          <w:pgMar w:left="680" w:top="249" w:right="21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No. 2 to the Existing Rights Agreement</w:t>
      </w:r>
    </w:p>
    <w:p>
      <w:pPr>
        <w:sectPr>
          <w:pgSz w:w="11900" w:h="16838" w:orient="portrait"/>
          <w:cols w:equalWidth="0" w:num="1">
            <w:col w:w="9019"/>
          </w:cols>
          <w:pgMar w:left="1440" w:top="249" w:right="1440" w:bottom="1440" w:gutter="0" w:footer="0" w:header="0"/>
        </w:sectPr>
      </w:pPr>
    </w:p>
    <w:bookmarkStart w:id="370" w:name="page371"/>
    <w:bookmarkEnd w:id="370"/>
    <w:p>
      <w:pPr>
        <w:jc w:val="center"/>
        <w:ind w:right="-5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u w:val="single" w:color="auto"/>
          <w:color w:val="auto"/>
        </w:rPr>
        <w:t>AMENDMENT NO. 2 TO THE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u w:val="single" w:color="auto"/>
          <w:color w:val="auto"/>
        </w:rPr>
        <w:t>AMENDED AND RESTATED INVESTORS’ RIGHTS AGREEMENT</w:t>
      </w:r>
    </w:p>
    <w:p>
      <w:pPr>
        <w:spacing w:after="0" w:line="179" w:lineRule="exact"/>
        <w:rPr>
          <w:sz w:val="20"/>
          <w:szCs w:val="20"/>
          <w:color w:val="auto"/>
        </w:rPr>
      </w:pPr>
    </w:p>
    <w:p>
      <w:pPr>
        <w:ind w:right="120" w:firstLine="458"/>
        <w:spacing w:after="0" w:line="322" w:lineRule="auto"/>
        <w:rPr>
          <w:sz w:val="20"/>
          <w:szCs w:val="20"/>
          <w:color w:val="auto"/>
        </w:rPr>
      </w:pPr>
      <w:r>
        <w:rPr>
          <w:rFonts w:ascii="Arial" w:cs="Arial" w:eastAsia="Arial" w:hAnsi="Arial"/>
          <w:sz w:val="13"/>
          <w:szCs w:val="13"/>
          <w:color w:val="auto"/>
        </w:rPr>
        <w:t>This Amendment No. 2 to the Amended and Restated Investors’ Rights Agreement, as amended (this “</w:t>
      </w:r>
      <w:r>
        <w:rPr>
          <w:rFonts w:ascii="Arial" w:cs="Arial" w:eastAsia="Arial" w:hAnsi="Arial"/>
          <w:sz w:val="13"/>
          <w:szCs w:val="13"/>
          <w:b w:val="1"/>
          <w:bCs w:val="1"/>
          <w:i w:val="1"/>
          <w:iCs w:val="1"/>
          <w:color w:val="auto"/>
        </w:rPr>
        <w:t>Amendment</w:t>
      </w:r>
      <w:r>
        <w:rPr>
          <w:rFonts w:ascii="Arial" w:cs="Arial" w:eastAsia="Arial" w:hAnsi="Arial"/>
          <w:sz w:val="13"/>
          <w:szCs w:val="13"/>
          <w:color w:val="auto"/>
        </w:rPr>
        <w:t>”), is made as of March , 2018 by and among Dropbox,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and the Investors set forth on the signature pages hereto. Capitalized terms not herein defined shall have the meanings ascribed to them in the Amended and Restated Investors’ Rights Agreement by and among the Company and the Investors dated as of January 30, 2014, as amended (the “</w:t>
      </w:r>
      <w:r>
        <w:rPr>
          <w:rFonts w:ascii="Arial" w:cs="Arial" w:eastAsia="Arial" w:hAnsi="Arial"/>
          <w:sz w:val="13"/>
          <w:szCs w:val="13"/>
          <w:b w:val="1"/>
          <w:bCs w:val="1"/>
          <w:i w:val="1"/>
          <w:iCs w:val="1"/>
          <w:color w:val="auto"/>
        </w:rPr>
        <w:t>Existing Rights Agreement</w:t>
      </w:r>
      <w:r>
        <w:rPr>
          <w:rFonts w:ascii="Arial" w:cs="Arial" w:eastAsia="Arial" w:hAnsi="Arial"/>
          <w:sz w:val="13"/>
          <w:szCs w:val="13"/>
          <w:color w:val="auto"/>
        </w:rPr>
        <w:t>”).</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u w:val="single" w:color="auto"/>
          <w:color w:val="auto"/>
        </w:rPr>
        <w:t>RECITALS</w:t>
      </w:r>
    </w:p>
    <w:p>
      <w:pPr>
        <w:spacing w:after="0" w:line="188" w:lineRule="exact"/>
        <w:rPr>
          <w:sz w:val="20"/>
          <w:szCs w:val="20"/>
          <w:color w:val="auto"/>
        </w:rPr>
      </w:pPr>
    </w:p>
    <w:p>
      <w:pPr>
        <w:jc w:val="both"/>
        <w:ind w:right="380" w:firstLine="458"/>
        <w:spacing w:after="0" w:line="32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has entered into that certain Class A Common Stock Purchase Agreement, dated March 7, 2018, with Salesforce Ventures LLC, a Delaware limited</w:t>
      </w:r>
      <w:r>
        <w:rPr>
          <w:rFonts w:ascii="Arial" w:cs="Arial" w:eastAsia="Arial" w:hAnsi="Arial"/>
          <w:sz w:val="13"/>
          <w:szCs w:val="13"/>
          <w:b w:val="1"/>
          <w:bCs w:val="1"/>
          <w:color w:val="auto"/>
        </w:rPr>
        <w:t xml:space="preserve"> </w:t>
      </w:r>
      <w:r>
        <w:rPr>
          <w:rFonts w:ascii="Arial" w:cs="Arial" w:eastAsia="Arial" w:hAnsi="Arial"/>
          <w:sz w:val="13"/>
          <w:szCs w:val="13"/>
          <w:color w:val="auto"/>
        </w:rPr>
        <w:t>liability company (“</w:t>
      </w:r>
      <w:r>
        <w:rPr>
          <w:rFonts w:ascii="Arial" w:cs="Arial" w:eastAsia="Arial" w:hAnsi="Arial"/>
          <w:sz w:val="13"/>
          <w:szCs w:val="13"/>
          <w:b w:val="1"/>
          <w:bCs w:val="1"/>
          <w:i w:val="1"/>
          <w:iCs w:val="1"/>
          <w:color w:val="auto"/>
        </w:rPr>
        <w:t>Salesforce</w:t>
      </w:r>
      <w:r>
        <w:rPr>
          <w:rFonts w:ascii="Arial" w:cs="Arial" w:eastAsia="Arial" w:hAnsi="Arial"/>
          <w:sz w:val="13"/>
          <w:szCs w:val="13"/>
          <w:color w:val="auto"/>
        </w:rPr>
        <w:t>”), and salesforce.com, inc., a Delaware corporation (the “</w:t>
      </w:r>
      <w:r>
        <w:rPr>
          <w:rFonts w:ascii="Arial" w:cs="Arial" w:eastAsia="Arial" w:hAnsi="Arial"/>
          <w:sz w:val="13"/>
          <w:szCs w:val="13"/>
          <w:b w:val="1"/>
          <w:bCs w:val="1"/>
          <w:i w:val="1"/>
          <w:iCs w:val="1"/>
          <w:color w:val="auto"/>
        </w:rPr>
        <w:t>Purchase Agreement</w:t>
      </w:r>
      <w:r>
        <w:rPr>
          <w:rFonts w:ascii="Arial" w:cs="Arial" w:eastAsia="Arial" w:hAnsi="Arial"/>
          <w:sz w:val="13"/>
          <w:szCs w:val="13"/>
          <w:color w:val="auto"/>
        </w:rPr>
        <w:t>”), pursuant to which Salesforce will purchase shares of the Company’s Class A Common Stock, par value $0.0001 per share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immediately subsequent to the closing of the Qualified IPO (as defined in the Purchase Agreement).</w:t>
      </w:r>
    </w:p>
    <w:p>
      <w:pPr>
        <w:spacing w:after="0" w:line="114" w:lineRule="exact"/>
        <w:rPr>
          <w:sz w:val="20"/>
          <w:szCs w:val="20"/>
          <w:color w:val="auto"/>
        </w:rPr>
      </w:pPr>
    </w:p>
    <w:p>
      <w:pPr>
        <w:ind w:right="260" w:firstLine="45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and the undersigned parties desire to amend the terms of the Existing Rights Agreement for the limited purposes of providing Salesforce with certain</w:t>
      </w:r>
      <w:r>
        <w:rPr>
          <w:rFonts w:ascii="Arial" w:cs="Arial" w:eastAsia="Arial" w:hAnsi="Arial"/>
          <w:sz w:val="15"/>
          <w:szCs w:val="15"/>
          <w:b w:val="1"/>
          <w:bCs w:val="1"/>
          <w:color w:val="auto"/>
        </w:rPr>
        <w:t xml:space="preserve"> </w:t>
      </w:r>
      <w:r>
        <w:rPr>
          <w:rFonts w:ascii="Arial" w:cs="Arial" w:eastAsia="Arial" w:hAnsi="Arial"/>
          <w:sz w:val="15"/>
          <w:szCs w:val="15"/>
          <w:color w:val="auto"/>
        </w:rPr>
        <w:t>“piggyback” registration rights under Section 2.3 of the Existing Rights Agreement with respect to the Shares.</w:t>
      </w:r>
    </w:p>
    <w:p>
      <w:pPr>
        <w:spacing w:after="0" w:line="139" w:lineRule="exact"/>
        <w:rPr>
          <w:sz w:val="20"/>
          <w:szCs w:val="20"/>
          <w:color w:val="auto"/>
        </w:rPr>
      </w:pPr>
    </w:p>
    <w:p>
      <w:pPr>
        <w:ind w:firstLine="45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Section 4.2 of the Existing Rights Agreement, the Existing Rights Agreement may be amended only with the written consent of the Company and Investors</w:t>
      </w:r>
      <w:r>
        <w:rPr>
          <w:rFonts w:ascii="Arial" w:cs="Arial" w:eastAsia="Arial" w:hAnsi="Arial"/>
          <w:sz w:val="15"/>
          <w:szCs w:val="15"/>
          <w:b w:val="1"/>
          <w:bCs w:val="1"/>
          <w:color w:val="auto"/>
        </w:rPr>
        <w:t xml:space="preserve"> </w:t>
      </w:r>
      <w:r>
        <w:rPr>
          <w:rFonts w:ascii="Arial" w:cs="Arial" w:eastAsia="Arial" w:hAnsi="Arial"/>
          <w:sz w:val="15"/>
          <w:szCs w:val="15"/>
          <w:color w:val="auto"/>
        </w:rPr>
        <w:t>holding shares of Preferred Stock convertible into a majority of all the Investors’ Shares (collectively, the “</w:t>
      </w:r>
      <w:r>
        <w:rPr>
          <w:rFonts w:ascii="Arial" w:cs="Arial" w:eastAsia="Arial" w:hAnsi="Arial"/>
          <w:sz w:val="15"/>
          <w:szCs w:val="15"/>
          <w:b w:val="1"/>
          <w:bCs w:val="1"/>
          <w:i w:val="1"/>
          <w:iCs w:val="1"/>
          <w:color w:val="auto"/>
        </w:rPr>
        <w:t>Requisite Consent</w:t>
      </w:r>
      <w:r>
        <w:rPr>
          <w:rFonts w:ascii="Arial" w:cs="Arial" w:eastAsia="Arial" w:hAnsi="Arial"/>
          <w:sz w:val="15"/>
          <w:szCs w:val="15"/>
          <w:color w:val="auto"/>
        </w:rPr>
        <w: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undersigned parties constitute the Requisite Consent and consent to the change as set forth in this Amendment.</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u w:val="single" w:color="auto"/>
          <w:color w:val="auto"/>
        </w:rPr>
        <w:t>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the undersigned parties hereby agree as follows:</w:t>
      </w:r>
    </w:p>
    <w:p>
      <w:pPr>
        <w:spacing w:after="0" w:line="98" w:lineRule="exact"/>
        <w:rPr>
          <w:sz w:val="20"/>
          <w:szCs w:val="20"/>
          <w:color w:val="auto"/>
        </w:rPr>
      </w:pPr>
    </w:p>
    <w:p>
      <w:pPr>
        <w:ind w:right="20" w:firstLine="448"/>
        <w:spacing w:after="0" w:line="307" w:lineRule="auto"/>
        <w:tabs>
          <w:tab w:leader="none" w:pos="608" w:val="left"/>
        </w:tabs>
        <w:numPr>
          <w:ilvl w:val="0"/>
          <w:numId w:val="2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Grant of Piggyback Registration Rights and Assumption of Obligations Related Thereto</w:t>
      </w:r>
      <w:r>
        <w:rPr>
          <w:rFonts w:ascii="Arial" w:cs="Arial" w:eastAsia="Arial" w:hAnsi="Arial"/>
          <w:sz w:val="13"/>
          <w:szCs w:val="13"/>
          <w:b w:val="1"/>
          <w:bCs w:val="1"/>
          <w:color w:val="auto"/>
        </w:rPr>
        <w:t xml:space="preserve">. </w:t>
      </w:r>
      <w:r>
        <w:rPr>
          <w:rFonts w:ascii="Arial" w:cs="Arial" w:eastAsia="Arial" w:hAnsi="Arial"/>
          <w:sz w:val="13"/>
          <w:szCs w:val="13"/>
          <w:color w:val="auto"/>
        </w:rPr>
        <w:t>Upon the consummation of the transaction contemplated by the Purchase</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Salesforce (i) shall become a party to the Existing Rights Agreement, but only with respect to the “piggyback” registration rights set forth in Section 2.3 of the Existing Rights Agreement (“</w:t>
      </w:r>
      <w:r>
        <w:rPr>
          <w:rFonts w:ascii="Arial" w:cs="Arial" w:eastAsia="Arial" w:hAnsi="Arial"/>
          <w:sz w:val="13"/>
          <w:szCs w:val="13"/>
          <w:b w:val="1"/>
          <w:bCs w:val="1"/>
          <w:i w:val="1"/>
          <w:iCs w:val="1"/>
          <w:color w:val="auto"/>
        </w:rPr>
        <w:t>Piggyback Registration Rights</w:t>
      </w:r>
      <w:r>
        <w:rPr>
          <w:rFonts w:ascii="Arial" w:cs="Arial" w:eastAsia="Arial" w:hAnsi="Arial"/>
          <w:sz w:val="13"/>
          <w:szCs w:val="13"/>
          <w:color w:val="auto"/>
        </w:rPr>
        <w:t>”) and the Related Provisions (as defined below) and (ii) shall be deemed a Holder (as defined in the Existing Rights Agreement) only for the purposes of Section 2.3 and the Related Provisions. In connection with the grant of such Piggyback Registration Rights, Salesforce hereby assumes the rights, obligations and restrictions on Holders as set forth in Section 2.1, Section 2.5 through Section 2.12 inclusive and Section 4.2 of the Existing Rights Agreement (collectively, the “</w:t>
      </w:r>
      <w:r>
        <w:rPr>
          <w:rFonts w:ascii="Arial" w:cs="Arial" w:eastAsia="Arial" w:hAnsi="Arial"/>
          <w:sz w:val="13"/>
          <w:szCs w:val="13"/>
          <w:b w:val="1"/>
          <w:bCs w:val="1"/>
          <w:i w:val="1"/>
          <w:iCs w:val="1"/>
          <w:color w:val="auto"/>
        </w:rPr>
        <w:t>Related Provisions</w:t>
      </w:r>
      <w:r>
        <w:rPr>
          <w:rFonts w:ascii="Arial" w:cs="Arial" w:eastAsia="Arial" w:hAnsi="Arial"/>
          <w:sz w:val="13"/>
          <w:szCs w:val="13"/>
          <w:color w:val="auto"/>
        </w:rPr>
        <w:t>”). With respect to the</w:t>
      </w:r>
    </w:p>
    <w:p>
      <w:pPr>
        <w:sectPr>
          <w:pgSz w:w="11900" w:h="16838" w:orient="portrait"/>
          <w:cols w:equalWidth="0" w:num="1">
            <w:col w:w="11360"/>
          </w:cols>
          <w:pgMar w:left="240" w:top="249" w:right="299" w:bottom="1440" w:gutter="0" w:footer="0" w:header="0"/>
        </w:sectPr>
      </w:pPr>
    </w:p>
    <w:bookmarkStart w:id="371" w:name="page372"/>
    <w:bookmarkEnd w:id="371"/>
    <w:p>
      <w:pPr>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7308850" cy="33655"/>
                    </a:xfrm>
                    <a:prstGeom prst="rect">
                      <a:avLst/>
                    </a:prstGeom>
                    <a:noFill/>
                  </pic:spPr>
                </pic:pic>
              </a:graphicData>
            </a:graphic>
          </wp:anchor>
        </w:drawing>
        <w:t>Shares purchased by Salesforce in connection with the Purchase Agreement, Salesforce shall not be deemed to possess any rights set forth in the Existing Rights Agreement (including, without limitation, any demand or Form S-3 registration rights, information rights, preemptive rights, rights of first refusal, or rights of co-sale) other than the Piggyback Registration Rights.</w:t>
      </w:r>
    </w:p>
    <w:p>
      <w:pPr>
        <w:spacing w:after="0" w:line="6" w:lineRule="exact"/>
        <w:rPr>
          <w:sz w:val="20"/>
          <w:szCs w:val="20"/>
          <w:color w:val="auto"/>
        </w:rPr>
      </w:pPr>
    </w:p>
    <w:p>
      <w:pPr>
        <w:ind w:right="40" w:firstLine="458"/>
        <w:spacing w:after="0" w:line="280" w:lineRule="auto"/>
        <w:rPr>
          <w:sz w:val="20"/>
          <w:szCs w:val="20"/>
          <w:color w:val="auto"/>
        </w:rPr>
      </w:pPr>
      <w:r>
        <w:rPr>
          <w:rFonts w:ascii="Arial" w:cs="Arial" w:eastAsia="Arial" w:hAnsi="Arial"/>
          <w:sz w:val="15"/>
          <w:szCs w:val="15"/>
          <w:b w:val="1"/>
          <w:bCs w:val="1"/>
          <w:color w:val="auto"/>
        </w:rPr>
        <w:t>2.</w:t>
      </w:r>
      <w:r>
        <w:rPr>
          <w:rFonts w:ascii="Arial" w:cs="Arial" w:eastAsia="Arial" w:hAnsi="Arial"/>
          <w:sz w:val="15"/>
          <w:szCs w:val="15"/>
          <w:b w:val="1"/>
          <w:bCs w:val="1"/>
          <w:u w:val="single" w:color="auto"/>
          <w:color w:val="auto"/>
        </w:rPr>
        <w:t>Registrable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Solely for purposes of Section 2.3 of the Existing Rights Agreement and the Related Provisions, the Shares purchased by Salesforce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Agreement shall be deemed “Registrable Securities” as such term is defined in Section 2.1(b) of the Existing Rights Agreement.</w:t>
      </w:r>
    </w:p>
    <w:p>
      <w:pPr>
        <w:spacing w:after="0" w:line="49" w:lineRule="exact"/>
        <w:rPr>
          <w:sz w:val="20"/>
          <w:szCs w:val="20"/>
          <w:color w:val="auto"/>
        </w:rPr>
      </w:pPr>
    </w:p>
    <w:p>
      <w:pPr>
        <w:ind w:right="120" w:firstLine="458"/>
        <w:spacing w:after="0" w:line="266" w:lineRule="auto"/>
        <w:rPr>
          <w:sz w:val="20"/>
          <w:szCs w:val="20"/>
          <w:color w:val="auto"/>
        </w:rPr>
      </w:pPr>
      <w:r>
        <w:rPr>
          <w:rFonts w:ascii="Arial" w:cs="Arial" w:eastAsia="Arial" w:hAnsi="Arial"/>
          <w:sz w:val="15"/>
          <w:szCs w:val="15"/>
          <w:b w:val="1"/>
          <w:bCs w:val="1"/>
          <w:color w:val="auto"/>
        </w:rPr>
        <w:t>3.</w:t>
      </w:r>
      <w:r>
        <w:rPr>
          <w:rFonts w:ascii="Arial" w:cs="Arial" w:eastAsia="Arial" w:hAnsi="Arial"/>
          <w:sz w:val="15"/>
          <w:szCs w:val="15"/>
          <w:b w:val="1"/>
          <w:bCs w:val="1"/>
          <w:u w:val="single" w:color="auto"/>
          <w:color w:val="auto"/>
        </w:rPr>
        <w:t>Consent</w:t>
      </w:r>
      <w:r>
        <w:rPr>
          <w:rFonts w:ascii="Arial" w:cs="Arial" w:eastAsia="Arial" w:hAnsi="Arial"/>
          <w:sz w:val="15"/>
          <w:szCs w:val="15"/>
          <w:b w:val="1"/>
          <w:bCs w:val="1"/>
          <w:color w:val="auto"/>
        </w:rPr>
        <w:t xml:space="preserve">. </w:t>
      </w:r>
      <w:r>
        <w:rPr>
          <w:rFonts w:ascii="Arial" w:cs="Arial" w:eastAsia="Arial" w:hAnsi="Arial"/>
          <w:sz w:val="15"/>
          <w:szCs w:val="15"/>
          <w:color w:val="auto"/>
        </w:rPr>
        <w:t>The undersigned parties hereby consent to the addition of Salesforce as an “Investor” party to the Existing Rights Agreement, as amended, solely for the purposes set</w:t>
      </w:r>
      <w:r>
        <w:rPr>
          <w:rFonts w:ascii="Arial" w:cs="Arial" w:eastAsia="Arial" w:hAnsi="Arial"/>
          <w:sz w:val="15"/>
          <w:szCs w:val="15"/>
          <w:b w:val="1"/>
          <w:bCs w:val="1"/>
          <w:color w:val="auto"/>
        </w:rPr>
        <w:t xml:space="preserve"> </w:t>
      </w:r>
      <w:r>
        <w:rPr>
          <w:rFonts w:ascii="Arial" w:cs="Arial" w:eastAsia="Arial" w:hAnsi="Arial"/>
          <w:sz w:val="15"/>
          <w:szCs w:val="15"/>
          <w:color w:val="auto"/>
        </w:rPr>
        <w:t>forth in this Amendment. Salesforce shall become a party to the Existing Rights Agreement, as amended, solely for the purposes set forth in this Amendment by executing and delivering a counterpart signature to this Amendment.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4.</w:t>
      </w:r>
      <w:r>
        <w:rPr>
          <w:rFonts w:ascii="Arial" w:cs="Arial" w:eastAsia="Arial" w:hAnsi="Arial"/>
          <w:sz w:val="15"/>
          <w:szCs w:val="15"/>
          <w:b w:val="1"/>
          <w:bCs w:val="1"/>
          <w:u w:val="single" w:color="auto"/>
          <w:color w:val="auto"/>
        </w:rPr>
        <w:t>Full Force and Effect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expressly modified by this Amendment, the terms of the Existing Rights Agreement shall remain in full force and effect.</w:t>
      </w:r>
    </w:p>
    <w:p>
      <w:pPr>
        <w:spacing w:after="0" w:line="98" w:lineRule="exact"/>
        <w:rPr>
          <w:sz w:val="20"/>
          <w:szCs w:val="20"/>
          <w:color w:val="auto"/>
        </w:rPr>
      </w:pPr>
    </w:p>
    <w:p>
      <w:pPr>
        <w:ind w:right="460" w:firstLine="458"/>
        <w:spacing w:after="0" w:line="280" w:lineRule="auto"/>
        <w:rPr>
          <w:sz w:val="20"/>
          <w:szCs w:val="20"/>
          <w:color w:val="auto"/>
        </w:rPr>
      </w:pPr>
      <w:r>
        <w:rPr>
          <w:rFonts w:ascii="Arial" w:cs="Arial" w:eastAsia="Arial" w:hAnsi="Arial"/>
          <w:sz w:val="15"/>
          <w:szCs w:val="15"/>
          <w:b w:val="1"/>
          <w:bCs w:val="1"/>
          <w:color w:val="auto"/>
        </w:rPr>
        <w:t>5.</w:t>
      </w: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shall be governed, construed and interpreted in accordance with the laws of the State of California, without giving effect to principles of</w:t>
      </w:r>
      <w:r>
        <w:rPr>
          <w:rFonts w:ascii="Arial" w:cs="Arial" w:eastAsia="Arial" w:hAnsi="Arial"/>
          <w:sz w:val="15"/>
          <w:szCs w:val="15"/>
          <w:b w:val="1"/>
          <w:bCs w:val="1"/>
          <w:color w:val="auto"/>
        </w:rPr>
        <w:t xml:space="preserve"> </w:t>
      </w:r>
      <w:r>
        <w:rPr>
          <w:rFonts w:ascii="Arial" w:cs="Arial" w:eastAsia="Arial" w:hAnsi="Arial"/>
          <w:sz w:val="15"/>
          <w:szCs w:val="15"/>
          <w:color w:val="auto"/>
        </w:rPr>
        <w:t>conflicts of law.</w:t>
      </w:r>
    </w:p>
    <w:p>
      <w:pPr>
        <w:spacing w:after="0" w:line="49" w:lineRule="exact"/>
        <w:rPr>
          <w:sz w:val="20"/>
          <w:szCs w:val="20"/>
          <w:color w:val="auto"/>
        </w:rPr>
      </w:pPr>
    </w:p>
    <w:p>
      <w:pPr>
        <w:ind w:right="60" w:firstLine="458"/>
        <w:spacing w:after="0" w:line="266" w:lineRule="auto"/>
        <w:rPr>
          <w:sz w:val="20"/>
          <w:szCs w:val="20"/>
          <w:color w:val="auto"/>
        </w:rPr>
      </w:pPr>
      <w:r>
        <w:rPr>
          <w:rFonts w:ascii="Arial" w:cs="Arial" w:eastAsia="Arial" w:hAnsi="Arial"/>
          <w:sz w:val="15"/>
          <w:szCs w:val="15"/>
          <w:b w:val="1"/>
          <w:bCs w:val="1"/>
          <w:color w:val="auto"/>
        </w:rPr>
        <w:t>6.</w:t>
      </w:r>
      <w:r>
        <w:rPr>
          <w:rFonts w:ascii="Arial" w:cs="Arial" w:eastAsia="Arial" w:hAnsi="Arial"/>
          <w:sz w:val="15"/>
          <w:szCs w:val="15"/>
          <w:b w:val="1"/>
          <w:bCs w:val="1"/>
          <w:u w:val="single" w:color="auto"/>
          <w:color w:val="auto"/>
        </w:rPr>
        <w:t>Integration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and the Existing Rights Agreement, and the documents referred to herein and therein and the exhibits and schedules thereto, constitute the entire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among the parties hereto pertaining to the subject matter hereof, and any and all other written or oral agreements relating to the subject matter hereof existing between the parties hereto are expressly canceled.</w:t>
      </w:r>
    </w:p>
    <w:p>
      <w:pPr>
        <w:spacing w:after="0" w:line="58"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7.</w:t>
      </w:r>
      <w:r>
        <w:rPr>
          <w:rFonts w:ascii="Arial" w:cs="Arial" w:eastAsia="Arial" w:hAnsi="Arial"/>
          <w:sz w:val="13"/>
          <w:szCs w:val="13"/>
          <w:b w:val="1"/>
          <w:bCs w:val="1"/>
          <w:u w:val="single" w:color="auto"/>
          <w:color w:val="auto"/>
        </w:rPr>
        <w:t>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may be executed in two or more counterparts, each of which shall be deemed an original and all of which together shall constitute one instrument.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[SIGNATURE PAGE FOLLOWS]</w:t>
      </w:r>
    </w:p>
    <w:p>
      <w:pPr>
        <w:sectPr>
          <w:pgSz w:w="11900" w:h="16838" w:orient="portrait"/>
          <w:cols w:equalWidth="0" w:num="1">
            <w:col w:w="11380"/>
          </w:cols>
          <w:pgMar w:left="240" w:top="252" w:right="279" w:bottom="1440" w:gutter="0" w:footer="0" w:header="0"/>
        </w:sectPr>
      </w:pPr>
    </w:p>
    <w:bookmarkStart w:id="372" w:name="page373"/>
    <w:bookmarkEnd w:id="37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7308850" cy="33655"/>
                    </a:xfrm>
                    <a:prstGeom prst="rect">
                      <a:avLst/>
                    </a:prstGeom>
                    <a:noFill/>
                  </pic:spPr>
                </pic:pic>
              </a:graphicData>
            </a:graphic>
          </wp:anchor>
        </w:drawing>
        <w:t>In Witness Whereof</w:t>
      </w:r>
      <w:r>
        <w:rPr>
          <w:rFonts w:ascii="Arial" w:cs="Arial" w:eastAsia="Arial" w:hAnsi="Arial"/>
          <w:sz w:val="15"/>
          <w:szCs w:val="15"/>
          <w:color w:val="auto"/>
        </w:rPr>
        <w:t>, the parties hereto have executed this Amendment No. 2 to the Existing Rights Agreement as of the date first written above.</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5"/>
          <w:szCs w:val="15"/>
          <w:b w:val="1"/>
          <w:bCs w:val="1"/>
          <w:u w:val="single" w:color="auto"/>
          <w:color w:val="auto"/>
        </w:rPr>
        <w:t>THE COMPANY</w:t>
      </w:r>
      <w:r>
        <w:rPr>
          <w:rFonts w:ascii="Arial" w:cs="Arial" w:eastAsia="Arial" w:hAnsi="Arial"/>
          <w:sz w:val="15"/>
          <w:szCs w:val="15"/>
          <w:u w:val="single" w:color="auto"/>
          <w:color w:val="auto"/>
        </w:rPr>
        <w:t>:</w:t>
      </w:r>
    </w:p>
    <w:p>
      <w:pPr>
        <w:spacing w:after="0" w:line="188"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By:</w:t>
      </w:r>
    </w:p>
    <w:p>
      <w:pPr>
        <w:spacing w:after="0" w:line="37" w:lineRule="exact"/>
        <w:rPr>
          <w:sz w:val="20"/>
          <w:szCs w:val="20"/>
          <w:color w:val="auto"/>
        </w:rPr>
      </w:pPr>
    </w:p>
    <w:tbl>
      <w:tblPr>
        <w:tblLayout w:type="fixed"/>
        <w:tblInd w:w="6420" w:type="dxa"/>
        <w:tblCellMar>
          <w:top w:w="0" w:type="dxa"/>
          <w:left w:w="0" w:type="dxa"/>
          <w:bottom w:w="0" w:type="dxa"/>
          <w:right w:w="0" w:type="dxa"/>
        </w:tblCellMar>
      </w:tblPr>
      <w:tr>
        <w:trPr>
          <w:trHeight w:val="20"/>
        </w:trPr>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154"/>
        </w:trPr>
        <w:tc>
          <w:tcPr>
            <w:tcW w:w="500" w:type="dxa"/>
            <w:vAlign w:val="bottom"/>
            <w:gridSpan w:val="2"/>
          </w:tcPr>
          <w:p>
            <w:pPr>
              <w:spacing w:after="0" w:line="154" w:lineRule="exact"/>
              <w:rPr>
                <w:sz w:val="20"/>
                <w:szCs w:val="20"/>
                <w:color w:val="auto"/>
              </w:rPr>
            </w:pPr>
            <w:r>
              <w:rPr>
                <w:rFonts w:ascii="Arial" w:cs="Arial" w:eastAsia="Arial" w:hAnsi="Arial"/>
                <w:sz w:val="15"/>
                <w:szCs w:val="15"/>
                <w:color w:val="auto"/>
              </w:rPr>
              <w:t>Name:</w:t>
            </w:r>
          </w:p>
        </w:tc>
        <w:tc>
          <w:tcPr>
            <w:tcW w:w="4080" w:type="dxa"/>
            <w:vAlign w:val="bottom"/>
          </w:tcPr>
          <w:p>
            <w:pPr>
              <w:ind w:left="100"/>
              <w:spacing w:after="0" w:line="154" w:lineRule="exact"/>
              <w:rPr>
                <w:sz w:val="20"/>
                <w:szCs w:val="20"/>
                <w:color w:val="auto"/>
              </w:rPr>
            </w:pPr>
            <w:r>
              <w:rPr>
                <w:rFonts w:ascii="Arial" w:cs="Arial" w:eastAsia="Arial" w:hAnsi="Arial"/>
                <w:sz w:val="15"/>
                <w:szCs w:val="15"/>
                <w:color w:val="auto"/>
              </w:rPr>
              <w:t>Andrew Houston</w:t>
            </w:r>
          </w:p>
        </w:tc>
      </w:tr>
      <w:tr>
        <w:trPr>
          <w:trHeight w:val="190"/>
        </w:trPr>
        <w:tc>
          <w:tcPr>
            <w:tcW w:w="500" w:type="dxa"/>
            <w:vAlign w:val="bottom"/>
            <w:gridSpan w:val="2"/>
          </w:tcPr>
          <w:p>
            <w:pPr>
              <w:spacing w:after="0"/>
              <w:rPr>
                <w:sz w:val="20"/>
                <w:szCs w:val="20"/>
                <w:color w:val="auto"/>
              </w:rPr>
            </w:pPr>
            <w:r>
              <w:rPr>
                <w:rFonts w:ascii="Arial" w:cs="Arial" w:eastAsia="Arial" w:hAnsi="Arial"/>
                <w:sz w:val="15"/>
                <w:szCs w:val="15"/>
                <w:color w:val="auto"/>
              </w:rPr>
              <w:t>Title:</w:t>
            </w:r>
          </w:p>
        </w:tc>
        <w:tc>
          <w:tcPr>
            <w:tcW w:w="4080" w:type="dxa"/>
            <w:vAlign w:val="bottom"/>
          </w:tcPr>
          <w:p>
            <w:pPr>
              <w:ind w:left="100"/>
              <w:spacing w:after="0"/>
              <w:rPr>
                <w:sz w:val="20"/>
                <w:szCs w:val="20"/>
                <w:color w:val="auto"/>
              </w:rPr>
            </w:pPr>
            <w:r>
              <w:rPr>
                <w:rFonts w:ascii="Arial" w:cs="Arial" w:eastAsia="Arial" w:hAnsi="Arial"/>
                <w:sz w:val="15"/>
                <w:szCs w:val="15"/>
                <w:color w:val="auto"/>
              </w:rPr>
              <w:t>Chief Executive Officer</w:t>
            </w:r>
          </w:p>
        </w:tc>
      </w:tr>
    </w:tbl>
    <w:p>
      <w:pPr>
        <w:sectPr>
          <w:pgSz w:w="11900" w:h="16838" w:orient="portrait"/>
          <w:cols w:equalWidth="0" w:num="1">
            <w:col w:w="11000"/>
          </w:cols>
          <w:pgMar w:left="680" w:top="249" w:right="219" w:bottom="1440" w:gutter="0" w:footer="0" w:header="0"/>
        </w:sectPr>
      </w:pPr>
    </w:p>
    <w:bookmarkStart w:id="373" w:name="page374"/>
    <w:bookmarkEnd w:id="37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w:t>
      </w:r>
      <w:r>
        <w:rPr>
          <w:rFonts w:ascii="Arial" w:cs="Arial" w:eastAsia="Arial" w:hAnsi="Arial"/>
          <w:sz w:val="13"/>
          <w:szCs w:val="13"/>
          <w:color w:val="auto"/>
        </w:rPr>
        <w:t>, the parties hereto have executed this Amendment No. 2 to the Existing Rights Agreement as of the date first written above.</w:t>
      </w:r>
    </w:p>
    <w:p>
      <w:pPr>
        <w:spacing w:after="0" w:line="234" w:lineRule="exact"/>
        <w:rPr>
          <w:sz w:val="20"/>
          <w:szCs w:val="20"/>
          <w:color w:val="auto"/>
        </w:rPr>
      </w:pPr>
    </w:p>
    <w:p>
      <w:pPr>
        <w:ind w:left="6420"/>
        <w:spacing w:after="0"/>
        <w:rPr>
          <w:sz w:val="20"/>
          <w:szCs w:val="20"/>
          <w:color w:val="auto"/>
        </w:rPr>
      </w:pPr>
      <w:r>
        <w:rPr>
          <w:rFonts w:ascii="Arial" w:cs="Arial" w:eastAsia="Arial" w:hAnsi="Arial"/>
          <w:sz w:val="15"/>
          <w:szCs w:val="15"/>
          <w:b w:val="1"/>
          <w:bCs w:val="1"/>
          <w:u w:val="single" w:color="auto"/>
          <w:color w:val="auto"/>
        </w:rPr>
        <w:t>INVESTORS:</w:t>
      </w:r>
    </w:p>
    <w:p>
      <w:pPr>
        <w:spacing w:after="0" w:line="192" w:lineRule="exact"/>
        <w:rPr>
          <w:sz w:val="20"/>
          <w:szCs w:val="20"/>
          <w:color w:val="auto"/>
        </w:rPr>
      </w:pPr>
    </w:p>
    <w:p>
      <w:pPr>
        <w:ind w:left="6420"/>
        <w:spacing w:after="0"/>
        <w:tabs>
          <w:tab w:leader="none" w:pos="69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-8890</wp:posOffset>
            </wp:positionV>
            <wp:extent cx="286385"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286385"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12065</wp:posOffset>
            </wp:positionV>
            <wp:extent cx="267144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12065</wp:posOffset>
            </wp:positionV>
            <wp:extent cx="252793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2527935" cy="6985"/>
                    </a:xfrm>
                    <a:prstGeom prst="rect">
                      <a:avLst/>
                    </a:prstGeom>
                    <a:noFill/>
                  </pic:spPr>
                </pic:pic>
              </a:graphicData>
            </a:graphic>
          </wp:anchor>
        </w:drawing>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12065</wp:posOffset>
            </wp:positionV>
            <wp:extent cx="258508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2585085" cy="6985"/>
                    </a:xfrm>
                    <a:prstGeom prst="rect">
                      <a:avLst/>
                    </a:prstGeom>
                    <a:noFill/>
                  </pic:spPr>
                </pic:pic>
              </a:graphicData>
            </a:graphic>
          </wp:anchor>
        </w:drawing>
      </w:r>
    </w:p>
    <w:p>
      <w:pPr>
        <w:sectPr>
          <w:pgSz w:w="11900" w:h="16838" w:orient="portrait"/>
          <w:cols w:equalWidth="0" w:num="1">
            <w:col w:w="9779"/>
          </w:cols>
          <w:pgMar w:left="680" w:top="249" w:right="1440" w:bottom="1440" w:gutter="0" w:footer="0" w:header="0"/>
        </w:sectPr>
      </w:pPr>
    </w:p>
    <w:bookmarkStart w:id="374" w:name="page375"/>
    <w:bookmarkEnd w:id="374"/>
    <w:p>
      <w:pPr>
        <w:jc w:val="right"/>
        <w:spacing w:after="0"/>
        <w:rPr>
          <w:sz w:val="20"/>
          <w:szCs w:val="20"/>
          <w:color w:val="auto"/>
        </w:rPr>
      </w:pPr>
      <w:r>
        <w:rPr>
          <w:rFonts w:ascii="Arial" w:cs="Arial" w:eastAsia="Arial" w:hAnsi="Arial"/>
          <w:sz w:val="15"/>
          <w:szCs w:val="15"/>
          <w:b w:val="1"/>
          <w:bCs w:val="1"/>
          <w:color w:val="auto"/>
        </w:rPr>
        <w:t>Exhibit 10.23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OUTSIDE DIRECTOR COMPENSATION POLICY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Adopted and approved by the Board of Directors on February 22, 2018</w:t>
      </w:r>
    </w:p>
    <w:p>
      <w:pPr>
        <w:spacing w:after="0" w:line="184" w:lineRule="exact"/>
        <w:rPr>
          <w:sz w:val="20"/>
          <w:szCs w:val="20"/>
          <w:color w:val="auto"/>
        </w:rPr>
      </w:pPr>
    </w:p>
    <w:p>
      <w:pPr>
        <w:ind w:right="60" w:firstLine="916"/>
        <w:spacing w:after="0" w:line="257" w:lineRule="auto"/>
        <w:rPr>
          <w:sz w:val="20"/>
          <w:szCs w:val="20"/>
          <w:color w:val="auto"/>
        </w:rPr>
      </w:pPr>
      <w:r>
        <w:rPr>
          <w:rFonts w:ascii="Arial" w:cs="Arial" w:eastAsia="Arial" w:hAnsi="Arial"/>
          <w:sz w:val="15"/>
          <w:szCs w:val="15"/>
          <w:color w:val="auto"/>
        </w:rPr>
        <w:t>Dropbox, Inc. (the “</w:t>
      </w:r>
      <w:r>
        <w:rPr>
          <w:rFonts w:ascii="Arial" w:cs="Arial" w:eastAsia="Arial" w:hAnsi="Arial"/>
          <w:sz w:val="15"/>
          <w:szCs w:val="15"/>
          <w:b w:val="1"/>
          <w:bCs w:val="1"/>
          <w:color w:val="auto"/>
        </w:rPr>
        <w:t>Company</w:t>
      </w:r>
      <w:r>
        <w:rPr>
          <w:rFonts w:ascii="Arial" w:cs="Arial" w:eastAsia="Arial" w:hAnsi="Arial"/>
          <w:sz w:val="15"/>
          <w:szCs w:val="15"/>
          <w:color w:val="auto"/>
        </w:rPr>
        <w:t>”) believes that providing cash and equity compensation to its members of the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and members of the Board, the “</w:t>
      </w:r>
      <w:r>
        <w:rPr>
          <w:rFonts w:ascii="Arial" w:cs="Arial" w:eastAsia="Arial" w:hAnsi="Arial"/>
          <w:sz w:val="15"/>
          <w:szCs w:val="15"/>
          <w:b w:val="1"/>
          <w:bCs w:val="1"/>
          <w:color w:val="auto"/>
        </w:rPr>
        <w:t>Directors</w:t>
      </w:r>
      <w:r>
        <w:rPr>
          <w:rFonts w:ascii="Arial" w:cs="Arial" w:eastAsia="Arial" w:hAnsi="Arial"/>
          <w:sz w:val="15"/>
          <w:szCs w:val="15"/>
          <w:color w:val="auto"/>
        </w:rPr>
        <w:t>”) represents an effective tool to attract, retain and reward Directors who are not employees of the Company (the “</w:t>
      </w:r>
      <w:r>
        <w:rPr>
          <w:rFonts w:ascii="Arial" w:cs="Arial" w:eastAsia="Arial" w:hAnsi="Arial"/>
          <w:sz w:val="15"/>
          <w:szCs w:val="15"/>
          <w:b w:val="1"/>
          <w:bCs w:val="1"/>
          <w:color w:val="auto"/>
        </w:rPr>
        <w:t>Outside Directors</w:t>
      </w:r>
      <w:r>
        <w:rPr>
          <w:rFonts w:ascii="Arial" w:cs="Arial" w:eastAsia="Arial" w:hAnsi="Arial"/>
          <w:sz w:val="15"/>
          <w:szCs w:val="15"/>
          <w:color w:val="auto"/>
        </w:rPr>
        <w:t>”). This Outside Director Compensation Policy (the “</w:t>
      </w:r>
      <w:r>
        <w:rPr>
          <w:rFonts w:ascii="Arial" w:cs="Arial" w:eastAsia="Arial" w:hAnsi="Arial"/>
          <w:sz w:val="15"/>
          <w:szCs w:val="15"/>
          <w:b w:val="1"/>
          <w:bCs w:val="1"/>
          <w:color w:val="auto"/>
        </w:rPr>
        <w:t>Policy</w:t>
      </w:r>
      <w:r>
        <w:rPr>
          <w:rFonts w:ascii="Arial" w:cs="Arial" w:eastAsia="Arial" w:hAnsi="Arial"/>
          <w:sz w:val="15"/>
          <w:szCs w:val="15"/>
          <w:color w:val="auto"/>
        </w:rPr>
        <w:t>”) is intended to formalize the Company’s policy regarding cash compensation and grants of equity to its Outside Directors. Unless otherwise defined herein, capitalized terms used in this Policy will have the meaning given to such terms in the Company’s 2018 Equity Incentive Plan (the “</w:t>
      </w:r>
      <w:r>
        <w:rPr>
          <w:rFonts w:ascii="Arial" w:cs="Arial" w:eastAsia="Arial" w:hAnsi="Arial"/>
          <w:sz w:val="15"/>
          <w:szCs w:val="15"/>
          <w:b w:val="1"/>
          <w:bCs w:val="1"/>
          <w:color w:val="auto"/>
        </w:rPr>
        <w:t>Plan</w:t>
      </w:r>
      <w:r>
        <w:rPr>
          <w:rFonts w:ascii="Arial" w:cs="Arial" w:eastAsia="Arial" w:hAnsi="Arial"/>
          <w:sz w:val="15"/>
          <w:szCs w:val="15"/>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59" w:lineRule="exact"/>
        <w:rPr>
          <w:sz w:val="20"/>
          <w:szCs w:val="20"/>
          <w:color w:val="auto"/>
        </w:rPr>
      </w:pPr>
    </w:p>
    <w:p>
      <w:pPr>
        <w:ind w:right="580" w:firstLine="916"/>
        <w:spacing w:after="0" w:line="275" w:lineRule="auto"/>
        <w:rPr>
          <w:sz w:val="20"/>
          <w:szCs w:val="20"/>
          <w:color w:val="auto"/>
        </w:rPr>
      </w:pPr>
      <w:r>
        <w:rPr>
          <w:rFonts w:ascii="Arial" w:cs="Arial" w:eastAsia="Arial" w:hAnsi="Arial"/>
          <w:sz w:val="15"/>
          <w:szCs w:val="15"/>
          <w:color w:val="auto"/>
        </w:rPr>
        <w:t>Subject to Section 8 of this Policy, this Policy will be effective as of the effective date of the registration statement in connection with the initial public offering of the Company’s securities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(such date, the “</w:t>
      </w:r>
      <w:r>
        <w:rPr>
          <w:rFonts w:ascii="Arial" w:cs="Arial" w:eastAsia="Arial" w:hAnsi="Arial"/>
          <w:sz w:val="15"/>
          <w:szCs w:val="15"/>
          <w:b w:val="1"/>
          <w:bCs w:val="1"/>
          <w:color w:val="auto"/>
        </w:rPr>
        <w:t>Effective Date</w:t>
      </w:r>
      <w:r>
        <w:rPr>
          <w:rFonts w:ascii="Arial" w:cs="Arial" w:eastAsia="Arial" w:hAnsi="Arial"/>
          <w:sz w:val="15"/>
          <w:szCs w:val="15"/>
          <w:color w:val="auto"/>
        </w:rPr>
        <w:t>”).</w:t>
      </w:r>
    </w:p>
    <w:p>
      <w:pPr>
        <w:spacing w:after="0" w:line="232" w:lineRule="exact"/>
        <w:rPr>
          <w:sz w:val="20"/>
          <w:szCs w:val="20"/>
          <w:color w:val="auto"/>
        </w:rPr>
      </w:pPr>
    </w:p>
    <w:p>
      <w:pPr>
        <w:ind w:left="600" w:hanging="152"/>
        <w:spacing w:after="0"/>
        <w:tabs>
          <w:tab w:leader="none" w:pos="600" w:val="left"/>
        </w:tabs>
        <w:numPr>
          <w:ilvl w:val="0"/>
          <w:numId w:val="2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w:t>
      </w:r>
      <w:r>
        <w:rPr>
          <w:rFonts w:ascii="Arial" w:cs="Arial" w:eastAsia="Arial" w:hAnsi="Arial"/>
          <w:sz w:val="12"/>
          <w:szCs w:val="12"/>
          <w:b w:val="1"/>
          <w:bCs w:val="1"/>
          <w:u w:val="single" w:color="auto"/>
          <w:color w:val="auto"/>
        </w:rPr>
        <w:t>ASH</w:t>
      </w:r>
      <w:r>
        <w:rPr>
          <w:rFonts w:ascii="Arial" w:cs="Arial" w:eastAsia="Arial" w:hAnsi="Arial"/>
          <w:sz w:val="15"/>
          <w:szCs w:val="15"/>
          <w:b w:val="1"/>
          <w:bCs w:val="1"/>
          <w:u w:val="single" w:color="auto"/>
          <w:color w:val="auto"/>
        </w:rPr>
        <w:t xml:space="preserve"> C</w:t>
      </w:r>
      <w:r>
        <w:rPr>
          <w:rFonts w:ascii="Arial" w:cs="Arial" w:eastAsia="Arial" w:hAnsi="Arial"/>
          <w:sz w:val="12"/>
          <w:szCs w:val="12"/>
          <w:b w:val="1"/>
          <w:bCs w:val="1"/>
          <w:u w:val="single" w:color="auto"/>
          <w:color w:val="auto"/>
        </w:rPr>
        <w:t>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Annual Cash Retainer</w:t>
      </w:r>
    </w:p>
    <w:p>
      <w:pPr>
        <w:spacing w:after="0" w:line="98" w:lineRule="exact"/>
        <w:rPr>
          <w:sz w:val="20"/>
          <w:szCs w:val="20"/>
          <w:color w:val="auto"/>
        </w:rPr>
      </w:pPr>
    </w:p>
    <w:p>
      <w:pPr>
        <w:ind w:right="20" w:firstLine="916"/>
        <w:spacing w:after="0" w:line="275" w:lineRule="auto"/>
        <w:rPr>
          <w:sz w:val="20"/>
          <w:szCs w:val="20"/>
          <w:color w:val="auto"/>
        </w:rPr>
      </w:pPr>
      <w:r>
        <w:rPr>
          <w:rFonts w:ascii="Arial" w:cs="Arial" w:eastAsia="Arial" w:hAnsi="Arial"/>
          <w:sz w:val="15"/>
          <w:szCs w:val="15"/>
          <w:color w:val="auto"/>
        </w:rPr>
        <w:t>Each Outside Director will be paid an annual cash retainer of $50,000. There are no per-meeting attendance fees for attending Board meetings. This cash compensation will be paid quarterly in arrears on a prorated basis.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Committee Annual Cash Retainer</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Effective as of the Registration Date, each Outside Director who serves as the chair of the Board, the lead Outside Director, or the chair or a member of a committee of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Board will be eligible to earn additional annual fees (paid quarterly in arrears on a prorated basis)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Lead Independent Director:</w:t>
            </w:r>
          </w:p>
        </w:tc>
        <w:tc>
          <w:tcPr>
            <w:tcW w:w="2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20,000</w:t>
            </w:r>
          </w:p>
        </w:tc>
      </w:tr>
      <w:tr>
        <w:trPr>
          <w:trHeight w:val="180"/>
        </w:trPr>
        <w:tc>
          <w:tcPr>
            <w:tcW w:w="5220" w:type="dxa"/>
            <w:vAlign w:val="bottom"/>
          </w:tcPr>
          <w:p>
            <w:pPr>
              <w:spacing w:after="0"/>
              <w:rPr>
                <w:sz w:val="20"/>
                <w:szCs w:val="20"/>
                <w:color w:val="auto"/>
              </w:rPr>
            </w:pPr>
            <w:r>
              <w:rPr>
                <w:rFonts w:ascii="Arial" w:cs="Arial" w:eastAsia="Arial" w:hAnsi="Arial"/>
                <w:sz w:val="15"/>
                <w:szCs w:val="15"/>
                <w:color w:val="auto"/>
              </w:rPr>
              <w:t>Chair of Audit Committee:</w:t>
            </w:r>
          </w:p>
        </w:tc>
        <w:tc>
          <w:tcPr>
            <w:tcW w:w="210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7"/>
              </w:rPr>
              <w:t>25,000</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Member of Audit Committee:</w:t>
            </w:r>
          </w:p>
        </w:tc>
        <w:tc>
          <w:tcPr>
            <w:tcW w:w="2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12,500</w:t>
            </w:r>
          </w:p>
        </w:tc>
      </w:tr>
      <w:tr>
        <w:trPr>
          <w:trHeight w:val="180"/>
        </w:trPr>
        <w:tc>
          <w:tcPr>
            <w:tcW w:w="5220" w:type="dxa"/>
            <w:vAlign w:val="bottom"/>
          </w:tcPr>
          <w:p>
            <w:pPr>
              <w:spacing w:after="0"/>
              <w:rPr>
                <w:sz w:val="20"/>
                <w:szCs w:val="20"/>
                <w:color w:val="auto"/>
              </w:rPr>
            </w:pPr>
            <w:r>
              <w:rPr>
                <w:rFonts w:ascii="Arial" w:cs="Arial" w:eastAsia="Arial" w:hAnsi="Arial"/>
                <w:sz w:val="15"/>
                <w:szCs w:val="15"/>
                <w:color w:val="auto"/>
              </w:rPr>
              <w:t>Chair of Compensation Committee:</w:t>
            </w:r>
          </w:p>
        </w:tc>
        <w:tc>
          <w:tcPr>
            <w:tcW w:w="210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7"/>
              </w:rPr>
              <w:t>20,000</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Member of Compensation Committee:</w:t>
            </w:r>
          </w:p>
        </w:tc>
        <w:tc>
          <w:tcPr>
            <w:tcW w:w="2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10,000</w:t>
            </w:r>
          </w:p>
        </w:tc>
      </w:tr>
      <w:tr>
        <w:trPr>
          <w:trHeight w:val="180"/>
        </w:trPr>
        <w:tc>
          <w:tcPr>
            <w:tcW w:w="5220" w:type="dxa"/>
            <w:vAlign w:val="bottom"/>
          </w:tcPr>
          <w:p>
            <w:pPr>
              <w:spacing w:after="0"/>
              <w:rPr>
                <w:sz w:val="20"/>
                <w:szCs w:val="20"/>
                <w:color w:val="auto"/>
              </w:rPr>
            </w:pPr>
            <w:r>
              <w:rPr>
                <w:rFonts w:ascii="Arial" w:cs="Arial" w:eastAsia="Arial" w:hAnsi="Arial"/>
                <w:sz w:val="15"/>
                <w:szCs w:val="15"/>
                <w:color w:val="auto"/>
              </w:rPr>
              <w:t>Chair of Nominating and Governance Committee:</w:t>
            </w:r>
          </w:p>
        </w:tc>
        <w:tc>
          <w:tcPr>
            <w:tcW w:w="210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7"/>
              </w:rPr>
              <w:t>10,000</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Member of Nominating and Governance Committee:</w:t>
            </w:r>
          </w:p>
        </w:tc>
        <w:tc>
          <w:tcPr>
            <w:tcW w:w="2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bl>
    <w:p>
      <w:pPr>
        <w:sectPr>
          <w:pgSz w:w="11900" w:h="16838" w:orient="portrait"/>
          <w:cols w:equalWidth="0" w:num="1">
            <w:col w:w="11440"/>
          </w:cols>
          <w:pgMar w:left="240" w:top="125" w:right="219" w:bottom="1440" w:gutter="0" w:footer="0" w:header="0"/>
        </w:sectPr>
      </w:pPr>
    </w:p>
    <w:bookmarkStart w:id="375" w:name="page376"/>
    <w:bookmarkEnd w:id="375"/>
    <w:p>
      <w:pPr>
        <w:ind w:firstLine="916"/>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For clarity, each Outside Director who serves as the chair of a committee will receive both the additional annual fee as the chair of the committee and the additional annual fee as a member of the committee.</w:t>
      </w:r>
    </w:p>
    <w:p>
      <w:pPr>
        <w:spacing w:after="0" w:line="232" w:lineRule="exact"/>
        <w:rPr>
          <w:sz w:val="20"/>
          <w:szCs w:val="20"/>
          <w:color w:val="auto"/>
        </w:rPr>
      </w:pPr>
    </w:p>
    <w:p>
      <w:pPr>
        <w:ind w:left="600" w:hanging="152"/>
        <w:spacing w:after="0"/>
        <w:tabs>
          <w:tab w:leader="none" w:pos="600" w:val="left"/>
        </w:tabs>
        <w:numPr>
          <w:ilvl w:val="0"/>
          <w:numId w:val="2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w:t>
      </w:r>
      <w:r>
        <w:rPr>
          <w:rFonts w:ascii="Arial" w:cs="Arial" w:eastAsia="Arial" w:hAnsi="Arial"/>
          <w:sz w:val="12"/>
          <w:szCs w:val="12"/>
          <w:b w:val="1"/>
          <w:bCs w:val="1"/>
          <w:u w:val="single" w:color="auto"/>
          <w:color w:val="auto"/>
        </w:rPr>
        <w:t>QUITY</w:t>
      </w:r>
      <w:r>
        <w:rPr>
          <w:rFonts w:ascii="Arial" w:cs="Arial" w:eastAsia="Arial" w:hAnsi="Arial"/>
          <w:sz w:val="15"/>
          <w:szCs w:val="15"/>
          <w:b w:val="1"/>
          <w:bCs w:val="1"/>
          <w:u w:val="single" w:color="auto"/>
          <w:color w:val="auto"/>
        </w:rPr>
        <w:t xml:space="preserve"> C</w:t>
      </w:r>
      <w:r>
        <w:rPr>
          <w:rFonts w:ascii="Arial" w:cs="Arial" w:eastAsia="Arial" w:hAnsi="Arial"/>
          <w:sz w:val="12"/>
          <w:szCs w:val="12"/>
          <w:b w:val="1"/>
          <w:bCs w:val="1"/>
          <w:u w:val="single" w:color="auto"/>
          <w:color w:val="auto"/>
        </w:rPr>
        <w:t>OMPENSATION</w:t>
      </w:r>
    </w:p>
    <w:p>
      <w:pPr>
        <w:spacing w:after="0" w:line="102" w:lineRule="exact"/>
        <w:rPr>
          <w:sz w:val="20"/>
          <w:szCs w:val="20"/>
          <w:color w:val="auto"/>
        </w:rPr>
      </w:pPr>
    </w:p>
    <w:p>
      <w:pPr>
        <w:ind w:right="20" w:firstLine="916"/>
        <w:spacing w:after="0" w:line="263" w:lineRule="auto"/>
        <w:rPr>
          <w:sz w:val="20"/>
          <w:szCs w:val="20"/>
          <w:color w:val="auto"/>
        </w:rPr>
      </w:pPr>
      <w:r>
        <w:rPr>
          <w:rFonts w:ascii="Arial" w:cs="Arial" w:eastAsia="Arial" w:hAnsi="Arial"/>
          <w:sz w:val="15"/>
          <w:szCs w:val="15"/>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65" w:lineRule="exact"/>
        <w:rPr>
          <w:sz w:val="20"/>
          <w:szCs w:val="20"/>
          <w:color w:val="auto"/>
        </w:rPr>
      </w:pPr>
    </w:p>
    <w:p>
      <w:pPr>
        <w:ind w:right="80" w:firstLine="906"/>
        <w:spacing w:after="0" w:line="275" w:lineRule="auto"/>
        <w:tabs>
          <w:tab w:leader="none" w:pos="1120"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No Discretion</w:t>
      </w:r>
      <w:r>
        <w:rPr>
          <w:rFonts w:ascii="Arial" w:cs="Arial" w:eastAsia="Arial" w:hAnsi="Arial"/>
          <w:sz w:val="15"/>
          <w:szCs w:val="15"/>
          <w:color w:val="auto"/>
        </w:rPr>
        <w:t>. No person will have any discretion to select which Outside Directors will be granted any Awards under this Policy or to determine the number of Shares to be covered by such Awards.</w:t>
      </w:r>
    </w:p>
    <w:p>
      <w:pPr>
        <w:spacing w:after="0" w:line="55" w:lineRule="exact"/>
        <w:rPr>
          <w:rFonts w:ascii="Arial" w:cs="Arial" w:eastAsia="Arial" w:hAnsi="Arial"/>
          <w:sz w:val="15"/>
          <w:szCs w:val="15"/>
          <w:color w:val="auto"/>
        </w:rPr>
      </w:pPr>
    </w:p>
    <w:p>
      <w:pPr>
        <w:ind w:right="80" w:firstLine="906"/>
        <w:spacing w:after="0" w:line="255" w:lineRule="auto"/>
        <w:tabs>
          <w:tab w:leader="none" w:pos="1128"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Initial Award</w:t>
      </w:r>
      <w:r>
        <w:rPr>
          <w:rFonts w:ascii="Arial" w:cs="Arial" w:eastAsia="Arial" w:hAnsi="Arial"/>
          <w:sz w:val="15"/>
          <w:szCs w:val="15"/>
          <w:color w:val="auto"/>
        </w:rPr>
        <w:t>. Subject to 4 of this Policy, each individual who first becomes an Outside Director following the Effective Date will be granted an award of restricted stock units (an “</w:t>
      </w:r>
      <w:r>
        <w:rPr>
          <w:rFonts w:ascii="Arial" w:cs="Arial" w:eastAsia="Arial" w:hAnsi="Arial"/>
          <w:sz w:val="15"/>
          <w:szCs w:val="15"/>
          <w:b w:val="1"/>
          <w:bCs w:val="1"/>
          <w:color w:val="auto"/>
        </w:rPr>
        <w:t>Initial Award</w:t>
      </w:r>
      <w:r>
        <w:rPr>
          <w:rFonts w:ascii="Arial" w:cs="Arial" w:eastAsia="Arial" w:hAnsi="Arial"/>
          <w:sz w:val="15"/>
          <w:szCs w:val="15"/>
          <w:color w:val="auto"/>
        </w:rPr>
        <w:t>”) covering a number of Shares having a grant date fair value (determined in accordance with U.S. generally accepted accounting principles) (the “</w:t>
      </w:r>
      <w:r>
        <w:rPr>
          <w:rFonts w:ascii="Arial" w:cs="Arial" w:eastAsia="Arial" w:hAnsi="Arial"/>
          <w:sz w:val="15"/>
          <w:szCs w:val="15"/>
          <w:b w:val="1"/>
          <w:bCs w:val="1"/>
          <w:color w:val="auto"/>
        </w:rPr>
        <w:t>Grant Value</w:t>
      </w:r>
      <w:r>
        <w:rPr>
          <w:rFonts w:ascii="Arial" w:cs="Arial" w:eastAsia="Arial" w:hAnsi="Arial"/>
          <w:sz w:val="15"/>
          <w:szCs w:val="15"/>
          <w:color w:val="auto"/>
        </w:rPr>
        <w:t>”) equal to (x) $300,000 multiplied by (y) the fraction obtained by dividing (A) the number of full months during the period beginning on the date the individual first becomes an Outside Director and ending on the one-year anniversary of the date of the then-most recent Annual Meeting (the “</w:t>
      </w:r>
      <w:r>
        <w:rPr>
          <w:rFonts w:ascii="Arial" w:cs="Arial" w:eastAsia="Arial" w:hAnsi="Arial"/>
          <w:sz w:val="15"/>
          <w:szCs w:val="15"/>
          <w:b w:val="1"/>
          <w:bCs w:val="1"/>
          <w:color w:val="auto"/>
        </w:rPr>
        <w:t>Initial Award Vesting Period</w:t>
      </w:r>
      <w:r>
        <w:rPr>
          <w:rFonts w:ascii="Arial" w:cs="Arial" w:eastAsia="Arial" w:hAnsi="Arial"/>
          <w:sz w:val="15"/>
          <w:szCs w:val="15"/>
          <w:color w:val="auto"/>
        </w:rPr>
        <w:t>”) by (B) 12, rounded to the nearest whole Share.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61" w:lineRule="exact"/>
        <w:rPr>
          <w:sz w:val="20"/>
          <w:szCs w:val="20"/>
          <w:color w:val="auto"/>
        </w:rPr>
      </w:pPr>
    </w:p>
    <w:p>
      <w:pPr>
        <w:ind w:firstLine="916"/>
        <w:spacing w:after="0" w:line="312" w:lineRule="auto"/>
        <w:rPr>
          <w:sz w:val="20"/>
          <w:szCs w:val="20"/>
          <w:color w:val="auto"/>
        </w:rPr>
      </w:pPr>
      <w:r>
        <w:rPr>
          <w:rFonts w:ascii="Arial" w:cs="Arial" w:eastAsia="Arial" w:hAnsi="Arial"/>
          <w:sz w:val="14"/>
          <w:szCs w:val="14"/>
          <w:color w:val="auto"/>
        </w:rPr>
        <w:t>Subject to Section 3 of this Policy, each Initial Award will vest on the earlier of (i) the last day of the Initial Award Vesting Period or (ii) the day prior to the date of the Annual Meeting next following the date the Initial Award is granted, in each case, subject to the Outside Director continuing to be a Service Provider through the applicable vesting date.</w:t>
      </w:r>
    </w:p>
    <w:p>
      <w:pPr>
        <w:spacing w:after="0" w:line="29" w:lineRule="exact"/>
        <w:rPr>
          <w:sz w:val="20"/>
          <w:szCs w:val="20"/>
          <w:color w:val="auto"/>
        </w:rPr>
      </w:pPr>
    </w:p>
    <w:p>
      <w:pPr>
        <w:jc w:val="both"/>
        <w:ind w:right="300" w:firstLine="906"/>
        <w:spacing w:after="0" w:line="266" w:lineRule="auto"/>
        <w:tabs>
          <w:tab w:leader="none" w:pos="1120"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Annual Award</w:t>
      </w:r>
      <w:r>
        <w:rPr>
          <w:rFonts w:ascii="Arial" w:cs="Arial" w:eastAsia="Arial" w:hAnsi="Arial"/>
          <w:sz w:val="15"/>
          <w:szCs w:val="15"/>
          <w:color w:val="auto"/>
        </w:rPr>
        <w:t>. Subject to Section 4 of this Policy, on the date of each annual meeting of the Company’s stockholders following the Effective Date (each, an “</w:t>
      </w:r>
      <w:r>
        <w:rPr>
          <w:rFonts w:ascii="Arial" w:cs="Arial" w:eastAsia="Arial" w:hAnsi="Arial"/>
          <w:sz w:val="15"/>
          <w:szCs w:val="15"/>
          <w:b w:val="1"/>
          <w:bCs w:val="1"/>
          <w:color w:val="auto"/>
        </w:rPr>
        <w:t>Annual</w:t>
      </w:r>
      <w:r>
        <w:rPr>
          <w:rFonts w:ascii="Arial" w:cs="Arial" w:eastAsia="Arial" w:hAnsi="Arial"/>
          <w:sz w:val="15"/>
          <w:szCs w:val="15"/>
          <w:color w:val="auto"/>
        </w:rPr>
        <w:t xml:space="preserve"> </w:t>
      </w:r>
      <w:r>
        <w:rPr>
          <w:rFonts w:ascii="Arial" w:cs="Arial" w:eastAsia="Arial" w:hAnsi="Arial"/>
          <w:sz w:val="15"/>
          <w:szCs w:val="15"/>
          <w:b w:val="1"/>
          <w:bCs w:val="1"/>
          <w:color w:val="auto"/>
        </w:rPr>
        <w:t>Meeting</w:t>
      </w:r>
      <w:r>
        <w:rPr>
          <w:rFonts w:ascii="Arial" w:cs="Arial" w:eastAsia="Arial" w:hAnsi="Arial"/>
          <w:sz w:val="15"/>
          <w:szCs w:val="15"/>
          <w:color w:val="auto"/>
        </w:rPr>
        <w:t>”), each Outside Director will be automatically granted an award of restricted stock units (an “</w:t>
      </w:r>
      <w:r>
        <w:rPr>
          <w:rFonts w:ascii="Arial" w:cs="Arial" w:eastAsia="Arial" w:hAnsi="Arial"/>
          <w:sz w:val="15"/>
          <w:szCs w:val="15"/>
          <w:b w:val="1"/>
          <w:bCs w:val="1"/>
          <w:color w:val="auto"/>
        </w:rPr>
        <w:t>Annual Award</w:t>
      </w:r>
      <w:r>
        <w:rPr>
          <w:rFonts w:ascii="Arial" w:cs="Arial" w:eastAsia="Arial" w:hAnsi="Arial"/>
          <w:sz w:val="15"/>
          <w:szCs w:val="15"/>
          <w:color w:val="auto"/>
        </w:rPr>
        <w:t>”) covering a number of Shares having a Grant Value of $300,000,</w:t>
      </w:r>
      <w:r>
        <w:rPr>
          <w:rFonts w:ascii="Arial" w:cs="Arial" w:eastAsia="Arial" w:hAnsi="Arial"/>
          <w:sz w:val="15"/>
          <w:szCs w:val="15"/>
          <w:b w:val="1"/>
          <w:bCs w:val="1"/>
          <w:color w:val="auto"/>
        </w:rPr>
        <w:t xml:space="preserve"> </w:t>
      </w:r>
      <w:r>
        <w:rPr>
          <w:rFonts w:ascii="Arial" w:cs="Arial" w:eastAsia="Arial" w:hAnsi="Arial"/>
          <w:sz w:val="15"/>
          <w:szCs w:val="15"/>
          <w:color w:val="auto"/>
        </w:rPr>
        <w:t>rounded to the nearest whole Share.</w:t>
      </w:r>
    </w:p>
    <w:p>
      <w:pPr>
        <w:spacing w:after="0" w:line="152" w:lineRule="exact"/>
        <w:rPr>
          <w:sz w:val="20"/>
          <w:szCs w:val="20"/>
          <w:color w:val="auto"/>
        </w:rPr>
      </w:pPr>
    </w:p>
    <w:p>
      <w:pPr>
        <w:ind w:right="100" w:firstLine="916"/>
        <w:spacing w:after="0" w:line="263" w:lineRule="auto"/>
        <w:rPr>
          <w:sz w:val="20"/>
          <w:szCs w:val="20"/>
          <w:color w:val="auto"/>
        </w:rPr>
      </w:pPr>
      <w:r>
        <w:rPr>
          <w:rFonts w:ascii="Arial" w:cs="Arial" w:eastAsia="Arial" w:hAnsi="Arial"/>
          <w:sz w:val="15"/>
          <w:szCs w:val="15"/>
          <w:color w:val="auto"/>
        </w:rPr>
        <w:t>Subject to Section 3 of this Policy, each Annual Award will vest on the earlier of (i) the one-year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3" w:right="239" w:bottom="1440" w:gutter="0" w:footer="0" w:header="0"/>
        </w:sectPr>
      </w:pPr>
    </w:p>
    <w:bookmarkStart w:id="376" w:name="page377"/>
    <w:bookmarkEnd w:id="376"/>
    <w:p>
      <w:pPr>
        <w:ind w:firstLine="448"/>
        <w:spacing w:after="0" w:line="298" w:lineRule="auto"/>
        <w:tabs>
          <w:tab w:leader="none" w:pos="671" w:val="left"/>
        </w:tabs>
        <w:numPr>
          <w:ilvl w:val="0"/>
          <w:numId w:val="246"/>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Deferral of Awards</w:t>
      </w:r>
      <w:r>
        <w:rPr>
          <w:rFonts w:ascii="Arial" w:cs="Arial" w:eastAsia="Arial" w:hAnsi="Arial"/>
          <w:sz w:val="13"/>
          <w:szCs w:val="13"/>
          <w:color w:val="auto"/>
        </w:rPr>
        <w:t>. Unless and until otherwise determined by the Board or the Compensation Committee, as applicable, each Outside Director may elect to defer the delivery of the proceeds of any Initial Award or Annual Award that would otherwise be delivered to such Outside Director on or following the date such Award vests pursuant to the terms of Sections 2(b) and 2(c) above (the “</w:t>
      </w:r>
      <w:r>
        <w:rPr>
          <w:rFonts w:ascii="Arial" w:cs="Arial" w:eastAsia="Arial" w:hAnsi="Arial"/>
          <w:sz w:val="13"/>
          <w:szCs w:val="13"/>
          <w:b w:val="1"/>
          <w:bCs w:val="1"/>
          <w:color w:val="auto"/>
        </w:rPr>
        <w:t>Deferral Election</w:t>
      </w:r>
      <w:r>
        <w:rPr>
          <w:rFonts w:ascii="Arial" w:cs="Arial" w:eastAsia="Arial" w:hAnsi="Arial"/>
          <w:sz w:val="13"/>
          <w:szCs w:val="13"/>
          <w:color w:val="auto"/>
        </w:rPr>
        <w:t>”). Unless otherwise determined by the Board or the Compensation Committee, for any such Deferral Election to be effective, it must be submitted on or prior to the end of the calendar year prior to the date the Award will be granted (or, in the case of any individual who first becomes an Outside Director following the Effective Date, within 30 days after the individual first becomes an Outside Director) (in each case, the “</w:t>
      </w:r>
      <w:r>
        <w:rPr>
          <w:rFonts w:ascii="Arial" w:cs="Arial" w:eastAsia="Arial" w:hAnsi="Arial"/>
          <w:sz w:val="13"/>
          <w:szCs w:val="13"/>
          <w:b w:val="1"/>
          <w:bCs w:val="1"/>
          <w:color w:val="auto"/>
        </w:rPr>
        <w:t>Deferral Election Deadline</w:t>
      </w:r>
      <w:r>
        <w:rPr>
          <w:rFonts w:ascii="Arial" w:cs="Arial" w:eastAsia="Arial" w:hAnsi="Arial"/>
          <w:sz w:val="13"/>
          <w:szCs w:val="13"/>
          <w:color w:val="auto"/>
        </w:rPr>
        <w:t xml:space="preserve">”).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Deferral Elections shall be made pursuant to a form of deferral election in substantially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such other form as approved by the Board or the Compensation Committee.</w:t>
      </w:r>
    </w:p>
    <w:p>
      <w:pPr>
        <w:spacing w:after="0" w:line="225" w:lineRule="exact"/>
        <w:rPr>
          <w:sz w:val="20"/>
          <w:szCs w:val="20"/>
          <w:color w:val="auto"/>
        </w:rPr>
      </w:pPr>
    </w:p>
    <w:p>
      <w:pPr>
        <w:ind w:left="600" w:hanging="152"/>
        <w:spacing w:after="0"/>
        <w:tabs>
          <w:tab w:leader="none" w:pos="600" w:val="left"/>
        </w:tabs>
        <w:numPr>
          <w:ilvl w:val="0"/>
          <w:numId w:val="2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w:t>
      </w:r>
      <w:r>
        <w:rPr>
          <w:rFonts w:ascii="Arial" w:cs="Arial" w:eastAsia="Arial" w:hAnsi="Arial"/>
          <w:sz w:val="12"/>
          <w:szCs w:val="12"/>
          <w:b w:val="1"/>
          <w:bCs w:val="1"/>
          <w:u w:val="single" w:color="auto"/>
          <w:color w:val="auto"/>
        </w:rPr>
        <w:t>HANGE IN</w:t>
      </w:r>
      <w:r>
        <w:rPr>
          <w:rFonts w:ascii="Arial" w:cs="Arial" w:eastAsia="Arial" w:hAnsi="Arial"/>
          <w:sz w:val="15"/>
          <w:szCs w:val="15"/>
          <w:b w:val="1"/>
          <w:bCs w:val="1"/>
          <w:u w:val="single" w:color="auto"/>
          <w:color w:val="auto"/>
        </w:rPr>
        <w:t xml:space="preserve"> C</w:t>
      </w:r>
      <w:r>
        <w:rPr>
          <w:rFonts w:ascii="Arial" w:cs="Arial" w:eastAsia="Arial" w:hAnsi="Arial"/>
          <w:sz w:val="12"/>
          <w:szCs w:val="12"/>
          <w:b w:val="1"/>
          <w:bCs w:val="1"/>
          <w:u w:val="single" w:color="auto"/>
          <w:color w:val="auto"/>
        </w:rPr>
        <w:t>ONTROL</w:t>
      </w:r>
    </w:p>
    <w:p>
      <w:pPr>
        <w:spacing w:after="0" w:line="102" w:lineRule="exact"/>
        <w:rPr>
          <w:sz w:val="20"/>
          <w:szCs w:val="20"/>
          <w:color w:val="auto"/>
        </w:rPr>
      </w:pPr>
    </w:p>
    <w:p>
      <w:pPr>
        <w:ind w:right="260" w:firstLine="916"/>
        <w:spacing w:after="0" w:line="275" w:lineRule="auto"/>
        <w:rPr>
          <w:sz w:val="20"/>
          <w:szCs w:val="20"/>
          <w:color w:val="auto"/>
        </w:rPr>
      </w:pPr>
      <w:r>
        <w:rPr>
          <w:rFonts w:ascii="Arial" w:cs="Arial" w:eastAsia="Arial" w:hAnsi="Arial"/>
          <w:sz w:val="15"/>
          <w:szCs w:val="15"/>
          <w:color w:val="auto"/>
        </w:rPr>
        <w:t>In the event of a Change in Control, each Outside Director will fully vest in his or her outstanding Company equity awards, including any Initial Award or Annual Award, provided that the Outside Director continues to be an Outside Director through such date.</w:t>
      </w:r>
    </w:p>
    <w:p>
      <w:pPr>
        <w:spacing w:after="0" w:line="232" w:lineRule="exact"/>
        <w:rPr>
          <w:sz w:val="20"/>
          <w:szCs w:val="20"/>
          <w:color w:val="auto"/>
        </w:rPr>
      </w:pPr>
    </w:p>
    <w:p>
      <w:pPr>
        <w:ind w:left="600" w:hanging="152"/>
        <w:spacing w:after="0"/>
        <w:tabs>
          <w:tab w:leader="none" w:pos="600" w:val="left"/>
        </w:tabs>
        <w:numPr>
          <w:ilvl w:val="0"/>
          <w:numId w:val="24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t>
      </w:r>
      <w:r>
        <w:rPr>
          <w:rFonts w:ascii="Arial" w:cs="Arial" w:eastAsia="Arial" w:hAnsi="Arial"/>
          <w:sz w:val="12"/>
          <w:szCs w:val="12"/>
          <w:b w:val="1"/>
          <w:bCs w:val="1"/>
          <w:u w:val="single" w:color="auto"/>
          <w:color w:val="auto"/>
        </w:rPr>
        <w:t>NNUAL</w:t>
      </w:r>
      <w:r>
        <w:rPr>
          <w:rFonts w:ascii="Arial" w:cs="Arial" w:eastAsia="Arial" w:hAnsi="Arial"/>
          <w:sz w:val="15"/>
          <w:szCs w:val="15"/>
          <w:b w:val="1"/>
          <w:bCs w:val="1"/>
          <w:u w:val="single" w:color="auto"/>
          <w:color w:val="auto"/>
        </w:rPr>
        <w:t xml:space="preserve"> C</w:t>
      </w:r>
      <w:r>
        <w:rPr>
          <w:rFonts w:ascii="Arial" w:cs="Arial" w:eastAsia="Arial" w:hAnsi="Arial"/>
          <w:sz w:val="12"/>
          <w:szCs w:val="12"/>
          <w:b w:val="1"/>
          <w:bCs w:val="1"/>
          <w:u w:val="single" w:color="auto"/>
          <w:color w:val="auto"/>
        </w:rPr>
        <w:t>OMPENSATION</w:t>
      </w:r>
      <w:r>
        <w:rPr>
          <w:rFonts w:ascii="Arial" w:cs="Arial" w:eastAsia="Arial" w:hAnsi="Arial"/>
          <w:sz w:val="15"/>
          <w:szCs w:val="15"/>
          <w:b w:val="1"/>
          <w:bCs w:val="1"/>
          <w:u w:val="single" w:color="auto"/>
          <w:color w:val="auto"/>
        </w:rPr>
        <w:t xml:space="preserve"> L</w:t>
      </w:r>
      <w:r>
        <w:rPr>
          <w:rFonts w:ascii="Arial" w:cs="Arial" w:eastAsia="Arial" w:hAnsi="Arial"/>
          <w:sz w:val="12"/>
          <w:szCs w:val="12"/>
          <w:b w:val="1"/>
          <w:bCs w:val="1"/>
          <w:u w:val="single" w:color="auto"/>
          <w:color w:val="auto"/>
        </w:rPr>
        <w:t>IMIT</w:t>
      </w:r>
    </w:p>
    <w:p>
      <w:pPr>
        <w:spacing w:after="0" w:line="102" w:lineRule="exact"/>
        <w:rPr>
          <w:sz w:val="20"/>
          <w:szCs w:val="20"/>
          <w:color w:val="auto"/>
        </w:rPr>
      </w:pPr>
    </w:p>
    <w:p>
      <w:pPr>
        <w:ind w:right="240" w:firstLine="916"/>
        <w:spacing w:after="0" w:line="290" w:lineRule="auto"/>
        <w:rPr>
          <w:sz w:val="20"/>
          <w:szCs w:val="20"/>
          <w:color w:val="auto"/>
        </w:rPr>
      </w:pPr>
      <w:r>
        <w:rPr>
          <w:rFonts w:ascii="Arial" w:cs="Arial" w:eastAsia="Arial" w:hAnsi="Arial"/>
          <w:sz w:val="14"/>
          <w:szCs w:val="14"/>
          <w:color w:val="auto"/>
        </w:rPr>
        <w:t>No Outside Director may be paid, issued or granted, in any Fiscal Year, cash compensation and Awards with an aggregate value greater than $1,200,000 (with the value of each Award based on its Grant Value for purposes of the limitation under this Section 4). Any cash compensation paid or Awards granted to an individual for his or her services as an Employee, or for his or her services as a Consultant (other than as an Outside Director), will not count for purposes of the limitation under this Section 4.</w:t>
      </w:r>
    </w:p>
    <w:p>
      <w:pPr>
        <w:spacing w:after="0" w:line="224" w:lineRule="exact"/>
        <w:rPr>
          <w:sz w:val="20"/>
          <w:szCs w:val="20"/>
          <w:color w:val="auto"/>
        </w:rPr>
      </w:pPr>
    </w:p>
    <w:p>
      <w:pPr>
        <w:ind w:left="600" w:hanging="152"/>
        <w:spacing w:after="0"/>
        <w:tabs>
          <w:tab w:leader="none" w:pos="600" w:val="left"/>
        </w:tabs>
        <w:numPr>
          <w:ilvl w:val="0"/>
          <w:numId w:val="24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w:t>
      </w:r>
      <w:r>
        <w:rPr>
          <w:rFonts w:ascii="Arial" w:cs="Arial" w:eastAsia="Arial" w:hAnsi="Arial"/>
          <w:sz w:val="12"/>
          <w:szCs w:val="12"/>
          <w:b w:val="1"/>
          <w:bCs w:val="1"/>
          <w:u w:val="single" w:color="auto"/>
          <w:color w:val="auto"/>
        </w:rPr>
        <w:t>RAVEL</w:t>
      </w:r>
      <w:r>
        <w:rPr>
          <w:rFonts w:ascii="Arial" w:cs="Arial" w:eastAsia="Arial" w:hAnsi="Arial"/>
          <w:sz w:val="15"/>
          <w:szCs w:val="15"/>
          <w:b w:val="1"/>
          <w:bCs w:val="1"/>
          <w:u w:val="single" w:color="auto"/>
          <w:color w:val="auto"/>
        </w:rPr>
        <w:t xml:space="preserve"> E</w:t>
      </w:r>
      <w:r>
        <w:rPr>
          <w:rFonts w:ascii="Arial" w:cs="Arial" w:eastAsia="Arial" w:hAnsi="Arial"/>
          <w:sz w:val="12"/>
          <w:szCs w:val="12"/>
          <w:b w:val="1"/>
          <w:bCs w:val="1"/>
          <w:u w:val="single" w:color="auto"/>
          <w:color w:val="auto"/>
        </w:rPr>
        <w:t>XPENSES</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Each Outside Director’s reasonable, customary and documented travel expenses to Board meetings will be reimbursed by the Company.</w:t>
      </w:r>
    </w:p>
    <w:p>
      <w:pPr>
        <w:spacing w:after="0" w:line="275" w:lineRule="exact"/>
        <w:rPr>
          <w:sz w:val="20"/>
          <w:szCs w:val="20"/>
          <w:color w:val="auto"/>
        </w:rPr>
      </w:pPr>
    </w:p>
    <w:p>
      <w:pPr>
        <w:ind w:left="600" w:hanging="152"/>
        <w:spacing w:after="0"/>
        <w:tabs>
          <w:tab w:leader="none" w:pos="600" w:val="left"/>
        </w:tabs>
        <w:numPr>
          <w:ilvl w:val="0"/>
          <w:numId w:val="2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t>
      </w:r>
      <w:r>
        <w:rPr>
          <w:rFonts w:ascii="Arial" w:cs="Arial" w:eastAsia="Arial" w:hAnsi="Arial"/>
          <w:sz w:val="12"/>
          <w:szCs w:val="12"/>
          <w:b w:val="1"/>
          <w:bCs w:val="1"/>
          <w:u w:val="single" w:color="auto"/>
          <w:color w:val="auto"/>
        </w:rPr>
        <w:t>DDITIONAL</w:t>
      </w:r>
      <w:r>
        <w:rPr>
          <w:rFonts w:ascii="Arial" w:cs="Arial" w:eastAsia="Arial" w:hAnsi="Arial"/>
          <w:sz w:val="15"/>
          <w:szCs w:val="15"/>
          <w:b w:val="1"/>
          <w:bCs w:val="1"/>
          <w:u w:val="single" w:color="auto"/>
          <w:color w:val="auto"/>
        </w:rPr>
        <w:t xml:space="preserve"> P</w:t>
      </w:r>
      <w:r>
        <w:rPr>
          <w:rFonts w:ascii="Arial" w:cs="Arial" w:eastAsia="Arial" w:hAnsi="Arial"/>
          <w:sz w:val="12"/>
          <w:szCs w:val="12"/>
          <w:b w:val="1"/>
          <w:bCs w:val="1"/>
          <w:u w:val="single" w:color="auto"/>
          <w:color w:val="auto"/>
        </w:rPr>
        <w:t>ROVISIONS</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All provisions of the Plan not inconsistent with this Policy will apply to Awards granted to Outside Directors.</w:t>
      </w:r>
    </w:p>
    <w:p>
      <w:pPr>
        <w:spacing w:after="0" w:line="275" w:lineRule="exact"/>
        <w:rPr>
          <w:sz w:val="20"/>
          <w:szCs w:val="20"/>
          <w:color w:val="auto"/>
        </w:rPr>
      </w:pPr>
    </w:p>
    <w:p>
      <w:pPr>
        <w:ind w:left="600" w:hanging="152"/>
        <w:spacing w:after="0"/>
        <w:tabs>
          <w:tab w:leader="none" w:pos="600" w:val="left"/>
        </w:tabs>
        <w:numPr>
          <w:ilvl w:val="0"/>
          <w:numId w:val="25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t>
      </w:r>
      <w:r>
        <w:rPr>
          <w:rFonts w:ascii="Arial" w:cs="Arial" w:eastAsia="Arial" w:hAnsi="Arial"/>
          <w:sz w:val="12"/>
          <w:szCs w:val="12"/>
          <w:b w:val="1"/>
          <w:bCs w:val="1"/>
          <w:u w:val="single" w:color="auto"/>
          <w:color w:val="auto"/>
        </w:rPr>
        <w:t>DJUSTMENTS</w:t>
      </w:r>
    </w:p>
    <w:p>
      <w:pPr>
        <w:spacing w:after="0" w:line="102" w:lineRule="exact"/>
        <w:rPr>
          <w:sz w:val="20"/>
          <w:szCs w:val="20"/>
          <w:color w:val="auto"/>
        </w:rPr>
      </w:pPr>
    </w:p>
    <w:p>
      <w:pPr>
        <w:ind w:right="80" w:firstLine="916"/>
        <w:spacing w:after="0" w:line="259" w:lineRule="auto"/>
        <w:rPr>
          <w:sz w:val="20"/>
          <w:szCs w:val="20"/>
          <w:color w:val="auto"/>
        </w:rPr>
      </w:pPr>
      <w:r>
        <w:rPr>
          <w:rFonts w:ascii="Arial" w:cs="Arial" w:eastAsia="Arial" w:hAnsi="Arial"/>
          <w:sz w:val="15"/>
          <w:szCs w:val="15"/>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253" w:right="259" w:bottom="1440" w:gutter="0" w:footer="0" w:header="0"/>
        </w:sectPr>
      </w:pPr>
    </w:p>
    <w:bookmarkStart w:id="377" w:name="page378"/>
    <w:bookmarkEnd w:id="377"/>
    <w:p>
      <w:pPr>
        <w:ind w:left="600" w:hanging="152"/>
        <w:spacing w:after="0"/>
        <w:tabs>
          <w:tab w:leader="none" w:pos="600" w:val="left"/>
        </w:tabs>
        <w:numPr>
          <w:ilvl w:val="0"/>
          <w:numId w:val="25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w:t>
      </w:r>
      <w:r>
        <w:rPr>
          <w:rFonts w:ascii="Arial" w:cs="Arial" w:eastAsia="Arial" w:hAnsi="Arial"/>
          <w:sz w:val="12"/>
          <w:szCs w:val="12"/>
          <w:b w:val="1"/>
          <w:bCs w:val="1"/>
          <w:u w:val="single" w:color="auto"/>
          <w:color w:val="auto"/>
        </w:rPr>
        <w:t>ECTION</w:t>
      </w:r>
      <w:r>
        <w:rPr>
          <w:rFonts w:ascii="Arial" w:cs="Arial" w:eastAsia="Arial" w:hAnsi="Arial"/>
          <w:sz w:val="15"/>
          <w:szCs w:val="15"/>
          <w:b w:val="1"/>
          <w:bCs w:val="1"/>
          <w:u w:val="single" w:color="auto"/>
          <w:color w:val="auto"/>
        </w:rPr>
        <w:t xml:space="preserve"> 409A</w:t>
      </w:r>
    </w:p>
    <w:p>
      <w:pPr>
        <w:spacing w:after="0" w:line="102" w:lineRule="exact"/>
        <w:rPr>
          <w:sz w:val="20"/>
          <w:szCs w:val="20"/>
          <w:color w:val="auto"/>
        </w:rPr>
      </w:pPr>
    </w:p>
    <w:p>
      <w:pPr>
        <w:ind w:firstLine="916"/>
        <w:spacing w:after="0" w:line="276" w:lineRule="auto"/>
        <w:rPr>
          <w:sz w:val="20"/>
          <w:szCs w:val="20"/>
          <w:color w:val="auto"/>
        </w:rPr>
      </w:pPr>
      <w:r>
        <w:rPr>
          <w:rFonts w:ascii="Arial" w:cs="Arial" w:eastAsia="Arial" w:hAnsi="Arial"/>
          <w:sz w:val="14"/>
          <w:szCs w:val="14"/>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Arial" w:cs="Arial" w:eastAsia="Arial" w:hAnsi="Arial"/>
          <w:sz w:val="14"/>
          <w:szCs w:val="14"/>
          <w:b w:val="1"/>
          <w:bCs w:val="1"/>
          <w:color w:val="auto"/>
        </w:rPr>
        <w:t>Section 409A</w:t>
      </w:r>
      <w:r>
        <w:rPr>
          <w:rFonts w:ascii="Arial" w:cs="Arial" w:eastAsia="Arial" w:hAnsi="Arial"/>
          <w:sz w:val="14"/>
          <w:szCs w:val="14"/>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234" w:lineRule="exact"/>
        <w:rPr>
          <w:sz w:val="20"/>
          <w:szCs w:val="20"/>
          <w:color w:val="auto"/>
        </w:rPr>
      </w:pPr>
    </w:p>
    <w:p>
      <w:pPr>
        <w:ind w:left="600" w:hanging="152"/>
        <w:spacing w:after="0"/>
        <w:tabs>
          <w:tab w:leader="none" w:pos="600" w:val="left"/>
        </w:tabs>
        <w:numPr>
          <w:ilvl w:val="0"/>
          <w:numId w:val="2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w:t>
      </w:r>
      <w:r>
        <w:rPr>
          <w:rFonts w:ascii="Arial" w:cs="Arial" w:eastAsia="Arial" w:hAnsi="Arial"/>
          <w:sz w:val="12"/>
          <w:szCs w:val="12"/>
          <w:b w:val="1"/>
          <w:bCs w:val="1"/>
          <w:u w:val="single" w:color="auto"/>
          <w:color w:val="auto"/>
        </w:rPr>
        <w:t>TOCKHOLDER</w:t>
      </w:r>
      <w:r>
        <w:rPr>
          <w:rFonts w:ascii="Arial" w:cs="Arial" w:eastAsia="Arial" w:hAnsi="Arial"/>
          <w:sz w:val="15"/>
          <w:szCs w:val="15"/>
          <w:b w:val="1"/>
          <w:bCs w:val="1"/>
          <w:u w:val="single" w:color="auto"/>
          <w:color w:val="auto"/>
        </w:rPr>
        <w:t xml:space="preserve"> A</w:t>
      </w:r>
      <w:r>
        <w:rPr>
          <w:rFonts w:ascii="Arial" w:cs="Arial" w:eastAsia="Arial" w:hAnsi="Arial"/>
          <w:sz w:val="12"/>
          <w:szCs w:val="12"/>
          <w:b w:val="1"/>
          <w:bCs w:val="1"/>
          <w:u w:val="single" w:color="auto"/>
          <w:color w:val="auto"/>
        </w:rPr>
        <w:t>PPROVAL</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This Policy will be subject to approval by the Company’s stockholders.</w:t>
      </w:r>
    </w:p>
    <w:p>
      <w:pPr>
        <w:spacing w:after="0" w:line="275" w:lineRule="exact"/>
        <w:rPr>
          <w:sz w:val="20"/>
          <w:szCs w:val="20"/>
          <w:color w:val="auto"/>
        </w:rPr>
      </w:pPr>
    </w:p>
    <w:p>
      <w:pPr>
        <w:ind w:left="680" w:hanging="232"/>
        <w:spacing w:after="0"/>
        <w:tabs>
          <w:tab w:leader="none" w:pos="680" w:val="left"/>
        </w:tabs>
        <w:numPr>
          <w:ilvl w:val="0"/>
          <w:numId w:val="2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w:t>
      </w:r>
      <w:r>
        <w:rPr>
          <w:rFonts w:ascii="Arial" w:cs="Arial" w:eastAsia="Arial" w:hAnsi="Arial"/>
          <w:sz w:val="12"/>
          <w:szCs w:val="12"/>
          <w:b w:val="1"/>
          <w:bCs w:val="1"/>
          <w:u w:val="single" w:color="auto"/>
          <w:color w:val="auto"/>
        </w:rPr>
        <w:t>EVISIONS</w:t>
      </w:r>
    </w:p>
    <w:p>
      <w:pPr>
        <w:spacing w:after="0" w:line="102" w:lineRule="exact"/>
        <w:rPr>
          <w:sz w:val="20"/>
          <w:szCs w:val="20"/>
          <w:color w:val="auto"/>
        </w:rPr>
      </w:pPr>
    </w:p>
    <w:p>
      <w:pPr>
        <w:ind w:right="120" w:firstLine="916"/>
        <w:spacing w:after="0" w:line="259" w:lineRule="auto"/>
        <w:rPr>
          <w:sz w:val="20"/>
          <w:szCs w:val="20"/>
          <w:color w:val="auto"/>
        </w:rPr>
      </w:pPr>
      <w:r>
        <w:rPr>
          <w:rFonts w:ascii="Arial" w:cs="Arial" w:eastAsia="Arial" w:hAnsi="Arial"/>
          <w:sz w:val="15"/>
          <w:szCs w:val="15"/>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40" w:top="249" w:right="279" w:bottom="1440" w:gutter="0" w:footer="0" w:header="0"/>
        </w:sectPr>
      </w:pPr>
    </w:p>
    <w:bookmarkStart w:id="378" w:name="page379"/>
    <w:bookmarkEnd w:id="378"/>
    <w:p>
      <w:pPr>
        <w:jc w:val="center"/>
        <w:ind w:right="-49"/>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4"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color w:val="auto"/>
        </w:rPr>
        <w:t>OUTSIDE DIRECTOR COMPENSATION POLICY</w:t>
      </w:r>
    </w:p>
    <w:p>
      <w:pPr>
        <w:spacing w:after="0" w:line="192"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i w:val="1"/>
          <w:iCs w:val="1"/>
          <w:color w:val="auto"/>
        </w:rPr>
        <w:t>Restricted Stock Unit Deferral Election Form</w:t>
      </w:r>
    </w:p>
    <w:p>
      <w:pPr>
        <w:spacing w:after="0" w:line="17"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i w:val="1"/>
          <w:iCs w:val="1"/>
          <w:color w:val="auto"/>
        </w:rPr>
        <w:t>For Outside Directors</w:t>
      </w:r>
    </w:p>
    <w:p>
      <w:pPr>
        <w:spacing w:after="0" w:line="175" w:lineRule="exact"/>
        <w:rPr>
          <w:sz w:val="20"/>
          <w:szCs w:val="20"/>
          <w:color w:val="auto"/>
        </w:rPr>
      </w:pPr>
    </w:p>
    <w:p>
      <w:pPr>
        <w:jc w:val="both"/>
        <w:ind w:left="10" w:right="20"/>
        <w:spacing w:after="0" w:line="266" w:lineRule="auto"/>
        <w:rPr>
          <w:sz w:val="20"/>
          <w:szCs w:val="20"/>
          <w:color w:val="auto"/>
        </w:rPr>
      </w:pPr>
      <w:r>
        <w:rPr>
          <w:rFonts w:ascii="Arial" w:cs="Arial" w:eastAsia="Arial" w:hAnsi="Arial"/>
          <w:sz w:val="15"/>
          <w:szCs w:val="15"/>
          <w:color w:val="auto"/>
        </w:rPr>
        <w:t>Please complete and return this Restricted Stock Unit Deferral Election Form (the “</w:t>
      </w:r>
      <w:r>
        <w:rPr>
          <w:rFonts w:ascii="Arial" w:cs="Arial" w:eastAsia="Arial" w:hAnsi="Arial"/>
          <w:sz w:val="15"/>
          <w:szCs w:val="15"/>
          <w:b w:val="1"/>
          <w:bCs w:val="1"/>
          <w:color w:val="auto"/>
        </w:rPr>
        <w:t>Election Form</w:t>
      </w:r>
      <w:r>
        <w:rPr>
          <w:rFonts w:ascii="Arial" w:cs="Arial" w:eastAsia="Arial" w:hAnsi="Arial"/>
          <w:sz w:val="15"/>
          <w:szCs w:val="15"/>
          <w:color w:val="auto"/>
        </w:rPr>
        <w:t>”), as described below, [</w:t>
      </w:r>
      <w:r>
        <w:rPr>
          <w:rFonts w:ascii="Arial" w:cs="Arial" w:eastAsia="Arial" w:hAnsi="Arial"/>
          <w:sz w:val="15"/>
          <w:szCs w:val="15"/>
          <w:b w:val="1"/>
          <w:bCs w:val="1"/>
          <w:color w:val="auto"/>
        </w:rPr>
        <w:t>for existing outside directors:</w:t>
      </w:r>
      <w:r>
        <w:rPr>
          <w:rFonts w:ascii="Arial" w:cs="Arial" w:eastAsia="Arial" w:hAnsi="Arial"/>
          <w:sz w:val="15"/>
          <w:szCs w:val="15"/>
          <w:color w:val="auto"/>
        </w:rPr>
        <w:t xml:space="preserve"> on or before December 31 of each year</w:t>
      </w:r>
      <w:r>
        <w:rPr>
          <w:rFonts w:ascii="Arial" w:cs="Arial" w:eastAsia="Arial" w:hAnsi="Arial"/>
          <w:sz w:val="15"/>
          <w:szCs w:val="15"/>
          <w:b w:val="1"/>
          <w:bCs w:val="1"/>
          <w:color w:val="auto"/>
        </w:rPr>
        <w:t>] [for new outside directors only:</w:t>
      </w:r>
      <w:r>
        <w:rPr>
          <w:rFonts w:ascii="Arial" w:cs="Arial" w:eastAsia="Arial" w:hAnsi="Arial"/>
          <w:sz w:val="15"/>
          <w:szCs w:val="15"/>
          <w:color w:val="auto"/>
        </w:rPr>
        <w:t xml:space="preserve"> within 30 days following the date you join the Board</w:t>
      </w:r>
      <w:r>
        <w:rPr>
          <w:rFonts w:ascii="Arial" w:cs="Arial" w:eastAsia="Arial" w:hAnsi="Arial"/>
          <w:sz w:val="15"/>
          <w:szCs w:val="15"/>
          <w:b w:val="1"/>
          <w:bCs w:val="1"/>
          <w:color w:val="auto"/>
        </w:rPr>
        <w:t>]</w:t>
      </w:r>
      <w:r>
        <w:rPr>
          <w:rFonts w:ascii="Arial" w:cs="Arial" w:eastAsia="Arial" w:hAnsi="Arial"/>
          <w:sz w:val="15"/>
          <w:szCs w:val="15"/>
          <w:color w:val="auto"/>
        </w:rPr>
        <w:t xml:space="preserve"> (the “</w:t>
      </w:r>
      <w:r>
        <w:rPr>
          <w:rFonts w:ascii="Arial" w:cs="Arial" w:eastAsia="Arial" w:hAnsi="Arial"/>
          <w:sz w:val="15"/>
          <w:szCs w:val="15"/>
          <w:b w:val="1"/>
          <w:bCs w:val="1"/>
          <w:color w:val="auto"/>
        </w:rPr>
        <w:t>Submission Deadline</w:t>
      </w:r>
      <w:r>
        <w:rPr>
          <w:rFonts w:ascii="Arial" w:cs="Arial" w:eastAsia="Arial" w:hAnsi="Arial"/>
          <w:sz w:val="15"/>
          <w:szCs w:val="15"/>
          <w:color w:val="auto"/>
        </w:rPr>
        <w:t>”), to Stock Administration, Dropbox, Inc. 333 Brannan Street, San Francisco, CA 94107.</w:t>
      </w:r>
    </w:p>
    <w:p>
      <w:pPr>
        <w:spacing w:after="0" w:line="152" w:lineRule="exact"/>
        <w:rPr>
          <w:sz w:val="20"/>
          <w:szCs w:val="20"/>
          <w:color w:val="auto"/>
        </w:rPr>
      </w:pPr>
    </w:p>
    <w:p>
      <w:pPr>
        <w:jc w:val="both"/>
        <w:ind w:left="10" w:right="140"/>
        <w:spacing w:after="0" w:line="263" w:lineRule="auto"/>
        <w:rPr>
          <w:sz w:val="20"/>
          <w:szCs w:val="20"/>
          <w:color w:val="auto"/>
        </w:rPr>
      </w:pPr>
      <w:r>
        <w:rPr>
          <w:rFonts w:ascii="Arial" w:cs="Arial" w:eastAsia="Arial" w:hAnsi="Arial"/>
          <w:sz w:val="15"/>
          <w:szCs w:val="15"/>
          <w:color w:val="auto"/>
        </w:rPr>
        <w:t>Neither the provision of this Election Form nor your completion of this Election Form represents a commitment by the Company to grant an Award to you. The grant of an Award remains subject to the terms of the Company’s Outside Director Compensation Policy as may be hereinafter amended (the “</w:t>
      </w:r>
      <w:r>
        <w:rPr>
          <w:rFonts w:ascii="Arial" w:cs="Arial" w:eastAsia="Arial" w:hAnsi="Arial"/>
          <w:sz w:val="15"/>
          <w:szCs w:val="15"/>
          <w:b w:val="1"/>
          <w:bCs w:val="1"/>
          <w:color w:val="auto"/>
        </w:rPr>
        <w:t>Policy</w:t>
      </w:r>
      <w:r>
        <w:rPr>
          <w:rFonts w:ascii="Arial" w:cs="Arial" w:eastAsia="Arial" w:hAnsi="Arial"/>
          <w:sz w:val="15"/>
          <w:szCs w:val="15"/>
          <w:color w:val="auto"/>
        </w:rPr>
        <w:t>”). Terms not otherwise defined herein shall have the meaning set forth in the Policy.</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I understand that my Election Form will become irrevocable effective as of the Submission Deadline.</w:t>
      </w:r>
    </w:p>
    <w:p>
      <w:pPr>
        <w:spacing w:after="0" w:line="9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I. </w:t>
      </w:r>
      <w:r>
        <w:rPr>
          <w:rFonts w:ascii="Arial" w:cs="Arial" w:eastAsia="Arial" w:hAnsi="Arial"/>
          <w:sz w:val="15"/>
          <w:szCs w:val="15"/>
          <w:b w:val="1"/>
          <w:bCs w:val="1"/>
          <w:u w:val="single" w:color="auto"/>
          <w:color w:val="auto"/>
        </w:rPr>
        <w:t>PERSONAL INFORMATION</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(Please print)</w:t>
      </w:r>
    </w:p>
    <w:p>
      <w:pPr>
        <w:spacing w:after="0" w:line="94" w:lineRule="exact"/>
        <w:rPr>
          <w:sz w:val="20"/>
          <w:szCs w:val="20"/>
          <w:color w:val="auto"/>
        </w:rPr>
      </w:pPr>
    </w:p>
    <w:p>
      <w:pPr>
        <w:ind w:left="10"/>
        <w:spacing w:after="0"/>
        <w:tabs>
          <w:tab w:leader="none" w:pos="3129" w:val="left"/>
        </w:tabs>
        <w:rPr>
          <w:sz w:val="20"/>
          <w:szCs w:val="20"/>
          <w:color w:val="auto"/>
        </w:rPr>
      </w:pPr>
      <w:r>
        <w:rPr>
          <w:rFonts w:ascii="Arial" w:cs="Arial" w:eastAsia="Arial" w:hAnsi="Arial"/>
          <w:sz w:val="15"/>
          <w:szCs w:val="15"/>
          <w:color w:val="auto"/>
        </w:rPr>
        <w:t>Participant Name:</w:t>
      </w:r>
      <w:r>
        <w:rPr>
          <w:sz w:val="20"/>
          <w:szCs w:val="20"/>
          <w:color w:val="auto"/>
        </w:rPr>
        <w:tab/>
      </w:r>
      <w:r>
        <w:rPr>
          <w:rFonts w:ascii="Arial" w:cs="Arial" w:eastAsia="Arial" w:hAnsi="Arial"/>
          <w:sz w:val="14"/>
          <w:szCs w:val="14"/>
          <w:color w:val="auto"/>
        </w:rPr>
        <w:t>(the “</w:t>
      </w:r>
      <w:r>
        <w:rPr>
          <w:rFonts w:ascii="Arial" w:cs="Arial" w:eastAsia="Arial" w:hAnsi="Arial"/>
          <w:sz w:val="14"/>
          <w:szCs w:val="14"/>
          <w:b w:val="1"/>
          <w:bCs w:val="1"/>
          <w:color w:val="auto"/>
        </w:rPr>
        <w:t>Participant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-6350</wp:posOffset>
            </wp:positionV>
            <wp:extent cx="126492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1264920" cy="6985"/>
                    </a:xfrm>
                    <a:prstGeom prst="rect">
                      <a:avLst/>
                    </a:prstGeom>
                    <a:noFill/>
                  </pic:spPr>
                </pic:pic>
              </a:graphicData>
            </a:graphic>
          </wp:anchor>
        </w:drawing>
      </w:r>
    </w:p>
    <w:p>
      <w:pPr>
        <w:spacing w:after="0" w:line="259" w:lineRule="exact"/>
        <w:rPr>
          <w:sz w:val="20"/>
          <w:szCs w:val="20"/>
          <w:color w:val="auto"/>
        </w:rPr>
      </w:pPr>
    </w:p>
    <w:p>
      <w:pPr>
        <w:ind w:left="190" w:hanging="190"/>
        <w:spacing w:after="0"/>
        <w:tabs>
          <w:tab w:leader="none" w:pos="190" w:val="left"/>
        </w:tabs>
        <w:numPr>
          <w:ilvl w:val="0"/>
          <w:numId w:val="25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RSU DEFERRAL ELECTION</w:t>
      </w:r>
    </w:p>
    <w:p>
      <w:pPr>
        <w:spacing w:after="0" w:line="102" w:lineRule="exact"/>
        <w:rPr>
          <w:sz w:val="20"/>
          <w:szCs w:val="20"/>
          <w:color w:val="auto"/>
        </w:rPr>
      </w:pPr>
    </w:p>
    <w:p>
      <w:pPr>
        <w:ind w:left="10" w:firstLine="916"/>
        <w:spacing w:after="0" w:line="283" w:lineRule="auto"/>
        <w:rPr>
          <w:sz w:val="20"/>
          <w:szCs w:val="20"/>
          <w:color w:val="auto"/>
        </w:rPr>
      </w:pPr>
      <w:r>
        <w:rPr>
          <w:rFonts w:ascii="Arial" w:cs="Arial" w:eastAsia="Arial" w:hAnsi="Arial"/>
          <w:sz w:val="14"/>
          <w:szCs w:val="14"/>
          <w:color w:val="auto"/>
        </w:rPr>
        <w:t>By signing below, I elect to defer in accordance with Article III below 100% of my Annual Award that may be granted to me, if any, under the Plan and pursuant to the Policy for services performed by me during the calendar year following the year in which I tender this election. If I do not make this deferral election, then my Annual Award will vest on the earlier of (i) the one-year anniversary of the date the Annual Award is granted or (ii) the day prior to the date of the Annual Meeting next following the date the Annual Award is granted, in each case, subject to my continuing to be a Service Provider through the applicable vesting date, and further subject to Section 3 of the Policy.</w:t>
      </w:r>
    </w:p>
    <w:p>
      <w:pPr>
        <w:spacing w:after="0" w:line="233" w:lineRule="exact"/>
        <w:rPr>
          <w:sz w:val="20"/>
          <w:szCs w:val="20"/>
          <w:color w:val="auto"/>
        </w:rPr>
      </w:pPr>
    </w:p>
    <w:p>
      <w:pPr>
        <w:ind w:left="910"/>
        <w:spacing w:after="0"/>
        <w:rPr>
          <w:sz w:val="20"/>
          <w:szCs w:val="20"/>
          <w:color w:val="auto"/>
        </w:rPr>
      </w:pPr>
      <w:r>
        <w:rPr>
          <w:rFonts w:ascii="Arial" w:cs="Arial" w:eastAsia="Arial" w:hAnsi="Arial"/>
          <w:sz w:val="15"/>
          <w:szCs w:val="15"/>
          <w:b w:val="1"/>
          <w:bCs w:val="1"/>
          <w:i w:val="1"/>
          <w:iCs w:val="1"/>
          <w:color w:val="auto"/>
        </w:rPr>
        <w:t>For new outside directors only:</w:t>
      </w:r>
    </w:p>
    <w:p>
      <w:pPr>
        <w:spacing w:after="0" w:line="98" w:lineRule="exact"/>
        <w:rPr>
          <w:sz w:val="20"/>
          <w:szCs w:val="20"/>
          <w:color w:val="auto"/>
        </w:rPr>
      </w:pPr>
    </w:p>
    <w:p>
      <w:pPr>
        <w:ind w:left="10" w:right="80" w:firstLine="916"/>
        <w:spacing w:after="0" w:line="259" w:lineRule="auto"/>
        <w:rPr>
          <w:sz w:val="20"/>
          <w:szCs w:val="20"/>
          <w:color w:val="auto"/>
        </w:rPr>
      </w:pPr>
      <w:r>
        <w:rPr>
          <w:rFonts w:ascii="Arial" w:cs="Arial" w:eastAsia="Arial" w:hAnsi="Arial"/>
          <w:sz w:val="15"/>
          <w:szCs w:val="15"/>
          <w:color w:val="auto"/>
        </w:rPr>
        <w:t>By signing below, I elect to defer in accordance with Article III below 100% of my Initial Award that may be granted to me, if any, under the Plan and pursuant to the Policy. If I do not make this deferral election, then my Initial Award will vest on the earlier of (i) the one-year anniversary of the date of the then-most recent Annual Meeting or (ii) the day prior to the date of the Annual Meeting next following the date the Initial Award is granted, in each case, subject to my continuing to be a Service Provider through the applicable vesting date, and further subject to Section 3 of the Policy.</w:t>
      </w:r>
    </w:p>
    <w:p>
      <w:pPr>
        <w:spacing w:after="0" w:line="101" w:lineRule="exact"/>
        <w:rPr>
          <w:sz w:val="20"/>
          <w:szCs w:val="20"/>
          <w:color w:val="auto"/>
        </w:rPr>
      </w:pPr>
    </w:p>
    <w:p>
      <w:pPr>
        <w:jc w:val="center"/>
        <w:ind w:right="-4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10"/>
          </w:cols>
          <w:pgMar w:left="230" w:top="253" w:right="259" w:bottom="1440" w:gutter="0" w:footer="0" w:header="0"/>
        </w:sectPr>
      </w:pPr>
    </w:p>
    <w:bookmarkStart w:id="379" w:name="page380"/>
    <w:bookmarkEnd w:id="379"/>
    <w:p>
      <w:pPr>
        <w:ind w:left="1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All Awards that are deferred pursuant to this Section II shall be referred to as “</w:t>
      </w:r>
      <w:r>
        <w:rPr>
          <w:rFonts w:ascii="Arial" w:cs="Arial" w:eastAsia="Arial" w:hAnsi="Arial"/>
          <w:sz w:val="15"/>
          <w:szCs w:val="15"/>
          <w:b w:val="1"/>
          <w:bCs w:val="1"/>
          <w:color w:val="auto"/>
        </w:rPr>
        <w:t>Deferred Awards</w:t>
      </w:r>
      <w:r>
        <w:rPr>
          <w:rFonts w:ascii="Arial" w:cs="Arial" w:eastAsia="Arial" w:hAnsi="Arial"/>
          <w:sz w:val="15"/>
          <w:szCs w:val="15"/>
          <w:color w:val="auto"/>
        </w:rPr>
        <w:t>” in this Election Form.</w:t>
      </w:r>
    </w:p>
    <w:p>
      <w:pPr>
        <w:spacing w:after="0" w:line="279" w:lineRule="exact"/>
        <w:rPr>
          <w:sz w:val="20"/>
          <w:szCs w:val="20"/>
          <w:color w:val="auto"/>
        </w:rPr>
      </w:pPr>
    </w:p>
    <w:p>
      <w:pPr>
        <w:ind w:left="250" w:hanging="250"/>
        <w:spacing w:after="0"/>
        <w:tabs>
          <w:tab w:leader="none" w:pos="250" w:val="left"/>
        </w:tabs>
        <w:numPr>
          <w:ilvl w:val="0"/>
          <w:numId w:val="25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DEFERRED SETTLEMENT</w:t>
      </w:r>
    </w:p>
    <w:p>
      <w:pPr>
        <w:spacing w:after="0" w:line="102" w:lineRule="exact"/>
        <w:rPr>
          <w:sz w:val="20"/>
          <w:szCs w:val="20"/>
          <w:color w:val="auto"/>
        </w:rPr>
      </w:pPr>
    </w:p>
    <w:p>
      <w:pPr>
        <w:ind w:left="910"/>
        <w:spacing w:after="0"/>
        <w:rPr>
          <w:sz w:val="20"/>
          <w:szCs w:val="20"/>
          <w:color w:val="auto"/>
        </w:rPr>
      </w:pPr>
      <w:r>
        <w:rPr>
          <w:rFonts w:ascii="Arial" w:cs="Arial" w:eastAsia="Arial" w:hAnsi="Arial"/>
          <w:sz w:val="15"/>
          <w:szCs w:val="15"/>
          <w:color w:val="auto"/>
        </w:rPr>
        <w:t>By signing below, I elect to have my Deferred Awards settled as follows:</w:t>
      </w:r>
    </w:p>
    <w:p>
      <w:pPr>
        <w:spacing w:after="0" w:line="98" w:lineRule="exact"/>
        <w:rPr>
          <w:sz w:val="20"/>
          <w:szCs w:val="20"/>
          <w:color w:val="auto"/>
        </w:rPr>
      </w:pPr>
    </w:p>
    <w:p>
      <w:pPr>
        <w:jc w:val="both"/>
        <w:ind w:left="10" w:firstLine="906"/>
        <w:spacing w:after="0" w:line="322" w:lineRule="auto"/>
        <w:tabs>
          <w:tab w:leader="none" w:pos="1076" w:val="left"/>
        </w:tabs>
        <w:numPr>
          <w:ilvl w:val="0"/>
          <w:numId w:val="257"/>
        </w:numPr>
        <w:rPr>
          <w:rFonts w:ascii="Arial" w:cs="Arial" w:eastAsia="Arial" w:hAnsi="Arial"/>
          <w:sz w:val="13"/>
          <w:szCs w:val="13"/>
          <w:color w:val="auto"/>
        </w:rPr>
      </w:pPr>
      <w:r>
        <w:rPr>
          <w:rFonts w:ascii="Arial" w:cs="Arial" w:eastAsia="Arial" w:hAnsi="Arial"/>
          <w:sz w:val="13"/>
          <w:szCs w:val="13"/>
          <w:color w:val="auto"/>
        </w:rPr>
        <w:t>Subject to the following paragraph, my Deferred Awards will be settled in a single lump sum installment in whole shares on the earlier of (a) immediately prior to a Change in Control or (b) within 60 days following my Separation Date or my death, whichever is earlier. For these purposes, “</w:t>
      </w:r>
      <w:r>
        <w:rPr>
          <w:rFonts w:ascii="Arial" w:cs="Arial" w:eastAsia="Arial" w:hAnsi="Arial"/>
          <w:sz w:val="13"/>
          <w:szCs w:val="13"/>
          <w:b w:val="1"/>
          <w:bCs w:val="1"/>
          <w:color w:val="auto"/>
        </w:rPr>
        <w:t>Separation Date</w:t>
      </w:r>
      <w:r>
        <w:rPr>
          <w:rFonts w:ascii="Arial" w:cs="Arial" w:eastAsia="Arial" w:hAnsi="Arial"/>
          <w:sz w:val="13"/>
          <w:szCs w:val="13"/>
          <w:color w:val="auto"/>
        </w:rPr>
        <w:t>” means the date of my retirement or other separation from service with the Company and all of its Affiliates (as determined in accordance with Section 409A(2)(A)(i) of the Code and Treasury regulation section 1.409A-1(h)).</w:t>
      </w:r>
    </w:p>
    <w:p>
      <w:pPr>
        <w:spacing w:after="0" w:line="29" w:lineRule="exact"/>
        <w:rPr>
          <w:rFonts w:ascii="Arial" w:cs="Arial" w:eastAsia="Arial" w:hAnsi="Arial"/>
          <w:sz w:val="13"/>
          <w:szCs w:val="13"/>
          <w:color w:val="auto"/>
        </w:rPr>
      </w:pPr>
    </w:p>
    <w:p>
      <w:pPr>
        <w:jc w:val="both"/>
        <w:ind w:left="10" w:right="160" w:firstLine="906"/>
        <w:spacing w:after="0" w:line="263" w:lineRule="auto"/>
        <w:tabs>
          <w:tab w:leader="none" w:pos="1076" w:val="left"/>
        </w:tabs>
        <w:numPr>
          <w:ilvl w:val="0"/>
          <w:numId w:val="257"/>
        </w:numPr>
        <w:rPr>
          <w:rFonts w:ascii="Arial" w:cs="Arial" w:eastAsia="Arial" w:hAnsi="Arial"/>
          <w:sz w:val="15"/>
          <w:szCs w:val="15"/>
          <w:color w:val="auto"/>
        </w:rPr>
      </w:pPr>
      <w:r>
        <w:rPr>
          <w:rFonts w:ascii="Arial" w:cs="Arial" w:eastAsia="Arial" w:hAnsi="Arial"/>
          <w:sz w:val="15"/>
          <w:szCs w:val="15"/>
          <w:color w:val="auto"/>
        </w:rPr>
        <w:t>If a distribution hereunder is triggered because of my Separation Date and I am a “specified employee” within the meaning of Section 409A at the time of my Separation Date, then the distribution that I would otherwise be entitled to receive upon the Separation Date will not be settled until the date that is 6 months and 1 day following the Separation Date, unless I die following my Separation Date, in which case, my distribution will commence as soon as practicable following my death.</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IV. </w:t>
      </w:r>
      <w:r>
        <w:rPr>
          <w:rFonts w:ascii="Arial" w:cs="Arial" w:eastAsia="Arial" w:hAnsi="Arial"/>
          <w:sz w:val="15"/>
          <w:szCs w:val="15"/>
          <w:b w:val="1"/>
          <w:bCs w:val="1"/>
          <w:u w:val="single" w:color="auto"/>
          <w:color w:val="auto"/>
        </w:rPr>
        <w:t>PARTICIPANT ACKNOWLEDGEMENTS AND SIGNATURE</w:t>
      </w:r>
    </w:p>
    <w:p>
      <w:pPr>
        <w:spacing w:after="0" w:line="102" w:lineRule="exact"/>
        <w:rPr>
          <w:sz w:val="20"/>
          <w:szCs w:val="20"/>
          <w:color w:val="auto"/>
        </w:rPr>
      </w:pPr>
    </w:p>
    <w:p>
      <w:pPr>
        <w:ind w:left="1070" w:hanging="154"/>
        <w:spacing w:after="0"/>
        <w:tabs>
          <w:tab w:leader="none" w:pos="107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 agree to all of the terms and conditions of this Election Form.</w:t>
      </w:r>
    </w:p>
    <w:p>
      <w:pPr>
        <w:spacing w:after="0" w:line="98" w:lineRule="exact"/>
        <w:rPr>
          <w:rFonts w:ascii="Arial" w:cs="Arial" w:eastAsia="Arial" w:hAnsi="Arial"/>
          <w:sz w:val="15"/>
          <w:szCs w:val="15"/>
          <w:color w:val="auto"/>
        </w:rPr>
      </w:pPr>
    </w:p>
    <w:p>
      <w:pPr>
        <w:ind w:left="1070" w:hanging="154"/>
        <w:spacing w:after="0"/>
        <w:tabs>
          <w:tab w:leader="none" w:pos="107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 acknowledge that I have received and read a copy of the Plan’s prospectus and that I am familiar with the terms and provisions of the Plan.</w:t>
      </w:r>
    </w:p>
    <w:p>
      <w:pPr>
        <w:spacing w:after="0" w:line="98" w:lineRule="exact"/>
        <w:rPr>
          <w:rFonts w:ascii="Arial" w:cs="Arial" w:eastAsia="Arial" w:hAnsi="Arial"/>
          <w:sz w:val="15"/>
          <w:szCs w:val="15"/>
          <w:color w:val="auto"/>
        </w:rPr>
      </w:pPr>
    </w:p>
    <w:p>
      <w:pPr>
        <w:ind w:left="10" w:right="500" w:firstLine="906"/>
        <w:spacing w:after="0" w:line="275" w:lineRule="auto"/>
        <w:tabs>
          <w:tab w:leader="none" w:pos="107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 agree to the right of the Administrator to amend or terminate this election at any time and for any reason, with or without notice; provided that such termination or amendment is performed in compliance with Section 409A (as determined by Company legal counsel in its sole and absolute discretion).</w:t>
      </w:r>
    </w:p>
    <w:p>
      <w:pPr>
        <w:spacing w:after="0" w:line="55" w:lineRule="exact"/>
        <w:rPr>
          <w:rFonts w:ascii="Arial" w:cs="Arial" w:eastAsia="Arial" w:hAnsi="Arial"/>
          <w:sz w:val="15"/>
          <w:szCs w:val="15"/>
          <w:color w:val="auto"/>
        </w:rPr>
      </w:pPr>
    </w:p>
    <w:p>
      <w:pPr>
        <w:ind w:left="10" w:right="20" w:firstLine="906"/>
        <w:spacing w:after="0" w:line="263" w:lineRule="auto"/>
        <w:tabs>
          <w:tab w:leader="none" w:pos="107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 understand that the obligation of the Company to settle any Deferred Awards is unfunded and that no assets of any kind have been segregated in a trust or otherwise set aside to satisfy any obligation under this Election Form. I also understand that any election to defer the settlement of any Awards pursuant to this Election Form will make me only a general, unsecured creditor of the Company.</w:t>
      </w:r>
    </w:p>
    <w:p>
      <w:pPr>
        <w:spacing w:after="0" w:line="64" w:lineRule="exact"/>
        <w:rPr>
          <w:rFonts w:ascii="Arial" w:cs="Arial" w:eastAsia="Arial" w:hAnsi="Arial"/>
          <w:sz w:val="15"/>
          <w:szCs w:val="15"/>
          <w:color w:val="auto"/>
        </w:rPr>
      </w:pPr>
    </w:p>
    <w:p>
      <w:pPr>
        <w:jc w:val="both"/>
        <w:ind w:left="10" w:firstLine="906"/>
        <w:spacing w:after="0" w:line="263" w:lineRule="auto"/>
        <w:tabs>
          <w:tab w:leader="none" w:pos="107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will be responsible for all taxes and any other costs owed with respect to any deferrals or payments made with respect to my Awards.</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10"/>
          </w:cols>
          <w:pgMar w:left="230" w:top="249" w:right="259" w:bottom="1440" w:gutter="0" w:footer="0" w:header="0"/>
        </w:sectPr>
      </w:pPr>
    </w:p>
    <w:bookmarkStart w:id="380" w:name="page381"/>
    <w:bookmarkEnd w:id="380"/>
    <w:p>
      <w:pPr>
        <w:ind w:firstLine="906"/>
        <w:spacing w:after="0" w:line="259" w:lineRule="auto"/>
        <w:tabs>
          <w:tab w:leader="none" w:pos="1066" w:val="left"/>
        </w:tabs>
        <w:numPr>
          <w:ilvl w:val="0"/>
          <w:numId w:val="25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 understand that the Company will be under no obligation to settle any Deferred Awards until any income and employment tax withholding obligations are satisfied and that if I fail to satisfy any such tax withholding obligations I may forfeit my right to receive the shares subject to my Deferred Award. I understand that the Company has the right (but not the obligation) to withhold taxes from my Deferred Awards (including pursuant to net share withholding) in any amount and through such procedure as the Company deems necessary or desirable to satisfy any income or other tax obligations incurred with respect to my Awards.</w:t>
      </w:r>
    </w:p>
    <w:p>
      <w:pPr>
        <w:spacing w:after="0" w:line="67" w:lineRule="exact"/>
        <w:rPr>
          <w:rFonts w:ascii="Arial" w:cs="Arial" w:eastAsia="Arial" w:hAnsi="Arial"/>
          <w:sz w:val="15"/>
          <w:szCs w:val="15"/>
          <w:color w:val="auto"/>
        </w:rPr>
      </w:pPr>
    </w:p>
    <w:p>
      <w:pPr>
        <w:ind w:right="120" w:firstLine="906"/>
        <w:spacing w:after="0" w:line="275" w:lineRule="auto"/>
        <w:tabs>
          <w:tab w:leader="none" w:pos="1066" w:val="left"/>
        </w:tabs>
        <w:numPr>
          <w:ilvl w:val="0"/>
          <w:numId w:val="259"/>
        </w:numPr>
        <w:rPr>
          <w:rFonts w:ascii="Arial" w:cs="Arial" w:eastAsia="Arial" w:hAnsi="Arial"/>
          <w:sz w:val="15"/>
          <w:szCs w:val="15"/>
          <w:color w:val="auto"/>
        </w:rPr>
      </w:pPr>
      <w:r>
        <w:rPr>
          <w:rFonts w:ascii="Arial" w:cs="Arial" w:eastAsia="Arial" w:hAnsi="Arial"/>
          <w:sz w:val="15"/>
          <w:szCs w:val="15"/>
          <w:color w:val="auto"/>
        </w:rPr>
        <w:t>I understand that, upon receipt of any Deferred Awards, in addition to federal taxes, I may owe taxes to the state where I resided at the time of vesting in the Award and/or to the state where I reside when the Deferred Awards are settled, if different.</w:t>
      </w:r>
    </w:p>
    <w:p>
      <w:pPr>
        <w:spacing w:after="0" w:line="55" w:lineRule="exact"/>
        <w:rPr>
          <w:rFonts w:ascii="Arial" w:cs="Arial" w:eastAsia="Arial" w:hAnsi="Arial"/>
          <w:sz w:val="15"/>
          <w:szCs w:val="15"/>
          <w:color w:val="auto"/>
        </w:rPr>
      </w:pPr>
    </w:p>
    <w:p>
      <w:pPr>
        <w:ind w:left="1060" w:hanging="154"/>
        <w:spacing w:after="0"/>
        <w:tabs>
          <w:tab w:leader="none" w:pos="106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 understand, acknowledge and agree that the Administrator has the discretion to make all determinations and decisions regarding any elections set forth on this Election</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Form.</w:t>
      </w:r>
    </w:p>
    <w:p>
      <w:pPr>
        <w:spacing w:after="0" w:line="88" w:lineRule="exact"/>
        <w:rPr>
          <w:rFonts w:ascii="Arial" w:cs="Arial" w:eastAsia="Arial" w:hAnsi="Arial"/>
          <w:sz w:val="13"/>
          <w:szCs w:val="13"/>
          <w:color w:val="auto"/>
        </w:rPr>
      </w:pPr>
    </w:p>
    <w:p>
      <w:pPr>
        <w:ind w:right="140" w:firstLine="906"/>
        <w:spacing w:after="0" w:line="263" w:lineRule="auto"/>
        <w:tabs>
          <w:tab w:leader="none" w:pos="1066" w:val="left"/>
        </w:tabs>
        <w:numPr>
          <w:ilvl w:val="0"/>
          <w:numId w:val="259"/>
        </w:numPr>
        <w:rPr>
          <w:rFonts w:ascii="Arial" w:cs="Arial" w:eastAsia="Arial" w:hAnsi="Arial"/>
          <w:sz w:val="15"/>
          <w:szCs w:val="15"/>
          <w:color w:val="auto"/>
        </w:rPr>
      </w:pPr>
      <w:r>
        <w:rPr>
          <w:rFonts w:ascii="Arial" w:cs="Arial" w:eastAsia="Arial" w:hAnsi="Arial"/>
          <w:sz w:val="15"/>
          <w:szCs w:val="15"/>
          <w:color w:val="auto"/>
        </w:rPr>
        <w:t>I understand that this Election Form and the elections made hereunder are intended to comply with the requirements of Section 409A so that none of the Deferred Awards issuable will be subject to the tax acceleration and additional penalty taxes imposed under Section 409A, and any ambiguities herein will be interpreted to so comply. If applicable, I understand that I am solely responsible for any accelerated income taxes and additional taxes and tax penalties imposed by Section 409A.</w:t>
      </w:r>
    </w:p>
    <w:p>
      <w:pPr>
        <w:spacing w:after="0" w:line="64" w:lineRule="exact"/>
        <w:rPr>
          <w:rFonts w:ascii="Arial" w:cs="Arial" w:eastAsia="Arial" w:hAnsi="Arial"/>
          <w:sz w:val="15"/>
          <w:szCs w:val="15"/>
          <w:color w:val="auto"/>
        </w:rPr>
      </w:pPr>
    </w:p>
    <w:p>
      <w:pPr>
        <w:ind w:right="160" w:firstLine="906"/>
        <w:spacing w:after="0" w:line="259" w:lineRule="auto"/>
        <w:tabs>
          <w:tab w:leader="none" w:pos="1141" w:val="left"/>
        </w:tabs>
        <w:numPr>
          <w:ilvl w:val="0"/>
          <w:numId w:val="259"/>
        </w:numPr>
        <w:rPr>
          <w:rFonts w:ascii="Arial" w:cs="Arial" w:eastAsia="Arial" w:hAnsi="Arial"/>
          <w:sz w:val="15"/>
          <w:szCs w:val="15"/>
          <w:color w:val="auto"/>
        </w:rPr>
      </w:pPr>
      <w:r>
        <w:rPr>
          <w:rFonts w:ascii="Arial" w:cs="Arial" w:eastAsia="Arial" w:hAnsi="Arial"/>
          <w:sz w:val="15"/>
          <w:szCs w:val="15"/>
          <w:color w:val="auto"/>
        </w:rPr>
        <w:t>I also understand that this Election Form and the elections made hereunder will in all respects be subject to the terms and conditions of the Policy and the Plan, as applicable. Should any inconsistency exist between this Election Form, the Policy, the Plan, the Award Agreement under which an Award was granted, and/or any applicable law, then the provisions of either the applicable law (including, but not limited to, Section 409A) or the Plan will control, with the Plan subordinated to the applicable law and the Award Agreement and the Policy subordinated to this Election Form.</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53" w:right="239" w:bottom="1440" w:gutter="0" w:footer="0" w:header="0"/>
        </w:sectPr>
      </w:pPr>
    </w:p>
    <w:bookmarkStart w:id="381" w:name="page382"/>
    <w:bookmarkEnd w:id="381"/>
    <w:p>
      <w:pPr>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By signing this Election Form, I authorize the implementation of the above elections. I understand that my deferral election is irrevocable effective as of the Submission Deadline and may not be changed in the future, except in accordance with the requirements of Section 409A and the procedures specified by the Administrator.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gridSpan w:val="3"/>
          </w:tcPr>
          <w:p>
            <w:pPr>
              <w:spacing w:after="0"/>
              <w:rPr>
                <w:sz w:val="20"/>
                <w:szCs w:val="20"/>
                <w:color w:val="auto"/>
              </w:rPr>
            </w:pPr>
            <w:r>
              <w:rPr>
                <w:rFonts w:ascii="Arial" w:cs="Arial" w:eastAsia="Arial" w:hAnsi="Arial"/>
                <w:sz w:val="15"/>
                <w:szCs w:val="15"/>
                <w:color w:val="auto"/>
              </w:rPr>
              <w:t>Signed:</w:t>
            </w:r>
          </w:p>
        </w:tc>
        <w:tc>
          <w:tcPr>
            <w:tcW w:w="1140" w:type="dxa"/>
            <w:vAlign w:val="bottom"/>
          </w:tcPr>
          <w:p>
            <w:pPr>
              <w:spacing w:after="0"/>
              <w:rPr>
                <w:sz w:val="14"/>
                <w:szCs w:val="14"/>
                <w:color w:val="auto"/>
              </w:rPr>
            </w:pPr>
          </w:p>
        </w:tc>
        <w:tc>
          <w:tcPr>
            <w:tcW w:w="4520" w:type="dxa"/>
            <w:vAlign w:val="bottom"/>
          </w:tcPr>
          <w:p>
            <w:pPr>
              <w:ind w:left="2440"/>
              <w:spacing w:after="0"/>
              <w:rPr>
                <w:sz w:val="20"/>
                <w:szCs w:val="20"/>
                <w:color w:val="auto"/>
              </w:rPr>
            </w:pPr>
            <w:r>
              <w:rPr>
                <w:rFonts w:ascii="Arial" w:cs="Arial" w:eastAsia="Arial" w:hAnsi="Arial"/>
                <w:sz w:val="15"/>
                <w:szCs w:val="15"/>
                <w:color w:val="auto"/>
                <w:w w:val="92"/>
              </w:rPr>
              <w:t>Date: _______________, ______</w:t>
            </w:r>
          </w:p>
        </w:tc>
      </w:tr>
      <w:tr>
        <w:trPr>
          <w:trHeight w:val="193"/>
        </w:trPr>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top w:val="single" w:sz="8" w:color="auto"/>
            </w:tcBorders>
          </w:tcPr>
          <w:p>
            <w:pPr>
              <w:ind w:left="260"/>
              <w:spacing w:after="0"/>
              <w:rPr>
                <w:sz w:val="20"/>
                <w:szCs w:val="20"/>
                <w:color w:val="auto"/>
              </w:rPr>
            </w:pPr>
            <w:r>
              <w:rPr>
                <w:rFonts w:ascii="Arial" w:cs="Arial" w:eastAsia="Arial" w:hAnsi="Arial"/>
                <w:sz w:val="15"/>
                <w:szCs w:val="15"/>
                <w:color w:val="auto"/>
              </w:rPr>
              <w:t>PARTICIPANT</w:t>
            </w:r>
          </w:p>
        </w:tc>
        <w:tc>
          <w:tcPr>
            <w:tcW w:w="1140" w:type="dxa"/>
            <w:vAlign w:val="bottom"/>
          </w:tcPr>
          <w:p>
            <w:pPr>
              <w:spacing w:after="0"/>
              <w:rPr>
                <w:sz w:val="16"/>
                <w:szCs w:val="16"/>
                <w:color w:val="auto"/>
              </w:rPr>
            </w:pPr>
          </w:p>
        </w:tc>
        <w:tc>
          <w:tcPr>
            <w:tcW w:w="4520" w:type="dxa"/>
            <w:vAlign w:val="bottom"/>
          </w:tcPr>
          <w:p>
            <w:pPr>
              <w:spacing w:after="0"/>
              <w:rPr>
                <w:sz w:val="16"/>
                <w:szCs w:val="16"/>
                <w:color w:val="auto"/>
              </w:rPr>
            </w:pPr>
          </w:p>
        </w:tc>
      </w:tr>
      <w:tr>
        <w:trPr>
          <w:trHeight w:val="361"/>
        </w:trPr>
        <w:tc>
          <w:tcPr>
            <w:tcW w:w="2480" w:type="dxa"/>
            <w:vAlign w:val="bottom"/>
            <w:gridSpan w:val="3"/>
          </w:tcPr>
          <w:p>
            <w:pPr>
              <w:spacing w:after="0"/>
              <w:rPr>
                <w:sz w:val="20"/>
                <w:szCs w:val="20"/>
                <w:color w:val="auto"/>
              </w:rPr>
            </w:pPr>
            <w:r>
              <w:rPr>
                <w:rFonts w:ascii="Arial" w:cs="Arial" w:eastAsia="Arial" w:hAnsi="Arial"/>
                <w:sz w:val="15"/>
                <w:szCs w:val="15"/>
                <w:b w:val="1"/>
                <w:bCs w:val="1"/>
                <w:color w:val="auto"/>
              </w:rPr>
              <w:t>Agreed to and accepted:</w:t>
            </w:r>
          </w:p>
        </w:tc>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61"/>
        </w:trPr>
        <w:tc>
          <w:tcPr>
            <w:tcW w:w="2480" w:type="dxa"/>
            <w:vAlign w:val="bottom"/>
            <w:gridSpan w:val="3"/>
          </w:tcPr>
          <w:p>
            <w:pPr>
              <w:spacing w:after="0"/>
              <w:rPr>
                <w:sz w:val="20"/>
                <w:szCs w:val="20"/>
                <w:color w:val="auto"/>
              </w:rPr>
            </w:pPr>
            <w:r>
              <w:rPr>
                <w:rFonts w:ascii="Arial" w:cs="Arial" w:eastAsia="Arial" w:hAnsi="Arial"/>
                <w:sz w:val="15"/>
                <w:szCs w:val="15"/>
                <w:color w:val="auto"/>
              </w:rPr>
              <w:t>DROPBOX, INC.</w:t>
            </w:r>
          </w:p>
        </w:tc>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28"/>
        </w:trPr>
        <w:tc>
          <w:tcPr>
            <w:tcW w:w="240" w:type="dxa"/>
            <w:vAlign w:val="bottom"/>
          </w:tcPr>
          <w:p>
            <w:pPr>
              <w:spacing w:after="0"/>
              <w:rPr>
                <w:sz w:val="20"/>
                <w:szCs w:val="20"/>
                <w:color w:val="auto"/>
              </w:rPr>
            </w:pPr>
            <w:r>
              <w:rPr>
                <w:rFonts w:ascii="Arial" w:cs="Arial" w:eastAsia="Arial" w:hAnsi="Arial"/>
                <w:sz w:val="15"/>
                <w:szCs w:val="15"/>
                <w:color w:val="auto"/>
              </w:rPr>
              <w:t>By:</w:t>
            </w:r>
          </w:p>
        </w:tc>
        <w:tc>
          <w:tcPr>
            <w:tcW w:w="224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520" w:type="dxa"/>
            <w:vAlign w:val="bottom"/>
          </w:tcPr>
          <w:p>
            <w:pPr>
              <w:ind w:left="2440"/>
              <w:spacing w:after="0"/>
              <w:rPr>
                <w:sz w:val="20"/>
                <w:szCs w:val="20"/>
                <w:color w:val="auto"/>
              </w:rPr>
            </w:pPr>
            <w:r>
              <w:rPr>
                <w:rFonts w:ascii="Arial" w:cs="Arial" w:eastAsia="Arial" w:hAnsi="Arial"/>
                <w:sz w:val="15"/>
                <w:szCs w:val="15"/>
                <w:color w:val="auto"/>
                <w:w w:val="88"/>
              </w:rPr>
              <w:t>Date: ________________, ______</w:t>
            </w:r>
          </w:p>
        </w:tc>
      </w:tr>
    </w:tbl>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u w:val="single" w:color="auto"/>
          <w:color w:val="auto"/>
        </w:rPr>
        <w:t>IMPORTANT DEADLINE</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Please remember that if you wish to make any election set forth on this Election Form, then the properly completed Election Form must be signed by you and returned ON OR BEFORE THE SUBMISSION DEADLINE to Stock Administration, Dropbox, Inc., Inc., 333 Brannan Street, San Francisco, CA 94107, or by e-mail to stock.administration@dropbox.com.</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40"/>
          </w:cols>
          <w:pgMar w:left="240" w:top="253" w:right="4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5"/>
          <w:szCs w:val="15"/>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ERNST &amp; YOUNG LLP, INDEPENDENT REGISTERED PUBLIC ACCOUNTING FIRM</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We consent to the reference to our firm under the caption “Experts” and to the use of our report dated February 23, 2018, (except as to the eleventh paragraph of Note 1, as to which the date is March 7, 2018), in Amendment No. 1 to the Registration Statement (Form S-1 No. 333-223182) and related Prospectus of Dropbox, Inc. for the registration of shares of its Class A common stock.</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 Ernst &amp; Young LLP</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March 12, 2018</w:t>
      </w:r>
    </w:p>
    <w:sectPr>
      <w:pgSz w:w="11900" w:h="16838" w:orient="portrait"/>
      <w:cols w:equalWidth="0" w:num="1">
        <w:col w:w="9200"/>
      </w:cols>
      <w:pgMar w:left="1360" w:top="125"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E21BB2"/>
    <w:multiLevelType w:val="hybridMultilevel"/>
    <w:lvl w:ilvl="0">
      <w:lvlJc w:val="left"/>
      <w:lvlText w:val="(%1)"/>
      <w:numFmt w:val="decimal"/>
      <w:start w:val="1"/>
    </w:lvl>
  </w:abstractNum>
  <w:abstractNum w:abstractNumId="1">
    <w:nsid w:val="75E0858A"/>
    <w:multiLevelType w:val="hybridMultilevel"/>
    <w:lvl w:ilvl="0">
      <w:lvlJc w:val="left"/>
      <w:lvlText w:val="(%1)"/>
      <w:numFmt w:val="decimal"/>
      <w:start w:val="1"/>
    </w:lvl>
  </w:abstractNum>
  <w:abstractNum w:abstractNumId="2">
    <w:nsid w:val="57A61A29"/>
    <w:multiLevelType w:val="hybridMultilevel"/>
    <w:lvl w:ilvl="0">
      <w:lvlJc w:val="left"/>
      <w:lvlText w:val="•"/>
      <w:numFmt w:val="bullet"/>
      <w:start w:val="1"/>
    </w:lvl>
  </w:abstractNum>
  <w:abstractNum w:abstractNumId="3">
    <w:nsid w:val="5399C654"/>
    <w:multiLevelType w:val="hybridMultilevel"/>
    <w:lvl w:ilvl="0">
      <w:lvlJc w:val="left"/>
      <w:lvlText w:val="•"/>
      <w:numFmt w:val="bullet"/>
      <w:start w:val="1"/>
    </w:lvl>
  </w:abstractNum>
  <w:abstractNum w:abstractNumId="4">
    <w:nsid w:val="20EE1348"/>
    <w:multiLevelType w:val="hybridMultilevel"/>
    <w:lvl w:ilvl="0">
      <w:lvlJc w:val="left"/>
      <w:lvlText w:val="•"/>
      <w:numFmt w:val="bullet"/>
      <w:start w:val="1"/>
    </w:lvl>
  </w:abstractNum>
  <w:abstractNum w:abstractNumId="5">
    <w:nsid w:val="4427069A"/>
    <w:multiLevelType w:val="hybridMultilevel"/>
    <w:lvl w:ilvl="0">
      <w:lvlJc w:val="left"/>
      <w:lvlText w:val="•"/>
      <w:numFmt w:val="bullet"/>
      <w:start w:val="1"/>
    </w:lvl>
  </w:abstractNum>
  <w:abstractNum w:abstractNumId="6">
    <w:nsid w:val="B37E80A"/>
    <w:multiLevelType w:val="hybridMultilevel"/>
    <w:lvl w:ilvl="0">
      <w:lvlJc w:val="left"/>
      <w:lvlText w:val="•"/>
      <w:numFmt w:val="bullet"/>
      <w:start w:val="1"/>
    </w:lvl>
  </w:abstractNum>
  <w:abstractNum w:abstractNumId="7">
    <w:nsid w:val="2157F6BC"/>
    <w:multiLevelType w:val="hybridMultilevel"/>
    <w:lvl w:ilvl="0">
      <w:lvlJc w:val="left"/>
      <w:lvlText w:val="•"/>
      <w:numFmt w:val="bullet"/>
      <w:start w:val="1"/>
    </w:lvl>
  </w:abstractNum>
  <w:abstractNum w:abstractNumId="8">
    <w:nsid w:val="704E1DD5"/>
    <w:multiLevelType w:val="hybridMultilevel"/>
    <w:lvl w:ilvl="0">
      <w:lvlJc w:val="left"/>
      <w:lvlText w:val="•"/>
      <w:numFmt w:val="bullet"/>
      <w:start w:val="1"/>
    </w:lvl>
    <w:lvl w:ilvl="1">
      <w:lvlJc w:val="left"/>
      <w:lvlText w:val="•"/>
      <w:numFmt w:val="bullet"/>
      <w:start w:val="1"/>
    </w:lvl>
  </w:abstractNum>
  <w:abstractNum w:abstractNumId="9">
    <w:nsid w:val="57D2F10E"/>
    <w:multiLevelType w:val="hybridMultilevel"/>
    <w:lvl w:ilvl="0">
      <w:lvlJc w:val="left"/>
      <w:lvlText w:val="•"/>
      <w:numFmt w:val="bullet"/>
      <w:start w:val="1"/>
    </w:lvl>
  </w:abstractNum>
  <w:abstractNum w:abstractNumId="10">
    <w:nsid w:val="BFFAE18"/>
    <w:multiLevelType w:val="hybridMultilevel"/>
    <w:lvl w:ilvl="0">
      <w:lvlJc w:val="left"/>
      <w:lvlText w:val="(%1)"/>
      <w:numFmt w:val="decimal"/>
      <w:start w:val="1"/>
    </w:lvl>
  </w:abstractNum>
  <w:abstractNum w:abstractNumId="11">
    <w:nsid w:val="E3E47A8"/>
    <w:multiLevelType w:val="hybridMultilevel"/>
    <w:lvl w:ilvl="0">
      <w:lvlJc w:val="left"/>
      <w:lvlText w:val="(%1)"/>
      <w:numFmt w:val="decimal"/>
      <w:start w:val="2"/>
    </w:lvl>
  </w:abstractNum>
  <w:abstractNum w:abstractNumId="12">
    <w:nsid w:val="2E48F044"/>
    <w:multiLevelType w:val="hybridMultilevel"/>
    <w:lvl w:ilvl="0">
      <w:lvlJc w:val="left"/>
      <w:lvlText w:val="(%1)"/>
      <w:numFmt w:val="decimal"/>
      <w:start w:val="1"/>
    </w:lvl>
  </w:abstractNum>
  <w:abstractNum w:abstractNumId="13">
    <w:nsid w:val="49D0FEAC"/>
    <w:multiLevelType w:val="hybridMultilevel"/>
    <w:lvl w:ilvl="0">
      <w:lvlJc w:val="left"/>
      <w:lvlText w:val="(%1)"/>
      <w:numFmt w:val="lowerLetter"/>
      <w:start w:val="3"/>
    </w:lvl>
  </w:abstractNum>
  <w:abstractNum w:abstractNumId="14">
    <w:nsid w:val="4BEE5A5B"/>
    <w:multiLevelType w:val="hybridMultilevel"/>
    <w:lvl w:ilvl="0">
      <w:lvlJc w:val="left"/>
      <w:lvlText w:val="•"/>
      <w:numFmt w:val="bullet"/>
      <w:start w:val="1"/>
    </w:lvl>
  </w:abstractNum>
  <w:abstractNum w:abstractNumId="15">
    <w:nsid w:val="5551B9F3"/>
    <w:multiLevelType w:val="hybridMultilevel"/>
    <w:lvl w:ilvl="0">
      <w:lvlJc w:val="left"/>
      <w:lvlText w:val="•"/>
      <w:numFmt w:val="bullet"/>
      <w:start w:val="1"/>
    </w:lvl>
  </w:abstractNum>
  <w:abstractNum w:abstractNumId="16">
    <w:nsid w:val="24F6AB8E"/>
    <w:multiLevelType w:val="hybridMultilevel"/>
    <w:lvl w:ilvl="0">
      <w:lvlJc w:val="left"/>
      <w:lvlText w:val="•"/>
      <w:numFmt w:val="bullet"/>
      <w:start w:val="1"/>
    </w:lvl>
  </w:abstractNum>
  <w:abstractNum w:abstractNumId="17">
    <w:nsid w:val="634C574C"/>
    <w:multiLevelType w:val="hybridMultilevel"/>
    <w:lvl w:ilvl="0">
      <w:lvlJc w:val="left"/>
      <w:lvlText w:val="•"/>
      <w:numFmt w:val="bullet"/>
      <w:start w:val="1"/>
    </w:lvl>
  </w:abstractNum>
  <w:abstractNum w:abstractNumId="18">
    <w:nsid w:val="24E99DD7"/>
    <w:multiLevelType w:val="hybridMultilevel"/>
    <w:lvl w:ilvl="0">
      <w:lvlJc w:val="left"/>
      <w:lvlText w:val="•"/>
      <w:numFmt w:val="bullet"/>
      <w:start w:val="1"/>
    </w:lvl>
  </w:abstractNum>
  <w:abstractNum w:abstractNumId="19">
    <w:nsid w:val="2A31B62D"/>
    <w:multiLevelType w:val="hybridMultilevel"/>
    <w:lvl w:ilvl="0">
      <w:lvlJc w:val="left"/>
      <w:lvlText w:val="•"/>
      <w:numFmt w:val="bullet"/>
      <w:start w:val="1"/>
    </w:lvl>
  </w:abstractNum>
  <w:abstractNum w:abstractNumId="20">
    <w:nsid w:val="1849C29B"/>
    <w:multiLevelType w:val="hybridMultilevel"/>
    <w:lvl w:ilvl="0">
      <w:lvlJc w:val="left"/>
      <w:lvlText w:val="•"/>
      <w:numFmt w:val="bullet"/>
      <w:start w:val="1"/>
    </w:lvl>
  </w:abstractNum>
  <w:abstractNum w:abstractNumId="21">
    <w:nsid w:val="7DFF9D09"/>
    <w:multiLevelType w:val="hybridMultilevel"/>
    <w:lvl w:ilvl="0">
      <w:lvlJc w:val="left"/>
      <w:lvlText w:val="•"/>
      <w:numFmt w:val="bullet"/>
      <w:start w:val="1"/>
    </w:lvl>
  </w:abstractNum>
  <w:abstractNum w:abstractNumId="22">
    <w:nsid w:val="754342"/>
    <w:multiLevelType w:val="hybridMultilevel"/>
    <w:lvl w:ilvl="0">
      <w:lvlJc w:val="left"/>
      <w:lvlText w:val="•"/>
      <w:numFmt w:val="bullet"/>
      <w:start w:val="1"/>
    </w:lvl>
  </w:abstractNum>
  <w:abstractNum w:abstractNumId="23">
    <w:nsid w:val="69E7F3E5"/>
    <w:multiLevelType w:val="hybridMultilevel"/>
    <w:lvl w:ilvl="0">
      <w:lvlJc w:val="left"/>
      <w:lvlText w:val="•"/>
      <w:numFmt w:val="bullet"/>
      <w:start w:val="1"/>
    </w:lvl>
  </w:abstractNum>
  <w:abstractNum w:abstractNumId="24">
    <w:nsid w:val="2A6DE806"/>
    <w:multiLevelType w:val="hybridMultilevel"/>
    <w:lvl w:ilvl="0">
      <w:lvlJc w:val="left"/>
      <w:lvlText w:val="•"/>
      <w:numFmt w:val="bullet"/>
      <w:start w:val="1"/>
    </w:lvl>
  </w:abstractNum>
  <w:abstractNum w:abstractNumId="25">
    <w:nsid w:val="1816F8C4"/>
    <w:multiLevelType w:val="hybridMultilevel"/>
    <w:lvl w:ilvl="0">
      <w:lvlJc w:val="left"/>
      <w:lvlText w:val="•"/>
      <w:numFmt w:val="bullet"/>
      <w:start w:val="1"/>
    </w:lvl>
  </w:abstractNum>
  <w:abstractNum w:abstractNumId="26">
    <w:nsid w:val="37DF2233"/>
    <w:multiLevelType w:val="hybridMultilevel"/>
    <w:lvl w:ilvl="0">
      <w:lvlJc w:val="left"/>
      <w:lvlText w:val="•"/>
      <w:numFmt w:val="bullet"/>
      <w:start w:val="1"/>
    </w:lvl>
  </w:abstractNum>
  <w:abstractNum w:abstractNumId="27">
    <w:nsid w:val="7AB49DAF"/>
    <w:multiLevelType w:val="hybridMultilevel"/>
    <w:lvl w:ilvl="0">
      <w:lvlJc w:val="left"/>
      <w:lvlText w:val="•"/>
      <w:numFmt w:val="bullet"/>
      <w:start w:val="1"/>
    </w:lvl>
  </w:abstractNum>
  <w:abstractNum w:abstractNumId="28">
    <w:nsid w:val="759F82CD"/>
    <w:multiLevelType w:val="hybridMultilevel"/>
    <w:lvl w:ilvl="0">
      <w:lvlJc w:val="left"/>
      <w:lvlText w:val="*"/>
      <w:numFmt w:val="bullet"/>
      <w:start w:val="1"/>
    </w:lvl>
    <w:lvl w:ilvl="1">
      <w:lvlJc w:val="left"/>
      <w:lvlText w:val="•"/>
      <w:numFmt w:val="bullet"/>
      <w:start w:val="1"/>
    </w:lvl>
  </w:abstractNum>
  <w:abstractNum w:abstractNumId="29">
    <w:nsid w:val="61E74EA3"/>
    <w:multiLevelType w:val="hybridMultilevel"/>
    <w:lvl w:ilvl="0">
      <w:lvlJc w:val="left"/>
      <w:lvlText w:val="•"/>
      <w:numFmt w:val="bullet"/>
      <w:start w:val="1"/>
    </w:lvl>
  </w:abstractNum>
  <w:abstractNum w:abstractNumId="30">
    <w:nsid w:val="597B4D84"/>
    <w:multiLevelType w:val="hybridMultilevel"/>
    <w:lvl w:ilvl="0">
      <w:lvlJc w:val="left"/>
      <w:lvlText w:val="(%1)"/>
      <w:numFmt w:val="decimal"/>
      <w:start w:val="1"/>
    </w:lvl>
  </w:abstractNum>
  <w:abstractNum w:abstractNumId="31">
    <w:nsid w:val="F819E7F"/>
    <w:multiLevelType w:val="hybridMultilevel"/>
    <w:lvl w:ilvl="0">
      <w:lvlJc w:val="left"/>
      <w:lvlText w:val="(%1)"/>
      <w:numFmt w:val="lowerRoman"/>
      <w:start w:val="3"/>
    </w:lvl>
  </w:abstractNum>
  <w:abstractNum w:abstractNumId="32">
    <w:nsid w:val="57C7D42D"/>
    <w:multiLevelType w:val="hybridMultilevel"/>
    <w:lvl w:ilvl="0">
      <w:lvlJc w:val="left"/>
      <w:lvlText w:val="•"/>
      <w:numFmt w:val="bullet"/>
      <w:start w:val="1"/>
    </w:lvl>
    <w:lvl w:ilvl="1">
      <w:lvlJc w:val="left"/>
      <w:lvlText w:val="•"/>
      <w:numFmt w:val="bullet"/>
      <w:start w:val="1"/>
    </w:lvl>
  </w:abstractNum>
  <w:abstractNum w:abstractNumId="33">
    <w:nsid w:val="312167AD"/>
    <w:multiLevelType w:val="hybridMultilevel"/>
    <w:lvl w:ilvl="0">
      <w:lvlJc w:val="left"/>
      <w:lvlText w:val="•"/>
      <w:numFmt w:val="bullet"/>
      <w:start w:val="1"/>
    </w:lvl>
    <w:lvl w:ilvl="1">
      <w:lvlJc w:val="left"/>
      <w:lvlText w:val="•"/>
      <w:numFmt w:val="bullet"/>
      <w:start w:val="1"/>
    </w:lvl>
  </w:abstractNum>
  <w:abstractNum w:abstractNumId="34">
    <w:nsid w:val="631B64D4"/>
    <w:multiLevelType w:val="hybridMultilevel"/>
    <w:lvl w:ilvl="0">
      <w:lvlJc w:val="left"/>
      <w:lvlText w:val="(%1)"/>
      <w:numFmt w:val="decimal"/>
      <w:start w:val="1"/>
    </w:lvl>
  </w:abstractNum>
  <w:abstractNum w:abstractNumId="35">
    <w:nsid w:val="78B5E776"/>
    <w:multiLevelType w:val="hybridMultilevel"/>
    <w:lvl w:ilvl="0">
      <w:lvlJc w:val="left"/>
      <w:lvlText w:val="(%1)"/>
      <w:numFmt w:val="decimal"/>
      <w:start w:val="2"/>
    </w:lvl>
  </w:abstractNum>
  <w:abstractNum w:abstractNumId="36">
    <w:nsid w:val="75486E47"/>
    <w:multiLevelType w:val="hybridMultilevel"/>
    <w:lvl w:ilvl="0">
      <w:lvlJc w:val="left"/>
      <w:lvlText w:val="(%1)"/>
      <w:numFmt w:val="decimal"/>
      <w:start w:val="1"/>
    </w:lvl>
  </w:abstractNum>
  <w:abstractNum w:abstractNumId="37">
    <w:nsid w:val="6E534CDE"/>
    <w:multiLevelType w:val="hybridMultilevel"/>
    <w:lvl w:ilvl="0">
      <w:lvlJc w:val="left"/>
      <w:lvlText w:val="(%1)"/>
      <w:numFmt w:val="lowerLetter"/>
      <w:start w:val="1"/>
    </w:lvl>
  </w:abstractNum>
  <w:abstractNum w:abstractNumId="38">
    <w:nsid w:val="1A0DDE32"/>
    <w:multiLevelType w:val="hybridMultilevel"/>
    <w:lvl w:ilvl="0">
      <w:lvlJc w:val="left"/>
      <w:lvlText w:val="(%1)"/>
      <w:numFmt w:val="decimal"/>
      <w:start w:val="1"/>
    </w:lvl>
  </w:abstractNum>
  <w:abstractNum w:abstractNumId="39">
    <w:nsid w:val="65968C1C"/>
    <w:multiLevelType w:val="hybridMultilevel"/>
    <w:lvl w:ilvl="0">
      <w:lvlJc w:val="left"/>
      <w:lvlText w:val="•"/>
      <w:numFmt w:val="bullet"/>
      <w:start w:val="1"/>
    </w:lvl>
  </w:abstractNum>
  <w:abstractNum w:abstractNumId="40">
    <w:nsid w:val="46263DEC"/>
    <w:multiLevelType w:val="hybridMultilevel"/>
    <w:lvl w:ilvl="0">
      <w:lvlJc w:val="left"/>
      <w:lvlText w:val="•"/>
      <w:numFmt w:val="bullet"/>
      <w:start w:val="1"/>
    </w:lvl>
  </w:abstractNum>
  <w:abstractNum w:abstractNumId="41">
    <w:nsid w:val="260D8C4A"/>
    <w:multiLevelType w:val="hybridMultilevel"/>
    <w:lvl w:ilvl="0">
      <w:lvlJc w:val="left"/>
      <w:lvlText w:val="•"/>
      <w:numFmt w:val="bullet"/>
      <w:start w:val="1"/>
    </w:lvl>
  </w:abstractNum>
  <w:abstractNum w:abstractNumId="42">
    <w:nsid w:val="73D4D3C4"/>
    <w:multiLevelType w:val="hybridMultilevel"/>
    <w:lvl w:ilvl="0">
      <w:lvlJc w:val="left"/>
      <w:lvlText w:val="•"/>
      <w:numFmt w:val="bullet"/>
      <w:start w:val="1"/>
    </w:lvl>
  </w:abstractNum>
  <w:abstractNum w:abstractNumId="43">
    <w:nsid w:val="746F2E30"/>
    <w:multiLevelType w:val="hybridMultilevel"/>
    <w:lvl w:ilvl="0">
      <w:lvlJc w:val="left"/>
      <w:lvlText w:val="•"/>
      <w:numFmt w:val="bullet"/>
      <w:start w:val="1"/>
    </w:lvl>
  </w:abstractNum>
  <w:abstractNum w:abstractNumId="44">
    <w:nsid w:val="6FDE8AF6"/>
    <w:multiLevelType w:val="hybridMultilevel"/>
    <w:lvl w:ilvl="0">
      <w:lvlJc w:val="left"/>
      <w:lvlText w:val="•"/>
      <w:numFmt w:val="bullet"/>
      <w:start w:val="1"/>
    </w:lvl>
  </w:abstractNum>
  <w:abstractNum w:abstractNumId="45">
    <w:nsid w:val="3FC32E20"/>
    <w:multiLevelType w:val="hybridMultilevel"/>
    <w:lvl w:ilvl="0">
      <w:lvlJc w:val="left"/>
      <w:lvlText w:val="•"/>
      <w:numFmt w:val="bullet"/>
      <w:start w:val="1"/>
    </w:lvl>
  </w:abstractNum>
  <w:abstractNum w:abstractNumId="46">
    <w:nsid w:val="49C0E823"/>
    <w:multiLevelType w:val="hybridMultilevel"/>
    <w:lvl w:ilvl="0">
      <w:lvlJc w:val="left"/>
      <w:lvlText w:val="•"/>
      <w:numFmt w:val="bullet"/>
      <w:start w:val="1"/>
    </w:lvl>
  </w:abstractNum>
  <w:abstractNum w:abstractNumId="47">
    <w:nsid w:val="14D53685"/>
    <w:multiLevelType w:val="hybridMultilevel"/>
    <w:lvl w:ilvl="0">
      <w:lvlJc w:val="left"/>
      <w:lvlText w:val="•"/>
      <w:numFmt w:val="bullet"/>
      <w:start w:val="1"/>
    </w:lvl>
  </w:abstractNum>
  <w:abstractNum w:abstractNumId="48">
    <w:nsid w:val="230F856C"/>
    <w:multiLevelType w:val="hybridMultilevel"/>
    <w:lvl w:ilvl="0">
      <w:lvlJc w:val="left"/>
      <w:lvlText w:val="•"/>
      <w:numFmt w:val="bullet"/>
      <w:start w:val="1"/>
    </w:lvl>
  </w:abstractNum>
  <w:abstractNum w:abstractNumId="49">
    <w:nsid w:val="6EAA85FB"/>
    <w:multiLevelType w:val="hybridMultilevel"/>
    <w:lvl w:ilvl="0">
      <w:lvlJc w:val="left"/>
      <w:lvlText w:val="•"/>
      <w:numFmt w:val="bullet"/>
      <w:start w:val="1"/>
    </w:lvl>
  </w:abstractNum>
  <w:abstractNum w:abstractNumId="50">
    <w:nsid w:val="3F06ECB2"/>
    <w:multiLevelType w:val="hybridMultilevel"/>
    <w:lvl w:ilvl="0">
      <w:lvlJc w:val="left"/>
      <w:lvlText w:val="•"/>
      <w:numFmt w:val="bullet"/>
      <w:start w:val="1"/>
    </w:lvl>
  </w:abstractNum>
  <w:abstractNum w:abstractNumId="51">
    <w:nsid w:val="3B594807"/>
    <w:multiLevelType w:val="hybridMultilevel"/>
    <w:lvl w:ilvl="0">
      <w:lvlJc w:val="left"/>
      <w:lvlText w:val="•"/>
      <w:numFmt w:val="bullet"/>
      <w:start w:val="1"/>
    </w:lvl>
  </w:abstractNum>
  <w:abstractNum w:abstractNumId="52">
    <w:nsid w:val="6CAA2304"/>
    <w:multiLevelType w:val="hybridMultilevel"/>
    <w:lvl w:ilvl="0">
      <w:lvlJc w:val="left"/>
      <w:lvlText w:val="•"/>
      <w:numFmt w:val="bullet"/>
      <w:start w:val="1"/>
    </w:lvl>
  </w:abstractNum>
  <w:abstractNum w:abstractNumId="53">
    <w:nsid w:val="3F7C2FF4"/>
    <w:multiLevelType w:val="hybridMultilevel"/>
    <w:lvl w:ilvl="0">
      <w:lvlJc w:val="left"/>
      <w:lvlText w:val="•"/>
      <w:numFmt w:val="bullet"/>
      <w:start w:val="1"/>
    </w:lvl>
  </w:abstractNum>
  <w:abstractNum w:abstractNumId="54">
    <w:nsid w:val="25413BEC"/>
    <w:multiLevelType w:val="hybridMultilevel"/>
    <w:lvl w:ilvl="0">
      <w:lvlJc w:val="left"/>
      <w:lvlText w:val="•"/>
      <w:numFmt w:val="bullet"/>
      <w:start w:val="1"/>
    </w:lvl>
    <w:lvl w:ilvl="1">
      <w:lvlJc w:val="left"/>
      <w:lvlText w:val="•"/>
      <w:numFmt w:val="bullet"/>
      <w:start w:val="1"/>
    </w:lvl>
  </w:abstractNum>
  <w:abstractNum w:abstractNumId="55">
    <w:nsid w:val="17180B0B"/>
    <w:multiLevelType w:val="hybridMultilevel"/>
    <w:lvl w:ilvl="0">
      <w:lvlJc w:val="left"/>
      <w:lvlText w:val="•"/>
      <w:numFmt w:val="bullet"/>
      <w:start w:val="1"/>
    </w:lvl>
  </w:abstractNum>
  <w:abstractNum w:abstractNumId="56">
    <w:nsid w:val="579328B9"/>
    <w:multiLevelType w:val="hybridMultilevel"/>
    <w:lvl w:ilvl="0">
      <w:lvlJc w:val="left"/>
      <w:lvlText w:val="•"/>
      <w:numFmt w:val="bullet"/>
      <w:start w:val="1"/>
    </w:lvl>
  </w:abstractNum>
  <w:abstractNum w:abstractNumId="57">
    <w:nsid w:val="5D205E20"/>
    <w:multiLevelType w:val="hybridMultilevel"/>
    <w:lvl w:ilvl="0">
      <w:lvlJc w:val="left"/>
      <w:lvlText w:val="•"/>
      <w:numFmt w:val="bullet"/>
      <w:start w:val="1"/>
    </w:lvl>
  </w:abstractNum>
  <w:abstractNum w:abstractNumId="58">
    <w:nsid w:val="11CCA8BA"/>
    <w:multiLevelType w:val="hybridMultilevel"/>
    <w:lvl w:ilvl="0">
      <w:lvlJc w:val="left"/>
      <w:lvlText w:val="•"/>
      <w:numFmt w:val="bullet"/>
      <w:start w:val="1"/>
    </w:lvl>
  </w:abstractNum>
  <w:abstractNum w:abstractNumId="59">
    <w:nsid w:val="4D32AB86"/>
    <w:multiLevelType w:val="hybridMultilevel"/>
    <w:lvl w:ilvl="0">
      <w:lvlJc w:val="left"/>
      <w:lvlText w:val="•"/>
      <w:numFmt w:val="bullet"/>
      <w:start w:val="1"/>
    </w:lvl>
  </w:abstractNum>
  <w:abstractNum w:abstractNumId="60">
    <w:nsid w:val="3F07ACC3"/>
    <w:multiLevelType w:val="hybridMultilevel"/>
    <w:lvl w:ilvl="0">
      <w:lvlJc w:val="left"/>
      <w:lvlText w:val="•"/>
      <w:numFmt w:val="bullet"/>
      <w:start w:val="1"/>
    </w:lvl>
  </w:abstractNum>
  <w:abstractNum w:abstractNumId="61">
    <w:nsid w:val="6B47F63E"/>
    <w:multiLevelType w:val="hybridMultilevel"/>
    <w:lvl w:ilvl="0">
      <w:lvlJc w:val="left"/>
      <w:lvlText w:val="(%1)"/>
      <w:numFmt w:val="decimal"/>
      <w:start w:val="1"/>
    </w:lvl>
  </w:abstractNum>
  <w:abstractNum w:abstractNumId="62">
    <w:nsid w:val="5CB44A05"/>
    <w:multiLevelType w:val="hybridMultilevel"/>
    <w:lvl w:ilvl="0">
      <w:lvlJc w:val="left"/>
      <w:lvlText w:val="(%1)"/>
      <w:numFmt w:val="decimal"/>
      <w:start w:val="1"/>
    </w:lvl>
  </w:abstractNum>
  <w:abstractNum w:abstractNumId="63">
    <w:nsid w:val="16CF80F1"/>
    <w:multiLevelType w:val="hybridMultilevel"/>
    <w:lvl w:ilvl="0">
      <w:lvlJc w:val="left"/>
      <w:lvlText w:val="•"/>
      <w:numFmt w:val="bullet"/>
      <w:start w:val="1"/>
    </w:lvl>
  </w:abstractNum>
  <w:abstractNum w:abstractNumId="64">
    <w:nsid w:val="1C695DEC"/>
    <w:multiLevelType w:val="hybridMultilevel"/>
    <w:lvl w:ilvl="0">
      <w:lvlJc w:val="left"/>
      <w:lvlText w:val="•"/>
      <w:numFmt w:val="bullet"/>
      <w:start w:val="1"/>
    </w:lvl>
  </w:abstractNum>
  <w:abstractNum w:abstractNumId="65">
    <w:nsid w:val="3FCFAED9"/>
    <w:multiLevelType w:val="hybridMultilevel"/>
    <w:lvl w:ilvl="0">
      <w:lvlJc w:val="left"/>
      <w:lvlText w:val="•"/>
      <w:numFmt w:val="bullet"/>
      <w:start w:val="1"/>
    </w:lvl>
  </w:abstractNum>
  <w:abstractNum w:abstractNumId="66">
    <w:nsid w:val="F856867"/>
    <w:multiLevelType w:val="hybridMultilevel"/>
    <w:lvl w:ilvl="0">
      <w:lvlJc w:val="left"/>
      <w:lvlText w:val="•"/>
      <w:numFmt w:val="bullet"/>
      <w:start w:val="1"/>
    </w:lvl>
  </w:abstractNum>
  <w:abstractNum w:abstractNumId="67">
    <w:nsid w:val="11B1CC33"/>
    <w:multiLevelType w:val="hybridMultilevel"/>
    <w:lvl w:ilvl="0">
      <w:lvlJc w:val="left"/>
      <w:lvlText w:val="(%1)"/>
      <w:numFmt w:val="decimal"/>
      <w:start w:val="1"/>
    </w:lvl>
  </w:abstractNum>
  <w:abstractNum w:abstractNumId="68">
    <w:nsid w:val="2E22FBB7"/>
    <w:multiLevelType w:val="hybridMultilevel"/>
    <w:lvl w:ilvl="0">
      <w:lvlJc w:val="left"/>
      <w:lvlText w:val="(%1)"/>
      <w:numFmt w:val="decimal"/>
      <w:start w:val="1"/>
    </w:lvl>
  </w:abstractNum>
  <w:abstractNum w:abstractNumId="69">
    <w:nsid w:val="29934699"/>
    <w:multiLevelType w:val="hybridMultilevel"/>
    <w:lvl w:ilvl="0">
      <w:lvlJc w:val="left"/>
      <w:lvlText w:val="•"/>
      <w:numFmt w:val="bullet"/>
      <w:start w:val="1"/>
    </w:lvl>
  </w:abstractNum>
  <w:abstractNum w:abstractNumId="70">
    <w:nsid w:val="77485850"/>
    <w:multiLevelType w:val="hybridMultilevel"/>
    <w:lvl w:ilvl="0">
      <w:lvlJc w:val="left"/>
      <w:lvlText w:val="•"/>
      <w:numFmt w:val="bullet"/>
      <w:start w:val="1"/>
    </w:lvl>
  </w:abstractNum>
  <w:abstractNum w:abstractNumId="71">
    <w:nsid w:val="744939A3"/>
    <w:multiLevelType w:val="hybridMultilevel"/>
    <w:lvl w:ilvl="0">
      <w:lvlJc w:val="left"/>
      <w:lvlText w:val="•"/>
      <w:numFmt w:val="bullet"/>
      <w:start w:val="1"/>
    </w:lvl>
  </w:abstractNum>
  <w:abstractNum w:abstractNumId="72">
    <w:nsid w:val="4FA0D2E3"/>
    <w:multiLevelType w:val="hybridMultilevel"/>
    <w:lvl w:ilvl="0">
      <w:lvlJc w:val="left"/>
      <w:lvlText w:val="(%1)"/>
      <w:numFmt w:val="lowerRoman"/>
      <w:start w:val="3"/>
    </w:lvl>
  </w:abstractNum>
  <w:abstractNum w:abstractNumId="73">
    <w:nsid w:val="6B1D2C14"/>
    <w:multiLevelType w:val="hybridMultilevel"/>
    <w:lvl w:ilvl="0">
      <w:lvlJc w:val="left"/>
      <w:lvlText w:val="•"/>
      <w:numFmt w:val="bullet"/>
      <w:start w:val="1"/>
    </w:lvl>
  </w:abstractNum>
  <w:abstractNum w:abstractNumId="74">
    <w:nsid w:val="68B867D3"/>
    <w:multiLevelType w:val="hybridMultilevel"/>
    <w:lvl w:ilvl="0">
      <w:lvlJc w:val="left"/>
      <w:lvlText w:val="•"/>
      <w:numFmt w:val="bullet"/>
      <w:start w:val="1"/>
    </w:lvl>
  </w:abstractNum>
  <w:abstractNum w:abstractNumId="75">
    <w:nsid w:val="3F7F5DD9"/>
    <w:multiLevelType w:val="hybridMultilevel"/>
    <w:lvl w:ilvl="0">
      <w:lvlJc w:val="left"/>
      <w:lvlText w:val="(%1)"/>
      <w:numFmt w:val="lowerRoman"/>
      <w:start w:val="1"/>
    </w:lvl>
  </w:abstractNum>
  <w:abstractNum w:abstractNumId="76">
    <w:nsid w:val="2AE05A34"/>
    <w:multiLevelType w:val="hybridMultilevel"/>
    <w:lvl w:ilvl="0">
      <w:lvlJc w:val="left"/>
      <w:lvlText w:val="•"/>
      <w:numFmt w:val="bullet"/>
      <w:start w:val="1"/>
    </w:lvl>
  </w:abstractNum>
  <w:abstractNum w:abstractNumId="77">
    <w:nsid w:val="32794FF7"/>
    <w:multiLevelType w:val="hybridMultilevel"/>
    <w:lvl w:ilvl="0">
      <w:lvlJc w:val="left"/>
      <w:lvlText w:val="•"/>
      <w:numFmt w:val="bullet"/>
      <w:start w:val="1"/>
    </w:lvl>
  </w:abstractNum>
  <w:abstractNum w:abstractNumId="78">
    <w:nsid w:val="5454945E"/>
    <w:multiLevelType w:val="hybridMultilevel"/>
    <w:lvl w:ilvl="0">
      <w:lvlJc w:val="left"/>
      <w:lvlText w:val="•"/>
      <w:numFmt w:val="bullet"/>
      <w:start w:val="1"/>
    </w:lvl>
  </w:abstractNum>
  <w:abstractNum w:abstractNumId="79">
    <w:nsid w:val="4DEFDFA0"/>
    <w:multiLevelType w:val="hybridMultilevel"/>
    <w:lvl w:ilvl="0">
      <w:lvlJc w:val="left"/>
      <w:lvlText w:val="•"/>
      <w:numFmt w:val="bullet"/>
      <w:start w:val="1"/>
    </w:lvl>
  </w:abstractNum>
  <w:abstractNum w:abstractNumId="80">
    <w:nsid w:val="2123D5F2"/>
    <w:multiLevelType w:val="hybridMultilevel"/>
    <w:lvl w:ilvl="0">
      <w:lvlJc w:val="left"/>
      <w:lvlText w:val="†"/>
      <w:numFmt w:val="bullet"/>
      <w:start w:val="1"/>
    </w:lvl>
  </w:abstractNum>
  <w:abstractNum w:abstractNumId="81">
    <w:nsid w:val="135B8110"/>
    <w:multiLevelType w:val="hybridMultilevel"/>
    <w:lvl w:ilvl="0">
      <w:lvlJc w:val="left"/>
      <w:lvlText w:val="#"/>
      <w:numFmt w:val="bullet"/>
      <w:start w:val="1"/>
    </w:lvl>
  </w:abstractNum>
  <w:abstractNum w:abstractNumId="82">
    <w:nsid w:val="94927A8"/>
    <w:multiLevelType w:val="hybridMultilevel"/>
    <w:lvl w:ilvl="0">
      <w:lvlJc w:val="left"/>
      <w:lvlText w:val="*"/>
      <w:numFmt w:val="bullet"/>
      <w:start w:val="1"/>
    </w:lvl>
  </w:abstractNum>
  <w:abstractNum w:abstractNumId="83">
    <w:nsid w:val="DCDF8F6"/>
    <w:multiLevelType w:val="hybridMultilevel"/>
    <w:lvl w:ilvl="0">
      <w:lvlJc w:val="left"/>
      <w:lvlText w:val="(%1)"/>
      <w:numFmt w:val="decimal"/>
      <w:start w:val="1"/>
    </w:lvl>
  </w:abstractNum>
  <w:abstractNum w:abstractNumId="84">
    <w:nsid w:val="52D7B105"/>
    <w:multiLevelType w:val="hybridMultilevel"/>
    <w:lvl w:ilvl="0">
      <w:lvlJc w:val="left"/>
      <w:lvlText w:val="(%1)"/>
      <w:numFmt w:val="decimal"/>
      <w:start w:val="12"/>
    </w:lvl>
  </w:abstractNum>
  <w:abstractNum w:abstractNumId="85">
    <w:nsid w:val="2E8A6394"/>
    <w:multiLevelType w:val="hybridMultilevel"/>
    <w:lvl w:ilvl="0">
      <w:lvlJc w:val="left"/>
      <w:lvlText w:val="•"/>
      <w:numFmt w:val="bullet"/>
      <w:start w:val="1"/>
    </w:lvl>
  </w:abstractNum>
  <w:abstractNum w:abstractNumId="86">
    <w:nsid w:val="24E60401"/>
    <w:multiLevelType w:val="hybridMultilevel"/>
    <w:lvl w:ilvl="0">
      <w:lvlJc w:val="left"/>
      <w:lvlText w:val="•"/>
      <w:numFmt w:val="bullet"/>
      <w:start w:val="1"/>
    </w:lvl>
  </w:abstractNum>
  <w:abstractNum w:abstractNumId="87">
    <w:nsid w:val="2A6AD9BE"/>
    <w:multiLevelType w:val="hybridMultilevel"/>
    <w:lvl w:ilvl="0">
      <w:lvlJc w:val="left"/>
      <w:lvlText w:val="•"/>
      <w:numFmt w:val="bullet"/>
      <w:start w:val="1"/>
    </w:lvl>
  </w:abstractNum>
  <w:abstractNum w:abstractNumId="88">
    <w:nsid w:val="BAAC1B4"/>
    <w:multiLevelType w:val="hybridMultilevel"/>
    <w:lvl w:ilvl="0">
      <w:lvlJc w:val="left"/>
      <w:lvlText w:val="(%1)"/>
      <w:numFmt w:val="lowerLetter"/>
      <w:start w:val="1"/>
    </w:lvl>
  </w:abstractNum>
  <w:abstractNum w:abstractNumId="89">
    <w:nsid w:val="36B2ACBC"/>
    <w:multiLevelType w:val="hybridMultilevel"/>
    <w:lvl w:ilvl="0">
      <w:lvlJc w:val="left"/>
      <w:lvlText w:val="•"/>
      <w:numFmt w:val="bullet"/>
      <w:start w:val="1"/>
    </w:lvl>
  </w:abstractNum>
  <w:abstractNum w:abstractNumId="90">
    <w:nsid w:val="779D8544"/>
    <w:multiLevelType w:val="hybridMultilevel"/>
    <w:lvl w:ilvl="0">
      <w:lvlJc w:val="left"/>
      <w:lvlText w:val="•"/>
      <w:numFmt w:val="bullet"/>
      <w:start w:val="1"/>
    </w:lvl>
  </w:abstractNum>
  <w:abstractNum w:abstractNumId="91">
    <w:nsid w:val="4AB26E78"/>
    <w:multiLevelType w:val="hybridMultilevel"/>
    <w:lvl w:ilvl="0">
      <w:lvlJc w:val="left"/>
      <w:lvlText w:val="&amp;"/>
      <w:numFmt w:val="bullet"/>
      <w:start w:val="1"/>
    </w:lvl>
  </w:abstractNum>
  <w:abstractNum w:abstractNumId="92">
    <w:nsid w:val="21FAA2FA"/>
    <w:multiLevelType w:val="hybridMultilevel"/>
    <w:lvl w:ilvl="0">
      <w:lvlJc w:val="left"/>
      <w:lvlText w:val="•"/>
      <w:numFmt w:val="bullet"/>
      <w:start w:val="1"/>
    </w:lvl>
  </w:abstractNum>
  <w:abstractNum w:abstractNumId="93">
    <w:nsid w:val="5451CF49"/>
    <w:multiLevelType w:val="hybridMultilevel"/>
    <w:lvl w:ilvl="0">
      <w:lvlJc w:val="left"/>
      <w:lvlText w:val="•"/>
      <w:numFmt w:val="bullet"/>
      <w:start w:val="1"/>
    </w:lvl>
  </w:abstractNum>
  <w:abstractNum w:abstractNumId="94">
    <w:nsid w:val="6181EF69"/>
    <w:multiLevelType w:val="hybridMultilevel"/>
    <w:lvl w:ilvl="0">
      <w:lvlJc w:val="left"/>
      <w:lvlText w:val="•"/>
      <w:numFmt w:val="bullet"/>
      <w:start w:val="1"/>
    </w:lvl>
  </w:abstractNum>
  <w:abstractNum w:abstractNumId="95">
    <w:nsid w:val="3E6400E6"/>
    <w:multiLevelType w:val="hybridMultilevel"/>
    <w:lvl w:ilvl="0">
      <w:lvlJc w:val="left"/>
      <w:lvlText w:val="•"/>
      <w:numFmt w:val="bullet"/>
      <w:start w:val="1"/>
    </w:lvl>
  </w:abstractNum>
  <w:abstractNum w:abstractNumId="96">
    <w:nsid w:val="14217E23"/>
    <w:multiLevelType w:val="hybridMultilevel"/>
    <w:lvl w:ilvl="0">
      <w:lvlJc w:val="left"/>
      <w:lvlText w:val="(%1)"/>
      <w:numFmt w:val="lowerLetter"/>
      <w:start w:val="1"/>
    </w:lvl>
  </w:abstractNum>
  <w:abstractNum w:abstractNumId="97">
    <w:nsid w:val="710757D0"/>
    <w:multiLevelType w:val="hybridMultilevel"/>
    <w:lvl w:ilvl="0">
      <w:lvlJc w:val="left"/>
      <w:lvlText w:val="(%1)"/>
      <w:numFmt w:val="lowerLetter"/>
      <w:start w:val="4"/>
    </w:lvl>
  </w:abstractNum>
  <w:abstractNum w:abstractNumId="98">
    <w:nsid w:val="5015CD1A"/>
    <w:multiLevelType w:val="hybridMultilevel"/>
    <w:lvl w:ilvl="0">
      <w:lvlJc w:val="left"/>
      <w:lvlText w:val="(%1)"/>
      <w:numFmt w:val="lowerRoman"/>
      <w:start w:val="3"/>
    </w:lvl>
  </w:abstractNum>
  <w:abstractNum w:abstractNumId="99">
    <w:nsid w:val="424479DA"/>
    <w:multiLevelType w:val="hybridMultilevel"/>
    <w:lvl w:ilvl="0">
      <w:lvlJc w:val="left"/>
      <w:lvlText w:val="•"/>
      <w:numFmt w:val="bullet"/>
      <w:start w:val="1"/>
    </w:lvl>
  </w:abstractNum>
  <w:abstractNum w:abstractNumId="100">
    <w:nsid w:val="1A9A9E69"/>
    <w:multiLevelType w:val="hybridMultilevel"/>
    <w:lvl w:ilvl="0">
      <w:lvlJc w:val="left"/>
      <w:lvlText w:val="(%1)"/>
      <w:numFmt w:val="lowerRoman"/>
      <w:start w:val="8"/>
    </w:lvl>
  </w:abstractNum>
  <w:abstractNum w:abstractNumId="101">
    <w:nsid w:val="475E256A"/>
    <w:multiLevelType w:val="hybridMultilevel"/>
    <w:lvl w:ilvl="0">
      <w:lvlJc w:val="left"/>
      <w:lvlText w:val="(%1)"/>
      <w:numFmt w:val="lowerLetter"/>
      <w:start w:val="9"/>
    </w:lvl>
    <w:lvl w:ilvl="1">
      <w:lvlJc w:val="left"/>
      <w:lvlText w:val="(%2)"/>
      <w:numFmt w:val="lowerLetter"/>
      <w:start w:val="1"/>
    </w:lvl>
  </w:abstractNum>
  <w:abstractNum w:abstractNumId="102">
    <w:nsid w:val="368DB37E"/>
    <w:multiLevelType w:val="hybridMultilevel"/>
    <w:lvl w:ilvl="0">
      <w:lvlJc w:val="left"/>
      <w:lvlText w:val="(%1)"/>
      <w:numFmt w:val="lowerRoman"/>
      <w:start w:val="2"/>
    </w:lvl>
  </w:abstractNum>
  <w:abstractNum w:abstractNumId="103">
    <w:nsid w:val="6A3B714C"/>
    <w:multiLevelType w:val="hybridMultilevel"/>
    <w:lvl w:ilvl="0">
      <w:lvlJc w:val="left"/>
      <w:lvlText w:val="(%1)"/>
      <w:numFmt w:val="decimal"/>
      <w:start w:val="1"/>
    </w:lvl>
  </w:abstractNum>
  <w:abstractNum w:abstractNumId="104">
    <w:nsid w:val="327B517E"/>
    <w:multiLevelType w:val="hybridMultilevel"/>
    <w:lvl w:ilvl="0">
      <w:lvlJc w:val="left"/>
      <w:lvlText w:val="(%1)"/>
      <w:numFmt w:val="decimal"/>
      <w:start w:val="1"/>
    </w:lvl>
  </w:abstractNum>
  <w:abstractNum w:abstractNumId="105">
    <w:nsid w:val="1F461B51"/>
    <w:multiLevelType w:val="hybridMultilevel"/>
    <w:lvl w:ilvl="0">
      <w:lvlJc w:val="left"/>
      <w:lvlText w:val="(%1)"/>
      <w:numFmt w:val="decimal"/>
      <w:start w:val="2"/>
    </w:lvl>
  </w:abstractNum>
  <w:abstractNum w:abstractNumId="106">
    <w:nsid w:val="29BACF25"/>
    <w:multiLevelType w:val="hybridMultilevel"/>
    <w:lvl w:ilvl="0">
      <w:lvlJc w:val="left"/>
      <w:lvlText w:val="(%1)"/>
      <w:numFmt w:val="decimal"/>
      <w:start w:val="1"/>
    </w:lvl>
  </w:abstractNum>
  <w:abstractNum w:abstractNumId="107">
    <w:nsid w:val="5D5BABB3"/>
    <w:multiLevelType w:val="hybridMultilevel"/>
    <w:lvl w:ilvl="0">
      <w:lvlJc w:val="left"/>
      <w:lvlText w:val="•"/>
      <w:numFmt w:val="bullet"/>
      <w:start w:val="1"/>
    </w:lvl>
  </w:abstractNum>
  <w:abstractNum w:abstractNumId="108">
    <w:nsid w:val="51BF6B48"/>
    <w:multiLevelType w:val="hybridMultilevel"/>
    <w:lvl w:ilvl="0">
      <w:lvlJc w:val="left"/>
      <w:lvlText w:val="•"/>
      <w:numFmt w:val="bullet"/>
      <w:start w:val="1"/>
    </w:lvl>
  </w:abstractNum>
  <w:abstractNum w:abstractNumId="109">
    <w:nsid w:val="7E0F6384"/>
    <w:multiLevelType w:val="hybridMultilevel"/>
    <w:lvl w:ilvl="0">
      <w:lvlJc w:val="left"/>
      <w:lvlText w:val="•"/>
      <w:numFmt w:val="bullet"/>
      <w:start w:val="1"/>
    </w:lvl>
  </w:abstractNum>
  <w:abstractNum w:abstractNumId="110">
    <w:nsid w:val="2B4B8B53"/>
    <w:multiLevelType w:val="hybridMultilevel"/>
    <w:lvl w:ilvl="0">
      <w:lvlJc w:val="left"/>
      <w:lvlText w:val="•"/>
      <w:numFmt w:val="bullet"/>
      <w:start w:val="1"/>
    </w:lvl>
  </w:abstractNum>
  <w:abstractNum w:abstractNumId="111">
    <w:nsid w:val="72E3413A"/>
    <w:multiLevelType w:val="hybridMultilevel"/>
    <w:lvl w:ilvl="0">
      <w:lvlJc w:val="left"/>
      <w:lvlText w:val="•"/>
      <w:numFmt w:val="bullet"/>
      <w:start w:val="1"/>
    </w:lvl>
    <w:lvl w:ilvl="1">
      <w:lvlJc w:val="left"/>
      <w:lvlText w:val="•"/>
      <w:numFmt w:val="bullet"/>
      <w:start w:val="1"/>
    </w:lvl>
  </w:abstractNum>
  <w:abstractNum w:abstractNumId="112">
    <w:nsid w:val="116AE494"/>
    <w:multiLevelType w:val="hybridMultilevel"/>
    <w:lvl w:ilvl="0">
      <w:lvlJc w:val="left"/>
      <w:lvlText w:val="(%1)"/>
      <w:numFmt w:val="decimal"/>
      <w:start w:val="1"/>
    </w:lvl>
  </w:abstractNum>
  <w:abstractNum w:abstractNumId="113">
    <w:nsid w:val="3494B2FB"/>
    <w:multiLevelType w:val="hybridMultilevel"/>
    <w:lvl w:ilvl="0">
      <w:lvlJc w:val="left"/>
      <w:lvlText w:val="(%1)"/>
      <w:numFmt w:val="decimal"/>
      <w:start w:val="1"/>
    </w:lvl>
  </w:abstractNum>
  <w:abstractNum w:abstractNumId="114">
    <w:nsid w:val="B13A31"/>
    <w:multiLevelType w:val="hybridMultilevel"/>
    <w:lvl w:ilvl="0">
      <w:lvlJc w:val="left"/>
      <w:lvlText w:val="(%1)"/>
      <w:numFmt w:val="decimal"/>
      <w:start w:val="1"/>
    </w:lvl>
  </w:abstractNum>
  <w:abstractNum w:abstractNumId="115">
    <w:nsid w:val="64429599"/>
    <w:multiLevelType w:val="hybridMultilevel"/>
    <w:lvl w:ilvl="0">
      <w:lvlJc w:val="left"/>
      <w:lvlText w:val="(%1)"/>
      <w:numFmt w:val="decimal"/>
      <w:start w:val="1"/>
    </w:lvl>
  </w:abstractNum>
  <w:abstractNum w:abstractNumId="116">
    <w:nsid w:val="631F1690"/>
    <w:multiLevelType w:val="hybridMultilevel"/>
    <w:lvl w:ilvl="0">
      <w:lvlJc w:val="left"/>
      <w:lvlText w:val="(%1)"/>
      <w:numFmt w:val="decimal"/>
      <w:start w:val="1"/>
    </w:lvl>
  </w:abstractNum>
  <w:abstractNum w:abstractNumId="117">
    <w:nsid w:val="25973E32"/>
    <w:multiLevelType w:val="hybridMultilevel"/>
    <w:lvl w:ilvl="0">
      <w:lvlJc w:val="left"/>
      <w:lvlText w:val="•"/>
      <w:numFmt w:val="bullet"/>
      <w:start w:val="1"/>
    </w:lvl>
  </w:abstractNum>
  <w:abstractNum w:abstractNumId="118">
    <w:nsid w:val="EAD6F57"/>
    <w:multiLevelType w:val="hybridMultilevel"/>
    <w:lvl w:ilvl="0">
      <w:lvlJc w:val="left"/>
      <w:lvlText w:val="(%1)"/>
      <w:numFmt w:val="lowerLetter"/>
      <w:start w:val="1"/>
    </w:lvl>
  </w:abstractNum>
  <w:abstractNum w:abstractNumId="119">
    <w:nsid w:val="6EC9D844"/>
    <w:multiLevelType w:val="hybridMultilevel"/>
    <w:lvl w:ilvl="0">
      <w:lvlJc w:val="left"/>
      <w:lvlText w:val="(%1)"/>
      <w:numFmt w:val="lowerLetter"/>
      <w:start w:val="2"/>
    </w:lvl>
  </w:abstractNum>
  <w:abstractNum w:abstractNumId="120">
    <w:nsid w:val="5C49EAEE"/>
    <w:multiLevelType w:val="hybridMultilevel"/>
    <w:lvl w:ilvl="0">
      <w:lvlJc w:val="left"/>
      <w:lvlText w:val="(%1)"/>
      <w:numFmt w:val="decimal"/>
      <w:start w:val="1"/>
    </w:lvl>
  </w:abstractNum>
  <w:abstractNum w:abstractNumId="121">
    <w:nsid w:val="64AF49B"/>
    <w:multiLevelType w:val="hybridMultilevel"/>
    <w:lvl w:ilvl="0">
      <w:lvlJc w:val="left"/>
      <w:lvlText w:val="%1."/>
      <w:numFmt w:val="decimal"/>
      <w:start w:val="1"/>
    </w:lvl>
    <w:lvl w:ilvl="1">
      <w:lvlJc w:val="left"/>
      <w:lvlText w:val="(%2)"/>
      <w:numFmt w:val="lowerRoman"/>
      <w:start w:val="1"/>
    </w:lvl>
  </w:abstractNum>
  <w:abstractNum w:abstractNumId="122">
    <w:nsid w:val="397C46BC"/>
    <w:multiLevelType w:val="hybridMultilevel"/>
    <w:lvl w:ilvl="0">
      <w:lvlJc w:val="left"/>
      <w:lvlText w:val="(%1)"/>
      <w:numFmt w:val="lowerRoman"/>
      <w:start w:val="2"/>
    </w:lvl>
  </w:abstractNum>
  <w:abstractNum w:abstractNumId="123">
    <w:nsid w:val="7E448DE9"/>
    <w:multiLevelType w:val="hybridMultilevel"/>
    <w:lvl w:ilvl="0">
      <w:lvlJc w:val="left"/>
      <w:lvlText w:val="%1"/>
      <w:numFmt w:val="lowerRoman"/>
      <w:start w:val="1"/>
    </w:lvl>
    <w:lvl w:ilvl="1">
      <w:lvlJc w:val="left"/>
      <w:lvlText w:val="(%2)"/>
      <w:numFmt w:val="lowerRoman"/>
      <w:start w:val="4"/>
    </w:lvl>
  </w:abstractNum>
  <w:abstractNum w:abstractNumId="124">
    <w:nsid w:val="5A9CC3E5"/>
    <w:multiLevelType w:val="hybridMultilevel"/>
    <w:lvl w:ilvl="0">
      <w:lvlJc w:val="left"/>
      <w:lvlText w:val="(%1)"/>
      <w:numFmt w:val="lowerRoman"/>
      <w:start w:val="10"/>
    </w:lvl>
    <w:lvl w:ilvl="1">
      <w:lvlJc w:val="left"/>
      <w:lvlText w:val="(%2)"/>
      <w:numFmt w:val="lowerRoman"/>
      <w:start w:val="6"/>
    </w:lvl>
  </w:abstractNum>
  <w:abstractNum w:abstractNumId="125">
    <w:nsid w:val="1AFE3625"/>
    <w:multiLevelType w:val="hybridMultilevel"/>
    <w:lvl w:ilvl="0">
      <w:lvlJc w:val="left"/>
      <w:lvlText w:val="(%1)"/>
      <w:numFmt w:val="lowerRoman"/>
      <w:start w:val="1"/>
    </w:lvl>
    <w:lvl w:ilvl="1">
      <w:lvlJc w:val="left"/>
      <w:lvlText w:val="(%2)"/>
      <w:numFmt w:val="lowerRoman"/>
      <w:start w:val="7"/>
    </w:lvl>
  </w:abstractNum>
  <w:abstractNum w:abstractNumId="126">
    <w:nsid w:val="3CA88ECF"/>
    <w:multiLevelType w:val="hybridMultilevel"/>
    <w:lvl w:ilvl="0">
      <w:lvlJc w:val="left"/>
      <w:lvlText w:val="%1"/>
      <w:numFmt w:val="lowerRoman"/>
      <w:start w:val="1"/>
    </w:lvl>
    <w:lvl w:ilvl="1">
      <w:lvlJc w:val="left"/>
      <w:lvlText w:val="(%2)"/>
      <w:numFmt w:val="lowerRoman"/>
      <w:start w:val="11"/>
    </w:lvl>
  </w:abstractNum>
  <w:abstractNum w:abstractNumId="127">
    <w:nsid w:val="6EBE4208"/>
    <w:multiLevelType w:val="hybridMultilevel"/>
    <w:lvl w:ilvl="0">
      <w:lvlJc w:val="left"/>
      <w:lvlText w:val="(%1)"/>
      <w:numFmt w:val="lowerRoman"/>
      <w:start w:val="2"/>
    </w:lvl>
    <w:lvl w:ilvl="1">
      <w:lvlJc w:val="left"/>
      <w:lvlText w:val="(%2)"/>
      <w:numFmt w:val="lowerRoman"/>
      <w:start w:val="12"/>
    </w:lvl>
  </w:abstractNum>
  <w:abstractNum w:abstractNumId="128">
    <w:nsid w:val="C058DF5"/>
    <w:multiLevelType w:val="hybridMultilevel"/>
    <w:lvl w:ilvl="0">
      <w:lvlJc w:val="left"/>
      <w:lvlText w:val="(%1)"/>
      <w:numFmt w:val="lowerRoman"/>
      <w:start w:val="16"/>
    </w:lvl>
  </w:abstractNum>
  <w:abstractNum w:abstractNumId="129">
    <w:nsid w:val="CBE5BE9"/>
    <w:multiLevelType w:val="hybridMultilevel"/>
    <w:lvl w:ilvl="0">
      <w:lvlJc w:val="left"/>
      <w:lvlText w:val="(%1)"/>
      <w:numFmt w:val="lowerRoman"/>
      <w:start w:val="22"/>
    </w:lvl>
  </w:abstractNum>
  <w:abstractNum w:abstractNumId="130">
    <w:nsid w:val="3102BBE2"/>
    <w:multiLevelType w:val="hybridMultilevel"/>
    <w:lvl w:ilvl="0">
      <w:lvlJc w:val="left"/>
      <w:lvlText w:val="(%1)"/>
      <w:numFmt w:val="lowerRoman"/>
      <w:start w:val="25"/>
    </w:lvl>
  </w:abstractNum>
  <w:abstractNum w:abstractNumId="131">
    <w:nsid w:val="26A02C5E"/>
    <w:multiLevelType w:val="hybridMultilevel"/>
    <w:lvl w:ilvl="0">
      <w:lvlJc w:val="left"/>
      <w:lvlText w:val="(%1)"/>
      <w:numFmt w:val="lowerRoman"/>
      <w:start w:val="30"/>
    </w:lvl>
  </w:abstractNum>
  <w:abstractNum w:abstractNumId="132">
    <w:nsid w:val="541C8153"/>
    <w:multiLevelType w:val="hybridMultilevel"/>
    <w:lvl w:ilvl="0">
      <w:lvlJc w:val="left"/>
      <w:lvlText w:val="%1"/>
      <w:numFmt w:val="upperLetter"/>
      <w:start w:val="1"/>
    </w:lvl>
    <w:lvl w:ilvl="1">
      <w:lvlJc w:val="left"/>
      <w:lvlText w:val="(%2)"/>
      <w:numFmt w:val="lowerRoman"/>
      <w:start w:val="36"/>
    </w:lvl>
  </w:abstractNum>
  <w:abstractNum w:abstractNumId="133">
    <w:nsid w:val="67906F60"/>
    <w:multiLevelType w:val="hybridMultilevel"/>
    <w:lvl w:ilvl="0">
      <w:lvlJc w:val="left"/>
      <w:lvlText w:val="(%1)"/>
      <w:numFmt w:val="upperLetter"/>
      <w:start w:val="1"/>
    </w:lvl>
    <w:lvl w:ilvl="1">
      <w:lvlJc w:val="left"/>
      <w:lvlText w:val="(%2)"/>
      <w:numFmt w:val="lowerRoman"/>
      <w:start w:val="39"/>
    </w:lvl>
  </w:abstractNum>
  <w:abstractNum w:abstractNumId="134">
    <w:nsid w:val="10DB9DAA"/>
    <w:multiLevelType w:val="hybridMultilevel"/>
    <w:lvl w:ilvl="0">
      <w:lvlJc w:val="left"/>
      <w:lvlText w:val="(%1)"/>
      <w:numFmt w:val="lowerLetter"/>
      <w:start w:val="2"/>
    </w:lvl>
    <w:lvl w:ilvl="1">
      <w:lvlJc w:val="left"/>
      <w:lvlText w:val="(%2)"/>
      <w:numFmt w:val="lowerRoman"/>
      <w:start w:val="1"/>
    </w:lvl>
  </w:abstractNum>
  <w:abstractNum w:abstractNumId="135">
    <w:nsid w:val="697D2D2"/>
    <w:multiLevelType w:val="hybridMultilevel"/>
    <w:lvl w:ilvl="0">
      <w:lvlJc w:val="left"/>
      <w:lvlText w:val="(%1)"/>
      <w:numFmt w:val="lowerRoman"/>
      <w:start w:val="3"/>
    </w:lvl>
  </w:abstractNum>
  <w:abstractNum w:abstractNumId="136">
    <w:nsid w:val="6D68AB2"/>
    <w:multiLevelType w:val="hybridMultilevel"/>
    <w:lvl w:ilvl="0">
      <w:lvlJc w:val="left"/>
      <w:lvlText w:val="(%1)"/>
      <w:numFmt w:val="lowerRoman"/>
      <w:start w:val="8"/>
    </w:lvl>
  </w:abstractNum>
  <w:abstractNum w:abstractNumId="137">
    <w:nsid w:val="3A966CD0"/>
    <w:multiLevelType w:val="hybridMultilevel"/>
    <w:lvl w:ilvl="0">
      <w:lvlJc w:val="left"/>
      <w:lvlText w:val="%1."/>
      <w:numFmt w:val="decimal"/>
      <w:start w:val="2"/>
    </w:lvl>
  </w:abstractNum>
  <w:abstractNum w:abstractNumId="138">
    <w:nsid w:val="63F37E85"/>
    <w:multiLevelType w:val="hybridMultilevel"/>
    <w:lvl w:ilvl="0">
      <w:lvlJc w:val="left"/>
      <w:lvlText w:val="%1."/>
      <w:numFmt w:val="decimal"/>
      <w:start w:val="3"/>
    </w:lvl>
  </w:abstractNum>
  <w:abstractNum w:abstractNumId="139">
    <w:nsid w:val="5895F5FA"/>
    <w:multiLevelType w:val="hybridMultilevel"/>
    <w:lvl w:ilvl="0">
      <w:lvlJc w:val="left"/>
      <w:lvlText w:val="(%1)"/>
      <w:numFmt w:val="lowerLetter"/>
      <w:start w:val="2"/>
    </w:lvl>
  </w:abstractNum>
  <w:abstractNum w:abstractNumId="140">
    <w:nsid w:val="38A5D054"/>
    <w:multiLevelType w:val="hybridMultilevel"/>
    <w:lvl w:ilvl="0">
      <w:lvlJc w:val="left"/>
      <w:lvlText w:val="(%1)"/>
      <w:numFmt w:val="lowerLetter"/>
      <w:start w:val="1"/>
    </w:lvl>
  </w:abstractNum>
  <w:abstractNum w:abstractNumId="141">
    <w:nsid w:val="F3F09D8"/>
    <w:multiLevelType w:val="hybridMultilevel"/>
    <w:lvl w:ilvl="0">
      <w:lvlJc w:val="left"/>
      <w:lvlText w:val="%1"/>
      <w:numFmt w:val="lowerLetter"/>
      <w:start w:val="1"/>
    </w:lvl>
    <w:lvl w:ilvl="1">
      <w:lvlJc w:val="left"/>
      <w:lvlText w:val="(%2)"/>
      <w:numFmt w:val="lowerLetter"/>
      <w:start w:val="3"/>
    </w:lvl>
  </w:abstractNum>
  <w:abstractNum w:abstractNumId="142">
    <w:nsid w:val="4B793735"/>
    <w:multiLevelType w:val="hybridMultilevel"/>
    <w:lvl w:ilvl="0">
      <w:lvlJc w:val="left"/>
      <w:lvlText w:val="(%1)"/>
      <w:numFmt w:val="lowerLetter"/>
      <w:start w:val="9"/>
    </w:lvl>
    <w:lvl w:ilvl="1">
      <w:lvlJc w:val="left"/>
      <w:lvlText w:val="%2"/>
      <w:numFmt w:val="lowerLetter"/>
      <w:start w:val="1"/>
    </w:lvl>
  </w:abstractNum>
  <w:abstractNum w:abstractNumId="143">
    <w:nsid w:val="4A10B4E8"/>
    <w:multiLevelType w:val="hybridMultilevel"/>
    <w:lvl w:ilvl="0">
      <w:lvlJc w:val="left"/>
      <w:lvlText w:val="(%1)"/>
      <w:numFmt w:val="lowerRoman"/>
      <w:start w:val="4"/>
    </w:lvl>
    <w:lvl w:ilvl="1">
      <w:lvlJc w:val="left"/>
      <w:lvlText w:val="(%2)"/>
      <w:numFmt w:val="decimal"/>
      <w:start w:val="2"/>
    </w:lvl>
  </w:abstractNum>
  <w:abstractNum w:abstractNumId="144">
    <w:nsid w:val="43D3BCD4"/>
    <w:multiLevelType w:val="hybridMultilevel"/>
    <w:lvl w:ilvl="0">
      <w:lvlJc w:val="left"/>
      <w:lvlText w:val="(%1)"/>
      <w:numFmt w:val="lowerLetter"/>
      <w:start w:val="6"/>
    </w:lvl>
  </w:abstractNum>
  <w:abstractNum w:abstractNumId="145">
    <w:nsid w:val="4C2A7166"/>
    <w:multiLevelType w:val="hybridMultilevel"/>
    <w:lvl w:ilvl="0">
      <w:lvlJc w:val="left"/>
      <w:lvlText w:val="%1."/>
      <w:numFmt w:val="decimal"/>
      <w:start w:val="6"/>
    </w:lvl>
  </w:abstractNum>
  <w:abstractNum w:abstractNumId="146">
    <w:nsid w:val="2E534A82"/>
    <w:multiLevelType w:val="hybridMultilevel"/>
    <w:lvl w:ilvl="0">
      <w:lvlJc w:val="left"/>
      <w:lvlText w:val="(%1)"/>
      <w:numFmt w:val="lowerLetter"/>
      <w:start w:val="2"/>
    </w:lvl>
  </w:abstractNum>
  <w:abstractNum w:abstractNumId="147">
    <w:nsid w:val="26F2D364"/>
    <w:multiLevelType w:val="hybridMultilevel"/>
    <w:lvl w:ilvl="0">
      <w:lvlJc w:val="left"/>
      <w:lvlText w:val="%1."/>
      <w:numFmt w:val="decimal"/>
      <w:start w:val="7"/>
    </w:lvl>
  </w:abstractNum>
  <w:abstractNum w:abstractNumId="148">
    <w:nsid w:val="71C1AF98"/>
    <w:multiLevelType w:val="hybridMultilevel"/>
    <w:lvl w:ilvl="0">
      <w:lvlJc w:val="left"/>
      <w:lvlText w:val="%1."/>
      <w:numFmt w:val="decimal"/>
      <w:start w:val="8"/>
    </w:lvl>
  </w:abstractNum>
  <w:abstractNum w:abstractNumId="149">
    <w:nsid w:val="3D00B9D9"/>
    <w:multiLevelType w:val="hybridMultilevel"/>
    <w:lvl w:ilvl="0">
      <w:lvlJc w:val="left"/>
      <w:lvlText w:val="(%1)"/>
      <w:numFmt w:val="lowerLetter"/>
      <w:start w:val="1"/>
    </w:lvl>
  </w:abstractNum>
  <w:abstractNum w:abstractNumId="150">
    <w:nsid w:val="15BCABA8"/>
    <w:multiLevelType w:val="hybridMultilevel"/>
    <w:lvl w:ilvl="0">
      <w:lvlJc w:val="left"/>
      <w:lvlText w:val="%1"/>
      <w:numFmt w:val="lowerLetter"/>
      <w:start w:val="1"/>
    </w:lvl>
    <w:lvl w:ilvl="1">
      <w:lvlJc w:val="left"/>
      <w:lvlText w:val="(%2)"/>
      <w:numFmt w:val="lowerLetter"/>
      <w:start w:val="6"/>
    </w:lvl>
  </w:abstractNum>
  <w:abstractNum w:abstractNumId="151">
    <w:nsid w:val="4E0B9A87"/>
    <w:multiLevelType w:val="hybridMultilevel"/>
    <w:lvl w:ilvl="0">
      <w:lvlJc w:val="left"/>
      <w:lvlText w:val="(%1)"/>
      <w:numFmt w:val="lowerLetter"/>
      <w:start w:val="5"/>
    </w:lvl>
    <w:lvl w:ilvl="1">
      <w:lvlJc w:val="left"/>
      <w:lvlText w:val="(%2)"/>
      <w:numFmt w:val="lowerLetter"/>
      <w:start w:val="11"/>
    </w:lvl>
  </w:abstractNum>
  <w:abstractNum w:abstractNumId="152">
    <w:nsid w:val="434BAE75"/>
    <w:multiLevelType w:val="hybridMultilevel"/>
    <w:lvl w:ilvl="0">
      <w:lvlJc w:val="left"/>
      <w:lvlText w:val="%1."/>
      <w:numFmt w:val="decimal"/>
      <w:start w:val="9"/>
    </w:lvl>
  </w:abstractNum>
  <w:abstractNum w:abstractNumId="153">
    <w:nsid w:val="4F38F265"/>
    <w:multiLevelType w:val="hybridMultilevel"/>
    <w:lvl w:ilvl="0">
      <w:lvlJc w:val="left"/>
      <w:lvlText w:val="(%1)"/>
      <w:numFmt w:val="lowerLetter"/>
      <w:start w:val="2"/>
    </w:lvl>
  </w:abstractNum>
  <w:abstractNum w:abstractNumId="154">
    <w:nsid w:val="4C502870"/>
    <w:multiLevelType w:val="hybridMultilevel"/>
    <w:lvl w:ilvl="0">
      <w:lvlJc w:val="left"/>
      <w:lvlText w:val="(%1)"/>
      <w:numFmt w:val="lowerLetter"/>
      <w:start w:val="3"/>
    </w:lvl>
  </w:abstractNum>
  <w:abstractNum w:abstractNumId="155">
    <w:nsid w:val="1DE8725A"/>
    <w:multiLevelType w:val="hybridMultilevel"/>
    <w:lvl w:ilvl="0">
      <w:lvlJc w:val="left"/>
      <w:lvlText w:val="(%1)"/>
      <w:numFmt w:val="lowerLetter"/>
      <w:start w:val="5"/>
    </w:lvl>
  </w:abstractNum>
  <w:abstractNum w:abstractNumId="156">
    <w:nsid w:val="6A37288A"/>
    <w:multiLevelType w:val="hybridMultilevel"/>
    <w:lvl w:ilvl="0">
      <w:lvlJc w:val="left"/>
      <w:lvlText w:val="(%1)"/>
      <w:numFmt w:val="lowerLetter"/>
      <w:start w:val="2"/>
    </w:lvl>
  </w:abstractNum>
  <w:abstractNum w:abstractNumId="157">
    <w:nsid w:val="8F8B73F"/>
    <w:multiLevelType w:val="hybridMultilevel"/>
    <w:lvl w:ilvl="0">
      <w:lvlJc w:val="left"/>
      <w:lvlText w:val="(%1)"/>
      <w:numFmt w:val="lowerLetter"/>
      <w:start w:val="6"/>
    </w:lvl>
  </w:abstractNum>
  <w:abstractNum w:abstractNumId="158">
    <w:nsid w:val="CA6B462"/>
    <w:multiLevelType w:val="hybridMultilevel"/>
    <w:lvl w:ilvl="0">
      <w:lvlJc w:val="left"/>
      <w:lvlText w:val="%1."/>
      <w:numFmt w:val="decimal"/>
      <w:start w:val="10"/>
    </w:lvl>
  </w:abstractNum>
  <w:abstractNum w:abstractNumId="159">
    <w:nsid w:val="763CB680"/>
    <w:multiLevelType w:val="hybridMultilevel"/>
    <w:lvl w:ilvl="0">
      <w:lvlJc w:val="left"/>
      <w:lvlText w:val="(%1)"/>
      <w:numFmt w:val="lowerLetter"/>
      <w:start w:val="2"/>
    </w:lvl>
  </w:abstractNum>
  <w:abstractNum w:abstractNumId="160">
    <w:nsid w:val="15B71329"/>
    <w:multiLevelType w:val="hybridMultilevel"/>
    <w:lvl w:ilvl="0">
      <w:lvlJc w:val="left"/>
      <w:lvlText w:val="%1."/>
      <w:numFmt w:val="decimal"/>
      <w:start w:val="11"/>
    </w:lvl>
  </w:abstractNum>
  <w:abstractNum w:abstractNumId="161">
    <w:nsid w:val="3DA97044"/>
    <w:multiLevelType w:val="hybridMultilevel"/>
    <w:lvl w:ilvl="0">
      <w:lvlJc w:val="left"/>
      <w:lvlText w:val="%1."/>
      <w:numFmt w:val="decimal"/>
      <w:start w:val="14"/>
    </w:lvl>
  </w:abstractNum>
  <w:abstractNum w:abstractNumId="162">
    <w:nsid w:val="1CDCE2DE"/>
    <w:multiLevelType w:val="hybridMultilevel"/>
    <w:lvl w:ilvl="0">
      <w:lvlJc w:val="left"/>
      <w:lvlText w:val="%1."/>
      <w:numFmt w:val="decimal"/>
      <w:start w:val="17"/>
    </w:lvl>
  </w:abstractNum>
  <w:abstractNum w:abstractNumId="163">
    <w:nsid w:val="69D3947C"/>
    <w:multiLevelType w:val="hybridMultilevel"/>
    <w:lvl w:ilvl="0">
      <w:lvlJc w:val="left"/>
      <w:lvlText w:val="(%1)"/>
      <w:numFmt w:val="lowerLetter"/>
      <w:start w:val="1"/>
    </w:lvl>
  </w:abstractNum>
  <w:abstractNum w:abstractNumId="164">
    <w:nsid w:val="2539DFA5"/>
    <w:multiLevelType w:val="hybridMultilevel"/>
    <w:lvl w:ilvl="0">
      <w:lvlJc w:val="left"/>
      <w:lvlText w:val="(%1)"/>
      <w:numFmt w:val="lowerLetter"/>
      <w:start w:val="1"/>
    </w:lvl>
  </w:abstractNum>
  <w:abstractNum w:abstractNumId="165">
    <w:nsid w:val="2DB88089"/>
    <w:multiLevelType w:val="hybridMultilevel"/>
    <w:lvl w:ilvl="0">
      <w:lvlJc w:val="left"/>
      <w:lvlText w:val="(%1)"/>
      <w:numFmt w:val="lowerLetter"/>
      <w:start w:val="1"/>
    </w:lvl>
    <w:lvl w:ilvl="1">
      <w:lvlJc w:val="left"/>
      <w:lvlText w:val="["/>
      <w:numFmt w:val="bullet"/>
      <w:start w:val="1"/>
    </w:lvl>
  </w:abstractNum>
  <w:abstractNum w:abstractNumId="166">
    <w:nsid w:val="706B674E"/>
    <w:multiLevelType w:val="hybridMultilevel"/>
    <w:lvl w:ilvl="0">
      <w:lvlJc w:val="left"/>
      <w:lvlText w:val="["/>
      <w:numFmt w:val="bullet"/>
      <w:start w:val="1"/>
    </w:lvl>
  </w:abstractNum>
  <w:abstractNum w:abstractNumId="167">
    <w:nsid w:val="2C106A57"/>
    <w:multiLevelType w:val="hybridMultilevel"/>
    <w:lvl w:ilvl="0">
      <w:lvlJc w:val="left"/>
      <w:lvlText w:val="(%1)"/>
      <w:numFmt w:val="lowerLetter"/>
      <w:start w:val="1"/>
    </w:lvl>
    <w:lvl w:ilvl="1">
      <w:lvlJc w:val="left"/>
      <w:lvlText w:val="(%2)"/>
      <w:numFmt w:val="lowerRoman"/>
      <w:start w:val="1"/>
    </w:lvl>
  </w:abstractNum>
  <w:abstractNum w:abstractNumId="168">
    <w:nsid w:val="684EED59"/>
    <w:multiLevelType w:val="hybridMultilevel"/>
    <w:lvl w:ilvl="0">
      <w:lvlJc w:val="left"/>
      <w:lvlText w:val="(%1)"/>
      <w:numFmt w:val="lowerRoman"/>
      <w:start w:val="5"/>
    </w:lvl>
  </w:abstractNum>
  <w:abstractNum w:abstractNumId="169">
    <w:nsid w:val="545EE5D3"/>
    <w:multiLevelType w:val="hybridMultilevel"/>
    <w:lvl w:ilvl="0">
      <w:lvlJc w:val="left"/>
      <w:lvlText w:val="(%1)"/>
      <w:numFmt w:val="lowerRoman"/>
      <w:start w:val="9"/>
    </w:lvl>
  </w:abstractNum>
  <w:abstractNum w:abstractNumId="170">
    <w:nsid w:val="4A66051"/>
    <w:multiLevelType w:val="hybridMultilevel"/>
    <w:lvl w:ilvl="0">
      <w:lvlJc w:val="left"/>
      <w:lvlText w:val="(%1)"/>
      <w:numFmt w:val="lowerLetter"/>
      <w:start w:val="2"/>
    </w:lvl>
  </w:abstractNum>
  <w:abstractNum w:abstractNumId="171">
    <w:nsid w:val="20F4BDAD"/>
    <w:multiLevelType w:val="hybridMultilevel"/>
    <w:lvl w:ilvl="0">
      <w:lvlJc w:val="left"/>
      <w:lvlText w:val="(%1)"/>
      <w:numFmt w:val="lowerRoman"/>
      <w:start w:val="4"/>
    </w:lvl>
  </w:abstractNum>
  <w:abstractNum w:abstractNumId="172">
    <w:nsid w:val="639DEFAC"/>
    <w:multiLevelType w:val="hybridMultilevel"/>
    <w:lvl w:ilvl="0">
      <w:lvlJc w:val="left"/>
      <w:lvlText w:val="%1."/>
      <w:numFmt w:val="decimal"/>
      <w:start w:val="1"/>
    </w:lvl>
  </w:abstractNum>
  <w:abstractNum w:abstractNumId="173">
    <w:nsid w:val="501F9786"/>
    <w:multiLevelType w:val="hybridMultilevel"/>
    <w:lvl w:ilvl="0">
      <w:lvlJc w:val="left"/>
      <w:lvlText w:val="(%1)"/>
      <w:numFmt w:val="lowerLetter"/>
      <w:start w:val="1"/>
    </w:lvl>
  </w:abstractNum>
  <w:abstractNum w:abstractNumId="174">
    <w:nsid w:val="6B057295"/>
    <w:multiLevelType w:val="hybridMultilevel"/>
    <w:lvl w:ilvl="0">
      <w:lvlJc w:val="left"/>
      <w:lvlText w:val="(%1)"/>
      <w:numFmt w:val="lowerLetter"/>
      <w:start w:val="1"/>
    </w:lvl>
  </w:abstractNum>
  <w:abstractNum w:abstractNumId="175">
    <w:nsid w:val="2771AC80"/>
    <w:multiLevelType w:val="hybridMultilevel"/>
    <w:lvl w:ilvl="0">
      <w:lvlJc w:val="left"/>
      <w:lvlText w:val="(%1)"/>
      <w:numFmt w:val="lowerLetter"/>
      <w:start w:val="2"/>
    </w:lvl>
    <w:lvl w:ilvl="1">
      <w:lvlJc w:val="left"/>
      <w:lvlText w:val="(%2)"/>
      <w:numFmt w:val="lowerRoman"/>
      <w:start w:val="1"/>
    </w:lvl>
  </w:abstractNum>
  <w:abstractNum w:abstractNumId="176">
    <w:nsid w:val="1C4A08EC"/>
    <w:multiLevelType w:val="hybridMultilevel"/>
    <w:lvl w:ilvl="0">
      <w:lvlJc w:val="left"/>
      <w:lvlText w:val="(%1)"/>
      <w:numFmt w:val="lowerRoman"/>
      <w:start w:val="5"/>
    </w:lvl>
  </w:abstractNum>
  <w:abstractNum w:abstractNumId="177">
    <w:nsid w:val="1958BD17"/>
    <w:multiLevelType w:val="hybridMultilevel"/>
    <w:lvl w:ilvl="0">
      <w:lvlJc w:val="left"/>
      <w:lvlText w:val="%1"/>
      <w:numFmt w:val="lowerLetter"/>
      <w:start w:val="1"/>
    </w:lvl>
    <w:lvl w:ilvl="1">
      <w:lvlJc w:val="left"/>
      <w:lvlText w:val="(%2)"/>
      <w:numFmt w:val="lowerLetter"/>
      <w:start w:val="1"/>
    </w:lvl>
  </w:abstractNum>
  <w:abstractNum w:abstractNumId="178">
    <w:nsid w:val="4E647FE4"/>
    <w:multiLevelType w:val="hybridMultilevel"/>
    <w:lvl w:ilvl="0">
      <w:lvlJc w:val="left"/>
      <w:lvlText w:val="(%1)"/>
      <w:numFmt w:val="lowerLetter"/>
      <w:start w:val="35"/>
    </w:lvl>
    <w:lvl w:ilvl="1">
      <w:lvlJc w:val="left"/>
      <w:lvlText w:val="(%2)"/>
      <w:numFmt w:val="lowerLetter"/>
      <w:start w:val="3"/>
    </w:lvl>
  </w:abstractNum>
  <w:abstractNum w:abstractNumId="179">
    <w:nsid w:val="E0BB885"/>
    <w:multiLevelType w:val="hybridMultilevel"/>
    <w:lvl w:ilvl="0">
      <w:lvlJc w:val="left"/>
      <w:lvlText w:val="(%1)"/>
      <w:numFmt w:val="lowerLetter"/>
      <w:start w:val="6"/>
    </w:lvl>
  </w:abstractNum>
  <w:abstractNum w:abstractNumId="180">
    <w:nsid w:val="565976F1"/>
    <w:multiLevelType w:val="hybridMultilevel"/>
    <w:lvl w:ilvl="0">
      <w:lvlJc w:val="left"/>
      <w:lvlText w:val="%1."/>
      <w:numFmt w:val="decimal"/>
      <w:start w:val="2"/>
    </w:lvl>
  </w:abstractNum>
  <w:abstractNum w:abstractNumId="181">
    <w:nsid w:val="64212B8C"/>
    <w:multiLevelType w:val="hybridMultilevel"/>
    <w:lvl w:ilvl="0">
      <w:lvlJc w:val="left"/>
      <w:lvlText w:val="%1."/>
      <w:numFmt w:val="decimal"/>
      <w:start w:val="3"/>
    </w:lvl>
  </w:abstractNum>
  <w:abstractNum w:abstractNumId="182">
    <w:nsid w:val="5C17530C"/>
    <w:multiLevelType w:val="hybridMultilevel"/>
    <w:lvl w:ilvl="0">
      <w:lvlJc w:val="left"/>
      <w:lvlText w:val="(%1)"/>
      <w:numFmt w:val="lowerLetter"/>
      <w:start w:val="1"/>
    </w:lvl>
  </w:abstractNum>
  <w:abstractNum w:abstractNumId="183">
    <w:nsid w:val="19A52566"/>
    <w:multiLevelType w:val="hybridMultilevel"/>
    <w:lvl w:ilvl="0">
      <w:lvlJc w:val="left"/>
      <w:lvlText w:val="(%1)"/>
      <w:numFmt w:val="lowerLetter"/>
      <w:start w:val="2"/>
    </w:lvl>
  </w:abstractNum>
  <w:abstractNum w:abstractNumId="184">
    <w:nsid w:val="335A1DF1"/>
    <w:multiLevelType w:val="hybridMultilevel"/>
    <w:lvl w:ilvl="0">
      <w:lvlJc w:val="left"/>
      <w:lvlText w:val="%1."/>
      <w:numFmt w:val="decimal"/>
      <w:start w:val="4"/>
    </w:lvl>
  </w:abstractNum>
  <w:abstractNum w:abstractNumId="185">
    <w:nsid w:val="28677B7C"/>
    <w:multiLevelType w:val="hybridMultilevel"/>
    <w:lvl w:ilvl="0">
      <w:lvlJc w:val="left"/>
      <w:lvlText w:val="(%1)"/>
      <w:numFmt w:val="lowerLetter"/>
      <w:start w:val="1"/>
    </w:lvl>
  </w:abstractNum>
  <w:abstractNum w:abstractNumId="186">
    <w:nsid w:val="378D97C0"/>
    <w:multiLevelType w:val="hybridMultilevel"/>
    <w:lvl w:ilvl="0">
      <w:lvlJc w:val="left"/>
      <w:lvlText w:val="%1."/>
      <w:numFmt w:val="decimal"/>
      <w:start w:val="6"/>
    </w:lvl>
  </w:abstractNum>
  <w:abstractNum w:abstractNumId="187">
    <w:nsid w:val="1D91467C"/>
    <w:multiLevelType w:val="hybridMultilevel"/>
    <w:lvl w:ilvl="0">
      <w:lvlJc w:val="left"/>
      <w:lvlText w:val="%1."/>
      <w:numFmt w:val="decimal"/>
      <w:start w:val="9"/>
    </w:lvl>
  </w:abstractNum>
  <w:abstractNum w:abstractNumId="188">
    <w:nsid w:val="316032BB"/>
    <w:multiLevelType w:val="hybridMultilevel"/>
    <w:lvl w:ilvl="0">
      <w:lvlJc w:val="left"/>
      <w:lvlText w:val="%1."/>
      <w:numFmt w:val="decimal"/>
      <w:start w:val="1"/>
    </w:lvl>
  </w:abstractNum>
  <w:abstractNum w:abstractNumId="189">
    <w:nsid w:val="44344C22"/>
    <w:multiLevelType w:val="hybridMultilevel"/>
    <w:lvl w:ilvl="0">
      <w:lvlJc w:val="left"/>
      <w:lvlText w:val="%1."/>
      <w:numFmt w:val="decimal"/>
      <w:start w:val="1"/>
    </w:lvl>
  </w:abstractNum>
  <w:abstractNum w:abstractNumId="190">
    <w:nsid w:val="13CDFCFC"/>
    <w:multiLevelType w:val="hybridMultilevel"/>
    <w:lvl w:ilvl="0">
      <w:lvlJc w:val="left"/>
      <w:lvlText w:val="%1."/>
      <w:numFmt w:val="decimal"/>
      <w:start w:val="3"/>
    </w:lvl>
  </w:abstractNum>
  <w:abstractNum w:abstractNumId="191">
    <w:nsid w:val="471745E4"/>
    <w:multiLevelType w:val="hybridMultilevel"/>
    <w:lvl w:ilvl="0">
      <w:lvlJc w:val="left"/>
      <w:lvlText w:val="%1."/>
      <w:numFmt w:val="decimal"/>
      <w:start w:val="1"/>
    </w:lvl>
  </w:abstractNum>
  <w:abstractNum w:abstractNumId="192">
    <w:nsid w:val="1DDBC66"/>
    <w:multiLevelType w:val="hybridMultilevel"/>
    <w:lvl w:ilvl="0">
      <w:lvlJc w:val="left"/>
      <w:lvlText w:val="%1."/>
      <w:numFmt w:val="decimal"/>
      <w:start w:val="3"/>
    </w:lvl>
  </w:abstractNum>
  <w:abstractNum w:abstractNumId="193">
    <w:nsid w:val="30AADFDA"/>
    <w:multiLevelType w:val="hybridMultilevel"/>
    <w:lvl w:ilvl="0">
      <w:lvlJc w:val="left"/>
      <w:lvlText w:val="(%1)"/>
      <w:numFmt w:val="lowerRoman"/>
      <w:start w:val="1"/>
    </w:lvl>
  </w:abstractNum>
  <w:abstractNum w:abstractNumId="194">
    <w:nsid w:val="30EADA61"/>
    <w:multiLevelType w:val="hybridMultilevel"/>
    <w:lvl w:ilvl="0">
      <w:lvlJc w:val="left"/>
      <w:lvlText w:val="(%1)"/>
      <w:numFmt w:val="lowerLetter"/>
      <w:start w:val="35"/>
    </w:lvl>
    <w:lvl w:ilvl="1">
      <w:lvlJc w:val="left"/>
      <w:lvlText w:val="(%2)"/>
      <w:numFmt w:val="lowerLetter"/>
      <w:start w:val="1"/>
    </w:lvl>
  </w:abstractNum>
  <w:abstractNum w:abstractNumId="195">
    <w:nsid w:val="27179C0B"/>
    <w:multiLevelType w:val="hybridMultilevel"/>
    <w:lvl w:ilvl="0">
      <w:lvlJc w:val="left"/>
      <w:lvlText w:val="(%1)"/>
      <w:numFmt w:val="lowerRoman"/>
      <w:start w:val="3"/>
    </w:lvl>
  </w:abstractNum>
  <w:abstractNum w:abstractNumId="196">
    <w:nsid w:val="5E636063"/>
    <w:multiLevelType w:val="hybridMultilevel"/>
    <w:lvl w:ilvl="0">
      <w:lvlJc w:val="left"/>
      <w:lvlText w:val="(%1)"/>
      <w:numFmt w:val="lowerLetter"/>
      <w:start w:val="9"/>
    </w:lvl>
    <w:lvl w:ilvl="1">
      <w:lvlJc w:val="left"/>
      <w:lvlText w:val="(%2)"/>
      <w:numFmt w:val="lowerLetter"/>
      <w:start w:val="1"/>
    </w:lvl>
  </w:abstractNum>
  <w:abstractNum w:abstractNumId="197">
    <w:nsid w:val="215641AF"/>
    <w:multiLevelType w:val="hybridMultilevel"/>
    <w:lvl w:ilvl="0">
      <w:lvlJc w:val="left"/>
      <w:lvlText w:val="(%1)"/>
      <w:numFmt w:val="lowerLetter"/>
      <w:start w:val="2"/>
    </w:lvl>
  </w:abstractNum>
  <w:abstractNum w:abstractNumId="198">
    <w:nsid w:val="53280662"/>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99">
    <w:nsid w:val="46B24DB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00">
    <w:nsid w:val="75B52783"/>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201">
    <w:nsid w:val="57CE66B4"/>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abstractNum>
  <w:abstractNum w:abstractNumId="202">
    <w:nsid w:val="67A70B69"/>
    <w:multiLevelType w:val="hybridMultilevel"/>
    <w:lvl w:ilvl="0">
      <w:lvlJc w:val="left"/>
      <w:lvlText w:val="%1"/>
      <w:numFmt w:val="lowerRoman"/>
      <w:start w:val="1"/>
    </w:lvl>
    <w:lvl w:ilvl="1">
      <w:lvlJc w:val="left"/>
      <w:lvlText w:val="(%2)"/>
      <w:numFmt w:val="lowerLetter"/>
      <w:start w:val="2"/>
    </w:lvl>
  </w:abstractNum>
  <w:abstractNum w:abstractNumId="203">
    <w:nsid w:val="5953172F"/>
    <w:multiLevelType w:val="hybridMultilevel"/>
    <w:lvl w:ilvl="0">
      <w:lvlJc w:val="left"/>
      <w:lvlText w:val="(%1)"/>
      <w:numFmt w:val="lowerRoman"/>
      <w:start w:val="4"/>
    </w:lvl>
    <w:lvl w:ilvl="1">
      <w:lvlJc w:val="left"/>
      <w:lvlText w:val="%2"/>
      <w:numFmt w:val="lowerLetter"/>
      <w:start w:val="1"/>
    </w:lvl>
  </w:abstractNum>
  <w:abstractNum w:abstractNumId="204">
    <w:nsid w:val="27EDFE3A"/>
    <w:multiLevelType w:val="hybridMultilevel"/>
    <w:lvl w:ilvl="0">
      <w:lvlJc w:val="left"/>
      <w:lvlText w:val="(%1)"/>
      <w:numFmt w:val="lowerRoman"/>
      <w:start w:val="1"/>
    </w:lvl>
  </w:abstractNum>
  <w:abstractNum w:abstractNumId="205">
    <w:nsid w:val="52AC7DFF"/>
    <w:multiLevelType w:val="hybridMultilevel"/>
    <w:lvl w:ilvl="0">
      <w:lvlJc w:val="left"/>
      <w:lvlText w:val="(%1)"/>
      <w:numFmt w:val="lowerRoman"/>
      <w:start w:val="1"/>
    </w:lvl>
  </w:abstractNum>
  <w:abstractNum w:abstractNumId="206">
    <w:nsid w:val="C4C3AF"/>
    <w:multiLevelType w:val="hybridMultilevel"/>
    <w:lvl w:ilvl="0">
      <w:lvlJc w:val="left"/>
      <w:lvlText w:val="(%1)"/>
      <w:numFmt w:val="lowerRoman"/>
      <w:start w:val="1"/>
    </w:lvl>
  </w:abstractNum>
  <w:abstractNum w:abstractNumId="207">
    <w:nsid w:val="44380727"/>
    <w:multiLevelType w:val="hybridMultilevel"/>
    <w:lvl w:ilvl="0">
      <w:lvlJc w:val="left"/>
      <w:lvlText w:val="(%1)"/>
      <w:numFmt w:val="lowerRoman"/>
      <w:start w:val="1"/>
    </w:lvl>
  </w:abstractNum>
  <w:abstractNum w:abstractNumId="208">
    <w:nsid w:val="6C053B16"/>
    <w:multiLevelType w:val="hybridMultilevel"/>
    <w:lvl w:ilvl="0">
      <w:lvlJc w:val="left"/>
      <w:lvlText w:val="(%1)"/>
      <w:numFmt w:val="lowerRoman"/>
      <w:start w:val="1"/>
    </w:lvl>
  </w:abstractNum>
  <w:abstractNum w:abstractNumId="209">
    <w:nsid w:val="4F294393"/>
    <w:multiLevelType w:val="hybridMultilevel"/>
    <w:lvl w:ilvl="0">
      <w:lvlJc w:val="left"/>
      <w:lvlText w:val="(%1)"/>
      <w:numFmt w:val="lowerRoman"/>
      <w:start w:val="1"/>
    </w:lvl>
  </w:abstractNum>
  <w:abstractNum w:abstractNumId="210">
    <w:nsid w:val="5243BFAC"/>
    <w:multiLevelType w:val="hybridMultilevel"/>
    <w:lvl w:ilvl="0">
      <w:lvlJc w:val="left"/>
      <w:lvlText w:val="(%1)"/>
      <w:numFmt w:val="lowerRoman"/>
      <w:start w:val="4"/>
    </w:lvl>
  </w:abstractNum>
  <w:abstractNum w:abstractNumId="211">
    <w:nsid w:val="425EB207"/>
    <w:multiLevelType w:val="hybridMultilevel"/>
    <w:lvl w:ilvl="0">
      <w:lvlJc w:val="left"/>
      <w:lvlText w:val="%1."/>
      <w:numFmt w:val="decimal"/>
      <w:start w:val="1"/>
    </w:lvl>
  </w:abstractNum>
  <w:abstractNum w:abstractNumId="212">
    <w:nsid w:val="334A6F1F"/>
    <w:multiLevelType w:val="hybridMultilevel"/>
    <w:lvl w:ilvl="0">
      <w:lvlJc w:val="left"/>
      <w:lvlText w:val="%1."/>
      <w:numFmt w:val="decimal"/>
      <w:start w:val="6"/>
    </w:lvl>
  </w:abstractNum>
  <w:abstractNum w:abstractNumId="213">
    <w:nsid w:val="2E5B12B8"/>
    <w:multiLevelType w:val="hybridMultilevel"/>
    <w:lvl w:ilvl="0">
      <w:lvlJc w:val="left"/>
      <w:lvlText w:val="%1."/>
      <w:numFmt w:val="decimal"/>
      <w:start w:val="9"/>
    </w:lvl>
  </w:abstractNum>
  <w:abstractNum w:abstractNumId="214">
    <w:nsid w:val="5C03D76D"/>
    <w:multiLevelType w:val="hybridMultilevel"/>
    <w:lvl w:ilvl="0">
      <w:lvlJc w:val="left"/>
      <w:lvlText w:val="%1."/>
      <w:numFmt w:val="decimal"/>
      <w:start w:val="12"/>
    </w:lvl>
  </w:abstractNum>
  <w:abstractNum w:abstractNumId="215">
    <w:nsid w:val="66A48D11"/>
    <w:multiLevelType w:val="hybridMultilevel"/>
    <w:lvl w:ilvl="0">
      <w:lvlJc w:val="left"/>
      <w:lvlText w:val="\ldblquote"/>
      <w:numFmt w:val="bullet"/>
      <w:start w:val="1"/>
    </w:lvl>
  </w:abstractNum>
  <w:abstractNum w:abstractNumId="216">
    <w:nsid w:val="56C28E34"/>
    <w:multiLevelType w:val="hybridMultilevel"/>
    <w:lvl w:ilvl="0">
      <w:lvlJc w:val="left"/>
      <w:lvlText w:val="%1."/>
      <w:numFmt w:val="decimal"/>
      <w:start w:val="1"/>
    </w:lvl>
  </w:abstractNum>
  <w:abstractNum w:abstractNumId="217">
    <w:nsid w:val="13916F2D"/>
    <w:multiLevelType w:val="hybridMultilevel"/>
    <w:lvl w:ilvl="0">
      <w:lvlJc w:val="left"/>
      <w:lvlText w:val="%1."/>
      <w:numFmt w:val="decimal"/>
      <w:start w:val="6"/>
    </w:lvl>
  </w:abstractNum>
  <w:abstractNum w:abstractNumId="218">
    <w:nsid w:val="435D38D"/>
    <w:multiLevelType w:val="hybridMultilevel"/>
    <w:lvl w:ilvl="0">
      <w:lvlJc w:val="left"/>
      <w:lvlText w:val="%1."/>
      <w:numFmt w:val="decimal"/>
      <w:start w:val="9"/>
    </w:lvl>
  </w:abstractNum>
  <w:abstractNum w:abstractNumId="219">
    <w:nsid w:val="822C0EF"/>
    <w:multiLevelType w:val="hybridMultilevel"/>
    <w:lvl w:ilvl="0">
      <w:lvlJc w:val="left"/>
      <w:lvlText w:val="%1."/>
      <w:numFmt w:val="decimal"/>
      <w:start w:val="12"/>
    </w:lvl>
  </w:abstractNum>
  <w:abstractNum w:abstractNumId="220">
    <w:nsid w:val="57C5BB4F"/>
    <w:multiLevelType w:val="hybridMultilevel"/>
    <w:lvl w:ilvl="0">
      <w:lvlJc w:val="left"/>
      <w:lvlText w:val="\ldblquote"/>
      <w:numFmt w:val="bullet"/>
      <w:start w:val="1"/>
    </w:lvl>
  </w:abstractNum>
  <w:abstractNum w:abstractNumId="221">
    <w:nsid w:val="1803D089"/>
    <w:multiLevelType w:val="hybridMultilevel"/>
    <w:lvl w:ilvl="0">
      <w:lvlJc w:val="left"/>
      <w:lvlText w:val="%1."/>
      <w:numFmt w:val="decimal"/>
      <w:start w:val="1"/>
    </w:lvl>
  </w:abstractNum>
  <w:abstractNum w:abstractNumId="222">
    <w:nsid w:val="4F3A06D4"/>
    <w:multiLevelType w:val="hybridMultilevel"/>
    <w:lvl w:ilvl="0">
      <w:lvlJc w:val="left"/>
      <w:lvlText w:val="%1."/>
      <w:numFmt w:val="decimal"/>
      <w:start w:val="6"/>
    </w:lvl>
  </w:abstractNum>
  <w:abstractNum w:abstractNumId="223">
    <w:nsid w:val="59A377B6"/>
    <w:multiLevelType w:val="hybridMultilevel"/>
    <w:lvl w:ilvl="0">
      <w:lvlJc w:val="left"/>
      <w:lvlText w:val="%1."/>
      <w:numFmt w:val="decimal"/>
      <w:start w:val="9"/>
    </w:lvl>
  </w:abstractNum>
  <w:abstractNum w:abstractNumId="224">
    <w:nsid w:val="48AEB063"/>
    <w:multiLevelType w:val="hybridMultilevel"/>
    <w:lvl w:ilvl="0">
      <w:lvlJc w:val="left"/>
      <w:lvlText w:val="%1."/>
      <w:numFmt w:val="decimal"/>
      <w:start w:val="12"/>
    </w:lvl>
  </w:abstractNum>
  <w:abstractNum w:abstractNumId="225">
    <w:nsid w:val="24E135"/>
    <w:multiLevelType w:val="hybridMultilevel"/>
    <w:lvl w:ilvl="0">
      <w:lvlJc w:val="left"/>
      <w:lvlText w:val="\ldblquote"/>
      <w:numFmt w:val="bullet"/>
      <w:start w:val="1"/>
    </w:lvl>
  </w:abstractNum>
  <w:abstractNum w:abstractNumId="226">
    <w:nsid w:val="BB13C1"/>
    <w:multiLevelType w:val="hybridMultilevel"/>
    <w:lvl w:ilvl="0">
      <w:lvlJc w:val="left"/>
      <w:lvlText w:val="%1."/>
      <w:numFmt w:val="decimal"/>
      <w:start w:val="1"/>
    </w:lvl>
  </w:abstractNum>
  <w:abstractNum w:abstractNumId="227">
    <w:nsid w:val="271210C7"/>
    <w:multiLevelType w:val="hybridMultilevel"/>
    <w:lvl w:ilvl="0">
      <w:lvlJc w:val="left"/>
      <w:lvlText w:val="%1."/>
      <w:numFmt w:val="decimal"/>
      <w:start w:val="2"/>
    </w:lvl>
  </w:abstractNum>
  <w:abstractNum w:abstractNumId="228">
    <w:nsid w:val="217B22E4"/>
    <w:multiLevelType w:val="hybridMultilevel"/>
    <w:lvl w:ilvl="0">
      <w:lvlJc w:val="left"/>
      <w:lvlText w:val="(%1)"/>
      <w:numFmt w:val="lowerLetter"/>
      <w:start w:val="1"/>
    </w:lvl>
  </w:abstractNum>
  <w:abstractNum w:abstractNumId="229">
    <w:nsid w:val="53E31A24"/>
    <w:multiLevelType w:val="hybridMultilevel"/>
    <w:lvl w:ilvl="0">
      <w:lvlJc w:val="left"/>
      <w:lvlText w:val="(%1)"/>
      <w:numFmt w:val="lowerLetter"/>
      <w:start w:val="1"/>
    </w:lvl>
  </w:abstractNum>
  <w:abstractNum w:abstractNumId="230">
    <w:nsid w:val="6DC45E83"/>
    <w:multiLevelType w:val="hybridMultilevel"/>
    <w:lvl w:ilvl="0">
      <w:lvlJc w:val="left"/>
      <w:lvlText w:val="%1."/>
      <w:numFmt w:val="decimal"/>
      <w:start w:val="4"/>
    </w:lvl>
  </w:abstractNum>
  <w:abstractNum w:abstractNumId="231">
    <w:nsid w:val="17304A67"/>
    <w:multiLevelType w:val="hybridMultilevel"/>
    <w:lvl w:ilvl="0">
      <w:lvlJc w:val="left"/>
      <w:lvlText w:val="(%1)"/>
      <w:numFmt w:val="lowerRoman"/>
      <w:start w:val="3"/>
    </w:lvl>
  </w:abstractNum>
  <w:abstractNum w:abstractNumId="232">
    <w:nsid w:val="2BB180D8"/>
    <w:multiLevelType w:val="hybridMultilevel"/>
    <w:lvl w:ilvl="0">
      <w:lvlJc w:val="left"/>
      <w:lvlText w:val="(%1)"/>
      <w:numFmt w:val="lowerLetter"/>
      <w:start w:val="1"/>
    </w:lvl>
  </w:abstractNum>
  <w:abstractNum w:abstractNumId="233">
    <w:nsid w:val="556B69ED"/>
    <w:multiLevelType w:val="hybridMultilevel"/>
    <w:lvl w:ilvl="0">
      <w:lvlJc w:val="left"/>
      <w:lvlText w:val="(%1)"/>
      <w:numFmt w:val="lowerLetter"/>
      <w:start w:val="2"/>
    </w:lvl>
  </w:abstractNum>
  <w:abstractNum w:abstractNumId="234">
    <w:nsid w:val="70836196"/>
    <w:multiLevelType w:val="hybridMultilevel"/>
    <w:lvl w:ilvl="0">
      <w:lvlJc w:val="left"/>
      <w:lvlText w:val="(%1)"/>
      <w:numFmt w:val="lowerLetter"/>
      <w:start w:val="1"/>
    </w:lvl>
  </w:abstractNum>
  <w:abstractNum w:abstractNumId="235">
    <w:nsid w:val="539F7F12"/>
    <w:multiLevelType w:val="hybridMultilevel"/>
    <w:lvl w:ilvl="0">
      <w:lvlJc w:val="left"/>
      <w:lvlText w:val="%1."/>
      <w:numFmt w:val="decimal"/>
      <w:start w:val="5"/>
    </w:lvl>
  </w:abstractNum>
  <w:abstractNum w:abstractNumId="236">
    <w:nsid w:val="2817E7EC"/>
    <w:multiLevelType w:val="hybridMultilevel"/>
    <w:lvl w:ilvl="0">
      <w:lvlJc w:val="left"/>
      <w:lvlText w:val="%1."/>
      <w:numFmt w:val="decimal"/>
      <w:start w:val="6"/>
    </w:lvl>
  </w:abstractNum>
  <w:abstractNum w:abstractNumId="237">
    <w:nsid w:val="71482545"/>
    <w:multiLevelType w:val="hybridMultilevel"/>
    <w:lvl w:ilvl="0">
      <w:lvlJc w:val="left"/>
      <w:lvlText w:val="%1."/>
      <w:numFmt w:val="decimal"/>
      <w:start w:val="7"/>
    </w:lvl>
  </w:abstractNum>
  <w:abstractNum w:abstractNumId="238">
    <w:nsid w:val="17D78639"/>
    <w:multiLevelType w:val="hybridMultilevel"/>
    <w:lvl w:ilvl="0">
      <w:lvlJc w:val="left"/>
      <w:lvlText w:val="(%1)"/>
      <w:numFmt w:val="lowerLetter"/>
      <w:start w:val="1"/>
    </w:lvl>
  </w:abstractNum>
  <w:abstractNum w:abstractNumId="239">
    <w:nsid w:val="141D2302"/>
    <w:multiLevelType w:val="hybridMultilevel"/>
    <w:lvl w:ilvl="0">
      <w:lvlJc w:val="left"/>
      <w:lvlText w:val="(%1)"/>
      <w:numFmt w:val="lowerRoman"/>
      <w:start w:val="2"/>
    </w:lvl>
  </w:abstractNum>
  <w:abstractNum w:abstractNumId="240">
    <w:nsid w:val="407168D8"/>
    <w:multiLevelType w:val="hybridMultilevel"/>
    <w:lvl w:ilvl="0">
      <w:lvlJc w:val="left"/>
      <w:lvlText w:val="%1."/>
      <w:numFmt w:val="decimal"/>
      <w:start w:val="1"/>
    </w:lvl>
  </w:abstractNum>
  <w:abstractNum w:abstractNumId="241">
    <w:nsid w:val="6A1B45E5"/>
    <w:multiLevelType w:val="hybridMultilevel"/>
    <w:lvl w:ilvl="0">
      <w:lvlJc w:val="left"/>
      <w:lvlText w:val="%1."/>
      <w:numFmt w:val="decimal"/>
      <w:start w:val="1"/>
    </w:lvl>
  </w:abstractNum>
  <w:abstractNum w:abstractNumId="242">
    <w:nsid w:val="567BD50A"/>
    <w:multiLevelType w:val="hybridMultilevel"/>
    <w:lvl w:ilvl="0">
      <w:lvlJc w:val="left"/>
      <w:lvlText w:val="%1."/>
      <w:numFmt w:val="decimal"/>
      <w:start w:val="2"/>
    </w:lvl>
  </w:abstractNum>
  <w:abstractNum w:abstractNumId="243">
    <w:nsid w:val="73BBD7F8"/>
    <w:multiLevelType w:val="hybridMultilevel"/>
    <w:lvl w:ilvl="0">
      <w:lvlJc w:val="left"/>
      <w:lvlText w:val="(%1)"/>
      <w:numFmt w:val="lowerLetter"/>
      <w:start w:val="1"/>
    </w:lvl>
  </w:abstractNum>
  <w:abstractNum w:abstractNumId="244">
    <w:nsid w:val="1876589D"/>
    <w:multiLevelType w:val="hybridMultilevel"/>
    <w:lvl w:ilvl="0">
      <w:lvlJc w:val="left"/>
      <w:lvlText w:val="(%1)"/>
      <w:numFmt w:val="lowerLetter"/>
      <w:start w:val="3"/>
    </w:lvl>
  </w:abstractNum>
  <w:abstractNum w:abstractNumId="245">
    <w:nsid w:val="327FAC77"/>
    <w:multiLevelType w:val="hybridMultilevel"/>
    <w:lvl w:ilvl="0">
      <w:lvlJc w:val="left"/>
      <w:lvlText w:val="(%1)"/>
      <w:numFmt w:val="lowerLetter"/>
      <w:start w:val="4"/>
    </w:lvl>
  </w:abstractNum>
  <w:abstractNum w:abstractNumId="246">
    <w:nsid w:val="5A606509"/>
    <w:multiLevelType w:val="hybridMultilevel"/>
    <w:lvl w:ilvl="0">
      <w:lvlJc w:val="left"/>
      <w:lvlText w:val="%1."/>
      <w:numFmt w:val="decimal"/>
      <w:start w:val="3"/>
    </w:lvl>
  </w:abstractNum>
  <w:abstractNum w:abstractNumId="247">
    <w:nsid w:val="6F38E6D1"/>
    <w:multiLevelType w:val="hybridMultilevel"/>
    <w:lvl w:ilvl="0">
      <w:lvlJc w:val="left"/>
      <w:lvlText w:val="%1."/>
      <w:numFmt w:val="decimal"/>
      <w:start w:val="4"/>
    </w:lvl>
  </w:abstractNum>
  <w:abstractNum w:abstractNumId="248">
    <w:nsid w:val="46111BA5"/>
    <w:multiLevelType w:val="hybridMultilevel"/>
    <w:lvl w:ilvl="0">
      <w:lvlJc w:val="left"/>
      <w:lvlText w:val="%1."/>
      <w:numFmt w:val="decimal"/>
      <w:start w:val="5"/>
    </w:lvl>
  </w:abstractNum>
  <w:abstractNum w:abstractNumId="249">
    <w:nsid w:val="5E963896"/>
    <w:multiLevelType w:val="hybridMultilevel"/>
    <w:lvl w:ilvl="0">
      <w:lvlJc w:val="left"/>
      <w:lvlText w:val="%1."/>
      <w:numFmt w:val="decimal"/>
      <w:start w:val="6"/>
    </w:lvl>
  </w:abstractNum>
  <w:abstractNum w:abstractNumId="250">
    <w:nsid w:val="775BA7C1"/>
    <w:multiLevelType w:val="hybridMultilevel"/>
    <w:lvl w:ilvl="0">
      <w:lvlJc w:val="left"/>
      <w:lvlText w:val="%1."/>
      <w:numFmt w:val="decimal"/>
      <w:start w:val="7"/>
    </w:lvl>
  </w:abstractNum>
  <w:abstractNum w:abstractNumId="251">
    <w:nsid w:val="1DD6D6F4"/>
    <w:multiLevelType w:val="hybridMultilevel"/>
    <w:lvl w:ilvl="0">
      <w:lvlJc w:val="left"/>
      <w:lvlText w:val="%1."/>
      <w:numFmt w:val="decimal"/>
      <w:start w:val="8"/>
    </w:lvl>
  </w:abstractNum>
  <w:abstractNum w:abstractNumId="252">
    <w:nsid w:val="769A091F"/>
    <w:multiLevelType w:val="hybridMultilevel"/>
    <w:lvl w:ilvl="0">
      <w:lvlJc w:val="left"/>
      <w:lvlText w:val="%1."/>
      <w:numFmt w:val="decimal"/>
      <w:start w:val="9"/>
    </w:lvl>
  </w:abstractNum>
  <w:abstractNum w:abstractNumId="253">
    <w:nsid w:val="4695AE95"/>
    <w:multiLevelType w:val="hybridMultilevel"/>
    <w:lvl w:ilvl="0">
      <w:lvlJc w:val="left"/>
      <w:lvlText w:val="%1."/>
      <w:numFmt w:val="decimal"/>
      <w:start w:val="10"/>
    </w:lvl>
  </w:abstractNum>
  <w:abstractNum w:abstractNumId="254">
    <w:nsid w:val="777A4EAA"/>
    <w:multiLevelType w:val="hybridMultilevel"/>
    <w:lvl w:ilvl="0">
      <w:lvlJc w:val="left"/>
      <w:lvlText w:val="%1."/>
      <w:numFmt w:val="upperLetter"/>
      <w:start w:val="35"/>
    </w:lvl>
  </w:abstractNum>
  <w:abstractNum w:abstractNumId="255">
    <w:nsid w:val="3F48B982"/>
    <w:multiLevelType w:val="hybridMultilevel"/>
    <w:lvl w:ilvl="0">
      <w:lvlJc w:val="left"/>
      <w:lvlText w:val="%1."/>
      <w:numFmt w:val="upperLetter"/>
      <w:start w:val="61"/>
    </w:lvl>
  </w:abstractNum>
  <w:abstractNum w:abstractNumId="256">
    <w:nsid w:val="46BA8FCA"/>
    <w:multiLevelType w:val="hybridMultilevel"/>
    <w:lvl w:ilvl="0">
      <w:lvlJc w:val="left"/>
      <w:lvlText w:val="%1."/>
      <w:numFmt w:val="decimal"/>
      <w:start w:val="1"/>
    </w:lvl>
  </w:abstractNum>
  <w:abstractNum w:abstractNumId="257">
    <w:nsid w:val="7835626C"/>
    <w:multiLevelType w:val="hybridMultilevel"/>
    <w:lvl w:ilvl="0">
      <w:lvlJc w:val="left"/>
      <w:lvlText w:val="%1."/>
      <w:numFmt w:val="decimal"/>
      <w:start w:val="1"/>
    </w:lvl>
  </w:abstractNum>
  <w:abstractNum w:abstractNumId="258">
    <w:nsid w:val="665ACA4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65"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jpeg"/><Relationship Id="rId498" Type="http://schemas.openxmlformats.org/officeDocument/2006/relationships/image" Target="media/image466.png"/><Relationship Id="rId499" Type="http://schemas.openxmlformats.org/officeDocument/2006/relationships/image" Target="media/image467.jpe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346" Type="http://schemas.openxmlformats.org/officeDocument/2006/relationships/hyperlink" Target="http://www.sec.gov/Archives/edgar/data/0001467623/000119312518055809/d451946dex31.htm" TargetMode="External"/><Relationship Id="rId347" Type="http://schemas.openxmlformats.org/officeDocument/2006/relationships/hyperlink" Target="http://www.sec.gov/Archives/edgar/data/0001467623/000119312518055809/d451946dex32.htm" TargetMode="External"/><Relationship Id="rId348" Type="http://schemas.openxmlformats.org/officeDocument/2006/relationships/hyperlink" Target="http://www.sec.gov/Archives/edgar/data/0001467623/000119312518055809/d451946dex33.htm" TargetMode="External"/><Relationship Id="rId349" Type="http://schemas.openxmlformats.org/officeDocument/2006/relationships/hyperlink" Target="http://www.sec.gov/Archives/edgar/data/1467623/000119312518055809/d451946dex35.htm" TargetMode="External"/><Relationship Id="rId350" Type="http://schemas.openxmlformats.org/officeDocument/2006/relationships/hyperlink" Target="http://www.sec.gov/Archives/edgar/data/0001467623/000119312518055809/d451946dex42.htm" TargetMode="External"/><Relationship Id="rId351" Type="http://schemas.openxmlformats.org/officeDocument/2006/relationships/hyperlink" Target="http://www.sec.gov/Archives/edgar/data/0001467623/000119312518055809/d451946dex101.htm" TargetMode="External"/><Relationship Id="rId352" Type="http://schemas.openxmlformats.org/officeDocument/2006/relationships/hyperlink" Target="http://www.sec.gov/Archives/edgar/data/0001467623/000119312518055809/d451946dex102.htm" TargetMode="External"/><Relationship Id="rId353" Type="http://schemas.openxmlformats.org/officeDocument/2006/relationships/hyperlink" Target="http://www.sec.gov/Archives/edgar/data/0001467623/000119312518055809/d451946dex103.htm" TargetMode="External"/><Relationship Id="rId354" Type="http://schemas.openxmlformats.org/officeDocument/2006/relationships/hyperlink" Target="http://www.sec.gov/Archives/edgar/data/0001467623/000119312518055809/d451946dex104.htm" TargetMode="External"/><Relationship Id="rId355" Type="http://schemas.openxmlformats.org/officeDocument/2006/relationships/hyperlink" Target="http://www.sec.gov/Archives/edgar/data/0001467623/000119312518055809/d451946dex105.htm" TargetMode="External"/><Relationship Id="rId356" Type="http://schemas.openxmlformats.org/officeDocument/2006/relationships/hyperlink" Target="http://www.sec.gov/Archives/edgar/data/0001467623/000119312518055809/d451946dex106.htm" TargetMode="External"/><Relationship Id="rId357" Type="http://schemas.openxmlformats.org/officeDocument/2006/relationships/hyperlink" Target="http://www.sec.gov/Archives/edgar/data/0001467623/000119312518055809/d451946dex107.htm" TargetMode="External"/><Relationship Id="rId358" Type="http://schemas.openxmlformats.org/officeDocument/2006/relationships/hyperlink" Target="http://www.sec.gov/Archives/edgar/data/0001467623/000119312518055809/d451946dex108.htm" TargetMode="External"/><Relationship Id="rId359" Type="http://schemas.openxmlformats.org/officeDocument/2006/relationships/hyperlink" Target="http://www.sec.gov/Archives/edgar/data/0001467623/000119312518055809/d451946dex109.htm" TargetMode="External"/><Relationship Id="rId360" Type="http://schemas.openxmlformats.org/officeDocument/2006/relationships/hyperlink" Target="http://www.sec.gov/Archives/edgar/data/0001467623/000119312518055809/d451946dex1010.htm" TargetMode="External"/><Relationship Id="rId361" Type="http://schemas.openxmlformats.org/officeDocument/2006/relationships/hyperlink" Target="http://www.sec.gov/Archives/edgar/data/0001467623/000119312518055809/d451946dex1011.htm" TargetMode="External"/><Relationship Id="rId362" Type="http://schemas.openxmlformats.org/officeDocument/2006/relationships/hyperlink" Target="http://www.sec.gov/Archives/edgar/data/0001467623/000119312518055809/d451946dex1015.htm" TargetMode="External"/><Relationship Id="rId363" Type="http://schemas.openxmlformats.org/officeDocument/2006/relationships/hyperlink" Target="http://www.sec.gov/Archives/edgar/data/0001467623/000119312518055809/d451946dex1016.htm" TargetMode="External"/><Relationship Id="rId364" Type="http://schemas.openxmlformats.org/officeDocument/2006/relationships/hyperlink" Target="http://www.sec.gov/Archives/edgar/data/0001467623/000119312518055809/d451946dex1017.htm" TargetMode="External"/><Relationship Id="rId366" Type="http://schemas.openxmlformats.org/officeDocument/2006/relationships/hyperlink" Target="http://www.sec.gov/Archives/edgar/data/0001467623/000119312518055809/d451946dex1018.htm" TargetMode="External"/><Relationship Id="rId367" Type="http://schemas.openxmlformats.org/officeDocument/2006/relationships/hyperlink" Target="http://www.sec.gov/Archives/edgar/data/0001467623/000119312518055809/d451946dex1019.htm" TargetMode="External"/><Relationship Id="rId368" Type="http://schemas.openxmlformats.org/officeDocument/2006/relationships/hyperlink" Target="http://www.sec.gov/Archives/edgar/data/0001467623/000119312518055809/d451946dex1020.htm" TargetMode="External"/><Relationship Id="rId369" Type="http://schemas.openxmlformats.org/officeDocument/2006/relationships/hyperlink" Target="http://www.sec.gov/Archives/edgar/data/0001467623/000119312518055809/d451946dex1021.htm" TargetMode="External"/><Relationship Id="rId370" Type="http://schemas.openxmlformats.org/officeDocument/2006/relationships/hyperlink" Target="http://www.sec.gov/Archives/edgar/data/0001467623/000119312518055809/d451946dex211.htm" TargetMode="External"/><Relationship Id="rId371" Type="http://schemas.openxmlformats.org/officeDocument/2006/relationships/hyperlink" Target="http://www.sec.gov/Archives/edgar/data/0001467623/000119312518055809/d451946ds1.htm#451946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2019-12-07T16:39:51Z</dcterms:created>
  <dcterms:modified xsi:type="dcterms:W3CDTF">2019-12-07T16:39:51Z</dcterms:modified>
</cp:coreProperties>
</file>