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2701925</wp:posOffset>
            </wp:positionH>
            <wp:positionV relativeFrom="paragraph">
              <wp:posOffset>114935</wp:posOffset>
            </wp:positionV>
            <wp:extent cx="1746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6885"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2701925</wp:posOffset>
            </wp:positionH>
            <wp:positionV relativeFrom="paragraph">
              <wp:posOffset>129540</wp:posOffset>
            </wp:positionV>
            <wp:extent cx="1746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46885" cy="8255"/>
                    </a:xfrm>
                    <a:prstGeom prst="rect">
                      <a:avLst/>
                    </a:prstGeom>
                    <a:noFill/>
                  </pic:spPr>
                </pic:pic>
              </a:graphicData>
            </a:graphic>
          </wp:anchor>
        </w:drawing>
      </w:r>
    </w:p>
    <w:p>
      <w:pPr>
        <w:spacing w:after="0" w:line="275"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21" w:lineRule="exact"/>
        <w:rPr>
          <w:sz w:val="24"/>
          <w:szCs w:val="24"/>
          <w:color w:val="auto"/>
        </w:rPr>
      </w:pPr>
    </w:p>
    <w:p>
      <w:pPr>
        <w:ind w:left="4060" w:right="2180" w:hanging="4056"/>
        <w:spacing w:after="0" w:line="278" w:lineRule="auto"/>
        <w:tabs>
          <w:tab w:leader="none" w:pos="208"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7"/>
          <w:szCs w:val="17"/>
          <w:color w:val="auto"/>
        </w:rPr>
        <w:t>For the quarterly period ended June 30, 2022</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27" w:lineRule="exact"/>
        <w:rPr>
          <w:sz w:val="24"/>
          <w:szCs w:val="24"/>
          <w:color w:val="auto"/>
        </w:rPr>
      </w:pPr>
    </w:p>
    <w:p>
      <w:pPr>
        <w:ind w:left="3740" w:right="2160" w:hanging="3736"/>
        <w:spacing w:after="0" w:line="278" w:lineRule="auto"/>
        <w:tabs>
          <w:tab w:leader="none" w:pos="215"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from________to________</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001-38434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69850</wp:posOffset>
            </wp:positionV>
            <wp:extent cx="2955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35"/>
          <w:szCs w:val="35"/>
          <w:b w:val="1"/>
          <w:bCs w:val="1"/>
          <w:color w:val="auto"/>
        </w:rPr>
        <w:t>Dropbox, Inc.</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108585</wp:posOffset>
            </wp:positionV>
            <wp:extent cx="2955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272" w:lineRule="exact"/>
        <w:rPr>
          <w:sz w:val="24"/>
          <w:szCs w:val="24"/>
          <w:color w:val="auto"/>
        </w:rPr>
      </w:pPr>
    </w:p>
    <w:p>
      <w:pPr>
        <w:ind w:left="2040"/>
        <w:spacing w:after="0"/>
        <w:tabs>
          <w:tab w:leader="none" w:pos="92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26-0138832</w:t>
      </w:r>
    </w:p>
    <w:p>
      <w:pPr>
        <w:spacing w:after="0" w:line="22" w:lineRule="exact"/>
        <w:rPr>
          <w:sz w:val="24"/>
          <w:szCs w:val="24"/>
          <w:color w:val="auto"/>
        </w:rPr>
      </w:pPr>
    </w:p>
    <w:p>
      <w:pPr>
        <w:ind w:left="540"/>
        <w:spacing w:after="0"/>
        <w:tabs>
          <w:tab w:leader="none" w:pos="8380" w:val="left"/>
        </w:tabs>
        <w:rPr>
          <w:sz w:val="20"/>
          <w:szCs w:val="20"/>
          <w:color w:val="auto"/>
        </w:rPr>
      </w:pPr>
      <w:r>
        <w:rPr>
          <w:rFonts w:ascii="Arial" w:cs="Arial" w:eastAsia="Arial" w:hAnsi="Arial"/>
          <w:sz w:val="14"/>
          <w:szCs w:val="14"/>
          <w:b w:val="1"/>
          <w:bCs w:val="1"/>
          <w:color w:val="auto"/>
        </w:rPr>
        <w:t>(State or other jurisdiction of incorporation or organization)</w:t>
      </w:r>
      <w:r>
        <w:rPr>
          <w:sz w:val="20"/>
          <w:szCs w:val="20"/>
          <w:color w:val="auto"/>
        </w:rPr>
        <w:tab/>
      </w:r>
      <w:r>
        <w:rPr>
          <w:rFonts w:ascii="Arial" w:cs="Arial" w:eastAsia="Arial" w:hAnsi="Arial"/>
          <w:sz w:val="13"/>
          <w:szCs w:val="13"/>
          <w:b w:val="1"/>
          <w:bCs w:val="1"/>
          <w:color w:val="auto"/>
        </w:rPr>
        <w:t>(I.R.S. Employer Identification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118745</wp:posOffset>
            </wp:positionV>
            <wp:extent cx="2955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1800 Owens Street</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San Francisco, California 94158</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(415) 857-6800</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116205</wp:posOffset>
            </wp:positionV>
            <wp:extent cx="2955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25400</wp:posOffset>
            </wp:positionV>
            <wp:extent cx="6259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59195" cy="8255"/>
                    </a:xfrm>
                    <a:prstGeom prst="rect">
                      <a:avLst/>
                    </a:prstGeom>
                    <a:noFill/>
                  </pic:spPr>
                </pic:pic>
              </a:graphicData>
            </a:graphic>
          </wp:anchor>
        </w:drawing>
      </w:r>
    </w:p>
    <w:p>
      <w:pPr>
        <w:spacing w:after="0" w:line="55" w:lineRule="exact"/>
        <w:rPr>
          <w:sz w:val="24"/>
          <w:szCs w:val="24"/>
          <w:color w:val="auto"/>
        </w:rPr>
      </w:pPr>
    </w:p>
    <w:tbl>
      <w:tblPr>
        <w:tblLayout w:type="fixed"/>
        <w:tblInd w:w="78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1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158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Name of exchange on which registered</w:t>
            </w:r>
          </w:p>
        </w:tc>
      </w:tr>
      <w:tr>
        <w:trPr>
          <w:trHeight w:val="190"/>
        </w:trPr>
        <w:tc>
          <w:tcPr>
            <w:tcW w:w="3640" w:type="dxa"/>
            <w:vAlign w:val="bottom"/>
            <w:gridSpan w:val="3"/>
          </w:tcPr>
          <w:p>
            <w:pPr>
              <w:jc w:val="center"/>
              <w:ind w:right="620"/>
              <w:spacing w:after="0"/>
              <w:rPr>
                <w:sz w:val="20"/>
                <w:szCs w:val="20"/>
                <w:color w:val="auto"/>
              </w:rPr>
            </w:pPr>
            <w:r>
              <w:rPr>
                <w:rFonts w:ascii="Arial" w:cs="Arial" w:eastAsia="Arial" w:hAnsi="Arial"/>
                <w:sz w:val="14"/>
                <w:szCs w:val="14"/>
                <w:color w:val="auto"/>
                <w:w w:val="89"/>
              </w:rPr>
              <w:t>Class A Common Stock, par value $0.00001 per share</w:t>
            </w:r>
          </w:p>
        </w:tc>
        <w:tc>
          <w:tcPr>
            <w:tcW w:w="600" w:type="dxa"/>
            <w:vAlign w:val="bottom"/>
          </w:tcPr>
          <w:p>
            <w:pPr>
              <w:spacing w:after="0"/>
              <w:rPr>
                <w:sz w:val="16"/>
                <w:szCs w:val="16"/>
                <w:color w:val="auto"/>
              </w:rPr>
            </w:pPr>
          </w:p>
        </w:tc>
        <w:tc>
          <w:tcPr>
            <w:tcW w:w="2700" w:type="dxa"/>
            <w:vAlign w:val="bottom"/>
            <w:gridSpan w:val="2"/>
          </w:tcPr>
          <w:p>
            <w:pPr>
              <w:jc w:val="center"/>
              <w:ind w:right="1580"/>
              <w:spacing w:after="0"/>
              <w:rPr>
                <w:sz w:val="20"/>
                <w:szCs w:val="20"/>
                <w:color w:val="auto"/>
              </w:rPr>
            </w:pPr>
            <w:r>
              <w:rPr>
                <w:rFonts w:ascii="Arial" w:cs="Arial" w:eastAsia="Arial" w:hAnsi="Arial"/>
                <w:sz w:val="14"/>
                <w:szCs w:val="14"/>
                <w:color w:val="auto"/>
                <w:w w:val="97"/>
              </w:rPr>
              <w:t>DBX</w:t>
            </w:r>
          </w:p>
        </w:tc>
        <w:tc>
          <w:tcPr>
            <w:tcW w:w="228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r>
        <w:trPr>
          <w:trHeight w:val="183"/>
        </w:trPr>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80" w:type="dxa"/>
            <w:vAlign w:val="bottom"/>
          </w:tcPr>
          <w:p>
            <w:pPr>
              <w:jc w:val="center"/>
              <w:spacing w:after="0"/>
              <w:rPr>
                <w:sz w:val="20"/>
                <w:szCs w:val="20"/>
                <w:color w:val="auto"/>
              </w:rPr>
            </w:pPr>
            <w:r>
              <w:rPr>
                <w:rFonts w:ascii="Arial" w:cs="Arial" w:eastAsia="Arial" w:hAnsi="Arial"/>
                <w:sz w:val="14"/>
                <w:szCs w:val="14"/>
                <w:color w:val="auto"/>
                <w:w w:val="89"/>
              </w:rPr>
              <w:t>(Nasdaq Global Select Market)</w:t>
            </w:r>
          </w:p>
        </w:tc>
      </w:tr>
    </w:tbl>
    <w:p>
      <w:pPr>
        <w:spacing w:after="0" w:line="372" w:lineRule="exact"/>
        <w:rPr>
          <w:sz w:val="24"/>
          <w:szCs w:val="24"/>
          <w:color w:val="auto"/>
        </w:rPr>
      </w:pPr>
    </w:p>
    <w:p>
      <w:pPr>
        <w:ind w:right="260" w:firstLine="313"/>
        <w:spacing w:after="0" w:line="18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0" w:lineRule="exact"/>
        <w:rPr>
          <w:sz w:val="24"/>
          <w:szCs w:val="24"/>
          <w:color w:val="auto"/>
        </w:rPr>
      </w:pPr>
    </w:p>
    <w:p>
      <w:pPr>
        <w:ind w:right="140" w:firstLine="313"/>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20"/>
          </w:cols>
          <w:pgMar w:left="320" w:top="969" w:right="359" w:bottom="1440" w:gutter="0" w:footer="0" w:header="0"/>
        </w:sectPr>
      </w:pPr>
    </w:p>
    <w:p>
      <w:pPr>
        <w:spacing w:after="0" w:line="200" w:lineRule="exact"/>
        <w:rPr>
          <w:sz w:val="24"/>
          <w:szCs w:val="24"/>
          <w:color w:val="auto"/>
        </w:rPr>
      </w:pPr>
    </w:p>
    <w:p>
      <w:pPr>
        <w:ind w:firstLine="313"/>
        <w:spacing w:after="0" w:line="29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6" w:lineRule="exact"/>
        <w:rPr>
          <w:sz w:val="24"/>
          <w:szCs w:val="24"/>
          <w:color w:val="auto"/>
        </w:rPr>
      </w:pPr>
    </w:p>
    <w:p>
      <w:pPr>
        <w:ind w:left="20"/>
        <w:spacing w:after="0" w:line="161" w:lineRule="exact"/>
        <w:tabs>
          <w:tab w:leader="none" w:pos="5080" w:val="left"/>
          <w:tab w:leader="none" w:pos="55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152" w:lineRule="exact"/>
        <w:rPr>
          <w:sz w:val="24"/>
          <w:szCs w:val="24"/>
          <w:color w:val="auto"/>
        </w:rPr>
      </w:pPr>
    </w:p>
    <w:p>
      <w:pPr>
        <w:ind w:left="20"/>
        <w:spacing w:after="0" w:line="161" w:lineRule="exact"/>
        <w:tabs>
          <w:tab w:leader="none" w:pos="5080" w:val="left"/>
          <w:tab w:leader="none" w:pos="558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Smaller reporting company</w:t>
      </w:r>
    </w:p>
    <w:p>
      <w:pPr>
        <w:spacing w:after="0" w:line="138" w:lineRule="exact"/>
        <w:rPr>
          <w:sz w:val="24"/>
          <w:szCs w:val="24"/>
          <w:color w:val="auto"/>
        </w:rPr>
      </w:pPr>
    </w:p>
    <w:p>
      <w:pPr>
        <w:ind w:left="560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53" w:lineRule="exact"/>
        <w:rPr>
          <w:sz w:val="24"/>
          <w:szCs w:val="24"/>
          <w:color w:val="auto"/>
        </w:rPr>
      </w:pPr>
    </w:p>
    <w:p>
      <w:pPr>
        <w:sectPr>
          <w:pgSz w:w="11900" w:h="16838" w:orient="portrait"/>
          <w:cols w:equalWidth="0" w:num="2">
            <w:col w:w="10740" w:space="340"/>
            <w:col w:w="140"/>
          </w:cols>
          <w:pgMar w:left="320" w:top="969" w:right="359" w:bottom="1440" w:gutter="0" w:footer="0" w:header="0"/>
          <w:type w:val="continuous"/>
        </w:sectPr>
      </w:pPr>
    </w:p>
    <w:p>
      <w:pPr>
        <w:spacing w:after="0" w:line="121" w:lineRule="exact"/>
        <w:rPr>
          <w:sz w:val="24"/>
          <w:szCs w:val="24"/>
          <w:color w:val="auto"/>
        </w:rPr>
      </w:pPr>
    </w:p>
    <w:p>
      <w:pPr>
        <w:ind w:right="36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8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55" w:lineRule="exact"/>
        <w:rPr>
          <w:sz w:val="24"/>
          <w:szCs w:val="24"/>
          <w:color w:val="auto"/>
        </w:rPr>
      </w:pPr>
    </w:p>
    <w:p>
      <w:pPr>
        <w:spacing w:after="0" w:line="265" w:lineRule="auto"/>
        <w:rPr>
          <w:sz w:val="20"/>
          <w:szCs w:val="20"/>
          <w:color w:val="auto"/>
        </w:rPr>
      </w:pPr>
      <w:r>
        <w:rPr>
          <w:rFonts w:ascii="Arial" w:cs="Arial" w:eastAsia="Arial" w:hAnsi="Arial"/>
          <w:sz w:val="13"/>
          <w:szCs w:val="13"/>
          <w:color w:val="auto"/>
        </w:rPr>
        <w:t>As of August 1, 2022, there were 286,195,054 shares of the registrants’ Class A common stock outstanding (which includes 8,266,666 shares of Class A common stock subject to restricted stock awards that were granted pursuant to the Co-Founder Grant, and vest upon the satisfaction of a service condition and achievement of certain stock price goals and 2,645,619 shares of Class A common stock subject to restricted stock awards that were granted to other Dropbox executives and vest upon the satisfaction of a service condition and as applicable, achievement of certain stock price goals), 82,605,670 shares of the registrant’s Class B common stock outstanding, and no shares of the registrant’s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813435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969" w:right="35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FORWARD-LOOKING STATEMENTS</w:t>
      </w:r>
    </w:p>
    <w:p>
      <w:pPr>
        <w:spacing w:after="0" w:line="243" w:lineRule="exact"/>
        <w:rPr>
          <w:sz w:val="20"/>
          <w:szCs w:val="20"/>
          <w:color w:val="auto"/>
        </w:rPr>
      </w:pPr>
    </w:p>
    <w:p>
      <w:pPr>
        <w:ind w:firstLine="391"/>
        <w:spacing w:after="0" w:line="261"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207" w:lineRule="exact"/>
        <w:rPr>
          <w:sz w:val="20"/>
          <w:szCs w:val="20"/>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and upgrade paying users;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new users or convert registered users to paying users;</w:t>
      </w:r>
    </w:p>
    <w:p>
      <w:pPr>
        <w:spacing w:after="0" w:line="247" w:lineRule="exact"/>
        <w:rPr>
          <w:rFonts w:ascii="Arial" w:cs="Arial" w:eastAsia="Arial" w:hAnsi="Arial"/>
          <w:sz w:val="17"/>
          <w:szCs w:val="17"/>
          <w:color w:val="auto"/>
        </w:rPr>
      </w:pPr>
    </w:p>
    <w:p>
      <w:pPr>
        <w:ind w:left="700" w:right="60" w:hanging="305"/>
        <w:spacing w:after="0" w:line="287"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financial performance, including trends in revenue, costs of revenue, gross profit or gross margin, operating expenses, paying users, annual recurring revenue, average revenue per user, free cash flow, and the assumptions underlying such trends;</w:t>
      </w:r>
    </w:p>
    <w:p>
      <w:pPr>
        <w:spacing w:after="0" w:line="184" w:lineRule="exact"/>
        <w:rPr>
          <w:rFonts w:ascii="Arial" w:cs="Arial" w:eastAsia="Arial" w:hAnsi="Arial"/>
          <w:sz w:val="17"/>
          <w:szCs w:val="17"/>
          <w:color w:val="auto"/>
        </w:rPr>
      </w:pPr>
    </w:p>
    <w:p>
      <w:pPr>
        <w:ind w:left="700" w:right="420" w:hanging="305"/>
        <w:spacing w:after="0" w:line="287"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challenges and anticipated benefits to our business from our Virtual First work model as well as the impact to our financial results and business operations as a result of this model;</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compete successfully in competitive markets;</w:t>
      </w:r>
    </w:p>
    <w:p>
      <w:pPr>
        <w:spacing w:after="0" w:line="247" w:lineRule="exact"/>
        <w:rPr>
          <w:rFonts w:ascii="Arial" w:cs="Arial" w:eastAsia="Arial" w:hAnsi="Arial"/>
          <w:sz w:val="17"/>
          <w:szCs w:val="17"/>
          <w:color w:val="auto"/>
        </w:rPr>
      </w:pPr>
    </w:p>
    <w:p>
      <w:pPr>
        <w:ind w:left="700" w:right="20" w:hanging="305"/>
        <w:spacing w:after="0" w:line="320" w:lineRule="auto"/>
        <w:tabs>
          <w:tab w:leader="none" w:pos="696"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the potential ongoing impacts of the COVID-19 pandemic and related public health measures, as well as the potential for a more permanent global shift to remote work, on our business, the business of our customers, suppliers and partners, and the economy;</w:t>
      </w:r>
    </w:p>
    <w:p>
      <w:pPr>
        <w:spacing w:after="0" w:line="161" w:lineRule="exact"/>
        <w:rPr>
          <w:rFonts w:ascii="Arial" w:cs="Arial" w:eastAsia="Arial" w:hAnsi="Arial"/>
          <w:sz w:val="16"/>
          <w:szCs w:val="16"/>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demand for our platform or for content collaboration solutions in general;</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integrate our platform with others;</w:t>
      </w:r>
    </w:p>
    <w:p>
      <w:pPr>
        <w:spacing w:after="0" w:line="247" w:lineRule="exact"/>
        <w:rPr>
          <w:rFonts w:ascii="Arial" w:cs="Arial" w:eastAsia="Arial" w:hAnsi="Arial"/>
          <w:sz w:val="17"/>
          <w:szCs w:val="17"/>
          <w:color w:val="auto"/>
        </w:rPr>
      </w:pPr>
    </w:p>
    <w:p>
      <w:pPr>
        <w:ind w:left="700" w:right="180" w:hanging="305"/>
        <w:spacing w:after="0" w:line="287"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respond to rapid technological changes, including our ability to take advantage of potential market opportunities arising from what we believe to be a more permanent shift towards remote work;</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achieve or maintain profitability;</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around future growth;</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introduce new products and features;</w:t>
      </w:r>
    </w:p>
    <w:p>
      <w:pPr>
        <w:spacing w:after="0" w:line="247" w:lineRule="exact"/>
        <w:rPr>
          <w:rFonts w:ascii="Arial" w:cs="Arial" w:eastAsia="Arial" w:hAnsi="Arial"/>
          <w:sz w:val="17"/>
          <w:szCs w:val="17"/>
          <w:color w:val="auto"/>
        </w:rPr>
      </w:pPr>
    </w:p>
    <w:p>
      <w:pPr>
        <w:ind w:left="700" w:right="300" w:hanging="305"/>
        <w:spacing w:after="0" w:line="287"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retain, integrate, and manage key and other highly qualified personnel, including as a result of our transition to a Virtual First model with an increasingly distributed workforce;</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prevent security breaches and unauthorized access to customer data;</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capital allocation plans, including expected allocations of cash and timing for our share repurchases and other investments;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new or modified laws, policies, taxes, and regulations on our business;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protect, and enhance our intellectual property;</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sufficiency of our cash and cash equivalents to meet our liquidity needs; and</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Acquisitions of companies and assets.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Quarterly Report on Form 10-Q.</w:t>
      </w:r>
    </w:p>
    <w:p>
      <w:pPr>
        <w:spacing w:after="0" w:line="222" w:lineRule="exact"/>
        <w:rPr>
          <w:sz w:val="20"/>
          <w:szCs w:val="20"/>
          <w:color w:val="auto"/>
        </w:rPr>
      </w:pPr>
    </w:p>
    <w:p>
      <w:pPr>
        <w:ind w:right="80" w:firstLine="430"/>
        <w:spacing w:after="0" w:line="279" w:lineRule="auto"/>
        <w:rPr>
          <w:sz w:val="20"/>
          <w:szCs w:val="20"/>
          <w:color w:val="auto"/>
        </w:rPr>
      </w:pPr>
      <w:r>
        <w:rPr>
          <w:rFonts w:ascii="Arial" w:cs="Arial" w:eastAsia="Arial" w:hAnsi="Arial"/>
          <w:sz w:val="16"/>
          <w:szCs w:val="16"/>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67" w:lineRule="exact"/>
        <w:rPr>
          <w:sz w:val="20"/>
          <w:szCs w:val="20"/>
          <w:color w:val="auto"/>
        </w:rPr>
      </w:pPr>
    </w:p>
    <w:p>
      <w:pPr>
        <w:ind w:firstLine="430"/>
        <w:spacing w:after="0" w:line="262"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91440</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SUMMARY OF RISK FACTORS</w:t>
      </w:r>
    </w:p>
    <w:p>
      <w:pPr>
        <w:spacing w:after="0" w:line="254" w:lineRule="exact"/>
        <w:rPr>
          <w:sz w:val="20"/>
          <w:szCs w:val="20"/>
          <w:color w:val="auto"/>
        </w:rPr>
      </w:pPr>
    </w:p>
    <w:p>
      <w:pPr>
        <w:ind w:right="80" w:firstLine="391"/>
        <w:spacing w:after="0" w:line="263" w:lineRule="auto"/>
        <w:rPr>
          <w:sz w:val="20"/>
          <w:szCs w:val="20"/>
          <w:color w:val="auto"/>
        </w:rPr>
      </w:pPr>
      <w:r>
        <w:rPr>
          <w:rFonts w:ascii="Arial" w:cs="Arial" w:eastAsia="Arial" w:hAnsi="Arial"/>
          <w:sz w:val="17"/>
          <w:szCs w:val="17"/>
          <w:color w:val="auto"/>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and our other filings with the Securities and Exchange Commission ("SEC") before making an investment decision regarding our Class A common stock.</w:t>
      </w:r>
    </w:p>
    <w:p>
      <w:pPr>
        <w:spacing w:after="0" w:line="207" w:lineRule="exact"/>
        <w:rPr>
          <w:sz w:val="20"/>
          <w:szCs w:val="20"/>
          <w:color w:val="auto"/>
        </w:rPr>
      </w:pPr>
    </w:p>
    <w:p>
      <w:pPr>
        <w:ind w:left="700" w:right="260" w:hanging="305"/>
        <w:spacing w:after="0" w:line="287"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depends on our ability to retain and upgrade paying users, and any decline in renewals or upgrades could adversely affect our future results of operations.</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future growth could be harmed if we fail to attract new users or convert registered users to paying users.</w:t>
      </w:r>
    </w:p>
    <w:p>
      <w:pPr>
        <w:spacing w:after="0" w:line="247" w:lineRule="exact"/>
        <w:rPr>
          <w:rFonts w:ascii="Arial" w:cs="Arial" w:eastAsia="Arial" w:hAnsi="Arial"/>
          <w:sz w:val="17"/>
          <w:szCs w:val="17"/>
          <w:color w:val="auto"/>
        </w:rPr>
      </w:pPr>
    </w:p>
    <w:p>
      <w:pPr>
        <w:ind w:left="700" w:right="240" w:hanging="305"/>
        <w:spacing w:after="0" w:line="287"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could be damaged, and we could be subject to liability if there is any unauthorized access to our data or our users' content, including through privacy and data security breaches or incidents.</w:t>
      </w:r>
    </w:p>
    <w:p>
      <w:pPr>
        <w:spacing w:after="0" w:line="184" w:lineRule="exact"/>
        <w:rPr>
          <w:rFonts w:ascii="Arial" w:cs="Arial" w:eastAsia="Arial" w:hAnsi="Arial"/>
          <w:sz w:val="17"/>
          <w:szCs w:val="17"/>
          <w:color w:val="auto"/>
        </w:rPr>
      </w:pPr>
    </w:p>
    <w:p>
      <w:pPr>
        <w:ind w:left="700" w:right="300" w:hanging="305"/>
        <w:spacing w:after="0" w:line="287"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a limited history of operating with a Virtual First workforce and the long-term impact on our financial results and business operations is uncertain.</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operate in competitive markets, and we must continue to compete effectively.</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business depends upon the interoperability of our platform across devices, operating systems, and third-party applications that we do not control.</w:t>
      </w:r>
    </w:p>
    <w:p>
      <w:pPr>
        <w:spacing w:after="0" w:line="270" w:lineRule="exact"/>
        <w:rPr>
          <w:rFonts w:ascii="Arial" w:cs="Arial" w:eastAsia="Arial" w:hAnsi="Arial"/>
          <w:sz w:val="15"/>
          <w:szCs w:val="15"/>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could be harmed by any significant disruption of service on our platform or loss of content.</w:t>
      </w:r>
    </w:p>
    <w:p>
      <w:pPr>
        <w:spacing w:after="0" w:line="247" w:lineRule="exact"/>
        <w:rPr>
          <w:rFonts w:ascii="Arial" w:cs="Arial" w:eastAsia="Arial" w:hAnsi="Arial"/>
          <w:sz w:val="17"/>
          <w:szCs w:val="17"/>
          <w:color w:val="auto"/>
        </w:rPr>
      </w:pPr>
    </w:p>
    <w:p>
      <w:pPr>
        <w:ind w:left="700" w:hanging="305"/>
        <w:spacing w:after="0" w:line="287"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generate revenue from sales of subscriptions to our platform, and any decline in demand for our platform or for content collaboration solutions in general could negatively impact our business.</w:t>
      </w:r>
    </w:p>
    <w:p>
      <w:pPr>
        <w:spacing w:after="0" w:line="184" w:lineRule="exact"/>
        <w:rPr>
          <w:rFonts w:ascii="Arial" w:cs="Arial" w:eastAsia="Arial" w:hAnsi="Arial"/>
          <w:sz w:val="17"/>
          <w:szCs w:val="17"/>
          <w:color w:val="auto"/>
        </w:rPr>
      </w:pPr>
    </w:p>
    <w:p>
      <w:pPr>
        <w:ind w:left="700" w:right="580" w:hanging="305"/>
        <w:spacing w:after="0" w:line="287"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to respond to rapid technological changes, extend our platform, or develop new features or products may harm our ability to compete effectively, which would adversely affect our business.</w:t>
      </w:r>
    </w:p>
    <w:p>
      <w:pPr>
        <w:spacing w:after="0" w:line="184" w:lineRule="exact"/>
        <w:rPr>
          <w:rFonts w:ascii="Arial" w:cs="Arial" w:eastAsia="Arial" w:hAnsi="Arial"/>
          <w:sz w:val="17"/>
          <w:szCs w:val="17"/>
          <w:color w:val="auto"/>
        </w:rPr>
      </w:pPr>
    </w:p>
    <w:p>
      <w:pPr>
        <w:ind w:left="700" w:right="160" w:hanging="305"/>
        <w:spacing w:after="0" w:line="287"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full extent of the impacts of the on-going COVID-19 pandemic on our business is currently unknown, but it may adversely affect our financial results as well as our business operations.</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not successfully manage our growth or plan for future growth.</w:t>
      </w:r>
    </w:p>
    <w:p>
      <w:pPr>
        <w:spacing w:after="0" w:line="247" w:lineRule="exact"/>
        <w:rPr>
          <w:rFonts w:ascii="Arial" w:cs="Arial" w:eastAsia="Arial" w:hAnsi="Arial"/>
          <w:sz w:val="17"/>
          <w:szCs w:val="17"/>
          <w:color w:val="auto"/>
        </w:rPr>
      </w:pPr>
    </w:p>
    <w:p>
      <w:pPr>
        <w:ind w:left="700" w:right="140" w:hanging="305"/>
        <w:spacing w:after="0" w:line="287"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depend on our key personnel and other highly qualified personnel, and if we fail to attract, integrate, and retain our personnel, and maintain our unique corporate culture, our business could be harmed.</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lack of a significant outbound sales force may limit the potential growth of our business.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revenue growth rate has declined in recent periods and may continue to slow in the future.</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a history of net losses, we may increase expenses in the future, and we may not be able to achieve or to maintain profitability.</w:t>
      </w:r>
    </w:p>
    <w:p>
      <w:pPr>
        <w:spacing w:after="0" w:line="247" w:lineRule="exact"/>
        <w:rPr>
          <w:rFonts w:ascii="Arial" w:cs="Arial" w:eastAsia="Arial" w:hAnsi="Arial"/>
          <w:sz w:val="17"/>
          <w:szCs w:val="17"/>
          <w:color w:val="auto"/>
        </w:rPr>
      </w:pPr>
    </w:p>
    <w:p>
      <w:pPr>
        <w:ind w:left="700" w:right="80" w:hanging="305"/>
        <w:spacing w:after="0" w:line="287"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Servicing our 2026 Notes and 2028 Notes (as defined below) may require a significant amount of cash, and we may not have sufficient cash flow or the ability to raise the funds necessary to satisfy our obligations under the 2026 Notes or 2028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4" w:name="page5"/>
    <w:bookmarkEnd w:id="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OF CONTENTS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80" w:type="dxa"/>
            <w:vAlign w:val="bottom"/>
            <w:gridSpan w:val="4"/>
          </w:tcPr>
          <w:p>
            <w:pPr>
              <w:jc w:val="right"/>
              <w:spacing w:after="0"/>
              <w:rPr>
                <w:sz w:val="20"/>
                <w:szCs w:val="20"/>
                <w:color w:val="auto"/>
              </w:rPr>
            </w:pPr>
            <w:r>
              <w:rPr>
                <w:rFonts w:ascii="Arial" w:cs="Arial" w:eastAsia="Arial" w:hAnsi="Arial"/>
                <w:sz w:val="16"/>
                <w:szCs w:val="16"/>
                <w:b w:val="1"/>
                <w:bCs w:val="1"/>
                <w:color w:val="auto"/>
              </w:rPr>
              <w:t>Page</w:t>
            </w:r>
          </w:p>
        </w:tc>
      </w:tr>
      <w:tr>
        <w:trPr>
          <w:trHeight w:val="189"/>
        </w:trPr>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520" w:type="dxa"/>
            <w:vAlign w:val="bottom"/>
            <w:tcBorders>
              <w:bottom w:val="single" w:sz="8" w:color="0000FF"/>
            </w:tcBorders>
            <w:gridSpan w:val="9"/>
          </w:tcPr>
          <w:p>
            <w:pPr>
              <w:jc w:val="center"/>
              <w:spacing w:after="0"/>
              <w:rPr>
                <w:rFonts w:ascii="Arial" w:cs="Arial" w:eastAsia="Arial" w:hAnsi="Arial"/>
                <w:sz w:val="16"/>
                <w:szCs w:val="16"/>
                <w:color w:val="0000FF"/>
                <w:w w:val="96"/>
              </w:rPr>
            </w:pPr>
            <w:hyperlink w:anchor="page5">
              <w:r>
                <w:rPr>
                  <w:rFonts w:ascii="Arial" w:cs="Arial" w:eastAsia="Arial" w:hAnsi="Arial"/>
                  <w:sz w:val="16"/>
                  <w:szCs w:val="16"/>
                  <w:color w:val="0000FF"/>
                  <w:w w:val="96"/>
                </w:rPr>
                <w:t>PART I. FINANCIAL INFORMATION</w:t>
              </w:r>
            </w:hyperlink>
          </w:p>
        </w:tc>
        <w:tc>
          <w:tcPr>
            <w:tcW w:w="3020" w:type="dxa"/>
            <w:vAlign w:val="bottom"/>
            <w:gridSpan w:val="5"/>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3700" w:type="dxa"/>
            <w:vAlign w:val="bottom"/>
            <w:tcBorders>
              <w:bottom w:val="single" w:sz="8" w:color="0000FF"/>
            </w:tcBorders>
            <w:gridSpan w:val="10"/>
          </w:tcPr>
          <w:p>
            <w:pPr>
              <w:spacing w:after="0"/>
              <w:rPr>
                <w:rFonts w:ascii="Arial" w:cs="Arial" w:eastAsia="Arial" w:hAnsi="Arial"/>
                <w:sz w:val="16"/>
                <w:szCs w:val="16"/>
                <w:color w:val="0000FF"/>
                <w:w w:val="87"/>
              </w:rPr>
            </w:pPr>
            <w:hyperlink w:anchor="page6">
              <w:r>
                <w:rPr>
                  <w:rFonts w:ascii="Arial" w:cs="Arial" w:eastAsia="Arial" w:hAnsi="Arial"/>
                  <w:sz w:val="16"/>
                  <w:szCs w:val="16"/>
                  <w:color w:val="0000FF"/>
                  <w:w w:val="87"/>
                </w:rPr>
                <w:t>Condensed Consolidated Financial Statements (Unaudited)</w:t>
              </w:r>
            </w:hyperlink>
          </w:p>
        </w:tc>
        <w:tc>
          <w:tcPr>
            <w:tcW w:w="5180" w:type="dxa"/>
            <w:vAlign w:val="bottom"/>
            <w:gridSpan w:val="11"/>
          </w:tcPr>
          <w:p>
            <w:pPr>
              <w:spacing w:after="0"/>
              <w:rPr>
                <w:sz w:val="16"/>
                <w:szCs w:val="16"/>
                <w:color w:val="auto"/>
              </w:rPr>
            </w:pPr>
          </w:p>
        </w:tc>
        <w:tc>
          <w:tcPr>
            <w:tcW w:w="1300" w:type="dxa"/>
            <w:vAlign w:val="bottom"/>
            <w:gridSpan w:val="3"/>
          </w:tcPr>
          <w:p>
            <w:pPr>
              <w:spacing w:after="0"/>
              <w:rPr>
                <w:sz w:val="16"/>
                <w:szCs w:val="16"/>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6</w:t>
              </w:r>
            </w:hyperlink>
          </w:p>
        </w:tc>
      </w:tr>
      <w:tr>
        <w:trPr>
          <w:trHeight w:val="189"/>
        </w:trPr>
        <w:tc>
          <w:tcPr>
            <w:tcW w:w="920" w:type="dxa"/>
            <w:vAlign w:val="bottom"/>
          </w:tcPr>
          <w:p>
            <w:pPr>
              <w:spacing w:after="0"/>
              <w:rPr>
                <w:sz w:val="16"/>
                <w:szCs w:val="16"/>
                <w:color w:val="auto"/>
              </w:rPr>
            </w:pPr>
          </w:p>
        </w:tc>
        <w:tc>
          <w:tcPr>
            <w:tcW w:w="5340" w:type="dxa"/>
            <w:vAlign w:val="bottom"/>
            <w:tcBorders>
              <w:bottom w:val="single" w:sz="8" w:color="0000FF"/>
            </w:tcBorders>
            <w:gridSpan w:val="13"/>
          </w:tcPr>
          <w:p>
            <w:pPr>
              <w:spacing w:after="0"/>
              <w:rPr>
                <w:rFonts w:ascii="Arial" w:cs="Arial" w:eastAsia="Arial" w:hAnsi="Arial"/>
                <w:sz w:val="16"/>
                <w:szCs w:val="16"/>
                <w:color w:val="0000FF"/>
                <w:w w:val="86"/>
              </w:rPr>
            </w:pPr>
            <w:hyperlink w:anchor="page6">
              <w:r>
                <w:rPr>
                  <w:rFonts w:ascii="Arial" w:cs="Arial" w:eastAsia="Arial" w:hAnsi="Arial"/>
                  <w:sz w:val="16"/>
                  <w:szCs w:val="16"/>
                  <w:color w:val="0000FF"/>
                  <w:w w:val="86"/>
                </w:rPr>
                <w:t xml:space="preserve">Condensed Consolidated Balance Sheets as of June </w:t>
              </w:r>
            </w:hyperlink>
            <w:r>
              <w:rPr>
                <w:rFonts w:ascii="Arial" w:cs="Arial" w:eastAsia="Arial" w:hAnsi="Arial"/>
                <w:sz w:val="16"/>
                <w:szCs w:val="16"/>
                <w:color w:val="0000FF"/>
                <w:w w:val="86"/>
              </w:rPr>
              <w:t xml:space="preserve">30, </w:t>
            </w:r>
            <w:hyperlink w:anchor="page6">
              <w:r>
                <w:rPr>
                  <w:rFonts w:ascii="Arial" w:cs="Arial" w:eastAsia="Arial" w:hAnsi="Arial"/>
                  <w:sz w:val="16"/>
                  <w:szCs w:val="16"/>
                  <w:color w:val="0000FF"/>
                  <w:w w:val="86"/>
                </w:rPr>
                <w:t>2022 and December 31, 2021</w:t>
              </w:r>
            </w:hyperlink>
          </w:p>
        </w:tc>
        <w:tc>
          <w:tcPr>
            <w:tcW w:w="3540" w:type="dxa"/>
            <w:vAlign w:val="bottom"/>
            <w:gridSpan w:val="8"/>
          </w:tcPr>
          <w:p>
            <w:pPr>
              <w:spacing w:after="0"/>
              <w:rPr>
                <w:sz w:val="16"/>
                <w:szCs w:val="16"/>
                <w:color w:val="auto"/>
              </w:rPr>
            </w:pPr>
          </w:p>
        </w:tc>
        <w:tc>
          <w:tcPr>
            <w:tcW w:w="1300" w:type="dxa"/>
            <w:vAlign w:val="bottom"/>
            <w:gridSpan w:val="3"/>
          </w:tcPr>
          <w:p>
            <w:pPr>
              <w:spacing w:after="0"/>
              <w:rPr>
                <w:sz w:val="16"/>
                <w:szCs w:val="16"/>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6</w:t>
              </w:r>
            </w:hyperlink>
          </w:p>
        </w:tc>
      </w:tr>
      <w:tr>
        <w:trPr>
          <w:trHeight w:val="189"/>
        </w:trPr>
        <w:tc>
          <w:tcPr>
            <w:tcW w:w="920" w:type="dxa"/>
            <w:vAlign w:val="bottom"/>
          </w:tcPr>
          <w:p>
            <w:pPr>
              <w:spacing w:after="0"/>
              <w:rPr>
                <w:sz w:val="16"/>
                <w:szCs w:val="16"/>
                <w:color w:val="auto"/>
              </w:rPr>
            </w:pPr>
          </w:p>
        </w:tc>
        <w:tc>
          <w:tcPr>
            <w:tcW w:w="7080" w:type="dxa"/>
            <w:vAlign w:val="bottom"/>
            <w:tcBorders>
              <w:bottom w:val="single" w:sz="8" w:color="0000FF"/>
            </w:tcBorders>
            <w:gridSpan w:val="18"/>
          </w:tcPr>
          <w:p>
            <w:pPr>
              <w:spacing w:after="0"/>
              <w:rPr>
                <w:rFonts w:ascii="Arial" w:cs="Arial" w:eastAsia="Arial" w:hAnsi="Arial"/>
                <w:sz w:val="16"/>
                <w:szCs w:val="16"/>
                <w:color w:val="0000FF"/>
                <w:w w:val="87"/>
              </w:rPr>
            </w:pPr>
            <w:hyperlink w:anchor="page6">
              <w:r>
                <w:rPr>
                  <w:rFonts w:ascii="Arial" w:cs="Arial" w:eastAsia="Arial" w:hAnsi="Arial"/>
                  <w:sz w:val="16"/>
                  <w:szCs w:val="16"/>
                  <w:color w:val="0000FF"/>
                  <w:w w:val="87"/>
                </w:rPr>
                <w:t xml:space="preserve">Condensed Consolidated Statements of Operations for the Three and Six Months Ended June </w:t>
              </w:r>
            </w:hyperlink>
            <w:r>
              <w:rPr>
                <w:rFonts w:ascii="Arial" w:cs="Arial" w:eastAsia="Arial" w:hAnsi="Arial"/>
                <w:sz w:val="16"/>
                <w:szCs w:val="16"/>
                <w:color w:val="0000FF"/>
                <w:w w:val="87"/>
              </w:rPr>
              <w:t xml:space="preserve">30, </w:t>
            </w:r>
            <w:hyperlink w:anchor="page6">
              <w:r>
                <w:rPr>
                  <w:rFonts w:ascii="Arial" w:cs="Arial" w:eastAsia="Arial" w:hAnsi="Arial"/>
                  <w:sz w:val="16"/>
                  <w:szCs w:val="16"/>
                  <w:color w:val="0000FF"/>
                  <w:w w:val="87"/>
                </w:rPr>
                <w:t>2022 and 2021</w:t>
              </w:r>
            </w:hyperlink>
          </w:p>
        </w:tc>
        <w:tc>
          <w:tcPr>
            <w:tcW w:w="1800" w:type="dxa"/>
            <w:vAlign w:val="bottom"/>
            <w:gridSpan w:val="3"/>
          </w:tcPr>
          <w:p>
            <w:pPr>
              <w:spacing w:after="0"/>
              <w:rPr>
                <w:sz w:val="16"/>
                <w:szCs w:val="16"/>
                <w:color w:val="auto"/>
              </w:rPr>
            </w:pPr>
          </w:p>
        </w:tc>
        <w:tc>
          <w:tcPr>
            <w:tcW w:w="1300" w:type="dxa"/>
            <w:vAlign w:val="bottom"/>
            <w:gridSpan w:val="3"/>
          </w:tcPr>
          <w:p>
            <w:pPr>
              <w:spacing w:after="0"/>
              <w:rPr>
                <w:sz w:val="16"/>
                <w:szCs w:val="16"/>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r>
      <w:tr>
        <w:trPr>
          <w:trHeight w:val="189"/>
        </w:trPr>
        <w:tc>
          <w:tcPr>
            <w:tcW w:w="920" w:type="dxa"/>
            <w:vAlign w:val="bottom"/>
          </w:tcPr>
          <w:p>
            <w:pPr>
              <w:spacing w:after="0"/>
              <w:rPr>
                <w:sz w:val="16"/>
                <w:szCs w:val="16"/>
                <w:color w:val="auto"/>
              </w:rPr>
            </w:pPr>
          </w:p>
        </w:tc>
        <w:tc>
          <w:tcPr>
            <w:tcW w:w="7840" w:type="dxa"/>
            <w:vAlign w:val="bottom"/>
            <w:tcBorders>
              <w:bottom w:val="single" w:sz="8" w:color="0000FF"/>
            </w:tcBorders>
            <w:gridSpan w:val="20"/>
          </w:tcPr>
          <w:p>
            <w:pPr>
              <w:spacing w:after="0"/>
              <w:rPr>
                <w:rFonts w:ascii="Arial" w:cs="Arial" w:eastAsia="Arial" w:hAnsi="Arial"/>
                <w:sz w:val="16"/>
                <w:szCs w:val="16"/>
                <w:color w:val="0000FF"/>
                <w:w w:val="87"/>
              </w:rPr>
            </w:pPr>
            <w:hyperlink w:anchor="page7">
              <w:r>
                <w:rPr>
                  <w:rFonts w:ascii="Arial" w:cs="Arial" w:eastAsia="Arial" w:hAnsi="Arial"/>
                  <w:sz w:val="16"/>
                  <w:szCs w:val="16"/>
                  <w:color w:val="0000FF"/>
                  <w:w w:val="87"/>
                </w:rPr>
                <w:t>Condensed Consolidated Statements of Comprehensive Income for the Three and Six Months Ended June 30, 2022 and 2021</w:t>
              </w:r>
            </w:hyperlink>
          </w:p>
        </w:tc>
        <w:tc>
          <w:tcPr>
            <w:tcW w:w="1040" w:type="dxa"/>
            <w:vAlign w:val="bottom"/>
          </w:tcPr>
          <w:p>
            <w:pPr>
              <w:spacing w:after="0"/>
              <w:rPr>
                <w:sz w:val="16"/>
                <w:szCs w:val="16"/>
                <w:color w:val="auto"/>
              </w:rPr>
            </w:pPr>
          </w:p>
        </w:tc>
        <w:tc>
          <w:tcPr>
            <w:tcW w:w="1300" w:type="dxa"/>
            <w:vAlign w:val="bottom"/>
            <w:gridSpan w:val="3"/>
          </w:tcPr>
          <w:p>
            <w:pPr>
              <w:spacing w:after="0"/>
              <w:rPr>
                <w:sz w:val="16"/>
                <w:szCs w:val="16"/>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8</w:t>
              </w:r>
            </w:hyperlink>
          </w:p>
        </w:tc>
      </w:tr>
      <w:tr>
        <w:trPr>
          <w:trHeight w:val="189"/>
        </w:trPr>
        <w:tc>
          <w:tcPr>
            <w:tcW w:w="920" w:type="dxa"/>
            <w:vAlign w:val="bottom"/>
          </w:tcPr>
          <w:p>
            <w:pPr>
              <w:spacing w:after="0"/>
              <w:rPr>
                <w:sz w:val="16"/>
                <w:szCs w:val="16"/>
                <w:color w:val="auto"/>
              </w:rPr>
            </w:pPr>
          </w:p>
        </w:tc>
        <w:tc>
          <w:tcPr>
            <w:tcW w:w="8880" w:type="dxa"/>
            <w:vAlign w:val="bottom"/>
            <w:tcBorders>
              <w:bottom w:val="single" w:sz="8" w:color="0000FF"/>
            </w:tcBorders>
            <w:gridSpan w:val="21"/>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Condensed Consolidated Statements of Stockholders' Deficit for the Three and Six Months Ended June 30, 2022 and 2021</w:t>
              </w:r>
            </w:hyperlink>
          </w:p>
        </w:tc>
        <w:tc>
          <w:tcPr>
            <w:tcW w:w="1300" w:type="dxa"/>
            <w:vAlign w:val="bottom"/>
            <w:gridSpan w:val="3"/>
          </w:tcPr>
          <w:p>
            <w:pPr>
              <w:spacing w:after="0"/>
              <w:rPr>
                <w:sz w:val="16"/>
                <w:szCs w:val="16"/>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8">
              <w:r>
                <w:rPr>
                  <w:rFonts w:ascii="Arial" w:cs="Arial" w:eastAsia="Arial" w:hAnsi="Arial"/>
                  <w:sz w:val="15"/>
                  <w:szCs w:val="15"/>
                  <w:color w:val="0000FF"/>
                  <w:w w:val="71"/>
                </w:rPr>
                <w:t>9</w:t>
              </w:r>
            </w:hyperlink>
          </w:p>
        </w:tc>
      </w:tr>
      <w:tr>
        <w:trPr>
          <w:trHeight w:val="189"/>
        </w:trPr>
        <w:tc>
          <w:tcPr>
            <w:tcW w:w="920" w:type="dxa"/>
            <w:vAlign w:val="bottom"/>
          </w:tcPr>
          <w:p>
            <w:pPr>
              <w:spacing w:after="0"/>
              <w:rPr>
                <w:sz w:val="16"/>
                <w:szCs w:val="16"/>
                <w:color w:val="auto"/>
              </w:rPr>
            </w:pPr>
          </w:p>
        </w:tc>
        <w:tc>
          <w:tcPr>
            <w:tcW w:w="7080" w:type="dxa"/>
            <w:vAlign w:val="bottom"/>
            <w:tcBorders>
              <w:bottom w:val="single" w:sz="8" w:color="0000FF"/>
            </w:tcBorders>
            <w:gridSpan w:val="18"/>
          </w:tcPr>
          <w:p>
            <w:pPr>
              <w:spacing w:after="0"/>
              <w:rPr>
                <w:rFonts w:ascii="Arial" w:cs="Arial" w:eastAsia="Arial" w:hAnsi="Arial"/>
                <w:sz w:val="16"/>
                <w:szCs w:val="16"/>
                <w:color w:val="0000FF"/>
                <w:w w:val="87"/>
              </w:rPr>
            </w:pPr>
            <w:hyperlink w:anchor="page10">
              <w:r>
                <w:rPr>
                  <w:rFonts w:ascii="Arial" w:cs="Arial" w:eastAsia="Arial" w:hAnsi="Arial"/>
                  <w:sz w:val="16"/>
                  <w:szCs w:val="16"/>
                  <w:color w:val="0000FF"/>
                  <w:w w:val="87"/>
                </w:rPr>
                <w:t>Condensed Consolidated Statements of Cash Flows for the Three and Six Months Ended June 30, 2022 and 2021</w:t>
              </w:r>
            </w:hyperlink>
          </w:p>
        </w:tc>
        <w:tc>
          <w:tcPr>
            <w:tcW w:w="1800" w:type="dxa"/>
            <w:vAlign w:val="bottom"/>
            <w:gridSpan w:val="3"/>
          </w:tcPr>
          <w:p>
            <w:pPr>
              <w:spacing w:after="0"/>
              <w:rPr>
                <w:sz w:val="16"/>
                <w:szCs w:val="16"/>
                <w:color w:val="auto"/>
              </w:rPr>
            </w:pPr>
          </w:p>
        </w:tc>
        <w:tc>
          <w:tcPr>
            <w:tcW w:w="1220" w:type="dxa"/>
            <w:vAlign w:val="bottom"/>
            <w:gridSpan w:val="2"/>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10">
              <w:r>
                <w:rPr>
                  <w:rFonts w:ascii="Arial" w:cs="Arial" w:eastAsia="Arial" w:hAnsi="Arial"/>
                  <w:sz w:val="16"/>
                  <w:szCs w:val="16"/>
                  <w:color w:val="0000FF"/>
                  <w:w w:val="78"/>
                </w:rPr>
                <w:t>11</w:t>
              </w:r>
            </w:hyperlink>
          </w:p>
        </w:tc>
      </w:tr>
      <w:tr>
        <w:trPr>
          <w:trHeight w:val="189"/>
        </w:trPr>
        <w:tc>
          <w:tcPr>
            <w:tcW w:w="920" w:type="dxa"/>
            <w:vAlign w:val="bottom"/>
          </w:tcPr>
          <w:p>
            <w:pPr>
              <w:spacing w:after="0"/>
              <w:rPr>
                <w:sz w:val="16"/>
                <w:szCs w:val="16"/>
                <w:color w:val="auto"/>
              </w:rPr>
            </w:pPr>
          </w:p>
        </w:tc>
        <w:tc>
          <w:tcPr>
            <w:tcW w:w="8880" w:type="dxa"/>
            <w:vAlign w:val="bottom"/>
            <w:gridSpan w:val="21"/>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Notes to Condensed Consolidated Financial Statements</w:t>
              </w:r>
            </w:hyperlink>
          </w:p>
        </w:tc>
        <w:tc>
          <w:tcPr>
            <w:tcW w:w="1380" w:type="dxa"/>
            <w:vAlign w:val="bottom"/>
            <w:gridSpan w:val="4"/>
          </w:tcPr>
          <w:p>
            <w:pPr>
              <w:jc w:val="right"/>
              <w:spacing w:after="0"/>
              <w:rPr>
                <w:rFonts w:ascii="Arial" w:cs="Arial" w:eastAsia="Arial" w:hAnsi="Arial"/>
                <w:sz w:val="16"/>
                <w:szCs w:val="16"/>
                <w:color w:val="0000FF"/>
              </w:rPr>
            </w:pPr>
            <w:hyperlink w:anchor="page11">
              <w:r>
                <w:rPr>
                  <w:rFonts w:ascii="Arial" w:cs="Arial" w:eastAsia="Arial" w:hAnsi="Arial"/>
                  <w:sz w:val="16"/>
                  <w:szCs w:val="16"/>
                  <w:color w:val="0000FF"/>
                </w:rPr>
                <w:t>12</w:t>
              </w:r>
            </w:hyperlink>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5600" w:type="dxa"/>
            <w:vAlign w:val="bottom"/>
            <w:tcBorders>
              <w:bottom w:val="single" w:sz="8" w:color="0000FF"/>
            </w:tcBorders>
            <w:gridSpan w:val="14"/>
          </w:tcPr>
          <w:p>
            <w:pPr>
              <w:spacing w:after="0"/>
              <w:rPr>
                <w:rFonts w:ascii="Arial" w:cs="Arial" w:eastAsia="Arial" w:hAnsi="Arial"/>
                <w:sz w:val="16"/>
                <w:szCs w:val="16"/>
                <w:color w:val="0000FF"/>
                <w:w w:val="88"/>
              </w:rPr>
            </w:pPr>
            <w:hyperlink w:anchor="page40">
              <w:r>
                <w:rPr>
                  <w:rFonts w:ascii="Arial" w:cs="Arial" w:eastAsia="Arial" w:hAnsi="Arial"/>
                  <w:sz w:val="16"/>
                  <w:szCs w:val="16"/>
                  <w:color w:val="0000FF"/>
                  <w:w w:val="88"/>
                </w:rPr>
                <w:t>Management's Discussion and Analysis of Financial Condition and Results of Operations</w:t>
              </w:r>
            </w:hyperlink>
          </w:p>
        </w:tc>
        <w:tc>
          <w:tcPr>
            <w:tcW w:w="3280" w:type="dxa"/>
            <w:vAlign w:val="bottom"/>
            <w:gridSpan w:val="7"/>
          </w:tcPr>
          <w:p>
            <w:pPr>
              <w:spacing w:after="0"/>
              <w:rPr>
                <w:sz w:val="16"/>
                <w:szCs w:val="16"/>
                <w:color w:val="auto"/>
              </w:rPr>
            </w:pPr>
          </w:p>
        </w:tc>
        <w:tc>
          <w:tcPr>
            <w:tcW w:w="1220" w:type="dxa"/>
            <w:vAlign w:val="bottom"/>
            <w:gridSpan w:val="2"/>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0">
              <w:r>
                <w:rPr>
                  <w:rFonts w:ascii="Arial" w:cs="Arial" w:eastAsia="Arial" w:hAnsi="Arial"/>
                  <w:sz w:val="16"/>
                  <w:szCs w:val="16"/>
                  <w:color w:val="0000FF"/>
                  <w:w w:val="78"/>
                </w:rPr>
                <w:t>41</w:t>
              </w:r>
            </w:hyperlink>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3.</w:t>
            </w:r>
          </w:p>
        </w:tc>
        <w:tc>
          <w:tcPr>
            <w:tcW w:w="3800" w:type="dxa"/>
            <w:vAlign w:val="bottom"/>
            <w:tcBorders>
              <w:bottom w:val="single" w:sz="8" w:color="0000FF"/>
            </w:tcBorders>
            <w:gridSpan w:val="12"/>
          </w:tcPr>
          <w:p>
            <w:pPr>
              <w:spacing w:after="0"/>
              <w:rPr>
                <w:rFonts w:ascii="Arial" w:cs="Arial" w:eastAsia="Arial" w:hAnsi="Arial"/>
                <w:sz w:val="16"/>
                <w:szCs w:val="16"/>
                <w:color w:val="0000FF"/>
                <w:w w:val="90"/>
              </w:rPr>
            </w:pPr>
            <w:hyperlink w:anchor="page58">
              <w:r>
                <w:rPr>
                  <w:rFonts w:ascii="Arial" w:cs="Arial" w:eastAsia="Arial" w:hAnsi="Arial"/>
                  <w:sz w:val="16"/>
                  <w:szCs w:val="16"/>
                  <w:color w:val="0000FF"/>
                  <w:w w:val="90"/>
                </w:rPr>
                <w:t>Quantitative and Qualitative Disclosures About Market Risk</w:t>
              </w:r>
            </w:hyperlink>
          </w:p>
        </w:tc>
        <w:tc>
          <w:tcPr>
            <w:tcW w:w="5080" w:type="dxa"/>
            <w:vAlign w:val="bottom"/>
            <w:gridSpan w:val="9"/>
          </w:tcPr>
          <w:p>
            <w:pPr>
              <w:spacing w:after="0"/>
              <w:rPr>
                <w:sz w:val="16"/>
                <w:szCs w:val="16"/>
                <w:color w:val="auto"/>
              </w:rPr>
            </w:pPr>
          </w:p>
        </w:tc>
        <w:tc>
          <w:tcPr>
            <w:tcW w:w="1220" w:type="dxa"/>
            <w:vAlign w:val="bottom"/>
            <w:gridSpan w:val="2"/>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58">
              <w:r>
                <w:rPr>
                  <w:rFonts w:ascii="Arial" w:cs="Arial" w:eastAsia="Arial" w:hAnsi="Arial"/>
                  <w:sz w:val="16"/>
                  <w:szCs w:val="16"/>
                  <w:color w:val="0000FF"/>
                  <w:w w:val="78"/>
                </w:rPr>
                <w:t>59</w:t>
              </w:r>
            </w:hyperlink>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4.</w:t>
            </w:r>
          </w:p>
        </w:tc>
        <w:tc>
          <w:tcPr>
            <w:tcW w:w="8880" w:type="dxa"/>
            <w:vAlign w:val="bottom"/>
            <w:gridSpan w:val="21"/>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Controls and Procedures</w:t>
              </w:r>
            </w:hyperlink>
          </w:p>
        </w:tc>
        <w:tc>
          <w:tcPr>
            <w:tcW w:w="1380" w:type="dxa"/>
            <w:vAlign w:val="bottom"/>
            <w:gridSpan w:val="4"/>
          </w:tcPr>
          <w:p>
            <w:pPr>
              <w:jc w:val="right"/>
              <w:spacing w:after="0"/>
              <w:rPr>
                <w:rFonts w:ascii="Arial" w:cs="Arial" w:eastAsia="Arial" w:hAnsi="Arial"/>
                <w:sz w:val="16"/>
                <w:szCs w:val="16"/>
                <w:color w:val="0000FF"/>
              </w:rPr>
            </w:pPr>
            <w:hyperlink w:anchor="page59">
              <w:r>
                <w:rPr>
                  <w:rFonts w:ascii="Arial" w:cs="Arial" w:eastAsia="Arial" w:hAnsi="Arial"/>
                  <w:sz w:val="16"/>
                  <w:szCs w:val="16"/>
                  <w:color w:val="0000FF"/>
                </w:rPr>
                <w:t>60</w:t>
              </w:r>
            </w:hyperlink>
          </w:p>
        </w:tc>
      </w:tr>
      <w:tr>
        <w:trPr>
          <w:trHeight w:val="449"/>
        </w:trPr>
        <w:tc>
          <w:tcPr>
            <w:tcW w:w="9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Borders>
              <w:bottom w:val="single" w:sz="8" w:color="0000FF"/>
            </w:tcBorders>
            <w:gridSpan w:val="6"/>
          </w:tcPr>
          <w:p>
            <w:pPr>
              <w:jc w:val="center"/>
              <w:spacing w:after="0"/>
              <w:rPr>
                <w:rFonts w:ascii="Arial" w:cs="Arial" w:eastAsia="Arial" w:hAnsi="Arial"/>
                <w:sz w:val="16"/>
                <w:szCs w:val="16"/>
                <w:color w:val="0000FF"/>
                <w:w w:val="94"/>
              </w:rPr>
            </w:pPr>
            <w:hyperlink w:anchor="page60">
              <w:r>
                <w:rPr>
                  <w:rFonts w:ascii="Arial" w:cs="Arial" w:eastAsia="Arial" w:hAnsi="Arial"/>
                  <w:sz w:val="16"/>
                  <w:szCs w:val="16"/>
                  <w:color w:val="0000FF"/>
                  <w:w w:val="94"/>
                </w:rPr>
                <w:t>PART II. OTHER INFORMATION</w:t>
              </w:r>
            </w:hyperlink>
          </w:p>
        </w:tc>
        <w:tc>
          <w:tcPr>
            <w:tcW w:w="3160" w:type="dxa"/>
            <w:vAlign w:val="bottom"/>
            <w:gridSpan w:val="6"/>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1160" w:type="dxa"/>
            <w:vAlign w:val="bottom"/>
            <w:tcBorders>
              <w:bottom w:val="single" w:sz="8" w:color="0000FF"/>
            </w:tcBorders>
            <w:gridSpan w:val="5"/>
          </w:tcPr>
          <w:p>
            <w:pPr>
              <w:spacing w:after="0"/>
              <w:rPr>
                <w:rFonts w:ascii="Arial" w:cs="Arial" w:eastAsia="Arial" w:hAnsi="Arial"/>
                <w:sz w:val="16"/>
                <w:szCs w:val="16"/>
                <w:color w:val="0000FF"/>
                <w:w w:val="85"/>
              </w:rPr>
            </w:pPr>
            <w:hyperlink w:anchor="page61">
              <w:r>
                <w:rPr>
                  <w:rFonts w:ascii="Arial" w:cs="Arial" w:eastAsia="Arial" w:hAnsi="Arial"/>
                  <w:sz w:val="16"/>
                  <w:szCs w:val="16"/>
                  <w:color w:val="0000FF"/>
                  <w:w w:val="85"/>
                </w:rPr>
                <w:t>Legal Proceedings</w:t>
              </w:r>
            </w:hyperlink>
          </w:p>
        </w:tc>
        <w:tc>
          <w:tcPr>
            <w:tcW w:w="7720" w:type="dxa"/>
            <w:vAlign w:val="bottom"/>
            <w:gridSpan w:val="16"/>
          </w:tcPr>
          <w:p>
            <w:pPr>
              <w:spacing w:after="0"/>
              <w:rPr>
                <w:sz w:val="16"/>
                <w:szCs w:val="16"/>
                <w:color w:val="auto"/>
              </w:rPr>
            </w:pPr>
          </w:p>
        </w:tc>
        <w:tc>
          <w:tcPr>
            <w:tcW w:w="1220" w:type="dxa"/>
            <w:vAlign w:val="bottom"/>
            <w:gridSpan w:val="2"/>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61">
              <w:r>
                <w:rPr>
                  <w:rFonts w:ascii="Arial" w:cs="Arial" w:eastAsia="Arial" w:hAnsi="Arial"/>
                  <w:sz w:val="16"/>
                  <w:szCs w:val="16"/>
                  <w:color w:val="0000FF"/>
                  <w:w w:val="78"/>
                </w:rPr>
                <w:t>61</w:t>
              </w:r>
            </w:hyperlink>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1A.</w:t>
            </w:r>
          </w:p>
        </w:tc>
        <w:tc>
          <w:tcPr>
            <w:tcW w:w="8880" w:type="dxa"/>
            <w:vAlign w:val="bottom"/>
            <w:gridSpan w:val="21"/>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Risk Factors</w:t>
              </w:r>
            </w:hyperlink>
          </w:p>
        </w:tc>
        <w:tc>
          <w:tcPr>
            <w:tcW w:w="1380" w:type="dxa"/>
            <w:vAlign w:val="bottom"/>
            <w:gridSpan w:val="4"/>
          </w:tcPr>
          <w:p>
            <w:pPr>
              <w:jc w:val="right"/>
              <w:spacing w:after="0"/>
              <w:rPr>
                <w:rFonts w:ascii="Arial" w:cs="Arial" w:eastAsia="Arial" w:hAnsi="Arial"/>
                <w:sz w:val="16"/>
                <w:szCs w:val="16"/>
                <w:color w:val="0000FF"/>
              </w:rPr>
            </w:pPr>
            <w:hyperlink w:anchor="page61">
              <w:r>
                <w:rPr>
                  <w:rFonts w:ascii="Arial" w:cs="Arial" w:eastAsia="Arial" w:hAnsi="Arial"/>
                  <w:sz w:val="16"/>
                  <w:szCs w:val="16"/>
                  <w:color w:val="0000FF"/>
                </w:rPr>
                <w:t>62</w:t>
              </w:r>
            </w:hyperlink>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5100" w:type="dxa"/>
            <w:vAlign w:val="bottom"/>
            <w:gridSpan w:val="1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3780" w:type="dxa"/>
            <w:vAlign w:val="bottom"/>
            <w:tcBorders>
              <w:bottom w:val="single" w:sz="8" w:color="0000FF"/>
            </w:tcBorders>
            <w:gridSpan w:val="11"/>
          </w:tcPr>
          <w:p>
            <w:pPr>
              <w:spacing w:after="0"/>
              <w:rPr>
                <w:rFonts w:ascii="Arial" w:cs="Arial" w:eastAsia="Arial" w:hAnsi="Arial"/>
                <w:sz w:val="16"/>
                <w:szCs w:val="16"/>
                <w:color w:val="0000FF"/>
                <w:w w:val="87"/>
              </w:rPr>
            </w:pPr>
            <w:hyperlink w:anchor="page89">
              <w:r>
                <w:rPr>
                  <w:rFonts w:ascii="Arial" w:cs="Arial" w:eastAsia="Arial" w:hAnsi="Arial"/>
                  <w:sz w:val="16"/>
                  <w:szCs w:val="16"/>
                  <w:color w:val="0000FF"/>
                  <w:w w:val="87"/>
                </w:rPr>
                <w:t>Unregistered Sales of Equity Securities and Use of Proceeds</w:t>
              </w:r>
            </w:hyperlink>
          </w:p>
        </w:tc>
        <w:tc>
          <w:tcPr>
            <w:tcW w:w="5100" w:type="dxa"/>
            <w:vAlign w:val="bottom"/>
            <w:gridSpan w:val="10"/>
          </w:tcPr>
          <w:p>
            <w:pPr>
              <w:spacing w:after="0"/>
              <w:rPr>
                <w:sz w:val="16"/>
                <w:szCs w:val="16"/>
                <w:color w:val="auto"/>
              </w:rPr>
            </w:pPr>
          </w:p>
        </w:tc>
        <w:tc>
          <w:tcPr>
            <w:tcW w:w="1220" w:type="dxa"/>
            <w:vAlign w:val="bottom"/>
            <w:gridSpan w:val="2"/>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90">
              <w:r>
                <w:rPr>
                  <w:rFonts w:ascii="Arial" w:cs="Arial" w:eastAsia="Arial" w:hAnsi="Arial"/>
                  <w:sz w:val="16"/>
                  <w:szCs w:val="16"/>
                  <w:color w:val="0000FF"/>
                  <w:w w:val="78"/>
                </w:rPr>
                <w:t>90</w:t>
              </w:r>
            </w:hyperlink>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6.</w:t>
            </w:r>
          </w:p>
        </w:tc>
        <w:tc>
          <w:tcPr>
            <w:tcW w:w="520" w:type="dxa"/>
            <w:vAlign w:val="bottom"/>
            <w:tcBorders>
              <w:bottom w:val="single" w:sz="8" w:color="0000FF"/>
            </w:tcBorders>
          </w:tcPr>
          <w:p>
            <w:pPr>
              <w:spacing w:after="0"/>
              <w:rPr>
                <w:rFonts w:ascii="Arial" w:cs="Arial" w:eastAsia="Arial" w:hAnsi="Arial"/>
                <w:sz w:val="16"/>
                <w:szCs w:val="16"/>
                <w:color w:val="0000FF"/>
                <w:w w:val="89"/>
              </w:rPr>
            </w:pPr>
            <w:hyperlink w:anchor="page90">
              <w:r>
                <w:rPr>
                  <w:rFonts w:ascii="Arial" w:cs="Arial" w:eastAsia="Arial" w:hAnsi="Arial"/>
                  <w:sz w:val="16"/>
                  <w:szCs w:val="16"/>
                  <w:color w:val="0000FF"/>
                  <w:w w:val="89"/>
                </w:rPr>
                <w:t>Exhibits</w:t>
              </w:r>
            </w:hyperlink>
          </w:p>
        </w:tc>
        <w:tc>
          <w:tcPr>
            <w:tcW w:w="8360" w:type="dxa"/>
            <w:vAlign w:val="bottom"/>
            <w:gridSpan w:val="20"/>
          </w:tcPr>
          <w:p>
            <w:pPr>
              <w:spacing w:after="0"/>
              <w:rPr>
                <w:sz w:val="16"/>
                <w:szCs w:val="16"/>
                <w:color w:val="auto"/>
              </w:rPr>
            </w:pPr>
          </w:p>
        </w:tc>
        <w:tc>
          <w:tcPr>
            <w:tcW w:w="1220" w:type="dxa"/>
            <w:vAlign w:val="bottom"/>
            <w:gridSpan w:val="2"/>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90">
              <w:r>
                <w:rPr>
                  <w:rFonts w:ascii="Arial" w:cs="Arial" w:eastAsia="Arial" w:hAnsi="Arial"/>
                  <w:sz w:val="16"/>
                  <w:szCs w:val="16"/>
                  <w:color w:val="0000FF"/>
                  <w:w w:val="78"/>
                </w:rPr>
                <w:t>90</w:t>
              </w:r>
            </w:hyperlink>
          </w:p>
        </w:tc>
      </w:tr>
      <w:tr>
        <w:trPr>
          <w:trHeight w:val="189"/>
        </w:trPr>
        <w:tc>
          <w:tcPr>
            <w:tcW w:w="920" w:type="dxa"/>
            <w:vAlign w:val="bottom"/>
          </w:tcPr>
          <w:p>
            <w:pPr>
              <w:spacing w:after="0"/>
              <w:rPr>
                <w:sz w:val="16"/>
                <w:szCs w:val="16"/>
                <w:color w:val="auto"/>
              </w:rPr>
            </w:pPr>
          </w:p>
        </w:tc>
        <w:tc>
          <w:tcPr>
            <w:tcW w:w="860" w:type="dxa"/>
            <w:vAlign w:val="bottom"/>
            <w:tcBorders>
              <w:bottom w:val="single" w:sz="8" w:color="0000FF"/>
            </w:tcBorders>
            <w:gridSpan w:val="4"/>
          </w:tcPr>
          <w:p>
            <w:pPr>
              <w:spacing w:after="0"/>
              <w:rPr>
                <w:rFonts w:ascii="Arial" w:cs="Arial" w:eastAsia="Arial" w:hAnsi="Arial"/>
                <w:sz w:val="16"/>
                <w:szCs w:val="16"/>
                <w:color w:val="0000FF"/>
                <w:w w:val="91"/>
              </w:rPr>
            </w:pPr>
            <w:hyperlink w:anchor="page90">
              <w:r>
                <w:rPr>
                  <w:rFonts w:ascii="Arial" w:cs="Arial" w:eastAsia="Arial" w:hAnsi="Arial"/>
                  <w:sz w:val="16"/>
                  <w:szCs w:val="16"/>
                  <w:color w:val="0000FF"/>
                  <w:w w:val="91"/>
                </w:rPr>
                <w:t>Exhibit Index</w:t>
              </w:r>
            </w:hyperlink>
          </w:p>
        </w:tc>
        <w:tc>
          <w:tcPr>
            <w:tcW w:w="8020" w:type="dxa"/>
            <w:vAlign w:val="bottom"/>
            <w:gridSpan w:val="17"/>
          </w:tcPr>
          <w:p>
            <w:pPr>
              <w:spacing w:after="0"/>
              <w:rPr>
                <w:sz w:val="16"/>
                <w:szCs w:val="16"/>
                <w:color w:val="auto"/>
              </w:rPr>
            </w:pPr>
          </w:p>
        </w:tc>
        <w:tc>
          <w:tcPr>
            <w:tcW w:w="1220" w:type="dxa"/>
            <w:vAlign w:val="bottom"/>
            <w:gridSpan w:val="2"/>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90">
              <w:r>
                <w:rPr>
                  <w:rFonts w:ascii="Arial" w:cs="Arial" w:eastAsia="Arial" w:hAnsi="Arial"/>
                  <w:sz w:val="16"/>
                  <w:szCs w:val="16"/>
                  <w:color w:val="0000FF"/>
                  <w:w w:val="78"/>
                </w:rPr>
                <w:t>91</w:t>
              </w:r>
            </w:hyperlink>
          </w:p>
        </w:tc>
      </w:tr>
      <w:tr>
        <w:trPr>
          <w:trHeight w:val="189"/>
        </w:trPr>
        <w:tc>
          <w:tcPr>
            <w:tcW w:w="920" w:type="dxa"/>
            <w:vAlign w:val="bottom"/>
          </w:tcPr>
          <w:p>
            <w:pPr>
              <w:spacing w:after="0"/>
              <w:rPr>
                <w:sz w:val="16"/>
                <w:szCs w:val="16"/>
                <w:color w:val="auto"/>
              </w:rPr>
            </w:pPr>
          </w:p>
        </w:tc>
        <w:tc>
          <w:tcPr>
            <w:tcW w:w="660" w:type="dxa"/>
            <w:vAlign w:val="bottom"/>
            <w:tcBorders>
              <w:bottom w:val="single" w:sz="8" w:color="0000FF"/>
            </w:tcBorders>
            <w:gridSpan w:val="2"/>
          </w:tcPr>
          <w:p>
            <w:pPr>
              <w:spacing w:after="0"/>
              <w:rPr>
                <w:rFonts w:ascii="Arial" w:cs="Arial" w:eastAsia="Arial" w:hAnsi="Arial"/>
                <w:sz w:val="16"/>
                <w:szCs w:val="16"/>
                <w:color w:val="0000FF"/>
                <w:w w:val="83"/>
              </w:rPr>
            </w:pPr>
            <w:hyperlink w:anchor="page91">
              <w:r>
                <w:rPr>
                  <w:rFonts w:ascii="Arial" w:cs="Arial" w:eastAsia="Arial" w:hAnsi="Arial"/>
                  <w:sz w:val="16"/>
                  <w:szCs w:val="16"/>
                  <w:color w:val="0000FF"/>
                  <w:w w:val="83"/>
                </w:rPr>
                <w:t>Signatures</w:t>
              </w:r>
            </w:hyperlink>
          </w:p>
        </w:tc>
        <w:tc>
          <w:tcPr>
            <w:tcW w:w="8220" w:type="dxa"/>
            <w:vAlign w:val="bottom"/>
            <w:gridSpan w:val="19"/>
          </w:tcPr>
          <w:p>
            <w:pPr>
              <w:spacing w:after="0"/>
              <w:rPr>
                <w:sz w:val="16"/>
                <w:szCs w:val="16"/>
                <w:color w:val="auto"/>
              </w:rPr>
            </w:pPr>
          </w:p>
        </w:tc>
        <w:tc>
          <w:tcPr>
            <w:tcW w:w="1220" w:type="dxa"/>
            <w:vAlign w:val="bottom"/>
            <w:gridSpan w:val="2"/>
          </w:tcPr>
          <w:p>
            <w:pPr>
              <w:spacing w:after="0"/>
              <w:rPr>
                <w:sz w:val="16"/>
                <w:szCs w:val="16"/>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91">
              <w:r>
                <w:rPr>
                  <w:rFonts w:ascii="Arial" w:cs="Arial" w:eastAsia="Arial" w:hAnsi="Arial"/>
                  <w:sz w:val="16"/>
                  <w:szCs w:val="16"/>
                  <w:color w:val="0000FF"/>
                  <w:w w:val="78"/>
                </w:rPr>
                <w:t>92</w:t>
              </w:r>
            </w:hyperlink>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 FINANCIAL INFORMATION</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FINANCIAL STATEMENTS</w:t>
      </w:r>
    </w:p>
    <w:p>
      <w:pPr>
        <w:spacing w:after="0" w:line="237"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7"/>
                <w:szCs w:val="17"/>
                <w:b w:val="1"/>
                <w:bCs w:val="1"/>
                <w:color w:val="auto"/>
              </w:rPr>
              <w:t>As of</w:t>
            </w:r>
          </w:p>
        </w:tc>
        <w:tc>
          <w:tcPr>
            <w:tcW w:w="1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ind w:left="200"/>
              <w:spacing w:after="0"/>
              <w:rPr>
                <w:sz w:val="20"/>
                <w:szCs w:val="20"/>
                <w:color w:val="auto"/>
              </w:rPr>
            </w:pPr>
            <w:r>
              <w:rPr>
                <w:rFonts w:ascii="Arial" w:cs="Arial" w:eastAsia="Arial" w:hAnsi="Arial"/>
                <w:sz w:val="17"/>
                <w:szCs w:val="17"/>
                <w:b w:val="1"/>
                <w:bCs w:val="1"/>
                <w:color w:val="auto"/>
              </w:rPr>
              <w:t>June 30, 2022</w:t>
            </w:r>
          </w:p>
        </w:tc>
        <w:tc>
          <w:tcPr>
            <w:tcW w:w="240" w:type="dxa"/>
            <w:vAlign w:val="bottom"/>
          </w:tcPr>
          <w:p>
            <w:pPr>
              <w:spacing w:after="0"/>
              <w:rPr>
                <w:sz w:val="18"/>
                <w:szCs w:val="18"/>
                <w:color w:val="auto"/>
              </w:rPr>
            </w:pPr>
          </w:p>
        </w:tc>
        <w:tc>
          <w:tcPr>
            <w:tcW w:w="1800" w:type="dxa"/>
            <w:vAlign w:val="bottom"/>
          </w:tcPr>
          <w:p>
            <w:pPr>
              <w:jc w:val="right"/>
              <w:ind w:right="233"/>
              <w:spacing w:after="0"/>
              <w:rPr>
                <w:sz w:val="20"/>
                <w:szCs w:val="20"/>
                <w:color w:val="auto"/>
              </w:rPr>
            </w:pPr>
            <w:r>
              <w:rPr>
                <w:rFonts w:ascii="Arial" w:cs="Arial" w:eastAsia="Arial" w:hAnsi="Arial"/>
                <w:sz w:val="17"/>
                <w:szCs w:val="17"/>
                <w:b w:val="1"/>
                <w:bCs w:val="1"/>
                <w:color w:val="auto"/>
                <w:w w:val="95"/>
              </w:rPr>
              <w:t>December 31, 2021</w:t>
            </w:r>
          </w:p>
        </w:tc>
        <w:tc>
          <w:tcPr>
            <w:tcW w:w="0" w:type="dxa"/>
            <w:vAlign w:val="bottom"/>
          </w:tcPr>
          <w:p>
            <w:pPr>
              <w:spacing w:after="0"/>
              <w:rPr>
                <w:sz w:val="1"/>
                <w:szCs w:val="1"/>
                <w:color w:val="auto"/>
              </w:rPr>
            </w:pPr>
          </w:p>
        </w:tc>
      </w:tr>
      <w:tr>
        <w:trPr>
          <w:trHeight w:val="32"/>
        </w:trPr>
        <w:tc>
          <w:tcPr>
            <w:tcW w:w="67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533.0</w:t>
            </w:r>
          </w:p>
        </w:tc>
        <w:tc>
          <w:tcPr>
            <w:tcW w:w="0" w:type="dxa"/>
            <w:vAlign w:val="bottom"/>
          </w:tcPr>
          <w:p>
            <w:pPr>
              <w:spacing w:after="0"/>
              <w:rPr>
                <w:sz w:val="1"/>
                <w:szCs w:val="1"/>
                <w:color w:val="auto"/>
              </w:rPr>
            </w:pPr>
          </w:p>
        </w:tc>
      </w:tr>
      <w:tr>
        <w:trPr>
          <w:trHeight w:val="222"/>
        </w:trPr>
        <w:tc>
          <w:tcPr>
            <w:tcW w:w="6780" w:type="dxa"/>
            <w:vAlign w:val="bottom"/>
          </w:tcPr>
          <w:p>
            <w:pPr>
              <w:ind w:left="220"/>
              <w:spacing w:after="0"/>
              <w:rPr>
                <w:sz w:val="20"/>
                <w:szCs w:val="20"/>
                <w:color w:val="auto"/>
              </w:rPr>
            </w:pPr>
            <w:r>
              <w:rPr>
                <w:rFonts w:ascii="Arial" w:cs="Arial" w:eastAsia="Arial" w:hAnsi="Arial"/>
                <w:sz w:val="17"/>
                <w:szCs w:val="17"/>
                <w:color w:val="auto"/>
              </w:rPr>
              <w:t>Short-term investments</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1,094.2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1,185.1</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Trade and other receivables, net</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0" w:type="dxa"/>
            <w:vAlign w:val="bottom"/>
          </w:tcPr>
          <w:p>
            <w:pPr>
              <w:spacing w:after="0"/>
              <w:rPr>
                <w:sz w:val="1"/>
                <w:szCs w:val="1"/>
                <w:color w:val="auto"/>
              </w:rPr>
            </w:pPr>
          </w:p>
        </w:tc>
      </w:tr>
      <w:tr>
        <w:trPr>
          <w:trHeight w:val="222"/>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82.1</w:t>
            </w: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1,849.8</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296.3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322.0</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413.9</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46.5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356.6</w:t>
            </w:r>
          </w:p>
        </w:tc>
        <w:tc>
          <w:tcPr>
            <w:tcW w:w="0" w:type="dxa"/>
            <w:vAlign w:val="bottom"/>
          </w:tcPr>
          <w:p>
            <w:pPr>
              <w:spacing w:after="0"/>
              <w:rPr>
                <w:sz w:val="1"/>
                <w:szCs w:val="1"/>
                <w:color w:val="auto"/>
              </w:rPr>
            </w:pPr>
          </w:p>
        </w:tc>
      </w:tr>
      <w:tr>
        <w:trPr>
          <w:trHeight w:val="222"/>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95.4</w:t>
            </w:r>
          </w:p>
        </w:tc>
        <w:tc>
          <w:tcPr>
            <w:tcW w:w="0" w:type="dxa"/>
            <w:vAlign w:val="bottom"/>
          </w:tcPr>
          <w:p>
            <w:pPr>
              <w:spacing w:after="0"/>
              <w:rPr>
                <w:sz w:val="1"/>
                <w:szCs w:val="1"/>
                <w:color w:val="auto"/>
              </w:rPr>
            </w:pPr>
          </w:p>
        </w:tc>
      </w:tr>
      <w:tr>
        <w:trPr>
          <w:trHeight w:val="24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2,758.8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3,091.3</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deficit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7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and other current liabilities</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140.8</w:t>
            </w:r>
          </w:p>
        </w:tc>
        <w:tc>
          <w:tcPr>
            <w:tcW w:w="0" w:type="dxa"/>
            <w:vAlign w:val="bottom"/>
          </w:tcPr>
          <w:p>
            <w:pPr>
              <w:spacing w:after="0"/>
              <w:rPr>
                <w:sz w:val="1"/>
                <w:szCs w:val="1"/>
                <w:color w:val="auto"/>
              </w:rPr>
            </w:pPr>
          </w:p>
        </w:tc>
      </w:tr>
      <w:tr>
        <w:trPr>
          <w:trHeight w:val="222"/>
        </w:trPr>
        <w:tc>
          <w:tcPr>
            <w:tcW w:w="6780" w:type="dxa"/>
            <w:vAlign w:val="bottom"/>
          </w:tcPr>
          <w:p>
            <w:pPr>
              <w:ind w:left="220"/>
              <w:spacing w:after="0"/>
              <w:rPr>
                <w:sz w:val="20"/>
                <w:szCs w:val="20"/>
                <w:color w:val="auto"/>
              </w:rPr>
            </w:pPr>
            <w:r>
              <w:rPr>
                <w:rFonts w:ascii="Arial" w:cs="Arial" w:eastAsia="Arial" w:hAnsi="Arial"/>
                <w:sz w:val="17"/>
                <w:szCs w:val="17"/>
                <w:color w:val="auto"/>
              </w:rPr>
              <w:t>Accrued compensation and benefits</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73.5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139.1</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 liability</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0" w:type="dxa"/>
            <w:vAlign w:val="bottom"/>
          </w:tcPr>
          <w:p>
            <w:pPr>
              <w:spacing w:after="0"/>
              <w:rPr>
                <w:sz w:val="1"/>
                <w:szCs w:val="1"/>
                <w:color w:val="auto"/>
              </w:rPr>
            </w:pPr>
          </w:p>
        </w:tc>
      </w:tr>
      <w:tr>
        <w:trPr>
          <w:trHeight w:val="222"/>
        </w:trPr>
        <w:tc>
          <w:tcPr>
            <w:tcW w:w="6780" w:type="dxa"/>
            <w:vAlign w:val="bottom"/>
          </w:tcPr>
          <w:p>
            <w:pPr>
              <w:ind w:left="220"/>
              <w:spacing w:after="0"/>
              <w:rPr>
                <w:sz w:val="20"/>
                <w:szCs w:val="20"/>
                <w:color w:val="auto"/>
              </w:rPr>
            </w:pPr>
            <w:r>
              <w:rPr>
                <w:rFonts w:ascii="Arial" w:cs="Arial" w:eastAsia="Arial" w:hAnsi="Arial"/>
                <w:sz w:val="17"/>
                <w:szCs w:val="17"/>
                <w:color w:val="auto"/>
              </w:rPr>
              <w:t>Finance lease obligation</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115.0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120.4</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3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671.5</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1,135.7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1,175.8</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liability, non-current</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632.0</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7"/>
                <w:szCs w:val="17"/>
                <w:color w:val="auto"/>
              </w:rPr>
              <w:t>Finance lease obligation, non-current</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142.9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167.7</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senior notes, net, non-current</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1,370.3</w:t>
            </w:r>
          </w:p>
        </w:tc>
        <w:tc>
          <w:tcPr>
            <w:tcW w:w="0" w:type="dxa"/>
            <w:vAlign w:val="bottom"/>
          </w:tcPr>
          <w:p>
            <w:pPr>
              <w:spacing w:after="0"/>
              <w:rPr>
                <w:sz w:val="1"/>
                <w:szCs w:val="1"/>
                <w:color w:val="auto"/>
              </w:rPr>
            </w:pPr>
          </w:p>
        </w:tc>
      </w:tr>
      <w:tr>
        <w:trPr>
          <w:trHeight w:val="222"/>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non-current liabilities</w:t>
            </w: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3,301.7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3,385.2</w:t>
            </w:r>
          </w:p>
        </w:tc>
        <w:tc>
          <w:tcPr>
            <w:tcW w:w="0" w:type="dxa"/>
            <w:vAlign w:val="bottom"/>
          </w:tcPr>
          <w:p>
            <w:pPr>
              <w:spacing w:after="0"/>
              <w:rPr>
                <w:sz w:val="1"/>
                <w:szCs w:val="1"/>
                <w:color w:val="auto"/>
              </w:rPr>
            </w:pPr>
          </w:p>
        </w:tc>
      </w:tr>
      <w:tr>
        <w:trPr>
          <w:trHeight w:val="202"/>
        </w:trPr>
        <w:tc>
          <w:tcPr>
            <w:tcW w:w="6780" w:type="dxa"/>
            <w:vAlign w:val="bottom"/>
          </w:tcPr>
          <w:p>
            <w:pPr>
              <w:ind w:left="20"/>
              <w:spacing w:after="0"/>
              <w:rPr>
                <w:sz w:val="20"/>
                <w:szCs w:val="20"/>
                <w:color w:val="auto"/>
              </w:rPr>
            </w:pPr>
            <w:r>
              <w:rPr>
                <w:rFonts w:ascii="Arial" w:cs="Arial" w:eastAsia="Arial" w:hAnsi="Arial"/>
                <w:sz w:val="17"/>
                <w:szCs w:val="17"/>
                <w:color w:val="auto"/>
              </w:rPr>
              <w:t>Commitments and contingencies (Note 10)</w:t>
            </w: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220"/>
              <w:spacing w:after="0"/>
              <w:rPr>
                <w:sz w:val="20"/>
                <w:szCs w:val="20"/>
                <w:color w:val="auto"/>
              </w:rPr>
            </w:pPr>
            <w:r>
              <w:rPr>
                <w:rFonts w:ascii="Arial" w:cs="Arial" w:eastAsia="Arial" w:hAnsi="Arial"/>
                <w:sz w:val="17"/>
                <w:szCs w:val="17"/>
                <w:color w:val="auto"/>
              </w:rPr>
              <w:t>Additional paid-in-capital</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2,424.1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2,448.1</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deficit</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(2,739.4)</w:t>
            </w:r>
          </w:p>
        </w:tc>
        <w:tc>
          <w:tcPr>
            <w:tcW w:w="0" w:type="dxa"/>
            <w:vAlign w:val="bottom"/>
          </w:tcPr>
          <w:p>
            <w:pPr>
              <w:spacing w:after="0"/>
              <w:rPr>
                <w:sz w:val="1"/>
                <w:szCs w:val="1"/>
                <w:color w:val="auto"/>
              </w:rPr>
            </w:pPr>
          </w:p>
        </w:tc>
      </w:tr>
      <w:tr>
        <w:trPr>
          <w:trHeight w:val="222"/>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stockholders' deficit</w:t>
            </w:r>
          </w:p>
        </w:tc>
        <w:tc>
          <w:tcPr>
            <w:tcW w:w="3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(542.9)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(293.9)</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7"/>
                <w:szCs w:val="17"/>
                <w:b w:val="1"/>
                <w:bCs w:val="1"/>
                <w:color w:val="auto"/>
              </w:rPr>
              <w:t>Total liabilities and stockholders' deficit</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2,758.8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3,091.3</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ind w:left="3000"/>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6" w:name="page7"/>
    <w:bookmarkEnd w:id="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millions, except per share data)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20" w:type="dxa"/>
            <w:vAlign w:val="bottom"/>
            <w:gridSpan w:val="4"/>
          </w:tcPr>
          <w:p>
            <w:pPr>
              <w:jc w:val="right"/>
              <w:ind w:right="353"/>
              <w:spacing w:after="0"/>
              <w:rPr>
                <w:sz w:val="20"/>
                <w:szCs w:val="20"/>
                <w:color w:val="auto"/>
              </w:rPr>
            </w:pPr>
            <w:r>
              <w:rPr>
                <w:rFonts w:ascii="Arial" w:cs="Arial" w:eastAsia="Arial" w:hAnsi="Arial"/>
                <w:sz w:val="17"/>
                <w:szCs w:val="17"/>
                <w:b w:val="1"/>
                <w:bCs w:val="1"/>
                <w:color w:val="auto"/>
              </w:rPr>
              <w:t>Three Months Ended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Arial" w:cs="Arial" w:eastAsia="Arial" w:hAnsi="Arial"/>
                <w:sz w:val="17"/>
                <w:szCs w:val="17"/>
                <w:b w:val="1"/>
                <w:bCs w:val="1"/>
                <w:color w:val="auto"/>
              </w:rPr>
              <w:t>Six Months Ended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833"/>
              <w:spacing w:after="0"/>
              <w:rPr>
                <w:sz w:val="20"/>
                <w:szCs w:val="20"/>
                <w:color w:val="auto"/>
              </w:rPr>
            </w:pPr>
            <w:r>
              <w:rPr>
                <w:rFonts w:ascii="Arial" w:cs="Arial" w:eastAsia="Arial" w:hAnsi="Arial"/>
                <w:sz w:val="17"/>
                <w:szCs w:val="17"/>
                <w:b w:val="1"/>
                <w:bCs w:val="1"/>
                <w:color w:val="auto"/>
              </w:rPr>
              <w:t>June 30,</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60" w:type="dxa"/>
            <w:vAlign w:val="bottom"/>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95"/>
              </w:rPr>
              <w:t>2021</w:t>
            </w:r>
          </w:p>
        </w:tc>
        <w:tc>
          <w:tcPr>
            <w:tcW w:w="0" w:type="dxa"/>
            <w:vAlign w:val="bottom"/>
          </w:tcPr>
          <w:p>
            <w:pPr>
              <w:spacing w:after="0"/>
              <w:rPr>
                <w:sz w:val="1"/>
                <w:szCs w:val="1"/>
                <w:color w:val="auto"/>
              </w:rPr>
            </w:pPr>
          </w:p>
        </w:tc>
      </w:tr>
      <w:tr>
        <w:trPr>
          <w:trHeight w:val="32"/>
        </w:trPr>
        <w:tc>
          <w:tcPr>
            <w:tcW w:w="3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1,135.1</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1,042.2</w:t>
            </w:r>
          </w:p>
        </w:tc>
        <w:tc>
          <w:tcPr>
            <w:tcW w:w="0" w:type="dxa"/>
            <w:vAlign w:val="bottom"/>
          </w:tcPr>
          <w:p>
            <w:pPr>
              <w:spacing w:after="0"/>
              <w:rPr>
                <w:sz w:val="1"/>
                <w:szCs w:val="1"/>
                <w:color w:val="auto"/>
              </w:rPr>
            </w:pPr>
          </w:p>
        </w:tc>
      </w:tr>
      <w:tr>
        <w:trPr>
          <w:trHeight w:val="222"/>
        </w:trPr>
        <w:tc>
          <w:tcPr>
            <w:tcW w:w="3960" w:type="dxa"/>
            <w:vAlign w:val="bottom"/>
            <w:tcBorders>
              <w:bottom w:val="single" w:sz="8" w:color="CCEEFF"/>
            </w:tcBorders>
          </w:tcPr>
          <w:p>
            <w:pPr>
              <w:ind w:left="260"/>
              <w:spacing w:after="0" w:line="222"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105.8</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218.7</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216.4</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916.4</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825.8</w:t>
            </w:r>
          </w:p>
        </w:tc>
        <w:tc>
          <w:tcPr>
            <w:tcW w:w="0" w:type="dxa"/>
            <w:vAlign w:val="bottom"/>
          </w:tcPr>
          <w:p>
            <w:pPr>
              <w:spacing w:after="0"/>
              <w:rPr>
                <w:sz w:val="1"/>
                <w:szCs w:val="1"/>
                <w:color w:val="auto"/>
              </w:rPr>
            </w:pPr>
          </w:p>
        </w:tc>
      </w:tr>
      <w:tr>
        <w:trPr>
          <w:trHeight w:val="222"/>
        </w:trPr>
        <w:tc>
          <w:tcPr>
            <w:tcW w:w="3960" w:type="dxa"/>
            <w:vAlign w:val="bottom"/>
          </w:tcPr>
          <w:p>
            <w:pPr>
              <w:ind w:left="20"/>
              <w:spacing w:after="0" w:line="222"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Research and development</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425.8</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366.7</w:t>
            </w:r>
          </w:p>
        </w:tc>
        <w:tc>
          <w:tcPr>
            <w:tcW w:w="0" w:type="dxa"/>
            <w:vAlign w:val="bottom"/>
          </w:tcPr>
          <w:p>
            <w:pPr>
              <w:spacing w:after="0"/>
              <w:rPr>
                <w:sz w:val="1"/>
                <w:szCs w:val="1"/>
                <w:color w:val="auto"/>
              </w:rPr>
            </w:pPr>
          </w:p>
        </w:tc>
      </w:tr>
      <w:tr>
        <w:trPr>
          <w:trHeight w:val="222"/>
        </w:trPr>
        <w:tc>
          <w:tcPr>
            <w:tcW w:w="3960" w:type="dxa"/>
            <w:vAlign w:val="bottom"/>
          </w:tcPr>
          <w:p>
            <w:pPr>
              <w:ind w:left="220"/>
              <w:spacing w:after="0"/>
              <w:rPr>
                <w:sz w:val="20"/>
                <w:szCs w:val="20"/>
                <w:color w:val="auto"/>
              </w:rPr>
            </w:pPr>
            <w:r>
              <w:rPr>
                <w:rFonts w:ascii="Arial" w:cs="Arial" w:eastAsia="Arial" w:hAnsi="Arial"/>
                <w:sz w:val="17"/>
                <w:szCs w:val="17"/>
                <w:color w:val="auto"/>
              </w:rPr>
              <w:t>Sales and marketing</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105.0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100.8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200.7</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203.5</w:t>
            </w:r>
          </w:p>
        </w:tc>
        <w:tc>
          <w:tcPr>
            <w:tcW w:w="0" w:type="dxa"/>
            <w:vAlign w:val="bottom"/>
          </w:tcPr>
          <w:p>
            <w:pPr>
              <w:spacing w:after="0"/>
              <w:rPr>
                <w:sz w:val="1"/>
                <w:szCs w:val="1"/>
                <w:color w:val="auto"/>
              </w:rPr>
            </w:pPr>
          </w:p>
        </w:tc>
      </w:tr>
      <w:tr>
        <w:trPr>
          <w:trHeight w:val="222"/>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w:t>
            </w:r>
          </w:p>
        </w:tc>
        <w:tc>
          <w:tcPr>
            <w:tcW w:w="0" w:type="dxa"/>
            <w:vAlign w:val="bottom"/>
          </w:tcPr>
          <w:p>
            <w:pPr>
              <w:spacing w:after="0"/>
              <w:rPr>
                <w:sz w:val="1"/>
                <w:szCs w:val="1"/>
                <w:color w:val="auto"/>
              </w:rPr>
            </w:pPr>
          </w:p>
        </w:tc>
      </w:tr>
      <w:tr>
        <w:trPr>
          <w:trHeight w:val="222"/>
        </w:trPr>
        <w:tc>
          <w:tcPr>
            <w:tcW w:w="3960" w:type="dxa"/>
            <w:vAlign w:val="bottom"/>
          </w:tcPr>
          <w:p>
            <w:pPr>
              <w:ind w:left="220"/>
              <w:spacing w:after="0" w:line="222" w:lineRule="exact"/>
              <w:rPr>
                <w:sz w:val="20"/>
                <w:szCs w:val="20"/>
                <w:color w:val="auto"/>
              </w:rPr>
            </w:pPr>
            <w:r>
              <w:rPr>
                <w:rFonts w:ascii="Arial" w:cs="Arial" w:eastAsia="Arial" w:hAnsi="Arial"/>
                <w:sz w:val="17"/>
                <w:szCs w:val="17"/>
                <w:color w:val="auto"/>
              </w:rPr>
              <w:t>Impairment related to real estate assets</w:t>
            </w:r>
            <w:r>
              <w:rPr>
                <w:rFonts w:ascii="Arial" w:cs="Arial" w:eastAsia="Arial" w:hAnsi="Arial"/>
                <w:sz w:val="22"/>
                <w:szCs w:val="22"/>
                <w:color w:val="auto"/>
                <w:vertAlign w:val="superscript"/>
              </w:rPr>
              <w:t>(2)</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8.7</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15"/>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384.0</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339.1</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744.0</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698.9</w:t>
            </w:r>
          </w:p>
        </w:tc>
        <w:tc>
          <w:tcPr>
            <w:tcW w:w="0" w:type="dxa"/>
            <w:vAlign w:val="bottom"/>
          </w:tcPr>
          <w:p>
            <w:pPr>
              <w:spacing w:after="0"/>
              <w:rPr>
                <w:sz w:val="1"/>
                <w:szCs w:val="1"/>
                <w:color w:val="auto"/>
              </w:rPr>
            </w:pPr>
          </w:p>
        </w:tc>
      </w:tr>
      <w:tr>
        <w:trPr>
          <w:trHeight w:val="222"/>
        </w:trPr>
        <w:tc>
          <w:tcPr>
            <w:tcW w:w="396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82.9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84.4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172.4</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126.9</w:t>
            </w:r>
          </w:p>
        </w:tc>
        <w:tc>
          <w:tcPr>
            <w:tcW w:w="0" w:type="dxa"/>
            <w:vAlign w:val="bottom"/>
          </w:tcPr>
          <w:p>
            <w:pPr>
              <w:spacing w:after="0"/>
              <w:rPr>
                <w:sz w:val="1"/>
                <w:szCs w:val="1"/>
                <w:color w:val="auto"/>
              </w:rPr>
            </w:pPr>
          </w:p>
        </w:tc>
      </w:tr>
      <w:tr>
        <w:trPr>
          <w:trHeight w:val="222"/>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2"/>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(expense) income, net</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172.9</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137.4</w:t>
            </w:r>
          </w:p>
        </w:tc>
        <w:tc>
          <w:tcPr>
            <w:tcW w:w="0" w:type="dxa"/>
            <w:vAlign w:val="bottom"/>
          </w:tcPr>
          <w:p>
            <w:pPr>
              <w:spacing w:after="0"/>
              <w:rPr>
                <w:sz w:val="1"/>
                <w:szCs w:val="1"/>
                <w:color w:val="auto"/>
              </w:rPr>
            </w:pPr>
          </w:p>
        </w:tc>
      </w:tr>
      <w:tr>
        <w:trPr>
          <w:trHeight w:val="222"/>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4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141.7</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135.6</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income per share-basic and diluted:</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96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7136765" cy="157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765" cy="1574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 w:lineRule="exact"/>
        <w:rPr>
          <w:sz w:val="20"/>
          <w:szCs w:val="20"/>
          <w:color w:val="auto"/>
        </w:rPr>
      </w:pPr>
    </w:p>
    <w:p>
      <w:pPr>
        <w:ind w:left="20" w:right="1880"/>
        <w:spacing w:after="0" w:line="362" w:lineRule="auto"/>
        <w:rPr>
          <w:sz w:val="20"/>
          <w:szCs w:val="20"/>
          <w:color w:val="auto"/>
        </w:rPr>
      </w:pPr>
      <w:r>
        <w:rPr>
          <w:rFonts w:ascii="Arial" w:cs="Arial" w:eastAsia="Arial" w:hAnsi="Arial"/>
          <w:sz w:val="15"/>
          <w:szCs w:val="15"/>
          <w:color w:val="auto"/>
        </w:rPr>
        <w:t>Basic net income per share Diluted net income per share</w:t>
      </w:r>
    </w:p>
    <w:p>
      <w:pPr>
        <w:spacing w:after="0" w:line="1" w:lineRule="exact"/>
        <w:rPr>
          <w:sz w:val="20"/>
          <w:szCs w:val="20"/>
          <w:color w:val="auto"/>
        </w:rPr>
      </w:pPr>
    </w:p>
    <w:p>
      <w:pPr>
        <w:jc w:val="right"/>
        <w:ind w:left="20"/>
        <w:spacing w:after="0" w:line="272" w:lineRule="auto"/>
        <w:rPr>
          <w:sz w:val="20"/>
          <w:szCs w:val="20"/>
          <w:color w:val="auto"/>
        </w:rPr>
      </w:pPr>
      <w:r>
        <w:rPr>
          <w:rFonts w:ascii="Arial" w:cs="Arial" w:eastAsia="Arial" w:hAnsi="Arial"/>
          <w:sz w:val="15"/>
          <w:szCs w:val="15"/>
          <w:color w:val="auto"/>
        </w:rPr>
        <w:t>Weighted-average shares used in computing net income per share attributable to common stockholders, basic</w:t>
      </w:r>
    </w:p>
    <w:p>
      <w:pPr>
        <w:ind w:left="180" w:hanging="155"/>
        <w:spacing w:after="0" w:line="229" w:lineRule="auto"/>
        <w:rPr>
          <w:sz w:val="20"/>
          <w:szCs w:val="20"/>
          <w:color w:val="auto"/>
        </w:rPr>
      </w:pPr>
      <w:r>
        <w:rPr>
          <w:rFonts w:ascii="Arial" w:cs="Arial" w:eastAsia="Arial" w:hAnsi="Arial"/>
          <w:sz w:val="17"/>
          <w:szCs w:val="17"/>
          <w:color w:val="auto"/>
        </w:rPr>
        <w:t>Weighted-average shares used in computing net income per share attributable to common stockholders, diluted</w:t>
      </w:r>
    </w:p>
    <w:p>
      <w:pPr>
        <w:spacing w:after="0" w:line="121" w:lineRule="exact"/>
        <w:rPr>
          <w:sz w:val="20"/>
          <w:szCs w:val="20"/>
          <w:color w:val="auto"/>
        </w:rPr>
      </w:pPr>
    </w:p>
    <w:p>
      <w:pPr>
        <w:ind w:left="140" w:hanging="136"/>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Includes stock-based compensation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560" w:type="dxa"/>
            <w:vAlign w:val="bottom"/>
          </w:tcPr>
          <w:p>
            <w:pPr>
              <w:jc w:val="right"/>
              <w:ind w:right="73"/>
              <w:spacing w:after="0"/>
              <w:rPr>
                <w:sz w:val="20"/>
                <w:szCs w:val="20"/>
                <w:color w:val="auto"/>
              </w:rPr>
            </w:pPr>
            <w:r>
              <w:rPr>
                <w:rFonts w:ascii="Arial" w:cs="Arial" w:eastAsia="Arial" w:hAnsi="Arial"/>
                <w:sz w:val="17"/>
                <w:szCs w:val="17"/>
                <w:color w:val="auto"/>
              </w:rPr>
              <w:t>0.17</w:t>
            </w:r>
          </w:p>
        </w:tc>
        <w:tc>
          <w:tcPr>
            <w:tcW w:w="70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0.23</w:t>
            </w: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0.39</w:t>
            </w: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0.34</w:t>
            </w:r>
          </w:p>
        </w:tc>
        <w:tc>
          <w:tcPr>
            <w:tcW w:w="0" w:type="dxa"/>
            <w:vAlign w:val="bottom"/>
          </w:tcPr>
          <w:p>
            <w:pPr>
              <w:spacing w:after="0"/>
              <w:rPr>
                <w:sz w:val="1"/>
                <w:szCs w:val="1"/>
                <w:color w:val="auto"/>
              </w:rPr>
            </w:pPr>
          </w:p>
        </w:tc>
      </w:tr>
      <w:tr>
        <w:trPr>
          <w:trHeight w:val="20"/>
        </w:trPr>
        <w:tc>
          <w:tcPr>
            <w:tcW w:w="560" w:type="dxa"/>
            <w:vAlign w:val="bottom"/>
            <w:vMerge w:val="restart"/>
          </w:tcPr>
          <w:p>
            <w:pPr>
              <w:jc w:val="right"/>
              <w:ind w:right="73"/>
              <w:spacing w:after="0"/>
              <w:rPr>
                <w:sz w:val="20"/>
                <w:szCs w:val="20"/>
                <w:color w:val="auto"/>
              </w:rPr>
            </w:pPr>
            <w:r>
              <w:rPr>
                <w:rFonts w:ascii="Arial" w:cs="Arial" w:eastAsia="Arial" w:hAnsi="Arial"/>
                <w:sz w:val="17"/>
                <w:szCs w:val="17"/>
                <w:color w:val="auto"/>
              </w:rPr>
              <w:t>0.17</w:t>
            </w: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60" w:type="dxa"/>
            <w:vAlign w:val="bottom"/>
            <w:vMerge w:val="continue"/>
          </w:tcPr>
          <w:p>
            <w:pPr>
              <w:spacing w:after="0"/>
              <w:rPr>
                <w:sz w:val="18"/>
                <w:szCs w:val="18"/>
                <w:color w:val="auto"/>
              </w:rPr>
            </w:pPr>
          </w:p>
        </w:tc>
        <w:tc>
          <w:tcPr>
            <w:tcW w:w="70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0.22</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0.38</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60" w:type="dxa"/>
            <w:vAlign w:val="bottom"/>
          </w:tcPr>
          <w:p>
            <w:pPr>
              <w:jc w:val="right"/>
              <w:ind w:right="73"/>
              <w:spacing w:after="0"/>
              <w:rPr>
                <w:sz w:val="20"/>
                <w:szCs w:val="20"/>
                <w:color w:val="auto"/>
              </w:rPr>
            </w:pPr>
            <w:r>
              <w:rPr>
                <w:rFonts w:ascii="Arial" w:cs="Arial" w:eastAsia="Arial" w:hAnsi="Arial"/>
                <w:sz w:val="17"/>
                <w:szCs w:val="17"/>
                <w:color w:val="auto"/>
                <w:w w:val="89"/>
              </w:rPr>
              <w:t>364.1</w:t>
            </w:r>
          </w:p>
        </w:tc>
        <w:tc>
          <w:tcPr>
            <w:tcW w:w="7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388.4</w:t>
            </w:r>
          </w:p>
        </w:tc>
        <w:tc>
          <w:tcPr>
            <w:tcW w:w="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367.4</w:t>
            </w:r>
          </w:p>
        </w:tc>
        <w:tc>
          <w:tcPr>
            <w:tcW w:w="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60" w:type="dxa"/>
            <w:vAlign w:val="bottom"/>
          </w:tcPr>
          <w:p>
            <w:pPr>
              <w:jc w:val="right"/>
              <w:ind w:right="73"/>
              <w:spacing w:after="0"/>
              <w:rPr>
                <w:sz w:val="20"/>
                <w:szCs w:val="20"/>
                <w:color w:val="auto"/>
              </w:rPr>
            </w:pPr>
            <w:r>
              <w:rPr>
                <w:rFonts w:ascii="Arial" w:cs="Arial" w:eastAsia="Arial" w:hAnsi="Arial"/>
                <w:sz w:val="17"/>
                <w:szCs w:val="17"/>
                <w:color w:val="auto"/>
                <w:w w:val="89"/>
              </w:rPr>
              <w:t>365.7</w:t>
            </w:r>
          </w:p>
        </w:tc>
        <w:tc>
          <w:tcPr>
            <w:tcW w:w="7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397.0</w:t>
            </w:r>
          </w:p>
        </w:tc>
        <w:tc>
          <w:tcPr>
            <w:tcW w:w="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369.6</w:t>
            </w:r>
          </w:p>
        </w:tc>
        <w:tc>
          <w:tcPr>
            <w:tcW w:w="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-32385</wp:posOffset>
            </wp:positionV>
            <wp:extent cx="11093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09345" cy="8255"/>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-7620</wp:posOffset>
            </wp:positionV>
            <wp:extent cx="11093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9345" cy="8255"/>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-636905</wp:posOffset>
            </wp:positionV>
            <wp:extent cx="7136765" cy="281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765" cy="281305"/>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-786130</wp:posOffset>
            </wp:positionV>
            <wp:extent cx="11093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478" w:lineRule="exact"/>
        <w:rPr>
          <w:sz w:val="20"/>
          <w:szCs w:val="20"/>
          <w:color w:val="auto"/>
        </w:rPr>
      </w:pPr>
    </w:p>
    <w:p>
      <w:pPr>
        <w:sectPr>
          <w:pgSz w:w="11900" w:h="16838" w:orient="portrait"/>
          <w:cols w:equalWidth="0" w:num="3">
            <w:col w:w="3900" w:space="80"/>
            <w:col w:w="540" w:space="720"/>
            <w:col w:w="6000"/>
          </w:cols>
          <w:pgMar w:left="320" w:top="121" w:right="339" w:bottom="1440" w:gutter="0" w:footer="0" w:header="0"/>
          <w:type w:val="continuous"/>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60" w:type="dxa"/>
            <w:vAlign w:val="bottom"/>
            <w:gridSpan w:val="4"/>
          </w:tcPr>
          <w:p>
            <w:pPr>
              <w:jc w:val="center"/>
              <w:ind w:left="433"/>
              <w:spacing w:after="0"/>
              <w:rPr>
                <w:sz w:val="20"/>
                <w:szCs w:val="20"/>
                <w:color w:val="auto"/>
              </w:rPr>
            </w:pPr>
            <w:r>
              <w:rPr>
                <w:rFonts w:ascii="Arial" w:cs="Arial" w:eastAsia="Arial" w:hAnsi="Arial"/>
                <w:sz w:val="17"/>
                <w:szCs w:val="17"/>
                <w:b w:val="1"/>
                <w:bCs w:val="1"/>
                <w:color w:val="auto"/>
                <w:w w:val="93"/>
              </w:rPr>
              <w:t>Three Months Ended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Six Months Ended</w:t>
            </w:r>
          </w:p>
        </w:tc>
        <w:tc>
          <w:tcPr>
            <w:tcW w:w="1080" w:type="dxa"/>
            <w:vAlign w:val="bottom"/>
          </w:tcPr>
          <w:p>
            <w:pPr>
              <w:spacing w:after="0"/>
              <w:rPr>
                <w:sz w:val="16"/>
                <w:szCs w:val="16"/>
                <w:color w:val="auto"/>
              </w:rPr>
            </w:pPr>
          </w:p>
        </w:tc>
      </w:tr>
      <w:tr>
        <w:trPr>
          <w:trHeight w:val="222"/>
        </w:trPr>
        <w:tc>
          <w:tcPr>
            <w:tcW w:w="396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center"/>
              <w:ind w:right="593"/>
              <w:spacing w:after="0"/>
              <w:rPr>
                <w:sz w:val="20"/>
                <w:szCs w:val="20"/>
                <w:color w:val="auto"/>
              </w:rPr>
            </w:pPr>
            <w:r>
              <w:rPr>
                <w:rFonts w:ascii="Arial" w:cs="Arial" w:eastAsia="Arial" w:hAnsi="Arial"/>
                <w:sz w:val="17"/>
                <w:szCs w:val="17"/>
                <w:b w:val="1"/>
                <w:bCs w:val="1"/>
                <w:color w:val="auto"/>
                <w:w w:val="91"/>
              </w:rPr>
              <w:t>June 30,</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1"/>
              </w:rPr>
              <w:t>June 30,</w:t>
            </w:r>
          </w:p>
        </w:tc>
        <w:tc>
          <w:tcPr>
            <w:tcW w:w="1080" w:type="dxa"/>
            <w:vAlign w:val="bottom"/>
            <w:tcBorders>
              <w:bottom w:val="single" w:sz="8" w:color="auto"/>
            </w:tcBorders>
          </w:tcPr>
          <w:p>
            <w:pPr>
              <w:spacing w:after="0"/>
              <w:rPr>
                <w:sz w:val="19"/>
                <w:szCs w:val="19"/>
                <w:color w:val="auto"/>
              </w:rPr>
            </w:pPr>
          </w:p>
        </w:tc>
      </w:tr>
      <w:tr>
        <w:trPr>
          <w:trHeight w:val="215"/>
        </w:trPr>
        <w:tc>
          <w:tcPr>
            <w:tcW w:w="3960" w:type="dxa"/>
            <w:vAlign w:val="bottom"/>
          </w:tcPr>
          <w:p>
            <w:pPr>
              <w:spacing w:after="0"/>
              <w:rPr>
                <w:sz w:val="18"/>
                <w:szCs w:val="18"/>
                <w:color w:val="auto"/>
              </w:rPr>
            </w:pP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95"/>
              </w:rPr>
              <w:t>2021</w:t>
            </w:r>
          </w:p>
        </w:tc>
      </w:tr>
      <w:tr>
        <w:trPr>
          <w:trHeight w:val="32"/>
        </w:trPr>
        <w:tc>
          <w:tcPr>
            <w:tcW w:w="39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2"/>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of revenue</w:t>
            </w:r>
          </w:p>
        </w:tc>
        <w:tc>
          <w:tcPr>
            <w:tcW w:w="120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r>
      <w:tr>
        <w:trPr>
          <w:trHeight w:val="222"/>
        </w:trPr>
        <w:tc>
          <w:tcPr>
            <w:tcW w:w="396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58.5</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49.5</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109.0</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93.0</w:t>
            </w:r>
          </w:p>
        </w:tc>
      </w:tr>
      <w:tr>
        <w:trPr>
          <w:trHeight w:val="222"/>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Sales and marketing</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r>
      <w:tr>
        <w:trPr>
          <w:trHeight w:val="222"/>
        </w:trPr>
        <w:tc>
          <w:tcPr>
            <w:tcW w:w="3960" w:type="dxa"/>
            <w:vAlign w:val="bottom"/>
          </w:tcPr>
          <w:p>
            <w:pPr>
              <w:ind w:left="220"/>
              <w:spacing w:after="0"/>
              <w:rPr>
                <w:sz w:val="20"/>
                <w:szCs w:val="20"/>
                <w:color w:val="auto"/>
              </w:rPr>
            </w:pPr>
            <w:r>
              <w:rPr>
                <w:rFonts w:ascii="Arial" w:cs="Arial" w:eastAsia="Arial" w:hAnsi="Arial"/>
                <w:sz w:val="17"/>
                <w:szCs w:val="17"/>
                <w:color w:val="auto"/>
              </w:rPr>
              <w:t>General and administrative</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13.9</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12.3</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25.5</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24.4</w:t>
            </w:r>
          </w:p>
        </w:tc>
      </w:tr>
    </w:tbl>
    <w:p>
      <w:pPr>
        <w:spacing w:after="0" w:line="322" w:lineRule="exact"/>
        <w:rPr>
          <w:sz w:val="20"/>
          <w:szCs w:val="20"/>
          <w:color w:val="auto"/>
        </w:rPr>
      </w:pPr>
    </w:p>
    <w:p>
      <w:pPr>
        <w:ind w:left="160" w:hanging="156"/>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impairment charges related to real estate assets as a result of the Company's decision to shift to a Virtual First work model. See Note 9 "Leases" for further information.</w:t>
      </w:r>
    </w:p>
    <w:p>
      <w:pPr>
        <w:spacing w:after="0" w:line="215" w:lineRule="exact"/>
        <w:rPr>
          <w:rFonts w:ascii="Arial" w:cs="Arial" w:eastAsia="Arial" w:hAnsi="Arial"/>
          <w:sz w:val="18"/>
          <w:szCs w:val="18"/>
          <w:color w:val="auto"/>
          <w:vertAlign w:val="superscript"/>
        </w:rPr>
      </w:pPr>
    </w:p>
    <w:p>
      <w:pPr>
        <w:ind w:left="3000"/>
        <w:spacing w:after="0"/>
        <w:rPr>
          <w:rFonts w:ascii="Arial" w:cs="Arial" w:eastAsia="Arial" w:hAnsi="Arial"/>
          <w:sz w:val="18"/>
          <w:szCs w:val="18"/>
          <w:color w:val="auto"/>
          <w:vertAlign w:val="superscript"/>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60" w:type="dxa"/>
            <w:vAlign w:val="bottom"/>
            <w:gridSpan w:val="4"/>
          </w:tcPr>
          <w:p>
            <w:pPr>
              <w:jc w:val="right"/>
              <w:ind w:right="393"/>
              <w:spacing w:after="0"/>
              <w:rPr>
                <w:sz w:val="20"/>
                <w:szCs w:val="20"/>
                <w:color w:val="auto"/>
              </w:rPr>
            </w:pPr>
            <w:r>
              <w:rPr>
                <w:rFonts w:ascii="Arial" w:cs="Arial" w:eastAsia="Arial" w:hAnsi="Arial"/>
                <w:sz w:val="17"/>
                <w:szCs w:val="17"/>
                <w:b w:val="1"/>
                <w:bCs w:val="1"/>
                <w:color w:val="auto"/>
              </w:rPr>
              <w:t>Three Months Ended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Arial" w:cs="Arial" w:eastAsia="Arial" w:hAnsi="Arial"/>
                <w:sz w:val="17"/>
                <w:szCs w:val="17"/>
                <w:b w:val="1"/>
                <w:bCs w:val="1"/>
                <w:color w:val="auto"/>
              </w:rPr>
              <w:t>Six Months Ended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873"/>
              <w:spacing w:after="0"/>
              <w:rPr>
                <w:sz w:val="20"/>
                <w:szCs w:val="20"/>
                <w:color w:val="auto"/>
              </w:rPr>
            </w:pPr>
            <w:r>
              <w:rPr>
                <w:rFonts w:ascii="Arial" w:cs="Arial" w:eastAsia="Arial" w:hAnsi="Arial"/>
                <w:sz w:val="17"/>
                <w:szCs w:val="17"/>
                <w:b w:val="1"/>
                <w:bCs w:val="1"/>
                <w:color w:val="auto"/>
              </w:rPr>
              <w:t>June 30,</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60" w:type="dxa"/>
            <w:vAlign w:val="bottom"/>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95"/>
              </w:rPr>
              <w:t>2021</w:t>
            </w:r>
          </w:p>
        </w:tc>
        <w:tc>
          <w:tcPr>
            <w:tcW w:w="0" w:type="dxa"/>
            <w:vAlign w:val="bottom"/>
          </w:tcPr>
          <w:p>
            <w:pPr>
              <w:spacing w:after="0"/>
              <w:rPr>
                <w:sz w:val="1"/>
                <w:szCs w:val="1"/>
                <w:color w:val="auto"/>
              </w:rPr>
            </w:pPr>
          </w:p>
        </w:tc>
      </w:tr>
      <w:tr>
        <w:trPr>
          <w:trHeight w:val="32"/>
        </w:trPr>
        <w:tc>
          <w:tcPr>
            <w:tcW w:w="3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141.7</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135.6</w:t>
            </w:r>
          </w:p>
        </w:tc>
        <w:tc>
          <w:tcPr>
            <w:tcW w:w="0" w:type="dxa"/>
            <w:vAlign w:val="bottom"/>
          </w:tcPr>
          <w:p>
            <w:pPr>
              <w:spacing w:after="0"/>
              <w:rPr>
                <w:sz w:val="1"/>
                <w:szCs w:val="1"/>
                <w:color w:val="auto"/>
              </w:rPr>
            </w:pPr>
          </w:p>
        </w:tc>
      </w:tr>
      <w:tr>
        <w:trPr>
          <w:trHeight w:val="222"/>
        </w:trPr>
        <w:tc>
          <w:tcPr>
            <w:tcW w:w="3960" w:type="dxa"/>
            <w:vAlign w:val="bottom"/>
          </w:tcPr>
          <w:p>
            <w:pPr>
              <w:ind w:left="20"/>
              <w:spacing w:after="0"/>
              <w:rPr>
                <w:sz w:val="20"/>
                <w:szCs w:val="20"/>
                <w:color w:val="auto"/>
              </w:rPr>
            </w:pPr>
            <w:r>
              <w:rPr>
                <w:rFonts w:ascii="Arial" w:cs="Arial" w:eastAsia="Arial" w:hAnsi="Arial"/>
                <w:sz w:val="17"/>
                <w:szCs w:val="17"/>
                <w:color w:val="auto"/>
              </w:rPr>
              <w:t>Other comprehensive (loss) income:</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6"/>
              </w:rPr>
              <w:t>Change in foreign currency translation adjustments</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170"/>
        </w:trPr>
        <w:tc>
          <w:tcPr>
            <w:tcW w:w="3960" w:type="dxa"/>
            <w:vAlign w:val="bottom"/>
          </w:tcPr>
          <w:p>
            <w:pPr>
              <w:ind w:left="220"/>
              <w:spacing w:after="0" w:line="170" w:lineRule="exact"/>
              <w:rPr>
                <w:sz w:val="20"/>
                <w:szCs w:val="20"/>
                <w:color w:val="auto"/>
              </w:rPr>
            </w:pPr>
            <w:r>
              <w:rPr>
                <w:rFonts w:ascii="Arial" w:cs="Arial" w:eastAsia="Arial" w:hAnsi="Arial"/>
                <w:sz w:val="17"/>
                <w:szCs w:val="17"/>
                <w:color w:val="auto"/>
                <w:w w:val="94"/>
              </w:rPr>
              <w:t>Change in net unrealized gains and losses on short-</w:t>
            </w:r>
          </w:p>
        </w:tc>
        <w:tc>
          <w:tcPr>
            <w:tcW w:w="1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(32.8)</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21"/>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term investments</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other comprehensive (loss) income</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13"/>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15"/>
        </w:trPr>
        <w:tc>
          <w:tcPr>
            <w:tcW w:w="396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1160" w:type="dxa"/>
            <w:vAlign w:val="bottom"/>
            <w:tcBorders>
              <w:bottom w:val="single" w:sz="8" w:color="auto"/>
            </w:tcBorders>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49.2</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13"/>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89.2</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103.4</w:t>
            </w:r>
          </w:p>
        </w:tc>
        <w:tc>
          <w:tcPr>
            <w:tcW w:w="80" w:type="dxa"/>
            <w:vAlign w:val="bottom"/>
          </w:tcPr>
          <w:p>
            <w:pPr>
              <w:spacing w:after="0"/>
              <w:rPr>
                <w:sz w:val="18"/>
                <w:szCs w:val="18"/>
                <w:color w:val="auto"/>
              </w:rPr>
            </w:pPr>
          </w:p>
        </w:tc>
        <w:tc>
          <w:tcPr>
            <w:tcW w:w="68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CONDENSED CONSOLIDATED STATEMENTS OF STOCKHOLDERS' DEFICIT</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1000" w:type="dxa"/>
        <w:tblCellMar>
          <w:top w:w="0" w:type="dxa"/>
          <w:left w:w="0" w:type="dxa"/>
          <w:bottom w:w="0" w:type="dxa"/>
          <w:right w:w="0" w:type="dxa"/>
        </w:tblCellMar>
      </w:tblPr>
      <w:tr>
        <w:trPr>
          <w:trHeight w:val="206"/>
        </w:trPr>
        <w:tc>
          <w:tcPr>
            <w:tcW w:w="11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b w:val="1"/>
                <w:bCs w:val="1"/>
                <w:color w:val="auto"/>
              </w:rPr>
              <w:t>Three Months Ended June 30, 2022</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b w:val="1"/>
                <w:bCs w:val="1"/>
                <w:color w:val="auto"/>
              </w:rPr>
              <w:t>Three Months Ended June 30, 2021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160" w:type="dxa"/>
            <w:vAlign w:val="bottom"/>
          </w:tcPr>
          <w:p>
            <w:pPr>
              <w:jc w:val="center"/>
              <w:spacing w:after="0" w:line="153" w:lineRule="exact"/>
              <w:rPr>
                <w:sz w:val="20"/>
                <w:szCs w:val="20"/>
                <w:color w:val="auto"/>
              </w:rPr>
            </w:pPr>
            <w:r>
              <w:rPr>
                <w:rFonts w:ascii="Arial" w:cs="Arial" w:eastAsia="Arial" w:hAnsi="Arial"/>
                <w:sz w:val="16"/>
                <w:szCs w:val="16"/>
                <w:b w:val="1"/>
                <w:bCs w:val="1"/>
                <w:color w:val="auto"/>
                <w:w w:val="87"/>
              </w:rPr>
              <w:t>Class A and</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Accumulated</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53" w:lineRule="exact"/>
              <w:rPr>
                <w:sz w:val="20"/>
                <w:szCs w:val="20"/>
                <w:color w:val="auto"/>
              </w:rPr>
            </w:pPr>
            <w:r>
              <w:rPr>
                <w:rFonts w:ascii="Arial" w:cs="Arial" w:eastAsia="Arial" w:hAnsi="Arial"/>
                <w:sz w:val="16"/>
                <w:szCs w:val="16"/>
                <w:b w:val="1"/>
                <w:bCs w:val="1"/>
                <w:color w:val="auto"/>
                <w:w w:val="87"/>
              </w:rPr>
              <w:t>Class A and</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Accumulated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5"/>
              </w:rPr>
              <w:t>Class B</w:t>
            </w:r>
          </w:p>
        </w:tc>
        <w:tc>
          <w:tcPr>
            <w:tcW w:w="880" w:type="dxa"/>
            <w:vAlign w:val="bottom"/>
            <w:vMerge w:val="restart"/>
          </w:tcPr>
          <w:p>
            <w:pPr>
              <w:ind w:left="100"/>
              <w:spacing w:after="0"/>
              <w:rPr>
                <w:sz w:val="20"/>
                <w:szCs w:val="20"/>
                <w:color w:val="auto"/>
              </w:rPr>
            </w:pPr>
            <w:r>
              <w:rPr>
                <w:rFonts w:ascii="Arial" w:cs="Arial" w:eastAsia="Arial" w:hAnsi="Arial"/>
                <w:sz w:val="16"/>
                <w:szCs w:val="16"/>
                <w:b w:val="1"/>
                <w:bCs w:val="1"/>
                <w:color w:val="auto"/>
                <w:w w:val="97"/>
              </w:rPr>
              <w:t>Additional</w:t>
            </w:r>
          </w:p>
        </w:tc>
        <w:tc>
          <w:tcPr>
            <w:tcW w:w="10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60" w:type="dxa"/>
            <w:vAlign w:val="bottom"/>
            <w:gridSpan w:val="2"/>
            <w:vMerge w:val="restart"/>
          </w:tcPr>
          <w:p>
            <w:pPr>
              <w:jc w:val="center"/>
              <w:ind w:right="40"/>
              <w:spacing w:after="0"/>
              <w:rPr>
                <w:sz w:val="20"/>
                <w:szCs w:val="20"/>
                <w:color w:val="auto"/>
              </w:rPr>
            </w:pPr>
            <w:r>
              <w:rPr>
                <w:rFonts w:ascii="Arial" w:cs="Arial" w:eastAsia="Arial" w:hAnsi="Arial"/>
                <w:sz w:val="16"/>
                <w:szCs w:val="16"/>
                <w:b w:val="1"/>
                <w:bCs w:val="1"/>
                <w:color w:val="auto"/>
                <w:w w:val="88"/>
              </w:rPr>
              <w:t>Total</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Class B common</w:t>
            </w:r>
          </w:p>
        </w:tc>
        <w:tc>
          <w:tcPr>
            <w:tcW w:w="880" w:type="dxa"/>
            <w:vAlign w:val="bottom"/>
            <w:vMerge w:val="restart"/>
          </w:tcPr>
          <w:p>
            <w:pPr>
              <w:ind w:left="100"/>
              <w:spacing w:after="0"/>
              <w:rPr>
                <w:sz w:val="20"/>
                <w:szCs w:val="20"/>
                <w:color w:val="auto"/>
              </w:rPr>
            </w:pPr>
            <w:r>
              <w:rPr>
                <w:rFonts w:ascii="Arial" w:cs="Arial" w:eastAsia="Arial" w:hAnsi="Arial"/>
                <w:sz w:val="16"/>
                <w:szCs w:val="16"/>
                <w:b w:val="1"/>
                <w:bCs w:val="1"/>
                <w:color w:val="auto"/>
                <w:w w:val="97"/>
              </w:rPr>
              <w:t>Additional</w:t>
            </w:r>
          </w:p>
        </w:tc>
        <w:tc>
          <w:tcPr>
            <w:tcW w:w="10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9"/>
              </w:rPr>
              <w:t>other</w:t>
            </w:r>
          </w:p>
        </w:tc>
        <w:tc>
          <w:tcPr>
            <w:tcW w:w="1060" w:type="dxa"/>
            <w:vAlign w:val="bottom"/>
            <w:gridSpan w:val="2"/>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9"/>
              </w:rPr>
              <w:t>other</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160" w:type="dxa"/>
            <w:vAlign w:val="bottom"/>
            <w:tcBorders>
              <w:bottom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Common Stock</w:t>
            </w:r>
          </w:p>
        </w:tc>
        <w:tc>
          <w:tcPr>
            <w:tcW w:w="880" w:type="dxa"/>
            <w:vAlign w:val="bottom"/>
            <w:vMerge w:val="restart"/>
          </w:tcPr>
          <w:p>
            <w:pPr>
              <w:ind w:left="240"/>
              <w:spacing w:after="0" w:line="157" w:lineRule="exact"/>
              <w:rPr>
                <w:sz w:val="20"/>
                <w:szCs w:val="20"/>
                <w:color w:val="auto"/>
              </w:rPr>
            </w:pPr>
            <w:r>
              <w:rPr>
                <w:rFonts w:ascii="Arial" w:cs="Arial" w:eastAsia="Arial" w:hAnsi="Arial"/>
                <w:sz w:val="16"/>
                <w:szCs w:val="16"/>
                <w:b w:val="1"/>
                <w:bCs w:val="1"/>
                <w:color w:val="auto"/>
              </w:rPr>
              <w:t>paid in</w:t>
            </w:r>
          </w:p>
        </w:tc>
        <w:tc>
          <w:tcPr>
            <w:tcW w:w="100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7"/>
              </w:rPr>
              <w:t>Accumulated</w:t>
            </w:r>
          </w:p>
        </w:tc>
        <w:tc>
          <w:tcPr>
            <w:tcW w:w="112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5"/>
              </w:rPr>
              <w:t>comprehensive</w:t>
            </w:r>
          </w:p>
        </w:tc>
        <w:tc>
          <w:tcPr>
            <w:tcW w:w="1060" w:type="dxa"/>
            <w:vAlign w:val="bottom"/>
            <w:gridSpan w:val="2"/>
            <w:vMerge w:val="restart"/>
          </w:tcPr>
          <w:p>
            <w:pPr>
              <w:jc w:val="center"/>
              <w:ind w:right="40"/>
              <w:spacing w:after="0" w:line="157" w:lineRule="exact"/>
              <w:rPr>
                <w:sz w:val="20"/>
                <w:szCs w:val="20"/>
                <w:color w:val="auto"/>
              </w:rPr>
            </w:pPr>
            <w:r>
              <w:rPr>
                <w:rFonts w:ascii="Arial" w:cs="Arial" w:eastAsia="Arial" w:hAnsi="Arial"/>
                <w:sz w:val="16"/>
                <w:szCs w:val="16"/>
                <w:b w:val="1"/>
                <w:bCs w:val="1"/>
                <w:color w:val="auto"/>
                <w:w w:val="86"/>
              </w:rPr>
              <w:t>stockholders'</w:t>
            </w:r>
          </w:p>
        </w:tc>
        <w:tc>
          <w:tcPr>
            <w:tcW w:w="1160" w:type="dxa"/>
            <w:vAlign w:val="bottom"/>
            <w:tcBorders>
              <w:bottom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stock</w:t>
            </w:r>
          </w:p>
        </w:tc>
        <w:tc>
          <w:tcPr>
            <w:tcW w:w="880" w:type="dxa"/>
            <w:vAlign w:val="bottom"/>
            <w:vMerge w:val="restart"/>
          </w:tcPr>
          <w:p>
            <w:pPr>
              <w:ind w:left="220"/>
              <w:spacing w:after="0" w:line="157" w:lineRule="exact"/>
              <w:rPr>
                <w:sz w:val="20"/>
                <w:szCs w:val="20"/>
                <w:color w:val="auto"/>
              </w:rPr>
            </w:pPr>
            <w:r>
              <w:rPr>
                <w:rFonts w:ascii="Arial" w:cs="Arial" w:eastAsia="Arial" w:hAnsi="Arial"/>
                <w:sz w:val="16"/>
                <w:szCs w:val="16"/>
                <w:b w:val="1"/>
                <w:bCs w:val="1"/>
                <w:color w:val="auto"/>
              </w:rPr>
              <w:t>paid-in</w:t>
            </w:r>
          </w:p>
        </w:tc>
        <w:tc>
          <w:tcPr>
            <w:tcW w:w="100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7"/>
              </w:rPr>
              <w:t>Accumulated</w:t>
            </w:r>
          </w:p>
        </w:tc>
        <w:tc>
          <w:tcPr>
            <w:tcW w:w="112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5"/>
              </w:rPr>
              <w:t>comprehensive</w:t>
            </w:r>
          </w:p>
        </w:tc>
        <w:tc>
          <w:tcPr>
            <w:tcW w:w="96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5"/>
              </w:rPr>
              <w:t>stockholders'</w:t>
            </w:r>
          </w:p>
        </w:tc>
        <w:tc>
          <w:tcPr>
            <w:tcW w:w="0" w:type="dxa"/>
            <w:vAlign w:val="bottom"/>
          </w:tcPr>
          <w:p>
            <w:pPr>
              <w:spacing w:after="0"/>
              <w:rPr>
                <w:sz w:val="1"/>
                <w:szCs w:val="1"/>
                <w:color w:val="auto"/>
              </w:rPr>
            </w:pPr>
          </w:p>
        </w:tc>
      </w:tr>
      <w:tr>
        <w:trPr>
          <w:trHeight w:val="32"/>
        </w:trPr>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Shares  Amount</w:t>
            </w:r>
          </w:p>
        </w:tc>
        <w:tc>
          <w:tcPr>
            <w:tcW w:w="88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u w:val="single" w:color="auto"/>
                <w:color w:val="auto"/>
                <w:w w:val="91"/>
              </w:rPr>
              <w:t>Shares  Amount</w:t>
            </w:r>
          </w:p>
        </w:tc>
        <w:tc>
          <w:tcPr>
            <w:tcW w:w="88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880" w:type="dxa"/>
            <w:vAlign w:val="bottom"/>
          </w:tcPr>
          <w:p>
            <w:pPr>
              <w:ind w:left="240"/>
              <w:spacing w:after="0"/>
              <w:rPr>
                <w:sz w:val="20"/>
                <w:szCs w:val="20"/>
                <w:color w:val="auto"/>
              </w:rPr>
            </w:pPr>
            <w:r>
              <w:rPr>
                <w:rFonts w:ascii="Arial" w:cs="Arial" w:eastAsia="Arial" w:hAnsi="Arial"/>
                <w:sz w:val="16"/>
                <w:szCs w:val="16"/>
                <w:b w:val="1"/>
                <w:bCs w:val="1"/>
                <w:color w:val="auto"/>
              </w:rPr>
              <w:t>capital</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deficit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74"/>
              </w:rPr>
              <w:t>loss</w:t>
            </w:r>
          </w:p>
        </w:tc>
        <w:tc>
          <w:tcPr>
            <w:tcW w:w="10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deficit</w:t>
            </w:r>
          </w:p>
        </w:tc>
        <w:tc>
          <w:tcPr>
            <w:tcW w:w="1160" w:type="dxa"/>
            <w:vAlign w:val="bottom"/>
            <w:vMerge w:val="continue"/>
          </w:tcPr>
          <w:p>
            <w:pPr>
              <w:spacing w:after="0"/>
              <w:rPr>
                <w:sz w:val="17"/>
                <w:szCs w:val="17"/>
                <w:color w:val="auto"/>
              </w:rPr>
            </w:pPr>
          </w:p>
        </w:tc>
        <w:tc>
          <w:tcPr>
            <w:tcW w:w="880" w:type="dxa"/>
            <w:vAlign w:val="bottom"/>
          </w:tcPr>
          <w:p>
            <w:pPr>
              <w:ind w:left="240"/>
              <w:spacing w:after="0"/>
              <w:rPr>
                <w:sz w:val="20"/>
                <w:szCs w:val="20"/>
                <w:color w:val="auto"/>
              </w:rPr>
            </w:pPr>
            <w:r>
              <w:rPr>
                <w:rFonts w:ascii="Arial" w:cs="Arial" w:eastAsia="Arial" w:hAnsi="Arial"/>
                <w:sz w:val="16"/>
                <w:szCs w:val="16"/>
                <w:b w:val="1"/>
                <w:bCs w:val="1"/>
                <w:color w:val="auto"/>
              </w:rPr>
              <w:t>capital</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4"/>
              </w:rPr>
              <w:t>deficit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5"/>
              </w:rPr>
              <w:t>income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198360" cy="3314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8360" cy="33147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tbl>
      <w:tblPr>
        <w:tblLayout w:type="fixed"/>
        <w:tblInd w:w="20" w:type="dxa"/>
        <w:tblCellMar>
          <w:top w:w="0" w:type="dxa"/>
          <w:left w:w="0" w:type="dxa"/>
          <w:bottom w:w="0" w:type="dxa"/>
          <w:right w:w="0" w:type="dxa"/>
        </w:tblCellMar>
      </w:tblPr>
      <w:tr>
        <w:trPr>
          <w:trHeight w:val="142"/>
        </w:trPr>
        <w:tc>
          <w:tcPr>
            <w:tcW w:w="980" w:type="dxa"/>
            <w:vAlign w:val="bottom"/>
          </w:tcPr>
          <w:p>
            <w:pPr>
              <w:spacing w:after="0" w:line="142" w:lineRule="exact"/>
              <w:rPr>
                <w:sz w:val="20"/>
                <w:szCs w:val="20"/>
                <w:color w:val="auto"/>
              </w:rPr>
            </w:pPr>
            <w:r>
              <w:rPr>
                <w:rFonts w:ascii="Arial" w:cs="Arial" w:eastAsia="Arial" w:hAnsi="Arial"/>
                <w:sz w:val="16"/>
                <w:szCs w:val="16"/>
                <w:b w:val="1"/>
                <w:bCs w:val="1"/>
                <w:color w:val="auto"/>
              </w:rPr>
              <w:t>Balances at</w:t>
            </w: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b w:val="1"/>
                <w:bCs w:val="1"/>
                <w:color w:val="auto"/>
                <w:w w:val="99"/>
              </w:rPr>
              <w:t>beginning of</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367.0</w:t>
            </w:r>
          </w:p>
        </w:tc>
        <w:tc>
          <w:tcPr>
            <w:tcW w:w="80" w:type="dxa"/>
            <w:vAlign w:val="bottom"/>
          </w:tcPr>
          <w:p>
            <w:pPr>
              <w:spacing w:after="0"/>
              <w:rPr>
                <w:sz w:val="13"/>
                <w:szCs w:val="13"/>
                <w:color w:val="auto"/>
              </w:rPr>
            </w:pPr>
          </w:p>
        </w:tc>
        <w:tc>
          <w:tcPr>
            <w:tcW w:w="240" w:type="dxa"/>
            <w:vAlign w:val="bottom"/>
            <w:vMerge w:val="restart"/>
          </w:tcPr>
          <w:p>
            <w:pPr>
              <w:jc w:val="right"/>
              <w:ind w:right="62"/>
              <w:spacing w:after="0"/>
              <w:rPr>
                <w:sz w:val="20"/>
                <w:szCs w:val="20"/>
                <w:color w:val="auto"/>
              </w:rPr>
            </w:pPr>
            <w:r>
              <w:rPr>
                <w:rFonts w:ascii="Arial" w:cs="Arial" w:eastAsia="Arial" w:hAnsi="Arial"/>
                <w:sz w:val="16"/>
                <w:szCs w:val="16"/>
                <w:color w:val="auto"/>
                <w:w w:val="89"/>
              </w:rPr>
              <w:t>$</w:t>
            </w: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7"/>
              </w:rPr>
              <w:t>2,419.7</w:t>
            </w:r>
          </w:p>
        </w:tc>
        <w:tc>
          <w:tcPr>
            <w:tcW w:w="80" w:type="dxa"/>
            <w:vAlign w:val="bottom"/>
          </w:tcPr>
          <w:p>
            <w:pPr>
              <w:spacing w:after="0"/>
              <w:rPr>
                <w:sz w:val="13"/>
                <w:szCs w:val="13"/>
                <w:color w:val="auto"/>
              </w:rPr>
            </w:pPr>
          </w:p>
        </w:tc>
        <w:tc>
          <w:tcPr>
            <w:tcW w:w="220" w:type="dxa"/>
            <w:vAlign w:val="bottom"/>
            <w:vMerge w:val="restart"/>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(2,854.9)</w:t>
            </w:r>
          </w:p>
        </w:tc>
        <w:tc>
          <w:tcPr>
            <w:tcW w:w="80" w:type="dxa"/>
            <w:vAlign w:val="bottom"/>
          </w:tcPr>
          <w:p>
            <w:pPr>
              <w:spacing w:after="0"/>
              <w:rPr>
                <w:sz w:val="13"/>
                <w:szCs w:val="13"/>
                <w:color w:val="auto"/>
              </w:rPr>
            </w:pPr>
          </w:p>
        </w:tc>
        <w:tc>
          <w:tcPr>
            <w:tcW w:w="380" w:type="dxa"/>
            <w:vAlign w:val="bottom"/>
            <w:vMerge w:val="restart"/>
          </w:tcPr>
          <w:p>
            <w:pPr>
              <w:jc w:val="right"/>
              <w:ind w:right="202"/>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ind w:left="260"/>
              <w:spacing w:after="0"/>
              <w:rPr>
                <w:sz w:val="20"/>
                <w:szCs w:val="20"/>
                <w:color w:val="auto"/>
              </w:rPr>
            </w:pPr>
            <w:r>
              <w:rPr>
                <w:rFonts w:ascii="Arial" w:cs="Arial" w:eastAsia="Arial" w:hAnsi="Arial"/>
                <w:sz w:val="16"/>
                <w:szCs w:val="16"/>
                <w:color w:val="auto"/>
                <w:w w:val="90"/>
              </w:rPr>
              <w:t>(28.1)</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Arial" w:cs="Arial" w:eastAsia="Arial" w:hAnsi="Arial"/>
                <w:sz w:val="16"/>
                <w:szCs w:val="16"/>
                <w:b w:val="1"/>
                <w:bCs w:val="1"/>
                <w:color w:val="auto"/>
              </w:rPr>
              <w:t>period</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Release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89"/>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units and</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Shares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withheld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related to net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share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settlement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89"/>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units and</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(15.1)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Repurchases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of common</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(71.7)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(118.1)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stock</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Exercise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stock options</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and awards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w w:val="88"/>
              </w:rPr>
              <w:t>Assumed stock</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options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with</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acquisition</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Purchase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87"/>
              </w:rPr>
              <w:t>bond hedges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99"/>
              </w:rPr>
              <w:t>with issuance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of convertible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senior notes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Sale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warrants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99"/>
              </w:rPr>
              <w:t>with issuance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of convertible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senior notes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Tax benefit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98"/>
              </w:rPr>
              <w:t>attributable to</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bond hedges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purchased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99"/>
              </w:rPr>
              <w:t>with issuance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of convertible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senior notes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Stock-based</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85.0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66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w w:val="96"/>
              </w:rPr>
              <w:t>compensation</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Other</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88"/>
              </w:rPr>
              <w:t>comprehensive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ind w:left="260"/>
              <w:spacing w:after="0"/>
              <w:rPr>
                <w:sz w:val="20"/>
                <w:szCs w:val="20"/>
                <w:color w:val="auto"/>
              </w:rPr>
            </w:pPr>
            <w:r>
              <w:rPr>
                <w:rFonts w:ascii="Arial" w:cs="Arial" w:eastAsia="Arial" w:hAnsi="Arial"/>
                <w:sz w:val="16"/>
                <w:szCs w:val="16"/>
                <w:color w:val="auto"/>
                <w:w w:val="90"/>
              </w:rPr>
              <w:t>(12.8)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(loss) income</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980" w:type="dxa"/>
            <w:vAlign w:val="bottom"/>
          </w:tcPr>
          <w:p>
            <w:pPr>
              <w:spacing w:after="0" w:line="143" w:lineRule="exact"/>
              <w:rPr>
                <w:sz w:val="20"/>
                <w:szCs w:val="20"/>
                <w:color w:val="auto"/>
              </w:rPr>
            </w:pPr>
            <w:r>
              <w:rPr>
                <w:rFonts w:ascii="Arial" w:cs="Arial" w:eastAsia="Arial" w:hAnsi="Arial"/>
                <w:sz w:val="16"/>
                <w:szCs w:val="16"/>
                <w:b w:val="1"/>
                <w:bCs w:val="1"/>
                <w:color w:val="auto"/>
              </w:rPr>
              <w:t>Balances at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360.3</w:t>
            </w:r>
          </w:p>
        </w:tc>
        <w:tc>
          <w:tcPr>
            <w:tcW w:w="80" w:type="dxa"/>
            <w:vAlign w:val="bottom"/>
          </w:tcPr>
          <w:p>
            <w:pPr>
              <w:spacing w:after="0"/>
              <w:rPr>
                <w:sz w:val="12"/>
                <w:szCs w:val="12"/>
                <w:color w:val="auto"/>
              </w:rPr>
            </w:pPr>
          </w:p>
        </w:tc>
        <w:tc>
          <w:tcPr>
            <w:tcW w:w="240" w:type="dxa"/>
            <w:vAlign w:val="bottom"/>
            <w:vMerge w:val="restart"/>
          </w:tcPr>
          <w:p>
            <w:pPr>
              <w:jc w:val="right"/>
              <w:ind w:right="62"/>
              <w:spacing w:after="0"/>
              <w:rPr>
                <w:sz w:val="20"/>
                <w:szCs w:val="20"/>
                <w:color w:val="auto"/>
              </w:rPr>
            </w:pPr>
            <w:r>
              <w:rPr>
                <w:rFonts w:ascii="Arial" w:cs="Arial" w:eastAsia="Arial" w:hAnsi="Arial"/>
                <w:sz w:val="16"/>
                <w:szCs w:val="16"/>
                <w:color w:val="auto"/>
                <w:w w:val="89"/>
              </w:rPr>
              <w:t>$</w:t>
            </w: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7"/>
              </w:rPr>
              <w:t>2,424.1</w:t>
            </w:r>
          </w:p>
        </w:tc>
        <w:tc>
          <w:tcPr>
            <w:tcW w:w="80" w:type="dxa"/>
            <w:vAlign w:val="bottom"/>
          </w:tcPr>
          <w:p>
            <w:pPr>
              <w:spacing w:after="0"/>
              <w:rPr>
                <w:sz w:val="12"/>
                <w:szCs w:val="12"/>
                <w:color w:val="auto"/>
              </w:rPr>
            </w:pPr>
          </w:p>
        </w:tc>
        <w:tc>
          <w:tcPr>
            <w:tcW w:w="220" w:type="dxa"/>
            <w:vAlign w:val="bottom"/>
            <w:vMerge w:val="restart"/>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(2,926.1)</w:t>
            </w:r>
          </w:p>
        </w:tc>
        <w:tc>
          <w:tcPr>
            <w:tcW w:w="80" w:type="dxa"/>
            <w:vAlign w:val="bottom"/>
          </w:tcPr>
          <w:p>
            <w:pPr>
              <w:spacing w:after="0"/>
              <w:rPr>
                <w:sz w:val="12"/>
                <w:szCs w:val="12"/>
                <w:color w:val="auto"/>
              </w:rPr>
            </w:pPr>
          </w:p>
        </w:tc>
        <w:tc>
          <w:tcPr>
            <w:tcW w:w="380" w:type="dxa"/>
            <w:vAlign w:val="bottom"/>
            <w:vMerge w:val="restart"/>
          </w:tcPr>
          <w:p>
            <w:pPr>
              <w:jc w:val="right"/>
              <w:ind w:right="202"/>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ind w:left="260"/>
              <w:spacing w:after="0"/>
              <w:rPr>
                <w:sz w:val="20"/>
                <w:szCs w:val="20"/>
                <w:color w:val="auto"/>
              </w:rPr>
            </w:pPr>
            <w:r>
              <w:rPr>
                <w:rFonts w:ascii="Arial" w:cs="Arial" w:eastAsia="Arial" w:hAnsi="Arial"/>
                <w:sz w:val="16"/>
                <w:szCs w:val="16"/>
                <w:color w:val="auto"/>
                <w:w w:val="90"/>
              </w:rPr>
              <w:t>(40.9)</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980" w:type="dxa"/>
            <w:vAlign w:val="bottom"/>
          </w:tcPr>
          <w:p>
            <w:pPr>
              <w:spacing w:after="0" w:line="183" w:lineRule="exact"/>
              <w:rPr>
                <w:sz w:val="20"/>
                <w:szCs w:val="20"/>
                <w:color w:val="auto"/>
              </w:rPr>
            </w:pPr>
            <w:r>
              <w:rPr>
                <w:rFonts w:ascii="Arial" w:cs="Arial" w:eastAsia="Arial" w:hAnsi="Arial"/>
                <w:sz w:val="16"/>
                <w:szCs w:val="16"/>
                <w:b w:val="1"/>
                <w:bCs w:val="1"/>
                <w:color w:val="auto"/>
                <w:w w:val="94"/>
              </w:rPr>
              <w:t>end of period</w:t>
            </w: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560" w:type="dxa"/>
            <w:vAlign w:val="bottom"/>
          </w:tcPr>
          <w:p>
            <w:pPr>
              <w:jc w:val="right"/>
              <w:ind w:right="42"/>
              <w:spacing w:after="0"/>
              <w:rPr>
                <w:sz w:val="20"/>
                <w:szCs w:val="20"/>
                <w:color w:val="auto"/>
              </w:rPr>
            </w:pPr>
            <w:r>
              <w:rPr>
                <w:rFonts w:ascii="Arial" w:cs="Arial" w:eastAsia="Arial" w:hAnsi="Arial"/>
                <w:sz w:val="16"/>
                <w:szCs w:val="16"/>
                <w:color w:val="auto"/>
                <w:w w:val="82"/>
              </w:rPr>
              <w:t>(463.3)</w:t>
            </w:r>
          </w:p>
        </w:tc>
        <w:tc>
          <w:tcPr>
            <w:tcW w:w="500" w:type="dxa"/>
            <w:vAlign w:val="bottom"/>
          </w:tcPr>
          <w:p>
            <w:pPr>
              <w:jc w:val="right"/>
              <w:spacing w:after="0"/>
              <w:rPr>
                <w:sz w:val="20"/>
                <w:szCs w:val="20"/>
                <w:color w:val="auto"/>
              </w:rPr>
            </w:pPr>
            <w:r>
              <w:rPr>
                <w:rFonts w:ascii="Arial" w:cs="Arial" w:eastAsia="Arial" w:hAnsi="Arial"/>
                <w:sz w:val="16"/>
                <w:szCs w:val="16"/>
                <w:color w:val="auto"/>
              </w:rPr>
              <w:t>389.8</w:t>
            </w:r>
          </w:p>
        </w:tc>
        <w:tc>
          <w:tcPr>
            <w:tcW w:w="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7"/>
              </w:rPr>
              <w:t>2,420.2</w:t>
            </w:r>
          </w:p>
        </w:tc>
        <w:tc>
          <w:tcPr>
            <w:tcW w:w="8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(2,507.8)</w:t>
            </w:r>
          </w:p>
        </w:tc>
        <w:tc>
          <w:tcPr>
            <w:tcW w:w="80" w:type="dxa"/>
            <w:vAlign w:val="bottom"/>
          </w:tcPr>
          <w:p>
            <w:pPr>
              <w:spacing w:after="0"/>
              <w:rPr>
                <w:sz w:val="17"/>
                <w:szCs w:val="17"/>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(83.0)</w:t>
            </w:r>
          </w:p>
        </w:tc>
      </w:tr>
      <w:tr>
        <w:trPr>
          <w:trHeight w:val="678"/>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304"/>
        </w:trPr>
        <w:tc>
          <w:tcPr>
            <w:tcW w:w="560" w:type="dxa"/>
            <w:vAlign w:val="bottom"/>
          </w:tcPr>
          <w:p>
            <w:pPr>
              <w:jc w:val="right"/>
              <w:ind w:right="42"/>
              <w:spacing w:after="0"/>
              <w:rPr>
                <w:sz w:val="20"/>
                <w:szCs w:val="20"/>
                <w:color w:val="auto"/>
              </w:rPr>
            </w:pPr>
            <w:r>
              <w:rPr>
                <w:rFonts w:ascii="Arial" w:cs="Arial" w:eastAsia="Arial" w:hAnsi="Arial"/>
                <w:sz w:val="16"/>
                <w:szCs w:val="16"/>
                <w:color w:val="auto"/>
              </w:rPr>
              <w:t>(24.7)</w:t>
            </w: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(18.8)</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522"/>
        </w:trPr>
        <w:tc>
          <w:tcPr>
            <w:tcW w:w="560" w:type="dxa"/>
            <w:vAlign w:val="bottom"/>
          </w:tcPr>
          <w:p>
            <w:pPr>
              <w:jc w:val="right"/>
              <w:ind w:right="42"/>
              <w:spacing w:after="0"/>
              <w:rPr>
                <w:sz w:val="20"/>
                <w:szCs w:val="20"/>
                <w:color w:val="auto"/>
              </w:rPr>
            </w:pPr>
            <w:r>
              <w:rPr>
                <w:rFonts w:ascii="Arial" w:cs="Arial" w:eastAsia="Arial" w:hAnsi="Arial"/>
                <w:sz w:val="16"/>
                <w:szCs w:val="16"/>
                <w:color w:val="auto"/>
                <w:w w:val="82"/>
              </w:rPr>
              <w:t>(189.8)</w:t>
            </w:r>
          </w:p>
        </w:tc>
        <w:tc>
          <w:tcPr>
            <w:tcW w:w="500" w:type="dxa"/>
            <w:vAlign w:val="bottom"/>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(41.9)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(108.9)</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(150.8)</w:t>
            </w:r>
          </w:p>
        </w:tc>
      </w:tr>
      <w:tr>
        <w:trPr>
          <w:trHeight w:val="522"/>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0.1</w:t>
            </w:r>
          </w:p>
        </w:tc>
        <w:tc>
          <w:tcPr>
            <w:tcW w:w="50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834"/>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991"/>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991"/>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304"/>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0.6</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65"/>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85.0</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73.9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73.9</w:t>
            </w:r>
          </w:p>
        </w:tc>
      </w:tr>
      <w:tr>
        <w:trPr>
          <w:trHeight w:val="522"/>
        </w:trPr>
        <w:tc>
          <w:tcPr>
            <w:tcW w:w="560" w:type="dxa"/>
            <w:vAlign w:val="bottom"/>
          </w:tcPr>
          <w:p>
            <w:pPr>
              <w:jc w:val="right"/>
              <w:ind w:right="42"/>
              <w:spacing w:after="0"/>
              <w:rPr>
                <w:sz w:val="20"/>
                <w:szCs w:val="20"/>
                <w:color w:val="auto"/>
              </w:rPr>
            </w:pPr>
            <w:r>
              <w:rPr>
                <w:rFonts w:ascii="Arial" w:cs="Arial" w:eastAsia="Arial" w:hAnsi="Arial"/>
                <w:sz w:val="16"/>
                <w:szCs w:val="16"/>
                <w:color w:val="auto"/>
              </w:rPr>
              <w:t>(12.8)</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2"/>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62.0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w:t>
            </w:r>
          </w:p>
        </w:tc>
      </w:tr>
      <w:tr>
        <w:trPr>
          <w:trHeight w:val="319"/>
        </w:trPr>
        <w:tc>
          <w:tcPr>
            <w:tcW w:w="560" w:type="dxa"/>
            <w:vAlign w:val="bottom"/>
          </w:tcPr>
          <w:p>
            <w:pPr>
              <w:jc w:val="right"/>
              <w:ind w:right="42"/>
              <w:spacing w:after="0"/>
              <w:rPr>
                <w:sz w:val="20"/>
                <w:szCs w:val="20"/>
                <w:color w:val="auto"/>
              </w:rPr>
            </w:pPr>
            <w:r>
              <w:rPr>
                <w:rFonts w:ascii="Arial" w:cs="Arial" w:eastAsia="Arial" w:hAnsi="Arial"/>
                <w:sz w:val="16"/>
                <w:szCs w:val="16"/>
                <w:color w:val="auto"/>
                <w:w w:val="82"/>
              </w:rPr>
              <w:t>(542.9)</w:t>
            </w:r>
          </w:p>
        </w:tc>
        <w:tc>
          <w:tcPr>
            <w:tcW w:w="500" w:type="dxa"/>
            <w:vAlign w:val="bottom"/>
          </w:tcPr>
          <w:p>
            <w:pPr>
              <w:jc w:val="right"/>
              <w:spacing w:after="0"/>
              <w:rPr>
                <w:sz w:val="20"/>
                <w:szCs w:val="20"/>
                <w:color w:val="auto"/>
              </w:rPr>
            </w:pPr>
            <w:r>
              <w:rPr>
                <w:rFonts w:ascii="Arial" w:cs="Arial" w:eastAsia="Arial" w:hAnsi="Arial"/>
                <w:sz w:val="16"/>
                <w:szCs w:val="16"/>
                <w:color w:val="auto"/>
              </w:rPr>
              <w:t>386.5</w:t>
            </w:r>
          </w:p>
        </w:tc>
        <w:tc>
          <w:tcPr>
            <w:tcW w:w="80" w:type="dxa"/>
            <w:vAlign w:val="bottom"/>
          </w:tcPr>
          <w:p>
            <w:pPr>
              <w:spacing w:after="0"/>
              <w:rPr>
                <w:sz w:val="24"/>
                <w:szCs w:val="24"/>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7"/>
              </w:rPr>
              <w:t>2,446.9</w:t>
            </w:r>
          </w:p>
        </w:tc>
        <w:tc>
          <w:tcPr>
            <w:tcW w:w="80" w:type="dxa"/>
            <w:vAlign w:val="bottom"/>
          </w:tcPr>
          <w:p>
            <w:pPr>
              <w:spacing w:after="0"/>
              <w:rPr>
                <w:sz w:val="24"/>
                <w:szCs w:val="24"/>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(2,547.5)</w:t>
            </w:r>
          </w:p>
        </w:tc>
        <w:tc>
          <w:tcPr>
            <w:tcW w:w="80" w:type="dxa"/>
            <w:vAlign w:val="bottom"/>
          </w:tcPr>
          <w:p>
            <w:pPr>
              <w:spacing w:after="0"/>
              <w:rPr>
                <w:sz w:val="24"/>
                <w:szCs w:val="24"/>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24"/>
                <w:szCs w:val="24"/>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(94.8)</w:t>
            </w:r>
          </w:p>
        </w:tc>
      </w:tr>
      <w:tr>
        <w:trPr>
          <w:trHeight w:val="22"/>
        </w:trPr>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-5050155</wp:posOffset>
            </wp:positionV>
            <wp:extent cx="7198360" cy="8280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8360" cy="82804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-3890645</wp:posOffset>
            </wp:positionV>
            <wp:extent cx="7198360" cy="331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8360" cy="33147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-3029585</wp:posOffset>
            </wp:positionV>
            <wp:extent cx="7198360" cy="6292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8360" cy="629285"/>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-1771015</wp:posOffset>
            </wp:positionV>
            <wp:extent cx="7198360" cy="8280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8360" cy="82804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-711200</wp:posOffset>
            </wp:positionV>
            <wp:extent cx="7198360" cy="3314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8360" cy="33147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-247650</wp:posOffset>
            </wp:positionV>
            <wp:extent cx="7198360" cy="248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8360" cy="248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360"/>
            <w:col w:w="5680"/>
          </w:cols>
          <w:pgMar w:left="32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91440</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9" w:name="page10"/>
    <w:bookmarkEnd w:id="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tbl>
      <w:tblPr>
        <w:tblLayout w:type="fixed"/>
        <w:tblInd w:w="1000" w:type="dxa"/>
        <w:tblCellMar>
          <w:top w:w="0" w:type="dxa"/>
          <w:left w:w="0" w:type="dxa"/>
          <w:bottom w:w="0" w:type="dxa"/>
          <w:right w:w="0" w:type="dxa"/>
        </w:tblCellMar>
      </w:tblPr>
      <w:tr>
        <w:trPr>
          <w:trHeight w:val="206"/>
        </w:trPr>
        <w:tc>
          <w:tcPr>
            <w:tcW w:w="11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center"/>
              <w:ind w:right="102"/>
              <w:spacing w:after="0"/>
              <w:rPr>
                <w:sz w:val="20"/>
                <w:szCs w:val="20"/>
                <w:color w:val="auto"/>
              </w:rPr>
            </w:pPr>
            <w:r>
              <w:rPr>
                <w:rFonts w:ascii="Arial" w:cs="Arial" w:eastAsia="Arial" w:hAnsi="Arial"/>
                <w:sz w:val="16"/>
                <w:szCs w:val="16"/>
                <w:b w:val="1"/>
                <w:bCs w:val="1"/>
                <w:color w:val="auto"/>
                <w:w w:val="88"/>
              </w:rPr>
              <w:t>Six Months Ended June 30, 2022</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center"/>
              <w:ind w:right="122"/>
              <w:spacing w:after="0"/>
              <w:rPr>
                <w:sz w:val="20"/>
                <w:szCs w:val="20"/>
                <w:color w:val="auto"/>
              </w:rPr>
            </w:pPr>
            <w:r>
              <w:rPr>
                <w:rFonts w:ascii="Arial" w:cs="Arial" w:eastAsia="Arial" w:hAnsi="Arial"/>
                <w:sz w:val="16"/>
                <w:szCs w:val="16"/>
                <w:b w:val="1"/>
                <w:bCs w:val="1"/>
                <w:color w:val="auto"/>
                <w:w w:val="88"/>
              </w:rPr>
              <w:t>Six Months Ended June 30, 2021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160" w:type="dxa"/>
            <w:vAlign w:val="bottom"/>
          </w:tcPr>
          <w:p>
            <w:pPr>
              <w:jc w:val="center"/>
              <w:spacing w:after="0" w:line="153" w:lineRule="exact"/>
              <w:rPr>
                <w:sz w:val="20"/>
                <w:szCs w:val="20"/>
                <w:color w:val="auto"/>
              </w:rPr>
            </w:pPr>
            <w:r>
              <w:rPr>
                <w:rFonts w:ascii="Arial" w:cs="Arial" w:eastAsia="Arial" w:hAnsi="Arial"/>
                <w:sz w:val="16"/>
                <w:szCs w:val="16"/>
                <w:b w:val="1"/>
                <w:bCs w:val="1"/>
                <w:color w:val="auto"/>
                <w:w w:val="87"/>
              </w:rPr>
              <w:t>Class A and</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Accumulated</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53" w:lineRule="exact"/>
              <w:rPr>
                <w:sz w:val="20"/>
                <w:szCs w:val="20"/>
                <w:color w:val="auto"/>
              </w:rPr>
            </w:pPr>
            <w:r>
              <w:rPr>
                <w:rFonts w:ascii="Arial" w:cs="Arial" w:eastAsia="Arial" w:hAnsi="Arial"/>
                <w:sz w:val="16"/>
                <w:szCs w:val="16"/>
                <w:b w:val="1"/>
                <w:bCs w:val="1"/>
                <w:color w:val="auto"/>
                <w:w w:val="87"/>
              </w:rPr>
              <w:t>Class A and</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Accumulated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5"/>
              </w:rPr>
              <w:t>Class B</w:t>
            </w: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Additional</w:t>
            </w:r>
          </w:p>
        </w:tc>
        <w:tc>
          <w:tcPr>
            <w:tcW w:w="10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60" w:type="dxa"/>
            <w:vAlign w:val="bottom"/>
            <w:gridSpan w:val="2"/>
            <w:vMerge w:val="restart"/>
          </w:tcPr>
          <w:p>
            <w:pPr>
              <w:jc w:val="center"/>
              <w:ind w:right="40"/>
              <w:spacing w:after="0"/>
              <w:rPr>
                <w:sz w:val="20"/>
                <w:szCs w:val="20"/>
                <w:color w:val="auto"/>
              </w:rPr>
            </w:pPr>
            <w:r>
              <w:rPr>
                <w:rFonts w:ascii="Arial" w:cs="Arial" w:eastAsia="Arial" w:hAnsi="Arial"/>
                <w:sz w:val="16"/>
                <w:szCs w:val="16"/>
                <w:b w:val="1"/>
                <w:bCs w:val="1"/>
                <w:color w:val="auto"/>
                <w:w w:val="88"/>
              </w:rPr>
              <w:t>Total</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Class B common</w:t>
            </w: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Additional</w:t>
            </w:r>
          </w:p>
        </w:tc>
        <w:tc>
          <w:tcPr>
            <w:tcW w:w="10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9"/>
              </w:rPr>
              <w:t>other</w:t>
            </w:r>
          </w:p>
        </w:tc>
        <w:tc>
          <w:tcPr>
            <w:tcW w:w="1060" w:type="dxa"/>
            <w:vAlign w:val="bottom"/>
            <w:gridSpan w:val="2"/>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9"/>
              </w:rPr>
              <w:t>other</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160" w:type="dxa"/>
            <w:vAlign w:val="bottom"/>
            <w:tcBorders>
              <w:bottom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Common Stock</w:t>
            </w:r>
          </w:p>
        </w:tc>
        <w:tc>
          <w:tcPr>
            <w:tcW w:w="88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9"/>
              </w:rPr>
              <w:t>paid in</w:t>
            </w:r>
          </w:p>
        </w:tc>
        <w:tc>
          <w:tcPr>
            <w:tcW w:w="100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7"/>
              </w:rPr>
              <w:t>Accumulated</w:t>
            </w:r>
          </w:p>
        </w:tc>
        <w:tc>
          <w:tcPr>
            <w:tcW w:w="112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5"/>
              </w:rPr>
              <w:t>comprehensive</w:t>
            </w:r>
          </w:p>
        </w:tc>
        <w:tc>
          <w:tcPr>
            <w:tcW w:w="1060" w:type="dxa"/>
            <w:vAlign w:val="bottom"/>
            <w:gridSpan w:val="2"/>
            <w:vMerge w:val="restart"/>
          </w:tcPr>
          <w:p>
            <w:pPr>
              <w:jc w:val="center"/>
              <w:ind w:right="40"/>
              <w:spacing w:after="0" w:line="157" w:lineRule="exact"/>
              <w:rPr>
                <w:sz w:val="20"/>
                <w:szCs w:val="20"/>
                <w:color w:val="auto"/>
              </w:rPr>
            </w:pPr>
            <w:r>
              <w:rPr>
                <w:rFonts w:ascii="Arial" w:cs="Arial" w:eastAsia="Arial" w:hAnsi="Arial"/>
                <w:sz w:val="16"/>
                <w:szCs w:val="16"/>
                <w:b w:val="1"/>
                <w:bCs w:val="1"/>
                <w:color w:val="auto"/>
                <w:w w:val="86"/>
              </w:rPr>
              <w:t>stockholders'</w:t>
            </w:r>
          </w:p>
        </w:tc>
        <w:tc>
          <w:tcPr>
            <w:tcW w:w="1160" w:type="dxa"/>
            <w:vAlign w:val="bottom"/>
            <w:tcBorders>
              <w:bottom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stock</w:t>
            </w:r>
          </w:p>
        </w:tc>
        <w:tc>
          <w:tcPr>
            <w:tcW w:w="88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91"/>
              </w:rPr>
              <w:t>paid-in</w:t>
            </w:r>
          </w:p>
        </w:tc>
        <w:tc>
          <w:tcPr>
            <w:tcW w:w="100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7"/>
              </w:rPr>
              <w:t>Accumulated</w:t>
            </w:r>
          </w:p>
        </w:tc>
        <w:tc>
          <w:tcPr>
            <w:tcW w:w="112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5"/>
              </w:rPr>
              <w:t>comprehensive</w:t>
            </w:r>
          </w:p>
        </w:tc>
        <w:tc>
          <w:tcPr>
            <w:tcW w:w="96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5"/>
              </w:rPr>
              <w:t>stockholders'</w:t>
            </w:r>
          </w:p>
        </w:tc>
        <w:tc>
          <w:tcPr>
            <w:tcW w:w="0" w:type="dxa"/>
            <w:vAlign w:val="bottom"/>
          </w:tcPr>
          <w:p>
            <w:pPr>
              <w:spacing w:after="0"/>
              <w:rPr>
                <w:sz w:val="1"/>
                <w:szCs w:val="1"/>
                <w:color w:val="auto"/>
              </w:rPr>
            </w:pPr>
          </w:p>
        </w:tc>
      </w:tr>
      <w:tr>
        <w:trPr>
          <w:trHeight w:val="32"/>
        </w:trPr>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Shares  Amount</w:t>
            </w:r>
          </w:p>
        </w:tc>
        <w:tc>
          <w:tcPr>
            <w:tcW w:w="88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u w:val="single" w:color="auto"/>
                <w:color w:val="auto"/>
                <w:w w:val="91"/>
              </w:rPr>
              <w:t>Shares  Amount</w:t>
            </w:r>
          </w:p>
        </w:tc>
        <w:tc>
          <w:tcPr>
            <w:tcW w:w="88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0"/>
              </w:rPr>
              <w:t>capital</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deficit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74"/>
              </w:rPr>
              <w:t>loss</w:t>
            </w:r>
          </w:p>
        </w:tc>
        <w:tc>
          <w:tcPr>
            <w:tcW w:w="10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deficit</w:t>
            </w:r>
          </w:p>
        </w:tc>
        <w:tc>
          <w:tcPr>
            <w:tcW w:w="1160" w:type="dxa"/>
            <w:vAlign w:val="bottom"/>
            <w:vMerge w:val="continue"/>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6"/>
              </w:rPr>
              <w:t>capital</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4"/>
              </w:rPr>
              <w:t>deficit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5"/>
              </w:rPr>
              <w:t>income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198360" cy="3314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8360" cy="33147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tbl>
      <w:tblPr>
        <w:tblLayout w:type="fixed"/>
        <w:tblInd w:w="20" w:type="dxa"/>
        <w:tblCellMar>
          <w:top w:w="0" w:type="dxa"/>
          <w:left w:w="0" w:type="dxa"/>
          <w:bottom w:w="0" w:type="dxa"/>
          <w:right w:w="0" w:type="dxa"/>
        </w:tblCellMar>
      </w:tblPr>
      <w:tr>
        <w:trPr>
          <w:trHeight w:val="142"/>
        </w:trPr>
        <w:tc>
          <w:tcPr>
            <w:tcW w:w="980" w:type="dxa"/>
            <w:vAlign w:val="bottom"/>
          </w:tcPr>
          <w:p>
            <w:pPr>
              <w:spacing w:after="0" w:line="142" w:lineRule="exact"/>
              <w:rPr>
                <w:sz w:val="20"/>
                <w:szCs w:val="20"/>
                <w:color w:val="auto"/>
              </w:rPr>
            </w:pPr>
            <w:r>
              <w:rPr>
                <w:rFonts w:ascii="Arial" w:cs="Arial" w:eastAsia="Arial" w:hAnsi="Arial"/>
                <w:sz w:val="16"/>
                <w:szCs w:val="16"/>
                <w:b w:val="1"/>
                <w:bCs w:val="1"/>
                <w:color w:val="auto"/>
              </w:rPr>
              <w:t>Balances at</w:t>
            </w: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b w:val="1"/>
                <w:bCs w:val="1"/>
                <w:color w:val="auto"/>
                <w:w w:val="99"/>
              </w:rPr>
              <w:t>beginning of</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375.5</w:t>
            </w:r>
          </w:p>
        </w:tc>
        <w:tc>
          <w:tcPr>
            <w:tcW w:w="80" w:type="dxa"/>
            <w:vAlign w:val="bottom"/>
          </w:tcPr>
          <w:p>
            <w:pPr>
              <w:spacing w:after="0"/>
              <w:rPr>
                <w:sz w:val="13"/>
                <w:szCs w:val="13"/>
                <w:color w:val="auto"/>
              </w:rPr>
            </w:pPr>
          </w:p>
        </w:tc>
        <w:tc>
          <w:tcPr>
            <w:tcW w:w="240" w:type="dxa"/>
            <w:vAlign w:val="bottom"/>
            <w:vMerge w:val="restart"/>
          </w:tcPr>
          <w:p>
            <w:pPr>
              <w:jc w:val="right"/>
              <w:ind w:right="62"/>
              <w:spacing w:after="0"/>
              <w:rPr>
                <w:sz w:val="20"/>
                <w:szCs w:val="20"/>
                <w:color w:val="auto"/>
              </w:rPr>
            </w:pPr>
            <w:r>
              <w:rPr>
                <w:rFonts w:ascii="Arial" w:cs="Arial" w:eastAsia="Arial" w:hAnsi="Arial"/>
                <w:sz w:val="16"/>
                <w:szCs w:val="16"/>
                <w:color w:val="auto"/>
                <w:w w:val="89"/>
              </w:rPr>
              <w:t>$</w:t>
            </w: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7"/>
              </w:rPr>
              <w:t>2,448.1</w:t>
            </w:r>
          </w:p>
        </w:tc>
        <w:tc>
          <w:tcPr>
            <w:tcW w:w="80" w:type="dxa"/>
            <w:vAlign w:val="bottom"/>
          </w:tcPr>
          <w:p>
            <w:pPr>
              <w:spacing w:after="0"/>
              <w:rPr>
                <w:sz w:val="13"/>
                <w:szCs w:val="13"/>
                <w:color w:val="auto"/>
              </w:rPr>
            </w:pPr>
          </w:p>
        </w:tc>
        <w:tc>
          <w:tcPr>
            <w:tcW w:w="220" w:type="dxa"/>
            <w:vAlign w:val="bottom"/>
            <w:vMerge w:val="restart"/>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(2,739.4)</w:t>
            </w:r>
          </w:p>
        </w:tc>
        <w:tc>
          <w:tcPr>
            <w:tcW w:w="80" w:type="dxa"/>
            <w:vAlign w:val="bottom"/>
          </w:tcPr>
          <w:p>
            <w:pPr>
              <w:spacing w:after="0"/>
              <w:rPr>
                <w:sz w:val="13"/>
                <w:szCs w:val="13"/>
                <w:color w:val="auto"/>
              </w:rPr>
            </w:pPr>
          </w:p>
        </w:tc>
        <w:tc>
          <w:tcPr>
            <w:tcW w:w="380" w:type="dxa"/>
            <w:vAlign w:val="bottom"/>
            <w:vMerge w:val="restart"/>
          </w:tcPr>
          <w:p>
            <w:pPr>
              <w:jc w:val="right"/>
              <w:ind w:right="202"/>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Arial" w:cs="Arial" w:eastAsia="Arial" w:hAnsi="Arial"/>
                <w:sz w:val="16"/>
                <w:szCs w:val="16"/>
                <w:b w:val="1"/>
                <w:bCs w:val="1"/>
                <w:color w:val="auto"/>
              </w:rPr>
              <w:t>period</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Release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89"/>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units and</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Shares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withheld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related to net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share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settlement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89"/>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units and</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(21.8)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(39.6)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Repurchases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of common</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(19.9)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(160.9)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(288.8)</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stock</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Exercise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stock options</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and 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w w:val="88"/>
              </w:rPr>
              <w:t>Assumed stock</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options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with</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acquisition</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Purchase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87"/>
              </w:rPr>
              <w:t>bond hedges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99"/>
              </w:rPr>
              <w:t>with issuance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of convertible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senior notes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Sale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warrants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99"/>
              </w:rPr>
              <w:t>with issuance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of convertible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senior notes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Tax benefit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98"/>
              </w:rPr>
              <w:t>attributable to</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bond hedges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purchased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99"/>
              </w:rPr>
              <w:t>with issuance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of convertible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senior notes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Stock-based</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157.3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w w:val="96"/>
              </w:rPr>
              <w:t>compensation</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Other</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88"/>
              </w:rPr>
              <w:t>comprehensive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(38.3)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loss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980" w:type="dxa"/>
            <w:vAlign w:val="bottom"/>
          </w:tcPr>
          <w:p>
            <w:pPr>
              <w:spacing w:after="0" w:line="143" w:lineRule="exact"/>
              <w:rPr>
                <w:sz w:val="20"/>
                <w:szCs w:val="20"/>
                <w:color w:val="auto"/>
              </w:rPr>
            </w:pPr>
            <w:r>
              <w:rPr>
                <w:rFonts w:ascii="Arial" w:cs="Arial" w:eastAsia="Arial" w:hAnsi="Arial"/>
                <w:sz w:val="16"/>
                <w:szCs w:val="16"/>
                <w:b w:val="1"/>
                <w:bCs w:val="1"/>
                <w:color w:val="auto"/>
              </w:rPr>
              <w:t>Balances at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360.3</w:t>
            </w:r>
          </w:p>
        </w:tc>
        <w:tc>
          <w:tcPr>
            <w:tcW w:w="80" w:type="dxa"/>
            <w:vAlign w:val="bottom"/>
          </w:tcPr>
          <w:p>
            <w:pPr>
              <w:spacing w:after="0"/>
              <w:rPr>
                <w:sz w:val="12"/>
                <w:szCs w:val="12"/>
                <w:color w:val="auto"/>
              </w:rPr>
            </w:pPr>
          </w:p>
        </w:tc>
        <w:tc>
          <w:tcPr>
            <w:tcW w:w="240" w:type="dxa"/>
            <w:vAlign w:val="bottom"/>
            <w:vMerge w:val="restart"/>
          </w:tcPr>
          <w:p>
            <w:pPr>
              <w:jc w:val="right"/>
              <w:ind w:right="62"/>
              <w:spacing w:after="0"/>
              <w:rPr>
                <w:sz w:val="20"/>
                <w:szCs w:val="20"/>
                <w:color w:val="auto"/>
              </w:rPr>
            </w:pPr>
            <w:r>
              <w:rPr>
                <w:rFonts w:ascii="Arial" w:cs="Arial" w:eastAsia="Arial" w:hAnsi="Arial"/>
                <w:sz w:val="16"/>
                <w:szCs w:val="16"/>
                <w:color w:val="auto"/>
                <w:w w:val="89"/>
              </w:rPr>
              <w:t>$</w:t>
            </w: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7"/>
              </w:rPr>
              <w:t>2,424.1</w:t>
            </w:r>
          </w:p>
        </w:tc>
        <w:tc>
          <w:tcPr>
            <w:tcW w:w="80" w:type="dxa"/>
            <w:vAlign w:val="bottom"/>
          </w:tcPr>
          <w:p>
            <w:pPr>
              <w:spacing w:after="0"/>
              <w:rPr>
                <w:sz w:val="12"/>
                <w:szCs w:val="12"/>
                <w:color w:val="auto"/>
              </w:rPr>
            </w:pPr>
          </w:p>
        </w:tc>
        <w:tc>
          <w:tcPr>
            <w:tcW w:w="220" w:type="dxa"/>
            <w:vAlign w:val="bottom"/>
            <w:vMerge w:val="restart"/>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(2,926.1)</w:t>
            </w:r>
          </w:p>
        </w:tc>
        <w:tc>
          <w:tcPr>
            <w:tcW w:w="80" w:type="dxa"/>
            <w:vAlign w:val="bottom"/>
          </w:tcPr>
          <w:p>
            <w:pPr>
              <w:spacing w:after="0"/>
              <w:rPr>
                <w:sz w:val="12"/>
                <w:szCs w:val="12"/>
                <w:color w:val="auto"/>
              </w:rPr>
            </w:pPr>
          </w:p>
        </w:tc>
        <w:tc>
          <w:tcPr>
            <w:tcW w:w="380" w:type="dxa"/>
            <w:vAlign w:val="bottom"/>
            <w:vMerge w:val="restart"/>
          </w:tcPr>
          <w:p>
            <w:pPr>
              <w:jc w:val="right"/>
              <w:ind w:right="202"/>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(40.9)</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980" w:type="dxa"/>
            <w:vAlign w:val="bottom"/>
          </w:tcPr>
          <w:p>
            <w:pPr>
              <w:spacing w:after="0" w:line="183" w:lineRule="exact"/>
              <w:rPr>
                <w:sz w:val="20"/>
                <w:szCs w:val="20"/>
                <w:color w:val="auto"/>
              </w:rPr>
            </w:pPr>
            <w:r>
              <w:rPr>
                <w:rFonts w:ascii="Arial" w:cs="Arial" w:eastAsia="Arial" w:hAnsi="Arial"/>
                <w:sz w:val="16"/>
                <w:szCs w:val="16"/>
                <w:b w:val="1"/>
                <w:bCs w:val="1"/>
                <w:color w:val="auto"/>
                <w:w w:val="94"/>
              </w:rPr>
              <w:t>end of period</w:t>
            </w: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560" w:type="dxa"/>
            <w:vAlign w:val="bottom"/>
          </w:tcPr>
          <w:p>
            <w:pPr>
              <w:jc w:val="right"/>
              <w:ind w:right="42"/>
              <w:spacing w:after="0"/>
              <w:rPr>
                <w:sz w:val="20"/>
                <w:szCs w:val="20"/>
                <w:color w:val="auto"/>
              </w:rPr>
            </w:pPr>
            <w:r>
              <w:rPr>
                <w:rFonts w:ascii="Arial" w:cs="Arial" w:eastAsia="Arial" w:hAnsi="Arial"/>
                <w:sz w:val="16"/>
                <w:szCs w:val="16"/>
                <w:color w:val="auto"/>
                <w:w w:val="82"/>
              </w:rPr>
              <w:t>(293.9)</w:t>
            </w:r>
          </w:p>
        </w:tc>
        <w:tc>
          <w:tcPr>
            <w:tcW w:w="500" w:type="dxa"/>
            <w:vAlign w:val="bottom"/>
          </w:tcPr>
          <w:p>
            <w:pPr>
              <w:jc w:val="right"/>
              <w:spacing w:after="0"/>
              <w:rPr>
                <w:sz w:val="20"/>
                <w:szCs w:val="20"/>
                <w:color w:val="auto"/>
              </w:rPr>
            </w:pPr>
            <w:r>
              <w:rPr>
                <w:rFonts w:ascii="Arial" w:cs="Arial" w:eastAsia="Arial" w:hAnsi="Arial"/>
                <w:sz w:val="16"/>
                <w:szCs w:val="16"/>
                <w:color w:val="auto"/>
              </w:rPr>
              <w:t>405.7</w:t>
            </w:r>
          </w:p>
        </w:tc>
        <w:tc>
          <w:tcPr>
            <w:tcW w:w="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7"/>
              </w:rPr>
              <w:t>2,564.3</w:t>
            </w:r>
          </w:p>
        </w:tc>
        <w:tc>
          <w:tcPr>
            <w:tcW w:w="8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(2,241.4)</w:t>
            </w:r>
          </w:p>
        </w:tc>
        <w:tc>
          <w:tcPr>
            <w:tcW w:w="8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333.8</w:t>
            </w:r>
          </w:p>
        </w:tc>
      </w:tr>
      <w:tr>
        <w:trPr>
          <w:trHeight w:val="678"/>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304"/>
        </w:trPr>
        <w:tc>
          <w:tcPr>
            <w:tcW w:w="560" w:type="dxa"/>
            <w:vAlign w:val="bottom"/>
          </w:tcPr>
          <w:p>
            <w:pPr>
              <w:jc w:val="right"/>
              <w:ind w:right="42"/>
              <w:spacing w:after="0"/>
              <w:rPr>
                <w:sz w:val="20"/>
                <w:szCs w:val="20"/>
                <w:color w:val="auto"/>
              </w:rPr>
            </w:pPr>
            <w:r>
              <w:rPr>
                <w:rFonts w:ascii="Arial" w:cs="Arial" w:eastAsia="Arial" w:hAnsi="Arial"/>
                <w:sz w:val="16"/>
                <w:szCs w:val="16"/>
                <w:color w:val="auto"/>
              </w:rPr>
              <w:t>(61.4)</w:t>
            </w:r>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(62.7)</w:t>
            </w:r>
          </w:p>
        </w:tc>
      </w:tr>
      <w:tr>
        <w:trPr>
          <w:trHeight w:val="522"/>
        </w:trPr>
        <w:tc>
          <w:tcPr>
            <w:tcW w:w="560" w:type="dxa"/>
            <w:vAlign w:val="bottom"/>
          </w:tcPr>
          <w:p>
            <w:pPr>
              <w:jc w:val="right"/>
              <w:ind w:right="42"/>
              <w:spacing w:after="0"/>
              <w:rPr>
                <w:sz w:val="20"/>
                <w:szCs w:val="20"/>
                <w:color w:val="auto"/>
              </w:rPr>
            </w:pPr>
            <w:r>
              <w:rPr>
                <w:rFonts w:ascii="Arial" w:cs="Arial" w:eastAsia="Arial" w:hAnsi="Arial"/>
                <w:sz w:val="16"/>
                <w:szCs w:val="16"/>
                <w:color w:val="auto"/>
                <w:w w:val="82"/>
              </w:rPr>
              <w:t>(449.7)</w:t>
            </w:r>
          </w:p>
        </w:tc>
        <w:tc>
          <w:tcPr>
            <w:tcW w:w="500" w:type="dxa"/>
            <w:vAlign w:val="bottom"/>
          </w:tcPr>
          <w:p>
            <w:pPr>
              <w:jc w:val="right"/>
              <w:spacing w:after="0"/>
              <w:rPr>
                <w:sz w:val="20"/>
                <w:szCs w:val="20"/>
                <w:color w:val="auto"/>
              </w:rPr>
            </w:pPr>
            <w:r>
              <w:rPr>
                <w:rFonts w:ascii="Arial" w:cs="Arial" w:eastAsia="Arial" w:hAnsi="Arial"/>
                <w:sz w:val="16"/>
                <w:szCs w:val="16"/>
                <w:color w:val="auto"/>
              </w:rPr>
              <w:t>(24.1)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(184.4)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(398.3)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(582.7)</w:t>
            </w:r>
          </w:p>
        </w:tc>
      </w:tr>
      <w:tr>
        <w:trPr>
          <w:trHeight w:val="522"/>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0.3</w:t>
            </w:r>
          </w:p>
        </w:tc>
        <w:tc>
          <w:tcPr>
            <w:tcW w:w="50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834"/>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991"/>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(265.3)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(265.3)</w:t>
            </w:r>
          </w:p>
        </w:tc>
      </w:tr>
      <w:tr>
        <w:trPr>
          <w:trHeight w:val="991"/>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202.9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202.9</w:t>
            </w:r>
          </w:p>
        </w:tc>
      </w:tr>
      <w:tr>
        <w:trPr>
          <w:trHeight w:val="1304"/>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1.1</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65"/>
        </w:trPr>
        <w:tc>
          <w:tcPr>
            <w:tcW w:w="560" w:type="dxa"/>
            <w:vAlign w:val="bottom"/>
          </w:tcPr>
          <w:p>
            <w:pPr>
              <w:jc w:val="right"/>
              <w:ind w:right="82"/>
              <w:spacing w:after="0"/>
              <w:rPr>
                <w:sz w:val="20"/>
                <w:szCs w:val="20"/>
                <w:color w:val="auto"/>
              </w:rPr>
            </w:pPr>
            <w:r>
              <w:rPr>
                <w:rFonts w:ascii="Arial" w:cs="Arial" w:eastAsia="Arial" w:hAnsi="Arial"/>
                <w:sz w:val="16"/>
                <w:szCs w:val="16"/>
                <w:color w:val="auto"/>
                <w:w w:val="94"/>
              </w:rPr>
              <w:t>157.3</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141.8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141.8</w:t>
            </w:r>
          </w:p>
        </w:tc>
      </w:tr>
      <w:tr>
        <w:trPr>
          <w:trHeight w:val="522"/>
        </w:trPr>
        <w:tc>
          <w:tcPr>
            <w:tcW w:w="560" w:type="dxa"/>
            <w:vAlign w:val="bottom"/>
          </w:tcPr>
          <w:p>
            <w:pPr>
              <w:jc w:val="right"/>
              <w:ind w:right="42"/>
              <w:spacing w:after="0"/>
              <w:rPr>
                <w:sz w:val="20"/>
                <w:szCs w:val="20"/>
                <w:color w:val="auto"/>
              </w:rPr>
            </w:pPr>
            <w:r>
              <w:rPr>
                <w:rFonts w:ascii="Arial" w:cs="Arial" w:eastAsia="Arial" w:hAnsi="Arial"/>
                <w:sz w:val="16"/>
                <w:szCs w:val="16"/>
                <w:color w:val="auto"/>
              </w:rPr>
              <w:t>(38.3)</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2"/>
        </w:trPr>
        <w:tc>
          <w:tcPr>
            <w:tcW w:w="560" w:type="dxa"/>
            <w:vAlign w:val="bottom"/>
          </w:tcPr>
          <w:p>
            <w:pPr>
              <w:jc w:val="right"/>
              <w:ind w:right="82"/>
              <w:spacing w:after="0"/>
              <w:rPr>
                <w:sz w:val="20"/>
                <w:szCs w:val="20"/>
                <w:color w:val="auto"/>
              </w:rPr>
            </w:pPr>
            <w:r>
              <w:rPr>
                <w:rFonts w:ascii="Arial" w:cs="Arial" w:eastAsia="Arial" w:hAnsi="Arial"/>
                <w:sz w:val="16"/>
                <w:szCs w:val="16"/>
                <w:color w:val="auto"/>
                <w:w w:val="94"/>
              </w:rPr>
              <w:t>141.7</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w:t>
            </w:r>
          </w:p>
        </w:tc>
      </w:tr>
      <w:tr>
        <w:trPr>
          <w:trHeight w:val="319"/>
        </w:trPr>
        <w:tc>
          <w:tcPr>
            <w:tcW w:w="560" w:type="dxa"/>
            <w:vAlign w:val="bottom"/>
          </w:tcPr>
          <w:p>
            <w:pPr>
              <w:jc w:val="right"/>
              <w:ind w:right="42"/>
              <w:spacing w:after="0"/>
              <w:rPr>
                <w:sz w:val="20"/>
                <w:szCs w:val="20"/>
                <w:color w:val="auto"/>
              </w:rPr>
            </w:pPr>
            <w:r>
              <w:rPr>
                <w:rFonts w:ascii="Arial" w:cs="Arial" w:eastAsia="Arial" w:hAnsi="Arial"/>
                <w:sz w:val="16"/>
                <w:szCs w:val="16"/>
                <w:color w:val="auto"/>
                <w:w w:val="82"/>
              </w:rPr>
              <w:t>(542.9)</w:t>
            </w:r>
          </w:p>
        </w:tc>
        <w:tc>
          <w:tcPr>
            <w:tcW w:w="500" w:type="dxa"/>
            <w:vAlign w:val="bottom"/>
          </w:tcPr>
          <w:p>
            <w:pPr>
              <w:jc w:val="right"/>
              <w:spacing w:after="0"/>
              <w:rPr>
                <w:sz w:val="20"/>
                <w:szCs w:val="20"/>
                <w:color w:val="auto"/>
              </w:rPr>
            </w:pPr>
            <w:r>
              <w:rPr>
                <w:rFonts w:ascii="Arial" w:cs="Arial" w:eastAsia="Arial" w:hAnsi="Arial"/>
                <w:sz w:val="16"/>
                <w:szCs w:val="16"/>
                <w:color w:val="auto"/>
              </w:rPr>
              <w:t>386.5</w:t>
            </w:r>
          </w:p>
        </w:tc>
        <w:tc>
          <w:tcPr>
            <w:tcW w:w="80" w:type="dxa"/>
            <w:vAlign w:val="bottom"/>
          </w:tcPr>
          <w:p>
            <w:pPr>
              <w:spacing w:after="0"/>
              <w:rPr>
                <w:sz w:val="24"/>
                <w:szCs w:val="24"/>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7"/>
              </w:rPr>
              <w:t>2,446.9</w:t>
            </w:r>
          </w:p>
        </w:tc>
        <w:tc>
          <w:tcPr>
            <w:tcW w:w="80" w:type="dxa"/>
            <w:vAlign w:val="bottom"/>
          </w:tcPr>
          <w:p>
            <w:pPr>
              <w:spacing w:after="0"/>
              <w:rPr>
                <w:sz w:val="24"/>
                <w:szCs w:val="24"/>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(2,547.5)</w:t>
            </w:r>
          </w:p>
        </w:tc>
        <w:tc>
          <w:tcPr>
            <w:tcW w:w="80" w:type="dxa"/>
            <w:vAlign w:val="bottom"/>
          </w:tcPr>
          <w:p>
            <w:pPr>
              <w:spacing w:after="0"/>
              <w:rPr>
                <w:sz w:val="24"/>
                <w:szCs w:val="24"/>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24"/>
                <w:szCs w:val="24"/>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(94.8)</w:t>
            </w:r>
          </w:p>
        </w:tc>
      </w:tr>
      <w:tr>
        <w:trPr>
          <w:trHeight w:val="22"/>
        </w:trPr>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-5050155</wp:posOffset>
            </wp:positionV>
            <wp:extent cx="7198360" cy="8280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8360" cy="82804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-3890645</wp:posOffset>
            </wp:positionV>
            <wp:extent cx="7198360" cy="3314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8360" cy="33147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-3029585</wp:posOffset>
            </wp:positionV>
            <wp:extent cx="7198360" cy="629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8360" cy="629285"/>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-1771015</wp:posOffset>
            </wp:positionV>
            <wp:extent cx="7198360" cy="8280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8360" cy="82804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-711200</wp:posOffset>
            </wp:positionV>
            <wp:extent cx="7198360" cy="3314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8360" cy="33147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-247650</wp:posOffset>
            </wp:positionV>
            <wp:extent cx="7198360" cy="2482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8360" cy="248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360"/>
            <w:col w:w="5680"/>
          </w:cols>
          <w:pgMar w:left="32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0"/>
        <w:spacing w:after="0"/>
        <w:rPr>
          <w:sz w:val="20"/>
          <w:szCs w:val="20"/>
          <w:color w:val="auto"/>
        </w:rPr>
      </w:pPr>
      <w:r>
        <w:rPr>
          <w:rFonts w:ascii="Arial" w:cs="Arial" w:eastAsia="Arial" w:hAnsi="Arial"/>
          <w:sz w:val="15"/>
          <w:szCs w:val="15"/>
          <w:i w:val="1"/>
          <w:iCs w:val="1"/>
          <w:color w:val="auto"/>
        </w:rPr>
        <w:t>See accompanying Notes to Condensed Consolidated Financial Statement</w:t>
      </w: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0" w:name="page11"/>
    <w:bookmarkEnd w:id="1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(Unaudited)</w:t>
      </w:r>
    </w:p>
    <w:p>
      <w:pPr>
        <w:spacing w:after="0" w:line="120" w:lineRule="exact"/>
        <w:rPr>
          <w:sz w:val="20"/>
          <w:szCs w:val="20"/>
          <w:color w:val="auto"/>
        </w:rPr>
      </w:pPr>
    </w:p>
    <w:p>
      <w:pPr>
        <w:jc w:val="center"/>
        <w:ind w:left="7960"/>
        <w:spacing w:after="0"/>
        <w:rPr>
          <w:sz w:val="20"/>
          <w:szCs w:val="20"/>
          <w:color w:val="auto"/>
        </w:rPr>
      </w:pPr>
      <w:r>
        <w:rPr>
          <w:rFonts w:ascii="Arial" w:cs="Arial" w:eastAsia="Arial" w:hAnsi="Arial"/>
          <w:sz w:val="16"/>
          <w:szCs w:val="16"/>
          <w:b w:val="1"/>
          <w:bCs w:val="1"/>
          <w:color w:val="auto"/>
        </w:rPr>
        <w:t>Six Months Ended</w:t>
      </w:r>
    </w:p>
    <w:p>
      <w:pPr>
        <w:jc w:val="center"/>
        <w:ind w:left="7960"/>
        <w:spacing w:after="0"/>
        <w:rPr>
          <w:sz w:val="20"/>
          <w:szCs w:val="20"/>
          <w:color w:val="auto"/>
        </w:rPr>
      </w:pPr>
      <w:r>
        <w:rPr>
          <w:rFonts w:ascii="Arial" w:cs="Arial" w:eastAsia="Arial" w:hAnsi="Arial"/>
          <w:sz w:val="16"/>
          <w:szCs w:val="16"/>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2021</w:t>
            </w:r>
          </w:p>
        </w:tc>
      </w:tr>
      <w:tr>
        <w:trPr>
          <w:trHeight w:val="34"/>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7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ind w:right="842"/>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141.7</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135.6</w:t>
            </w: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78.6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71.5</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Impairment related to real estate assets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Net gains on equity investments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commissions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Other</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Trade and other receivables, net</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Accrued and other current liabilities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 and benefits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44.4</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r>
      <w:tr>
        <w:trPr>
          <w:trHeight w:val="206"/>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Tenant improvement allowance reimbursement</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0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0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335.6</w:t>
            </w:r>
          </w:p>
        </w:tc>
      </w:tr>
      <w:tr>
        <w:trPr>
          <w:trHeight w:val="18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Business combinations, net of cash acquired</w:t>
            </w:r>
          </w:p>
        </w:tc>
        <w:tc>
          <w:tcPr>
            <w:tcW w:w="10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(125.4)</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short-term investments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(693.7)</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Proceeds from sales of short-term investments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116.6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171.2</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maturities of short-term investments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w:t>
            </w:r>
          </w:p>
        </w:tc>
      </w:tr>
      <w:tr>
        <w:trPr>
          <w:trHeight w:val="206"/>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r>
      <w:tr>
        <w:trPr>
          <w:trHeight w:val="20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10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(377.2)</w:t>
            </w:r>
          </w:p>
        </w:tc>
      </w:tr>
      <w:tr>
        <w:trPr>
          <w:trHeight w:val="18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convertible senior notes</w:t>
            </w: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1,389.1</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Purchases of convertible note hedge in connection with issuance of convertible senior notes</w:t>
            </w:r>
          </w:p>
        </w:tc>
        <w:tc>
          <w:tcPr>
            <w:tcW w:w="10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(265.3)</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warrants in connection with issuance of convertible senior notes</w:t>
            </w: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Payments of debt issuance costs</w:t>
            </w:r>
          </w:p>
        </w:tc>
        <w:tc>
          <w:tcPr>
            <w:tcW w:w="10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taxes related to net share settlement of restricted stock units and awards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Proceeds from issuance of common stock, net of taxes withheld</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Principal payments on finance lease obligations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r>
      <w:tr>
        <w:trPr>
          <w:trHeight w:val="206"/>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Common stock repurchases</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(582.7)</w:t>
            </w:r>
          </w:p>
        </w:tc>
      </w:tr>
      <w:tr>
        <w:trPr>
          <w:trHeight w:val="20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10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612.4</w:t>
            </w:r>
          </w:p>
        </w:tc>
      </w:tr>
      <w:tr>
        <w:trPr>
          <w:trHeight w:val="199"/>
        </w:trPr>
        <w:tc>
          <w:tcPr>
            <w:tcW w:w="7980" w:type="dxa"/>
            <w:vAlign w:val="bottom"/>
          </w:tcPr>
          <w:p>
            <w:pPr>
              <w:ind w:left="20"/>
              <w:spacing w:after="0" w:line="183" w:lineRule="exact"/>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cash and cash equivalents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570.4</w:t>
            </w:r>
          </w:p>
        </w:tc>
      </w:tr>
      <w:tr>
        <w:trPr>
          <w:trHeight w:val="20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314.9</w:t>
            </w:r>
          </w:p>
        </w:tc>
      </w:tr>
      <w:tr>
        <w:trPr>
          <w:trHeight w:val="22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 end of period</w:t>
            </w: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7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data:</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99"/>
        </w:trPr>
        <w:tc>
          <w:tcPr>
            <w:tcW w:w="7980" w:type="dxa"/>
            <w:vAlign w:val="bottom"/>
          </w:tcPr>
          <w:p>
            <w:pPr>
              <w:ind w:left="460"/>
              <w:spacing w:after="0" w:line="183" w:lineRule="exact"/>
              <w:rPr>
                <w:sz w:val="20"/>
                <w:szCs w:val="20"/>
                <w:color w:val="auto"/>
              </w:rPr>
            </w:pPr>
            <w:r>
              <w:rPr>
                <w:rFonts w:ascii="Arial" w:cs="Arial" w:eastAsia="Arial" w:hAnsi="Arial"/>
                <w:sz w:val="16"/>
                <w:szCs w:val="16"/>
                <w:color w:val="auto"/>
              </w:rPr>
              <w:t>Property and equipment acquired under finance leases</w:t>
            </w:r>
          </w:p>
        </w:tc>
        <w:tc>
          <w:tcPr>
            <w:tcW w:w="102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w:t>
            </w:r>
          </w:p>
        </w:tc>
      </w:tr>
      <w:tr>
        <w:trPr>
          <w:trHeight w:val="22"/>
        </w:trPr>
        <w:tc>
          <w:tcPr>
            <w:tcW w:w="7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Description of the Business and Summary of Significant Accounting Policies</w:t>
      </w:r>
    </w:p>
    <w:p>
      <w:pPr>
        <w:spacing w:after="0" w:line="35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Business</w:t>
      </w:r>
    </w:p>
    <w:p>
      <w:pPr>
        <w:spacing w:after="0" w:line="117" w:lineRule="exact"/>
        <w:rPr>
          <w:sz w:val="20"/>
          <w:szCs w:val="20"/>
          <w:color w:val="auto"/>
        </w:rPr>
      </w:pPr>
    </w:p>
    <w:p>
      <w:pPr>
        <w:ind w:firstLine="430"/>
        <w:spacing w:after="0" w:line="320" w:lineRule="auto"/>
        <w:rPr>
          <w:sz w:val="20"/>
          <w:szCs w:val="20"/>
          <w:color w:val="auto"/>
        </w:rPr>
      </w:pPr>
      <w:r>
        <w:rPr>
          <w:rFonts w:ascii="Arial" w:cs="Arial" w:eastAsia="Arial" w:hAnsi="Arial"/>
          <w:sz w:val="16"/>
          <w:szCs w:val="16"/>
          <w:color w:val="auto"/>
        </w:rPr>
        <w:t>Dropbox, Inc. (the “Company” or “Dropbox”) helps keep life organized and work moving. The Company was incorporated in May 2007 as Evenflow, Inc., a Delaware corporation, and changed its name to Dropbox, Inc. in October 2009. The Company is headquartered in San Francisco, California.</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117" w:lineRule="exact"/>
        <w:rPr>
          <w:sz w:val="20"/>
          <w:szCs w:val="20"/>
          <w:color w:val="auto"/>
        </w:rPr>
      </w:pPr>
    </w:p>
    <w:p>
      <w:pPr>
        <w:ind w:right="120" w:firstLine="430"/>
        <w:spacing w:after="0" w:line="26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United States of America generally accepted accounting principles (“GAAP”) and applicable rules and regulations of the SEC regarding interim financial reporting. The accompanying unaudited condensed consolidated financial statements include the accounts of Dropbox and its wholly owned subsidiaries. All intercompany balances and transactions have been eliminated in consolidation.</w:t>
      </w:r>
    </w:p>
    <w:p>
      <w:pPr>
        <w:spacing w:after="0" w:line="203" w:lineRule="exact"/>
        <w:rPr>
          <w:sz w:val="20"/>
          <w:szCs w:val="20"/>
          <w:color w:val="auto"/>
        </w:rPr>
      </w:pPr>
    </w:p>
    <w:p>
      <w:pPr>
        <w:ind w:right="80" w:firstLine="430"/>
        <w:spacing w:after="0" w:line="288" w:lineRule="auto"/>
        <w:rPr>
          <w:sz w:val="20"/>
          <w:szCs w:val="20"/>
          <w:color w:val="auto"/>
        </w:rPr>
      </w:pPr>
      <w:r>
        <w:rPr>
          <w:rFonts w:ascii="Arial" w:cs="Arial" w:eastAsia="Arial" w:hAnsi="Arial"/>
          <w:sz w:val="16"/>
          <w:szCs w:val="16"/>
          <w:color w:val="auto"/>
        </w:rPr>
        <w:t>The condensed consolidated balance sheet as of December 31, 2021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income, statements of stockholders' deficit and the statements of cash flows for the interim periods, but are not necessarily indicative of the results of operations to be anticipated for the full fiscal year ended December 31, 2022 or any future period.</w:t>
      </w:r>
    </w:p>
    <w:p>
      <w:pPr>
        <w:spacing w:after="0" w:line="186" w:lineRule="exact"/>
        <w:rPr>
          <w:sz w:val="20"/>
          <w:szCs w:val="20"/>
          <w:color w:val="auto"/>
        </w:rPr>
      </w:pPr>
    </w:p>
    <w:p>
      <w:pPr>
        <w:ind w:firstLine="430"/>
        <w:spacing w:after="0" w:line="357" w:lineRule="auto"/>
        <w:rPr>
          <w:sz w:val="20"/>
          <w:szCs w:val="20"/>
          <w:color w:val="auto"/>
        </w:rPr>
      </w:pPr>
      <w:r>
        <w:rPr>
          <w:rFonts w:ascii="Arial" w:cs="Arial" w:eastAsia="Arial" w:hAnsi="Arial"/>
          <w:sz w:val="15"/>
          <w:szCs w:val="15"/>
          <w:color w:val="auto"/>
        </w:rPr>
        <w:t>The unaudited condensed consolidated financial statements should be read in conjunction with the audited consolidated financial statements and the related notes thereto as of and for the year ended December 31, 2021, included in the Company's Annual Report on Form 10-K on file with the SEC ("Annual Report").</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7" w:lineRule="exact"/>
        <w:rPr>
          <w:sz w:val="20"/>
          <w:szCs w:val="20"/>
          <w:color w:val="auto"/>
        </w:rPr>
      </w:pPr>
    </w:p>
    <w:p>
      <w:pPr>
        <w:ind w:right="280" w:firstLine="430"/>
        <w:spacing w:after="0" w:line="26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spacing w:after="0" w:line="203" w:lineRule="exact"/>
        <w:rPr>
          <w:sz w:val="20"/>
          <w:szCs w:val="20"/>
          <w:color w:val="auto"/>
        </w:rPr>
      </w:pPr>
    </w:p>
    <w:p>
      <w:pPr>
        <w:ind w:right="120" w:firstLine="430"/>
        <w:spacing w:after="0" w:line="287" w:lineRule="auto"/>
        <w:rPr>
          <w:sz w:val="20"/>
          <w:szCs w:val="20"/>
          <w:color w:val="auto"/>
        </w:rPr>
      </w:pPr>
      <w:r>
        <w:rPr>
          <w:rFonts w:ascii="Arial" w:cs="Arial" w:eastAsia="Arial" w:hAnsi="Arial"/>
          <w:sz w:val="17"/>
          <w:szCs w:val="17"/>
          <w:color w:val="auto"/>
        </w:rPr>
        <w:t>The Company’s most significant estimates and judgments involve the valuation of acquired intangible assets and goodwill from business combinations as well as the valuation of right-of-use and other lease related assets.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Financial information about segments and geographic areas</w:t>
      </w:r>
    </w:p>
    <w:p>
      <w:pPr>
        <w:spacing w:after="0" w:line="104" w:lineRule="exact"/>
        <w:rPr>
          <w:sz w:val="20"/>
          <w:szCs w:val="20"/>
          <w:color w:val="auto"/>
        </w:rPr>
      </w:pPr>
    </w:p>
    <w:p>
      <w:pPr>
        <w:ind w:right="60" w:firstLine="430"/>
        <w:spacing w:after="0" w:line="233" w:lineRule="auto"/>
        <w:rPr>
          <w:sz w:val="20"/>
          <w:szCs w:val="20"/>
          <w:color w:val="auto"/>
        </w:rPr>
      </w:pPr>
      <w:r>
        <w:rPr>
          <w:rFonts w:ascii="Arial" w:cs="Arial" w:eastAsia="Arial" w:hAnsi="Arial"/>
          <w:sz w:val="17"/>
          <w:szCs w:val="17"/>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15 "Geographic Areas" to our condensed consolidated financial statements included elsewhere in this Quarterly Report on Form 10-Q for information regarding the Company’s long-lived assets and revenue by geography.</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117" w:lineRule="exact"/>
        <w:rPr>
          <w:sz w:val="20"/>
          <w:szCs w:val="20"/>
          <w:color w:val="auto"/>
        </w:rPr>
      </w:pPr>
    </w:p>
    <w:p>
      <w:pPr>
        <w:ind w:right="140" w:firstLine="430"/>
        <w:spacing w:after="0" w:line="271" w:lineRule="auto"/>
        <w:rPr>
          <w:sz w:val="20"/>
          <w:szCs w:val="20"/>
          <w:color w:val="auto"/>
        </w:rPr>
      </w:pPr>
      <w:r>
        <w:rPr>
          <w:rFonts w:ascii="Arial" w:cs="Arial" w:eastAsia="Arial" w:hAnsi="Arial"/>
          <w:sz w:val="17"/>
          <w:szCs w:val="17"/>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loss, net of tax.</w:t>
      </w:r>
    </w:p>
    <w:p>
      <w:pPr>
        <w:spacing w:after="0" w:line="198" w:lineRule="exact"/>
        <w:rPr>
          <w:sz w:val="20"/>
          <w:szCs w:val="20"/>
          <w:color w:val="auto"/>
        </w:rPr>
      </w:pPr>
    </w:p>
    <w:p>
      <w:pPr>
        <w:ind w:right="60" w:firstLine="430"/>
        <w:spacing w:after="0" w:line="271" w:lineRule="auto"/>
        <w:rPr>
          <w:sz w:val="20"/>
          <w:szCs w:val="20"/>
          <w:color w:val="auto"/>
        </w:rPr>
      </w:pPr>
      <w:r>
        <w:rPr>
          <w:rFonts w:ascii="Arial" w:cs="Arial" w:eastAsia="Arial" w:hAnsi="Arial"/>
          <w:sz w:val="17"/>
          <w:szCs w:val="17"/>
          <w:color w:val="auto"/>
        </w:rPr>
        <w:t>Gains and losses from foreign currency transactions (those transactions denominated in currencies other than the foreign subsidiaries’ functional currency) are included in other (expense) income, net. Monetary assets and liabilities are remeasured using foreign currency exchange rates at the end of the period, and non-monetary assets are remeasured based on historical</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spacing w:after="0" w:line="357" w:lineRule="auto"/>
        <w:rPr>
          <w:sz w:val="20"/>
          <w:szCs w:val="20"/>
          <w:color w:val="auto"/>
        </w:rPr>
      </w:pPr>
      <w:r>
        <w:rPr>
          <w:rFonts w:ascii="Arial" w:cs="Arial" w:eastAsia="Arial" w:hAnsi="Arial"/>
          <w:sz w:val="15"/>
          <w:szCs w:val="15"/>
          <w:color w:val="auto"/>
        </w:rPr>
        <w:t>exchange rates. The Company recorded net foreign currency transaction losses of $3.9 million and $1.0 million during the three and six months ended June 30, 2022, respectively, and net foreign currency transaction gains of $0.4 million and $0.6 million during the three and six months ended June 30, 2021, respectively.</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7" w:lineRule="exact"/>
        <w:rPr>
          <w:sz w:val="20"/>
          <w:szCs w:val="20"/>
          <w:color w:val="auto"/>
        </w:rPr>
      </w:pPr>
    </w:p>
    <w:p>
      <w:pPr>
        <w:jc w:val="both"/>
        <w:ind w:right="300" w:firstLine="430"/>
        <w:spacing w:after="0" w:line="271" w:lineRule="auto"/>
        <w:rPr>
          <w:sz w:val="20"/>
          <w:szCs w:val="20"/>
          <w:color w:val="auto"/>
        </w:rPr>
      </w:pPr>
      <w:r>
        <w:rPr>
          <w:rFonts w:ascii="Arial" w:cs="Arial" w:eastAsia="Arial" w:hAnsi="Arial"/>
          <w:sz w:val="17"/>
          <w:szCs w:val="17"/>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68" w:lineRule="exact"/>
        <w:rPr>
          <w:sz w:val="20"/>
          <w:szCs w:val="20"/>
          <w:color w:val="auto"/>
        </w:rPr>
      </w:pPr>
    </w:p>
    <w:p>
      <w:pPr>
        <w:ind w:left="940" w:hanging="310"/>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117" w:lineRule="exact"/>
        <w:rPr>
          <w:rFonts w:ascii="Arial" w:cs="Arial" w:eastAsia="Arial" w:hAnsi="Arial"/>
          <w:sz w:val="17"/>
          <w:szCs w:val="17"/>
          <w:color w:val="auto"/>
        </w:rPr>
      </w:pPr>
    </w:p>
    <w:p>
      <w:pPr>
        <w:ind w:left="940" w:hanging="310"/>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117" w:lineRule="exact"/>
        <w:rPr>
          <w:rFonts w:ascii="Arial" w:cs="Arial" w:eastAsia="Arial" w:hAnsi="Arial"/>
          <w:sz w:val="17"/>
          <w:szCs w:val="17"/>
          <w:color w:val="auto"/>
        </w:rPr>
      </w:pPr>
    </w:p>
    <w:p>
      <w:pPr>
        <w:ind w:left="940" w:hanging="310"/>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117" w:lineRule="exact"/>
        <w:rPr>
          <w:rFonts w:ascii="Arial" w:cs="Arial" w:eastAsia="Arial" w:hAnsi="Arial"/>
          <w:sz w:val="17"/>
          <w:szCs w:val="17"/>
          <w:color w:val="auto"/>
        </w:rPr>
      </w:pPr>
    </w:p>
    <w:p>
      <w:pPr>
        <w:ind w:left="940" w:hanging="310"/>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w:t>
      </w:r>
    </w:p>
    <w:p>
      <w:pPr>
        <w:spacing w:after="0" w:line="117" w:lineRule="exact"/>
        <w:rPr>
          <w:rFonts w:ascii="Arial" w:cs="Arial" w:eastAsia="Arial" w:hAnsi="Arial"/>
          <w:sz w:val="17"/>
          <w:szCs w:val="17"/>
          <w:color w:val="auto"/>
        </w:rPr>
      </w:pPr>
    </w:p>
    <w:p>
      <w:pPr>
        <w:ind w:left="940" w:hanging="310"/>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w:t>
      </w:r>
    </w:p>
    <w:p>
      <w:pPr>
        <w:spacing w:after="0" w:line="248" w:lineRule="exact"/>
        <w:rPr>
          <w:sz w:val="20"/>
          <w:szCs w:val="20"/>
          <w:color w:val="auto"/>
        </w:rPr>
      </w:pPr>
    </w:p>
    <w:p>
      <w:pPr>
        <w:ind w:right="200" w:firstLine="430"/>
        <w:spacing w:after="0" w:line="307" w:lineRule="auto"/>
        <w:rPr>
          <w:sz w:val="20"/>
          <w:szCs w:val="20"/>
          <w:color w:val="auto"/>
        </w:rPr>
      </w:pPr>
      <w:r>
        <w:rPr>
          <w:rFonts w:ascii="Arial" w:cs="Arial" w:eastAsia="Arial" w:hAnsi="Arial"/>
          <w:sz w:val="15"/>
          <w:szCs w:val="15"/>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75" w:lineRule="exact"/>
        <w:rPr>
          <w:sz w:val="20"/>
          <w:szCs w:val="20"/>
          <w:color w:val="auto"/>
        </w:rPr>
      </w:pPr>
    </w:p>
    <w:p>
      <w:pPr>
        <w:jc w:val="both"/>
        <w:ind w:right="140" w:firstLine="430"/>
        <w:spacing w:after="0" w:line="296" w:lineRule="auto"/>
        <w:rPr>
          <w:sz w:val="20"/>
          <w:szCs w:val="20"/>
          <w:color w:val="auto"/>
        </w:rPr>
      </w:pPr>
      <w:r>
        <w:rPr>
          <w:rFonts w:ascii="Arial" w:cs="Arial" w:eastAsia="Arial" w:hAnsi="Arial"/>
          <w:sz w:val="16"/>
          <w:szCs w:val="16"/>
          <w:color w:val="auto"/>
        </w:rPr>
        <w:t>The Company bills in advance for monthly contracts and typically bills annually in advance for contracts with terms of one year or longer. The Company also recognizes an immaterial amount of contract assets, or unbilled receivables, primarily relating to consideration for services completed but not billed at the reporting date. Unbilled receivables are classified as receivables when the Company has the right to invoice the customer.</w:t>
      </w:r>
    </w:p>
    <w:p>
      <w:pPr>
        <w:spacing w:after="0" w:line="180" w:lineRule="exact"/>
        <w:rPr>
          <w:sz w:val="20"/>
          <w:szCs w:val="20"/>
          <w:color w:val="auto"/>
        </w:rPr>
      </w:pPr>
    </w:p>
    <w:p>
      <w:pPr>
        <w:ind w:right="500" w:firstLine="430"/>
        <w:spacing w:after="0" w:line="287" w:lineRule="auto"/>
        <w:rPr>
          <w:sz w:val="20"/>
          <w:szCs w:val="20"/>
          <w:color w:val="auto"/>
        </w:rPr>
      </w:pPr>
      <w:r>
        <w:rPr>
          <w:rFonts w:ascii="Arial" w:cs="Arial" w:eastAsia="Arial" w:hAnsi="Arial"/>
          <w:sz w:val="17"/>
          <w:szCs w:val="17"/>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84" w:lineRule="exact"/>
        <w:rPr>
          <w:sz w:val="20"/>
          <w:szCs w:val="20"/>
          <w:color w:val="auto"/>
        </w:rPr>
      </w:pPr>
    </w:p>
    <w:p>
      <w:pPr>
        <w:jc w:val="both"/>
        <w:ind w:right="180" w:firstLine="430"/>
        <w:spacing w:after="0" w:line="271" w:lineRule="auto"/>
        <w:rPr>
          <w:sz w:val="20"/>
          <w:szCs w:val="20"/>
          <w:color w:val="auto"/>
        </w:rPr>
      </w:pPr>
      <w:r>
        <w:rPr>
          <w:rFonts w:ascii="Arial" w:cs="Arial" w:eastAsia="Arial" w:hAnsi="Arial"/>
          <w:sz w:val="17"/>
          <w:szCs w:val="17"/>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98" w:lineRule="exact"/>
        <w:rPr>
          <w:sz w:val="20"/>
          <w:szCs w:val="20"/>
          <w:color w:val="auto"/>
        </w:rPr>
      </w:pPr>
    </w:p>
    <w:p>
      <w:pPr>
        <w:ind w:right="20" w:firstLine="430"/>
        <w:spacing w:after="0" w:line="271" w:lineRule="auto"/>
        <w:rPr>
          <w:sz w:val="20"/>
          <w:szCs w:val="20"/>
          <w:color w:val="auto"/>
        </w:rPr>
      </w:pPr>
      <w:r>
        <w:rPr>
          <w:rFonts w:ascii="Arial" w:cs="Arial" w:eastAsia="Arial" w:hAnsi="Arial"/>
          <w:sz w:val="17"/>
          <w:szCs w:val="17"/>
          <w:color w:val="auto"/>
        </w:rPr>
        <w:t>The Company recognized $323.5 million and $511.1 million of revenue during the three and six months ended June 30, 2022, respectively, and recognized $298.2 million and $463.2 million of revenue during the three and six months ended June 30, 2021, respectively, that was included in the deferred revenue balances at the beginning of their respective periods.</w:t>
      </w:r>
    </w:p>
    <w:p>
      <w:pPr>
        <w:spacing w:after="0" w:line="198" w:lineRule="exact"/>
        <w:rPr>
          <w:sz w:val="20"/>
          <w:szCs w:val="20"/>
          <w:color w:val="auto"/>
        </w:rPr>
      </w:pPr>
    </w:p>
    <w:p>
      <w:pPr>
        <w:ind w:right="320" w:firstLine="430"/>
        <w:spacing w:after="0" w:line="287" w:lineRule="auto"/>
        <w:rPr>
          <w:sz w:val="20"/>
          <w:szCs w:val="20"/>
          <w:color w:val="auto"/>
        </w:rPr>
      </w:pPr>
      <w:r>
        <w:rPr>
          <w:rFonts w:ascii="Arial" w:cs="Arial" w:eastAsia="Arial" w:hAnsi="Arial"/>
          <w:sz w:val="17"/>
          <w:szCs w:val="17"/>
          <w:color w:val="auto"/>
        </w:rPr>
        <w:t>As of June 30, 2022, future estimated revenue related to performance obligations that were unsatisfied or partially unsatisfied was $753.5 million. The substantial majority of the unsatisfied performance obligations will be satisfied over the next twelve months.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7" w:lineRule="exact"/>
        <w:rPr>
          <w:sz w:val="20"/>
          <w:szCs w:val="20"/>
          <w:color w:val="auto"/>
        </w:rPr>
      </w:pPr>
    </w:p>
    <w:p>
      <w:pPr>
        <w:ind w:right="20" w:firstLine="430"/>
        <w:spacing w:after="0" w:line="303" w:lineRule="auto"/>
        <w:rPr>
          <w:sz w:val="20"/>
          <w:szCs w:val="20"/>
          <w:color w:val="auto"/>
        </w:rPr>
      </w:pPr>
      <w:r>
        <w:rPr>
          <w:rFonts w:ascii="Arial" w:cs="Arial" w:eastAsia="Arial" w:hAnsi="Arial"/>
          <w:sz w:val="15"/>
          <w:szCs w:val="15"/>
          <w:color w:val="auto"/>
        </w:rPr>
        <w:t>The Company has primarily granted restricted stock units (“RSUs”) to its employees and members of the Board of Directors under the 2008 Equity Incentive Plan (“2008 Plan”), the 2017 Equity Incentive Plan (“2017 Plan”), and the 2018 Equity Incentive Plan (“2018 Plan” and together with the 2008 Plan and 2017 Plan, the "Dropbox Equity Incentive Plans”). Since August 2015, the Company has granted RSUs, which have a service based vesting condition over a four-year period vesting quarterly, as the only stock-based payment awards to its employees, with the exception of awards granted to its co-founders and certain executives, and has not granted any stock options to employees under the Dropbox Equity Incentive Plans. The Company recognizes compensation expense associated with RSUs on a straight-line basis over the requisite service period and accounts for forfeitures in the period in which they occur.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20" w:firstLine="430"/>
        <w:spacing w:after="0" w:line="287" w:lineRule="auto"/>
        <w:rPr>
          <w:sz w:val="20"/>
          <w:szCs w:val="20"/>
          <w:color w:val="auto"/>
        </w:rPr>
      </w:pPr>
      <w:r>
        <w:rPr>
          <w:rFonts w:ascii="Arial" w:cs="Arial" w:eastAsia="Arial" w:hAnsi="Arial"/>
          <w:sz w:val="17"/>
          <w:szCs w:val="17"/>
          <w:color w:val="auto"/>
        </w:rPr>
        <w:t>The Board of Directors determines the fair value of each share of underlying common stock based on the closing price of the Company's Class A common stock as reported on the Nasdaq Global Select Market on the date of the grant.</w:t>
      </w:r>
    </w:p>
    <w:p>
      <w:pPr>
        <w:spacing w:after="0" w:line="184" w:lineRule="exact"/>
        <w:rPr>
          <w:sz w:val="20"/>
          <w:szCs w:val="20"/>
          <w:color w:val="auto"/>
        </w:rPr>
      </w:pPr>
    </w:p>
    <w:p>
      <w:pPr>
        <w:ind w:right="200" w:firstLine="430"/>
        <w:spacing w:after="0" w:line="266" w:lineRule="auto"/>
        <w:rPr>
          <w:sz w:val="20"/>
          <w:szCs w:val="20"/>
          <w:color w:val="auto"/>
        </w:rPr>
      </w:pPr>
      <w:r>
        <w:rPr>
          <w:rFonts w:ascii="Arial" w:cs="Arial" w:eastAsia="Arial" w:hAnsi="Arial"/>
          <w:sz w:val="17"/>
          <w:szCs w:val="17"/>
          <w:color w:val="auto"/>
        </w:rPr>
        <w:t>In connection with the acquisition of DocSend, Inc. (“DocSend”), the Company assumed unvested stock options and an immaterial number of unvested RSUs that had been granted under DocSend's 2013 Stock Plan and DocSend's 2015 Stock Option and Grant Plan. The fair value of the DocSend options assumed were based upon the Black-Scholes option-pricing model. See Note 12 "Stockholders' Deficit" to our condensed consolidated financial statements included elsewhere in this Quarterly Report on Form 10-Q for further information.</w:t>
      </w:r>
    </w:p>
    <w:p>
      <w:pPr>
        <w:spacing w:after="0" w:line="203" w:lineRule="exact"/>
        <w:rPr>
          <w:sz w:val="20"/>
          <w:szCs w:val="20"/>
          <w:color w:val="auto"/>
        </w:rPr>
      </w:pPr>
    </w:p>
    <w:p>
      <w:pPr>
        <w:ind w:firstLine="430"/>
        <w:spacing w:after="0" w:line="277" w:lineRule="auto"/>
        <w:rPr>
          <w:sz w:val="20"/>
          <w:szCs w:val="20"/>
          <w:color w:val="auto"/>
        </w:rPr>
      </w:pPr>
      <w:r>
        <w:rPr>
          <w:rFonts w:ascii="Arial" w:cs="Arial" w:eastAsia="Arial" w:hAnsi="Arial"/>
          <w:sz w:val="16"/>
          <w:szCs w:val="16"/>
          <w:color w:val="auto"/>
        </w:rPr>
        <w:t>In December 2017, the Board of Directors approved the Company’s Co-Founder Grant, consisting of 10.3 million shares of Class A Common Stock in the form of restricted stock awards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Company estimated the grant date fair value of the Co-Founder Grant using a model based on multiple stock price paths developed through the use of a Monte Carlo simulation that incorporates into the valuation the possibility that the Stock Price Targets may not be satisfied. The first tranche of Mr. Houston's Co-Founder Grant vested in the fourth quarter of 2021. The stock-based compensation expense for Mr. Houston's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 See Note 12, "Stockholders' Deficit" to our condensed consolidated financial statements included elsewhere in this Quarterly Report on Form 10-Q for further information.</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7" w:lineRule="exact"/>
        <w:rPr>
          <w:sz w:val="20"/>
          <w:szCs w:val="20"/>
          <w:color w:val="auto"/>
        </w:rPr>
      </w:pPr>
    </w:p>
    <w:p>
      <w:pPr>
        <w:ind w:right="40" w:firstLine="430"/>
        <w:spacing w:after="0" w:line="278" w:lineRule="auto"/>
        <w:rPr>
          <w:sz w:val="20"/>
          <w:szCs w:val="20"/>
          <w:color w:val="auto"/>
        </w:rPr>
      </w:pPr>
      <w:r>
        <w:rPr>
          <w:rFonts w:ascii="Arial" w:cs="Arial" w:eastAsia="Arial" w:hAnsi="Arial"/>
          <w:sz w:val="16"/>
          <w:szCs w:val="16"/>
          <w:color w:val="auto"/>
        </w:rPr>
        <w:t>Cost of revenue consists primarily of expenses associated with the storage, delivery, and distribution of the Company’s platform for both paying users and free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costs, such as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17" w:lineRule="exact"/>
        <w:rPr>
          <w:sz w:val="20"/>
          <w:szCs w:val="20"/>
          <w:color w:val="auto"/>
        </w:rPr>
      </w:pPr>
    </w:p>
    <w:p>
      <w:pPr>
        <w:ind w:right="140" w:firstLine="430"/>
        <w:spacing w:after="0" w:line="271" w:lineRule="auto"/>
        <w:rPr>
          <w:sz w:val="20"/>
          <w:szCs w:val="20"/>
          <w:color w:val="auto"/>
        </w:rPr>
      </w:pPr>
      <w:r>
        <w:rPr>
          <w:rFonts w:ascii="Arial" w:cs="Arial" w:eastAsia="Arial" w:hAnsi="Arial"/>
          <w:sz w:val="17"/>
          <w:szCs w:val="17"/>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spacing w:after="0" w:line="198" w:lineRule="exact"/>
        <w:rPr>
          <w:sz w:val="20"/>
          <w:szCs w:val="20"/>
          <w:color w:val="auto"/>
        </w:rPr>
      </w:pPr>
    </w:p>
    <w:p>
      <w:pPr>
        <w:ind w:right="40" w:firstLine="430"/>
        <w:spacing w:after="0" w:line="287" w:lineRule="auto"/>
        <w:rPr>
          <w:sz w:val="20"/>
          <w:szCs w:val="20"/>
          <w:color w:val="auto"/>
        </w:rPr>
      </w:pPr>
      <w:r>
        <w:rPr>
          <w:rFonts w:ascii="Arial" w:cs="Arial" w:eastAsia="Arial" w:hAnsi="Arial"/>
          <w:sz w:val="17"/>
          <w:szCs w:val="17"/>
          <w:color w:val="auto"/>
        </w:rPr>
        <w:t>The Company monitors its credit risk by considering factors such as historical experience, credit ratings, current economic conditions, and reasonable and supportable forecasts.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Short-term investments</w:t>
      </w:r>
    </w:p>
    <w:p>
      <w:pPr>
        <w:spacing w:after="0" w:line="117" w:lineRule="exact"/>
        <w:rPr>
          <w:sz w:val="20"/>
          <w:szCs w:val="20"/>
          <w:color w:val="auto"/>
        </w:rPr>
      </w:pPr>
    </w:p>
    <w:p>
      <w:pPr>
        <w:ind w:right="20" w:firstLine="430"/>
        <w:spacing w:after="0" w:line="281" w:lineRule="auto"/>
        <w:rPr>
          <w:sz w:val="20"/>
          <w:szCs w:val="20"/>
          <w:color w:val="auto"/>
        </w:rPr>
      </w:pPr>
      <w:r>
        <w:rPr>
          <w:rFonts w:ascii="Arial" w:cs="Arial" w:eastAsia="Arial" w:hAnsi="Arial"/>
          <w:sz w:val="16"/>
          <w:szCs w:val="16"/>
          <w:color w:val="auto"/>
        </w:rPr>
        <w:t>The Company’s short-term investments are primarily comprised of corporate notes and obligations, U.S. Treasury securities, certificates of deposit, asset-backed securities, commercial paper, U.S. agency obligations, foreign government securities,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 w:name="page15"/>
    <w:bookmarkEnd w:id="1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60" w:firstLine="430"/>
        <w:spacing w:after="0" w:line="279" w:lineRule="auto"/>
        <w:rPr>
          <w:sz w:val="20"/>
          <w:szCs w:val="20"/>
          <w:color w:val="auto"/>
        </w:rPr>
      </w:pPr>
      <w:r>
        <w:rPr>
          <w:rFonts w:ascii="Arial" w:cs="Arial" w:eastAsia="Arial" w:hAnsi="Arial"/>
          <w:sz w:val="16"/>
          <w:szCs w:val="16"/>
          <w:color w:val="auto"/>
        </w:rPr>
        <w:t>The Company's short-term investments are recorded at fair value each reporting period. Unrealized gains and losses on these short-term investments are reported as a separate component of accumulated other comprehensive loss in the condensed consolidated balance sheets until realized. Unrealized gains and losses for any short-term investments that management intends to sell or it is more likely than not that management will be required to sell prior to their anticipated recovery are recorded in other (expense) income,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three and six months ended June 30, 2022. As of June 30, 2022 and December 31, 2021, no allowance for credit losses in short-term investments was recorded.</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17" w:lineRule="exact"/>
        <w:rPr>
          <w:sz w:val="20"/>
          <w:szCs w:val="20"/>
          <w:color w:val="auto"/>
        </w:rPr>
      </w:pPr>
    </w:p>
    <w:p>
      <w:pPr>
        <w:ind w:right="80" w:firstLine="430"/>
        <w:spacing w:after="0" w:line="271"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cash equivalents, accounts receivable, and short-term investments. The Company places its cash and cash equivalents and short-term investments with well-established financial institutions.</w:t>
      </w:r>
    </w:p>
    <w:p>
      <w:pPr>
        <w:spacing w:after="0" w:line="198" w:lineRule="exact"/>
        <w:rPr>
          <w:sz w:val="20"/>
          <w:szCs w:val="20"/>
          <w:color w:val="auto"/>
        </w:rPr>
      </w:pPr>
    </w:p>
    <w:p>
      <w:pPr>
        <w:jc w:val="both"/>
        <w:ind w:firstLine="430"/>
        <w:spacing w:after="0" w:line="323" w:lineRule="auto"/>
        <w:rPr>
          <w:sz w:val="20"/>
          <w:szCs w:val="20"/>
          <w:color w:val="auto"/>
        </w:rPr>
      </w:pPr>
      <w:r>
        <w:rPr>
          <w:rFonts w:ascii="Arial" w:cs="Arial" w:eastAsia="Arial" w:hAnsi="Arial"/>
          <w:sz w:val="15"/>
          <w:szCs w:val="15"/>
          <w:color w:val="auto"/>
        </w:rPr>
        <w:t>Trade accounts receivable are typically unsecured and are derived from revenue earned from customers located around the world. Two distribution partners accounted for 13% and 32% of total trade and other receivables, net as of June 30, 2022. Two distribution partners accounted for 14% and 29% of total trade and other receivables, net as of December 31, 2021. No customer accounted for more than 10% of the Company’s revenue in the periods presented.</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Deferred commissions, net</w:t>
      </w:r>
    </w:p>
    <w:p>
      <w:pPr>
        <w:spacing w:after="0" w:line="117" w:lineRule="exact"/>
        <w:rPr>
          <w:sz w:val="20"/>
          <w:szCs w:val="20"/>
          <w:color w:val="auto"/>
        </w:rPr>
      </w:pPr>
    </w:p>
    <w:p>
      <w:pPr>
        <w:ind w:firstLine="430"/>
        <w:spacing w:after="0" w:line="284" w:lineRule="auto"/>
        <w:rPr>
          <w:sz w:val="20"/>
          <w:szCs w:val="20"/>
          <w:color w:val="auto"/>
        </w:rPr>
      </w:pPr>
      <w:r>
        <w:rPr>
          <w:rFonts w:ascii="Arial" w:cs="Arial" w:eastAsia="Arial" w:hAnsi="Arial"/>
          <w:sz w:val="16"/>
          <w:szCs w:val="16"/>
          <w:color w:val="auto"/>
        </w:rPr>
        <w:t>Deferred commissions, net is stated as gross deferred commissions less accumulated amortization. Sales commissions earned by the Company’s sales force and third-party resellers, as well as related payroll taxes, are considered to be incremental and recoverable costs of obtaining a contract with a customer. These amounts have been capitalized as deferred commissions within prepaid and other current assets and other assets on the condensed consolidated balance sheets. The Company deferred incremental costs of obtaining a contract of $8.4 million and $16.0 million during the three and six months ended June 30, 2022 respectively and $4.9 million and $9.8 million during the three and six months ended June 30, 2021, respectively.</w:t>
      </w:r>
    </w:p>
    <w:p>
      <w:pPr>
        <w:spacing w:after="0" w:line="189" w:lineRule="exact"/>
        <w:rPr>
          <w:sz w:val="20"/>
          <w:szCs w:val="20"/>
          <w:color w:val="auto"/>
        </w:rPr>
      </w:pPr>
    </w:p>
    <w:p>
      <w:pPr>
        <w:jc w:val="both"/>
        <w:ind w:right="100" w:firstLine="430"/>
        <w:spacing w:after="0" w:line="357" w:lineRule="auto"/>
        <w:rPr>
          <w:sz w:val="20"/>
          <w:szCs w:val="20"/>
          <w:color w:val="auto"/>
        </w:rPr>
      </w:pPr>
      <w:r>
        <w:rPr>
          <w:rFonts w:ascii="Arial" w:cs="Arial" w:eastAsia="Arial" w:hAnsi="Arial"/>
          <w:sz w:val="15"/>
          <w:szCs w:val="15"/>
          <w:color w:val="auto"/>
        </w:rPr>
        <w:t>Deferred commissions, net included in prepaid and other current assets were $33.2 million and $30.8 million as of June 30, 2022 and December 31, 2021, respectively. Deferred commissions, net included in other assets were $29.5 million and $34.6 million as of June 30, 2022 and December 31, 2021, respectively.</w:t>
      </w:r>
    </w:p>
    <w:p>
      <w:pPr>
        <w:spacing w:after="0" w:line="139" w:lineRule="exact"/>
        <w:rPr>
          <w:sz w:val="20"/>
          <w:szCs w:val="20"/>
          <w:color w:val="auto"/>
        </w:rPr>
      </w:pPr>
    </w:p>
    <w:p>
      <w:pPr>
        <w:ind w:right="40" w:firstLine="430"/>
        <w:spacing w:after="0" w:line="281" w:lineRule="auto"/>
        <w:rPr>
          <w:sz w:val="20"/>
          <w:szCs w:val="20"/>
          <w:color w:val="auto"/>
        </w:rPr>
      </w:pPr>
      <w:r>
        <w:rPr>
          <w:rFonts w:ascii="Arial" w:cs="Arial" w:eastAsia="Arial" w:hAnsi="Arial"/>
          <w:sz w:val="16"/>
          <w:szCs w:val="16"/>
          <w:color w:val="auto"/>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that are commensurate with renewal commissions are typically amortized over one year. Amortization of deferred commissions was $9.7 million and $18.7 million for the three and six months ended June 30, 2022, respectively and $7.7 million and $15.4 million for the three and six months ended June 30, 2021, respectively. Amortization of deferred commissions is included in sales and marketing expense in the accompanying condensed consolidated statements of operations. There was no material impairment loss in relation to the deferred costs for any period presented.</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17" w:lineRule="exact"/>
        <w:rPr>
          <w:sz w:val="20"/>
          <w:szCs w:val="20"/>
          <w:color w:val="auto"/>
        </w:rPr>
      </w:pPr>
    </w:p>
    <w:p>
      <w:pPr>
        <w:jc w:val="both"/>
        <w:ind w:right="300" w:firstLine="430"/>
        <w:spacing w:after="0" w:line="271" w:lineRule="auto"/>
        <w:rPr>
          <w:sz w:val="20"/>
          <w:szCs w:val="20"/>
          <w:color w:val="auto"/>
        </w:rPr>
      </w:pPr>
      <w:r>
        <w:rPr>
          <w:rFonts w:ascii="Arial" w:cs="Arial" w:eastAsia="Arial" w:hAnsi="Arial"/>
          <w:sz w:val="17"/>
          <w:szCs w:val="17"/>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estimated useful lives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0" w:type="dxa"/>
            <w:vAlign w:val="bottom"/>
            <w:gridSpan w:val="2"/>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5620" w:type="dxa"/>
            <w:vAlign w:val="bottom"/>
          </w:tcPr>
          <w:p>
            <w:pPr>
              <w:jc w:val="center"/>
              <w:spacing w:after="0"/>
              <w:rPr>
                <w:sz w:val="20"/>
                <w:szCs w:val="20"/>
                <w:color w:val="auto"/>
              </w:rPr>
            </w:pPr>
            <w:r>
              <w:rPr>
                <w:rFonts w:ascii="Arial" w:cs="Arial" w:eastAsia="Arial" w:hAnsi="Arial"/>
                <w:sz w:val="17"/>
                <w:szCs w:val="17"/>
                <w:b w:val="1"/>
                <w:bCs w:val="1"/>
                <w:color w:val="auto"/>
                <w:w w:val="91"/>
              </w:rPr>
              <w:t>Useful life</w:t>
            </w:r>
          </w:p>
        </w:tc>
      </w:tr>
      <w:tr>
        <w:trPr>
          <w:trHeight w:val="32"/>
        </w:trPr>
        <w:tc>
          <w:tcPr>
            <w:tcW w:w="5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20" w:type="dxa"/>
            <w:vAlign w:val="bottom"/>
            <w:tcBorders>
              <w:top w:val="single" w:sz="8" w:color="auto"/>
            </w:tcBorders>
          </w:tcPr>
          <w:p>
            <w:pPr>
              <w:spacing w:after="0"/>
              <w:rPr>
                <w:sz w:val="2"/>
                <w:szCs w:val="2"/>
                <w:color w:val="auto"/>
              </w:rPr>
            </w:pPr>
          </w:p>
        </w:tc>
      </w:tr>
      <w:tr>
        <w:trPr>
          <w:trHeight w:val="222"/>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Buildings</w:t>
            </w:r>
          </w:p>
        </w:tc>
        <w:tc>
          <w:tcPr>
            <w:tcW w:w="5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20 to 30 years</w:t>
            </w:r>
          </w:p>
        </w:tc>
      </w:tr>
      <w:tr>
        <w:trPr>
          <w:trHeight w:val="222"/>
        </w:trPr>
        <w:tc>
          <w:tcPr>
            <w:tcW w:w="5600" w:type="dxa"/>
            <w:vAlign w:val="bottom"/>
            <w:gridSpan w:val="2"/>
          </w:tcPr>
          <w:p>
            <w:pPr>
              <w:ind w:left="20"/>
              <w:spacing w:after="0"/>
              <w:rPr>
                <w:sz w:val="20"/>
                <w:szCs w:val="20"/>
                <w:color w:val="auto"/>
              </w:rPr>
            </w:pPr>
            <w:r>
              <w:rPr>
                <w:rFonts w:ascii="Arial" w:cs="Arial" w:eastAsia="Arial" w:hAnsi="Arial"/>
                <w:sz w:val="17"/>
                <w:szCs w:val="17"/>
                <w:color w:val="auto"/>
              </w:rPr>
              <w:t>Datacenter and other computer equipment</w:t>
            </w:r>
          </w:p>
        </w:tc>
        <w:tc>
          <w:tcPr>
            <w:tcW w:w="5620" w:type="dxa"/>
            <w:vAlign w:val="bottom"/>
          </w:tcPr>
          <w:p>
            <w:pPr>
              <w:jc w:val="center"/>
              <w:spacing w:after="0"/>
              <w:rPr>
                <w:sz w:val="20"/>
                <w:szCs w:val="20"/>
                <w:color w:val="auto"/>
              </w:rPr>
            </w:pPr>
            <w:r>
              <w:rPr>
                <w:rFonts w:ascii="Arial" w:cs="Arial" w:eastAsia="Arial" w:hAnsi="Arial"/>
                <w:sz w:val="17"/>
                <w:szCs w:val="17"/>
                <w:color w:val="auto"/>
                <w:w w:val="92"/>
              </w:rPr>
              <w:t>3 to 5 years</w:t>
            </w:r>
          </w:p>
        </w:tc>
      </w:tr>
      <w:tr>
        <w:trPr>
          <w:trHeight w:val="222"/>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Office equipment and other</w:t>
            </w:r>
          </w:p>
        </w:tc>
        <w:tc>
          <w:tcPr>
            <w:tcW w:w="5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3 to 7 years</w:t>
            </w:r>
          </w:p>
        </w:tc>
      </w:tr>
      <w:tr>
        <w:trPr>
          <w:trHeight w:val="222"/>
        </w:trPr>
        <w:tc>
          <w:tcPr>
            <w:tcW w:w="5600" w:type="dxa"/>
            <w:vAlign w:val="bottom"/>
            <w:gridSpan w:val="2"/>
          </w:tcPr>
          <w:p>
            <w:pPr>
              <w:ind w:left="20"/>
              <w:spacing w:after="0"/>
              <w:rPr>
                <w:sz w:val="20"/>
                <w:szCs w:val="20"/>
                <w:color w:val="auto"/>
              </w:rPr>
            </w:pPr>
            <w:r>
              <w:rPr>
                <w:rFonts w:ascii="Arial" w:cs="Arial" w:eastAsia="Arial" w:hAnsi="Arial"/>
                <w:sz w:val="17"/>
                <w:szCs w:val="17"/>
                <w:color w:val="auto"/>
              </w:rPr>
              <w:t>Leasehold improvements</w:t>
            </w:r>
          </w:p>
        </w:tc>
        <w:tc>
          <w:tcPr>
            <w:tcW w:w="5620" w:type="dxa"/>
            <w:vAlign w:val="bottom"/>
          </w:tcPr>
          <w:p>
            <w:pPr>
              <w:jc w:val="center"/>
              <w:spacing w:after="0"/>
              <w:rPr>
                <w:sz w:val="20"/>
                <w:szCs w:val="20"/>
                <w:color w:val="auto"/>
              </w:rPr>
            </w:pPr>
            <w:r>
              <w:rPr>
                <w:rFonts w:ascii="Arial" w:cs="Arial" w:eastAsia="Arial" w:hAnsi="Arial"/>
                <w:sz w:val="17"/>
                <w:szCs w:val="17"/>
                <w:color w:val="auto"/>
                <w:w w:val="92"/>
              </w:rPr>
              <w:t>Lesser of estimated useful life or remaining lease term</w:t>
            </w:r>
          </w:p>
        </w:tc>
      </w:tr>
    </w:tbl>
    <w:p>
      <w:pPr>
        <w:spacing w:after="0" w:line="3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Lease obligations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Company leases office space, datacenters, and equipment under non-cancelable finance and operating leases with various expiration dates through</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2036. The Company determines if an arrangement contains a lease at inception.</w:t>
      </w:r>
    </w:p>
    <w:p>
      <w:pPr>
        <w:spacing w:after="0" w:line="236" w:lineRule="exact"/>
        <w:rPr>
          <w:sz w:val="20"/>
          <w:szCs w:val="20"/>
          <w:color w:val="auto"/>
        </w:rPr>
      </w:pPr>
    </w:p>
    <w:p>
      <w:pPr>
        <w:ind w:right="20" w:firstLine="430"/>
        <w:spacing w:after="0" w:line="288" w:lineRule="auto"/>
        <w:rPr>
          <w:sz w:val="20"/>
          <w:szCs w:val="20"/>
          <w:color w:val="auto"/>
        </w:rPr>
      </w:pPr>
      <w:r>
        <w:rPr>
          <w:rFonts w:ascii="Arial" w:cs="Arial" w:eastAsia="Arial" w:hAnsi="Arial"/>
          <w:sz w:val="16"/>
          <w:szCs w:val="16"/>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86" w:lineRule="exact"/>
        <w:rPr>
          <w:sz w:val="20"/>
          <w:szCs w:val="20"/>
          <w:color w:val="auto"/>
        </w:rPr>
      </w:pPr>
    </w:p>
    <w:p>
      <w:pPr>
        <w:ind w:right="120" w:firstLine="430"/>
        <w:spacing w:after="0" w:line="263" w:lineRule="auto"/>
        <w:rPr>
          <w:sz w:val="20"/>
          <w:szCs w:val="20"/>
          <w:color w:val="auto"/>
        </w:rPr>
      </w:pPr>
      <w:r>
        <w:rPr>
          <w:rFonts w:ascii="Arial" w:cs="Arial" w:eastAsia="Arial" w:hAnsi="Arial"/>
          <w:sz w:val="17"/>
          <w:szCs w:val="17"/>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w:t>
      </w:r>
    </w:p>
    <w:p>
      <w:pPr>
        <w:spacing w:after="0" w:line="207" w:lineRule="exact"/>
        <w:rPr>
          <w:sz w:val="20"/>
          <w:szCs w:val="20"/>
          <w:color w:val="auto"/>
        </w:rPr>
      </w:pPr>
    </w:p>
    <w:p>
      <w:pPr>
        <w:ind w:right="320" w:firstLine="430"/>
        <w:spacing w:after="0" w:line="287" w:lineRule="auto"/>
        <w:rPr>
          <w:sz w:val="20"/>
          <w:szCs w:val="20"/>
          <w:color w:val="auto"/>
        </w:rPr>
      </w:pPr>
      <w:r>
        <w:rPr>
          <w:rFonts w:ascii="Arial" w:cs="Arial" w:eastAsia="Arial" w:hAnsi="Arial"/>
          <w:sz w:val="17"/>
          <w:szCs w:val="17"/>
          <w:color w:val="auto"/>
        </w:rPr>
        <w:t>In addition, certain operating lease agreements contain tenant improvement allowances from its landlords. These allowances are accounted for as lease incentives and decrease the Company's right-of-use asset and reduce single lease cost over the lease term.</w:t>
      </w:r>
    </w:p>
    <w:p>
      <w:pPr>
        <w:spacing w:after="0" w:line="184" w:lineRule="exact"/>
        <w:rPr>
          <w:sz w:val="20"/>
          <w:szCs w:val="20"/>
          <w:color w:val="auto"/>
        </w:rPr>
      </w:pPr>
    </w:p>
    <w:p>
      <w:pPr>
        <w:ind w:right="20" w:firstLine="430"/>
        <w:spacing w:after="0" w:line="263" w:lineRule="auto"/>
        <w:rPr>
          <w:sz w:val="20"/>
          <w:szCs w:val="20"/>
          <w:color w:val="auto"/>
        </w:rPr>
      </w:pPr>
      <w:r>
        <w:rPr>
          <w:rFonts w:ascii="Arial" w:cs="Arial" w:eastAsia="Arial" w:hAnsi="Arial"/>
          <w:sz w:val="17"/>
          <w:szCs w:val="17"/>
          <w:color w:val="auto"/>
        </w:rPr>
        <w:t>As part of the Company's Virtual First strategy, Dropbox has retained a portion of its office space for in-person collaboration while the remainder will be subleased. The Company recorded impairment charges of $8.7 million during the three and six months ended June 30, 2022 and zero and $17.3 million during the three and six months ended June 30, 2021, respectively, related to other lease-related property and real estate assets. These impairment charges were recorded as a result of the Company's decision to move towards a Virtual First work model. See Note 9 "Leases" to our condensed consolidated financial statements included elsewhere in this Quarterly Report on Form 10-Q for further information.</w:t>
      </w:r>
    </w:p>
    <w:p>
      <w:pPr>
        <w:spacing w:after="0" w:line="207" w:lineRule="exact"/>
        <w:rPr>
          <w:sz w:val="20"/>
          <w:szCs w:val="20"/>
          <w:color w:val="auto"/>
        </w:rPr>
      </w:pPr>
    </w:p>
    <w:p>
      <w:pPr>
        <w:ind w:firstLine="430"/>
        <w:spacing w:after="0" w:line="263" w:lineRule="auto"/>
        <w:rPr>
          <w:sz w:val="20"/>
          <w:szCs w:val="20"/>
          <w:color w:val="auto"/>
        </w:rPr>
      </w:pPr>
      <w:r>
        <w:rPr>
          <w:rFonts w:ascii="Arial" w:cs="Arial" w:eastAsia="Arial" w:hAnsi="Arial"/>
          <w:sz w:val="17"/>
          <w:szCs w:val="17"/>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condensed consolidated statements of operations. Initial asset values and finance lease obligations are based on the present value of future minimum lease payments.</w:t>
      </w:r>
    </w:p>
    <w:p>
      <w:pPr>
        <w:spacing w:after="0" w:line="207" w:lineRule="exact"/>
        <w:rPr>
          <w:sz w:val="20"/>
          <w:szCs w:val="20"/>
          <w:color w:val="auto"/>
        </w:rPr>
      </w:pPr>
    </w:p>
    <w:p>
      <w:pPr>
        <w:ind w:right="240" w:firstLine="430"/>
        <w:spacing w:after="0" w:line="271" w:lineRule="auto"/>
        <w:rPr>
          <w:sz w:val="20"/>
          <w:szCs w:val="20"/>
          <w:color w:val="auto"/>
        </w:rPr>
      </w:pPr>
      <w:r>
        <w:rPr>
          <w:rFonts w:ascii="Arial" w:cs="Arial" w:eastAsia="Arial" w:hAnsi="Arial"/>
          <w:sz w:val="17"/>
          <w:szCs w:val="17"/>
          <w:color w:val="auto"/>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spacing w:after="0" w:line="27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7" w:lineRule="exact"/>
        <w:rPr>
          <w:sz w:val="20"/>
          <w:szCs w:val="20"/>
          <w:color w:val="auto"/>
        </w:rPr>
      </w:pPr>
    </w:p>
    <w:p>
      <w:pPr>
        <w:ind w:right="180" w:firstLine="430"/>
        <w:spacing w:after="0" w:line="312" w:lineRule="auto"/>
        <w:rPr>
          <w:sz w:val="20"/>
          <w:szCs w:val="20"/>
          <w:color w:val="auto"/>
        </w:rPr>
      </w:pPr>
      <w:r>
        <w:rPr>
          <w:rFonts w:ascii="Arial" w:cs="Arial" w:eastAsia="Arial" w:hAnsi="Arial"/>
          <w:sz w:val="15"/>
          <w:szCs w:val="15"/>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09" w:lineRule="exact"/>
        <w:rPr>
          <w:sz w:val="20"/>
          <w:szCs w:val="20"/>
          <w:color w:val="auto"/>
        </w:rPr>
      </w:pPr>
    </w:p>
    <w:p>
      <w:pPr>
        <w:ind w:firstLine="430"/>
        <w:spacing w:after="0" w:line="287" w:lineRule="auto"/>
        <w:rPr>
          <w:sz w:val="20"/>
          <w:szCs w:val="20"/>
          <w:color w:val="auto"/>
        </w:rPr>
      </w:pPr>
      <w:r>
        <w:rPr>
          <w:rFonts w:ascii="Arial" w:cs="Arial" w:eastAsia="Arial" w:hAnsi="Arial"/>
          <w:sz w:val="17"/>
          <w:szCs w:val="17"/>
          <w:color w:val="auto"/>
        </w:rPr>
        <w:t>Upon the conclusion of the measurement period or final determination of the fair value of assets acquired or liabilities assumed, whichever comes first, any subsequent adjustments are recorded to the Company’s condensed consolidated statements of operations.</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Long-lived assets, including goodwill and other acquired intangible assets, net</w:t>
      </w:r>
    </w:p>
    <w:p>
      <w:pPr>
        <w:spacing w:after="0" w:line="117" w:lineRule="exact"/>
        <w:rPr>
          <w:sz w:val="20"/>
          <w:szCs w:val="20"/>
          <w:color w:val="auto"/>
        </w:rPr>
      </w:pPr>
    </w:p>
    <w:p>
      <w:pPr>
        <w:jc w:val="both"/>
        <w:ind w:right="240" w:firstLine="430"/>
        <w:spacing w:after="0" w:line="284" w:lineRule="auto"/>
        <w:rPr>
          <w:sz w:val="20"/>
          <w:szCs w:val="20"/>
          <w:color w:val="auto"/>
        </w:rPr>
      </w:pPr>
      <w:r>
        <w:rPr>
          <w:rFonts w:ascii="Arial" w:cs="Arial" w:eastAsia="Arial" w:hAnsi="Arial"/>
          <w:sz w:val="16"/>
          <w:szCs w:val="16"/>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89" w:lineRule="exact"/>
        <w:rPr>
          <w:sz w:val="20"/>
          <w:szCs w:val="20"/>
          <w:color w:val="auto"/>
        </w:rPr>
      </w:pPr>
    </w:p>
    <w:p>
      <w:pPr>
        <w:ind w:right="380" w:firstLine="430"/>
        <w:spacing w:after="0" w:line="287" w:lineRule="auto"/>
        <w:rPr>
          <w:sz w:val="20"/>
          <w:szCs w:val="20"/>
          <w:color w:val="auto"/>
        </w:rPr>
      </w:pPr>
      <w:r>
        <w:rPr>
          <w:rFonts w:ascii="Arial" w:cs="Arial" w:eastAsia="Arial" w:hAnsi="Arial"/>
          <w:sz w:val="17"/>
          <w:szCs w:val="17"/>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84" w:lineRule="exact"/>
        <w:rPr>
          <w:sz w:val="20"/>
          <w:szCs w:val="20"/>
          <w:color w:val="auto"/>
        </w:rPr>
      </w:pPr>
    </w:p>
    <w:p>
      <w:pPr>
        <w:ind w:right="260" w:firstLine="430"/>
        <w:spacing w:after="0" w:line="287" w:lineRule="auto"/>
        <w:rPr>
          <w:sz w:val="20"/>
          <w:szCs w:val="20"/>
          <w:color w:val="auto"/>
        </w:rPr>
      </w:pPr>
      <w:r>
        <w:rPr>
          <w:rFonts w:ascii="Arial" w:cs="Arial" w:eastAsia="Arial" w:hAnsi="Arial"/>
          <w:sz w:val="17"/>
          <w:szCs w:val="17"/>
          <w:color w:val="auto"/>
        </w:rPr>
        <w:t>The Company has not recorded impairment charges on goodwill or intangible assets for the periods presented in these condensed consolidated financial statements.</w:t>
      </w:r>
    </w:p>
    <w:p>
      <w:pPr>
        <w:spacing w:after="0" w:line="184" w:lineRule="exact"/>
        <w:rPr>
          <w:sz w:val="20"/>
          <w:szCs w:val="20"/>
          <w:color w:val="auto"/>
        </w:rPr>
      </w:pPr>
    </w:p>
    <w:p>
      <w:pPr>
        <w:jc w:val="both"/>
        <w:ind w:right="360" w:firstLine="391"/>
        <w:spacing w:after="0" w:line="271" w:lineRule="auto"/>
        <w:rPr>
          <w:sz w:val="20"/>
          <w:szCs w:val="20"/>
          <w:color w:val="auto"/>
        </w:rPr>
      </w:pPr>
      <w:r>
        <w:rPr>
          <w:rFonts w:ascii="Arial" w:cs="Arial" w:eastAsia="Arial" w:hAnsi="Arial"/>
          <w:sz w:val="17"/>
          <w:szCs w:val="17"/>
          <w:color w:val="auto"/>
        </w:rPr>
        <w:t>During the six months ended June 30, 2022 and 2021, the Company recorded impairment charges in conjunction with the Company's decision to move towards a Virtual First work model. See Note 9 "Leases" to our condensed consolidated financial statements included elsewhere in this Quarterly Report on Form 10-Q for further information.</w:t>
      </w:r>
    </w:p>
    <w:p>
      <w:pPr>
        <w:spacing w:after="0" w:line="198" w:lineRule="exact"/>
        <w:rPr>
          <w:sz w:val="20"/>
          <w:szCs w:val="20"/>
          <w:color w:val="auto"/>
        </w:rPr>
      </w:pPr>
    </w:p>
    <w:p>
      <w:pPr>
        <w:ind w:right="140" w:firstLine="430"/>
        <w:spacing w:after="0" w:line="266" w:lineRule="auto"/>
        <w:rPr>
          <w:sz w:val="20"/>
          <w:szCs w:val="20"/>
          <w:color w:val="auto"/>
        </w:rPr>
      </w:pPr>
      <w:r>
        <w:rPr>
          <w:rFonts w:ascii="Arial" w:cs="Arial" w:eastAsia="Arial" w:hAnsi="Arial"/>
          <w:sz w:val="17"/>
          <w:szCs w:val="17"/>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revises the estimated useful life assumption for any asset, the remaining unamortized balance is amortized or depreciated over the revised estimated useful life on a prospective basis.</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Income taxes</w:t>
      </w:r>
    </w:p>
    <w:p>
      <w:pPr>
        <w:spacing w:after="0" w:line="117" w:lineRule="exact"/>
        <w:rPr>
          <w:sz w:val="20"/>
          <w:szCs w:val="20"/>
          <w:color w:val="auto"/>
        </w:rPr>
      </w:pPr>
    </w:p>
    <w:p>
      <w:pPr>
        <w:ind w:right="140" w:firstLine="430"/>
        <w:spacing w:after="0" w:line="271" w:lineRule="auto"/>
        <w:rPr>
          <w:sz w:val="20"/>
          <w:szCs w:val="20"/>
          <w:color w:val="auto"/>
        </w:rPr>
      </w:pPr>
      <w:r>
        <w:rPr>
          <w:rFonts w:ascii="Arial" w:cs="Arial" w:eastAsia="Arial" w:hAnsi="Arial"/>
          <w:sz w:val="17"/>
          <w:szCs w:val="17"/>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98" w:lineRule="exact"/>
        <w:rPr>
          <w:sz w:val="20"/>
          <w:szCs w:val="20"/>
          <w:color w:val="auto"/>
        </w:rPr>
      </w:pPr>
    </w:p>
    <w:p>
      <w:pPr>
        <w:ind w:right="140" w:firstLine="430"/>
        <w:spacing w:after="0" w:line="271" w:lineRule="auto"/>
        <w:rPr>
          <w:sz w:val="20"/>
          <w:szCs w:val="20"/>
          <w:color w:val="auto"/>
        </w:rPr>
      </w:pPr>
      <w:r>
        <w:rPr>
          <w:rFonts w:ascii="Arial" w:cs="Arial" w:eastAsia="Arial" w:hAnsi="Arial"/>
          <w:sz w:val="17"/>
          <w:szCs w:val="17"/>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98" w:lineRule="exact"/>
        <w:rPr>
          <w:sz w:val="20"/>
          <w:szCs w:val="20"/>
          <w:color w:val="auto"/>
        </w:rPr>
      </w:pPr>
    </w:p>
    <w:p>
      <w:pPr>
        <w:ind w:right="80" w:firstLine="430"/>
        <w:spacing w:after="0" w:line="266" w:lineRule="auto"/>
        <w:rPr>
          <w:sz w:val="20"/>
          <w:szCs w:val="20"/>
          <w:color w:val="auto"/>
        </w:rPr>
      </w:pPr>
      <w:r>
        <w:rPr>
          <w:rFonts w:ascii="Arial" w:cs="Arial" w:eastAsia="Arial" w:hAnsi="Arial"/>
          <w:sz w:val="17"/>
          <w:szCs w:val="17"/>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203" w:lineRule="exact"/>
        <w:rPr>
          <w:sz w:val="20"/>
          <w:szCs w:val="20"/>
          <w:color w:val="auto"/>
        </w:rPr>
      </w:pPr>
    </w:p>
    <w:p>
      <w:pPr>
        <w:ind w:right="360" w:firstLine="430"/>
        <w:spacing w:after="0" w:line="266" w:lineRule="auto"/>
        <w:rPr>
          <w:sz w:val="20"/>
          <w:szCs w:val="20"/>
          <w:color w:val="auto"/>
        </w:rPr>
      </w:pPr>
      <w:r>
        <w:rPr>
          <w:rFonts w:ascii="Arial" w:cs="Arial" w:eastAsia="Arial" w:hAnsi="Arial"/>
          <w:sz w:val="17"/>
          <w:szCs w:val="17"/>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spacing w:after="0" w:line="203" w:lineRule="exact"/>
        <w:rPr>
          <w:sz w:val="20"/>
          <w:szCs w:val="20"/>
          <w:color w:val="auto"/>
        </w:rPr>
      </w:pPr>
    </w:p>
    <w:p>
      <w:pPr>
        <w:jc w:val="both"/>
        <w:ind w:right="20" w:firstLine="430"/>
        <w:spacing w:after="0" w:line="357" w:lineRule="auto"/>
        <w:rPr>
          <w:sz w:val="20"/>
          <w:szCs w:val="20"/>
          <w:color w:val="auto"/>
        </w:rPr>
      </w:pPr>
      <w:r>
        <w:rPr>
          <w:rFonts w:ascii="Arial" w:cs="Arial" w:eastAsia="Arial" w:hAnsi="Arial"/>
          <w:sz w:val="15"/>
          <w:szCs w:val="15"/>
          <w:color w:val="auto"/>
        </w:rPr>
        <w:t>To the extent that the final tax outcome of these matters is different than the amounts recorded, such differences will affect the (provision for) benefit from income taxes in the period in which such determination is made and could have a material impact on the Company’s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117" w:lineRule="exact"/>
        <w:rPr>
          <w:sz w:val="20"/>
          <w:szCs w:val="20"/>
          <w:color w:val="auto"/>
        </w:rPr>
      </w:pPr>
    </w:p>
    <w:p>
      <w:pPr>
        <w:ind w:right="40" w:firstLine="430"/>
        <w:spacing w:after="0" w:line="280" w:lineRule="auto"/>
        <w:rPr>
          <w:sz w:val="20"/>
          <w:szCs w:val="20"/>
          <w:color w:val="auto"/>
        </w:rPr>
      </w:pPr>
      <w:r>
        <w:rPr>
          <w:rFonts w:ascii="Arial" w:cs="Arial" w:eastAsia="Arial" w:hAnsi="Arial"/>
          <w:sz w:val="16"/>
          <w:szCs w:val="16"/>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—Quoted prices in active markets for identical assets or liabilities.</w:t>
      </w:r>
    </w:p>
    <w:p>
      <w:pPr>
        <w:spacing w:after="0" w:line="117" w:lineRule="exact"/>
        <w:rPr>
          <w:sz w:val="20"/>
          <w:szCs w:val="20"/>
          <w:color w:val="auto"/>
        </w:rPr>
      </w:pPr>
    </w:p>
    <w:p>
      <w:pPr>
        <w:jc w:val="both"/>
        <w:ind w:left="480" w:right="300"/>
        <w:spacing w:after="0" w:line="271"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—Observable inputs other than quoted prices in active markets for identical assets and liabilities, quoted prices for identical or similar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in inactive markets, or other inputs that are observable or can be corroborated by observable market data for substantially the full term of the assets or liabilities.</w:t>
      </w:r>
    </w:p>
    <w:p>
      <w:pPr>
        <w:spacing w:after="0" w:line="68" w:lineRule="exact"/>
        <w:rPr>
          <w:sz w:val="20"/>
          <w:szCs w:val="20"/>
          <w:color w:val="auto"/>
        </w:rPr>
      </w:pPr>
    </w:p>
    <w:p>
      <w:pPr>
        <w:ind w:left="480" w:right="80"/>
        <w:spacing w:after="0" w:line="287"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—Inputs that are generally unobservable and typically reflect management’s estimate of assumptions that market participants would use in pricing</w:t>
      </w:r>
      <w:r>
        <w:rPr>
          <w:rFonts w:ascii="Arial" w:cs="Arial" w:eastAsia="Arial" w:hAnsi="Arial"/>
          <w:sz w:val="17"/>
          <w:szCs w:val="17"/>
          <w:i w:val="1"/>
          <w:iCs w:val="1"/>
          <w:color w:val="auto"/>
        </w:rPr>
        <w:t xml:space="preserve"> </w:t>
      </w:r>
      <w:r>
        <w:rPr>
          <w:rFonts w:ascii="Arial" w:cs="Arial" w:eastAsia="Arial" w:hAnsi="Arial"/>
          <w:sz w:val="17"/>
          <w:szCs w:val="17"/>
          <w:color w:val="auto"/>
        </w:rPr>
        <w:t>the asset or liability.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Recently issued accounting pronouncements not yet adopted</w:t>
      </w:r>
    </w:p>
    <w:p>
      <w:pPr>
        <w:spacing w:after="0" w:line="117" w:lineRule="exact"/>
        <w:rPr>
          <w:sz w:val="20"/>
          <w:szCs w:val="20"/>
          <w:color w:val="auto"/>
        </w:rPr>
      </w:pPr>
    </w:p>
    <w:p>
      <w:pPr>
        <w:ind w:right="20" w:firstLine="430"/>
        <w:spacing w:after="0" w:line="262"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 Contract Liabilities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which requires entities to recognize and measure contract assets and contract liabilities acquired in a business combination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Topic 606, Revenue from Contracts with Customers, instead of fair value at the acquisition date in accordance with Topic 805. The amendments in ASU 2021-08 will result in the acquirer recording acquired contract assets and liabilities on the same basis that would have been recorded by the acquiree before the acquisition under ASC Topic 606. The amendments in ASU 2021-08 are effective for fiscal years beginning after December 15, 2022, with early adoption permitted. The Company is evaluating the effect of adopting this new accounting guidance.</w:t>
      </w:r>
    </w:p>
    <w:p>
      <w:pPr>
        <w:spacing w:after="0" w:line="76" w:lineRule="exact"/>
        <w:rPr>
          <w:sz w:val="20"/>
          <w:szCs w:val="20"/>
          <w:color w:val="auto"/>
        </w:rPr>
      </w:pPr>
    </w:p>
    <w:p>
      <w:pPr>
        <w:ind w:firstLine="430"/>
        <w:spacing w:after="0" w:line="281" w:lineRule="auto"/>
        <w:rPr>
          <w:sz w:val="20"/>
          <w:szCs w:val="20"/>
          <w:color w:val="auto"/>
        </w:rPr>
      </w:pPr>
      <w:r>
        <w:rPr>
          <w:rFonts w:ascii="Arial" w:cs="Arial" w:eastAsia="Arial" w:hAnsi="Arial"/>
          <w:sz w:val="16"/>
          <w:szCs w:val="16"/>
          <w:color w:val="auto"/>
        </w:rPr>
        <w:t xml:space="preserve">In March 2022, the FASB issued ASU 2022-02, </w:t>
      </w:r>
      <w:r>
        <w:rPr>
          <w:rFonts w:ascii="Arial" w:cs="Arial" w:eastAsia="Arial" w:hAnsi="Arial"/>
          <w:sz w:val="16"/>
          <w:szCs w:val="16"/>
          <w:i w:val="1"/>
          <w:iCs w:val="1"/>
          <w:color w:val="auto"/>
        </w:rPr>
        <w:t>Financial Instruments—Credit Losses (Topic 326): Troubled Debt Restructurings and Vintage Disclosures,</w:t>
      </w:r>
      <w:r>
        <w:rPr>
          <w:rFonts w:ascii="Arial" w:cs="Arial" w:eastAsia="Arial" w:hAnsi="Arial"/>
          <w:sz w:val="16"/>
          <w:szCs w:val="16"/>
          <w:color w:val="auto"/>
        </w:rPr>
        <w:t xml:space="preserve"> which eliminates the accounting guidance on troubled debt restructurings for creditors in ASC 310-40 and amends the guidance on "vintage disclosures" to require disclosure of current-period gross write-offs by year of origination. The ASU also updates the requirements related to accounting for credit losses under ASC 326 and adds enhanced disclosures for creditors with respect to loan refinancings and restructurings for borrowers experiencing financial difficulty. The amendments in ASU 2022-02 are effective for fiscal years beginning after December 15, 2022, and interim periods within those fiscal years. The Company does not expect the adoption of ASU 2022-02 to have a significant impact on its consolidated financial statements.</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17" w:lineRule="exact"/>
        <w:rPr>
          <w:sz w:val="20"/>
          <w:szCs w:val="20"/>
          <w:color w:val="auto"/>
        </w:rPr>
      </w:pPr>
    </w:p>
    <w:p>
      <w:pPr>
        <w:ind w:firstLine="430"/>
        <w:spacing w:after="0" w:line="263" w:lineRule="auto"/>
        <w:rPr>
          <w:sz w:val="20"/>
          <w:szCs w:val="20"/>
          <w:color w:val="auto"/>
        </w:rPr>
      </w:pPr>
      <w:r>
        <w:rPr>
          <w:rFonts w:ascii="Arial" w:cs="Arial" w:eastAsia="Arial" w:hAnsi="Arial"/>
          <w:sz w:val="17"/>
          <w:szCs w:val="17"/>
          <w:color w:val="auto"/>
        </w:rPr>
        <w:t xml:space="preserve">In May 2021, the FASB issued ASU 2021-04, </w:t>
      </w:r>
      <w:r>
        <w:rPr>
          <w:rFonts w:ascii="Arial" w:cs="Arial" w:eastAsia="Arial" w:hAnsi="Arial"/>
          <w:sz w:val="17"/>
          <w:szCs w:val="17"/>
          <w:i w:val="1"/>
          <w:iCs w:val="1"/>
          <w:color w:val="auto"/>
        </w:rPr>
        <w:t>Earnings Per Share (Topic 260), Debt - Modifications and Extinguishments (Subtopic 470-50),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 Stock Compensation (Topic 718), and Derivatives and Hedging - Contracts in Entity's Own Equity (Subtopic 815-40) </w:t>
      </w:r>
      <w:r>
        <w:rPr>
          <w:rFonts w:ascii="Arial" w:cs="Arial" w:eastAsia="Arial" w:hAnsi="Arial"/>
          <w:sz w:val="17"/>
          <w:szCs w:val="17"/>
          <w:color w:val="auto"/>
        </w:rPr>
        <w:t>to clarify and reduce</w:t>
      </w:r>
      <w:r>
        <w:rPr>
          <w:rFonts w:ascii="Arial" w:cs="Arial" w:eastAsia="Arial" w:hAnsi="Arial"/>
          <w:sz w:val="17"/>
          <w:szCs w:val="17"/>
          <w:i w:val="1"/>
          <w:iCs w:val="1"/>
          <w:color w:val="auto"/>
        </w:rPr>
        <w:t xml:space="preserve"> </w:t>
      </w:r>
      <w:r>
        <w:rPr>
          <w:rFonts w:ascii="Arial" w:cs="Arial" w:eastAsia="Arial" w:hAnsi="Arial"/>
          <w:sz w:val="17"/>
          <w:szCs w:val="17"/>
          <w:color w:val="auto"/>
        </w:rPr>
        <w:t>diversity in an issuer’s accounting for modifications or exchanges of freestanding equity-classified written call options (for example, warrants) that remain equity classified after modification or exchange. The Company adopted ASU 2021-04 on January 1, 2022. The adoption of the standard did not have a material impact on the Company's condensed consolidated financial statements.</w:t>
      </w:r>
    </w:p>
    <w:p>
      <w:pPr>
        <w:spacing w:after="0" w:line="311" w:lineRule="exact"/>
        <w:rPr>
          <w:sz w:val="20"/>
          <w:szCs w:val="20"/>
          <w:color w:val="auto"/>
        </w:rPr>
      </w:pPr>
    </w:p>
    <w:p>
      <w:pPr>
        <w:ind w:right="40" w:firstLine="430"/>
        <w:spacing w:after="0" w:line="262" w:lineRule="auto"/>
        <w:rPr>
          <w:sz w:val="20"/>
          <w:szCs w:val="20"/>
          <w:color w:val="auto"/>
        </w:rPr>
      </w:pPr>
      <w:r>
        <w:rPr>
          <w:rFonts w:ascii="Arial" w:cs="Arial" w:eastAsia="Arial" w:hAnsi="Arial"/>
          <w:sz w:val="17"/>
          <w:szCs w:val="17"/>
          <w:color w:val="auto"/>
        </w:rPr>
        <w:t xml:space="preserve">In July 2021, the FASB issued ASU 2021-05, </w:t>
      </w:r>
      <w:r>
        <w:rPr>
          <w:rFonts w:ascii="Arial" w:cs="Arial" w:eastAsia="Arial" w:hAnsi="Arial"/>
          <w:sz w:val="17"/>
          <w:szCs w:val="17"/>
          <w:i w:val="1"/>
          <w:iCs w:val="1"/>
          <w:color w:val="auto"/>
        </w:rPr>
        <w:t>Leases (Topic 842)</w:t>
      </w:r>
      <w:r>
        <w:rPr>
          <w:rFonts w:ascii="Arial" w:cs="Arial" w:eastAsia="Arial" w:hAnsi="Arial"/>
          <w:sz w:val="17"/>
          <w:szCs w:val="17"/>
          <w:color w:val="auto"/>
        </w:rPr>
        <w:t>, which amends ASC 842 so that lessors are no longer required to recognize a selling loss upon commencement of a lease with variable lease payments that, prior to the amendments, would have been classified as a sales-type or direct financing lease. Furthermore, a lessor must classify as an operating lease any lease that would otherwise be classified as a sales-type or direct financing lease and that would result in the recognition of a selling loss at lease commencement, provided that the lease includes variable lease payments that do not depend on an index or rate. The Company adopted ASU 2021-05 on January 1, 2022. The adoption of the standard did not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Cash, Cash Equivalents and Short-Term Investments</w:t>
      </w:r>
    </w:p>
    <w:p>
      <w:pPr>
        <w:spacing w:after="0" w:line="254" w:lineRule="exact"/>
        <w:rPr>
          <w:sz w:val="20"/>
          <w:szCs w:val="20"/>
          <w:color w:val="auto"/>
        </w:rPr>
      </w:pPr>
    </w:p>
    <w:p>
      <w:pPr>
        <w:ind w:right="20" w:firstLine="430"/>
        <w:spacing w:after="0" w:line="287" w:lineRule="auto"/>
        <w:rPr>
          <w:sz w:val="20"/>
          <w:szCs w:val="20"/>
          <w:color w:val="auto"/>
        </w:rPr>
      </w:pPr>
      <w:r>
        <w:rPr>
          <w:rFonts w:ascii="Arial" w:cs="Arial" w:eastAsia="Arial" w:hAnsi="Arial"/>
          <w:sz w:val="17"/>
          <w:szCs w:val="17"/>
          <w:color w:val="auto"/>
        </w:rPr>
        <w:t>The amortized cost, unrealized gains and losses and estimated fair value of the Company's cash, cash equivalents and short-term investments as of June 30, 2022 and December 31, 2021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7"/>
                <w:szCs w:val="17"/>
                <w:b w:val="1"/>
                <w:bCs w:val="1"/>
                <w:color w:val="auto"/>
              </w:rPr>
              <w:t>As of June 30, 2022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15"/>
        </w:trPr>
        <w:tc>
          <w:tcPr>
            <w:tcW w:w="35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Amortized Cost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Unrealized Gain</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w w:val="98"/>
              </w:rPr>
              <w:t>Unrealized Loss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93"/>
              </w:rPr>
              <w:t>Estimated Fair Value</w:t>
            </w:r>
          </w:p>
        </w:tc>
      </w:tr>
      <w:tr>
        <w:trPr>
          <w:trHeight w:val="215"/>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w:t>
            </w:r>
          </w:p>
        </w:tc>
      </w:tr>
      <w:tr>
        <w:trPr>
          <w:trHeight w:val="222"/>
        </w:trPr>
        <w:tc>
          <w:tcPr>
            <w:tcW w:w="352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2"/>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w:t>
            </w:r>
          </w:p>
        </w:tc>
      </w:tr>
      <w:tr>
        <w:trPr>
          <w:trHeight w:val="222"/>
        </w:trPr>
        <w:tc>
          <w:tcPr>
            <w:tcW w:w="352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22"/>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Certificates of deposit</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15"/>
        </w:trPr>
        <w:tc>
          <w:tcPr>
            <w:tcW w:w="3520" w:type="dxa"/>
            <w:vAlign w:val="bottom"/>
          </w:tcPr>
          <w:p>
            <w:pPr>
              <w:ind w:left="20"/>
              <w:spacing w:after="0"/>
              <w:rPr>
                <w:sz w:val="20"/>
                <w:szCs w:val="20"/>
                <w:color w:val="auto"/>
              </w:rPr>
            </w:pPr>
            <w:r>
              <w:rPr>
                <w:rFonts w:ascii="Arial" w:cs="Arial" w:eastAsia="Arial" w:hAnsi="Arial"/>
                <w:sz w:val="17"/>
                <w:szCs w:val="17"/>
                <w:color w:val="auto"/>
              </w:rPr>
              <w:t>Total cash &amp; cash equivalents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352.1</w:t>
            </w:r>
          </w:p>
        </w:tc>
        <w:tc>
          <w:tcPr>
            <w:tcW w:w="10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352.1</w:t>
            </w: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188"/>
        </w:trPr>
        <w:tc>
          <w:tcPr>
            <w:tcW w:w="3520" w:type="dxa"/>
            <w:vAlign w:val="bottom"/>
            <w:shd w:val="clear" w:color="auto" w:fill="CCEEFF"/>
          </w:tcPr>
          <w:p>
            <w:pPr>
              <w:ind w:left="20"/>
              <w:spacing w:after="0" w:line="188" w:lineRule="exact"/>
              <w:rPr>
                <w:sz w:val="20"/>
                <w:szCs w:val="20"/>
                <w:color w:val="auto"/>
              </w:rPr>
            </w:pPr>
            <w:r>
              <w:rPr>
                <w:rFonts w:ascii="Arial" w:cs="Arial" w:eastAsia="Arial" w:hAnsi="Arial"/>
                <w:sz w:val="17"/>
                <w:szCs w:val="17"/>
                <w:color w:val="auto"/>
              </w:rPr>
              <w:t>Short-term investments</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r>
      <w:tr>
        <w:trPr>
          <w:trHeight w:val="222"/>
        </w:trPr>
        <w:tc>
          <w:tcPr>
            <w:tcW w:w="3520" w:type="dxa"/>
            <w:vAlign w:val="bottom"/>
          </w:tcPr>
          <w:p>
            <w:pPr>
              <w:ind w:left="140"/>
              <w:spacing w:after="0"/>
              <w:rPr>
                <w:sz w:val="20"/>
                <w:szCs w:val="20"/>
                <w:color w:val="auto"/>
              </w:rPr>
            </w:pPr>
            <w:r>
              <w:rPr>
                <w:rFonts w:ascii="Arial" w:cs="Arial" w:eastAsia="Arial" w:hAnsi="Arial"/>
                <w:sz w:val="17"/>
                <w:szCs w:val="17"/>
                <w:color w:val="auto"/>
              </w:rPr>
              <w:t>Corporate notes and obligations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513.6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493.2</w:t>
            </w:r>
          </w:p>
        </w:tc>
      </w:tr>
      <w:tr>
        <w:trPr>
          <w:trHeight w:val="222"/>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279.7</w:t>
            </w:r>
          </w:p>
        </w:tc>
      </w:tr>
      <w:tr>
        <w:trPr>
          <w:trHeight w:val="222"/>
        </w:trPr>
        <w:tc>
          <w:tcPr>
            <w:tcW w:w="3520" w:type="dxa"/>
            <w:vAlign w:val="bottom"/>
          </w:tcPr>
          <w:p>
            <w:pPr>
              <w:ind w:left="140"/>
              <w:spacing w:after="0"/>
              <w:rPr>
                <w:sz w:val="20"/>
                <w:szCs w:val="20"/>
                <w:color w:val="auto"/>
              </w:rPr>
            </w:pPr>
            <w:r>
              <w:rPr>
                <w:rFonts w:ascii="Arial" w:cs="Arial" w:eastAsia="Arial" w:hAnsi="Arial"/>
                <w:sz w:val="17"/>
                <w:szCs w:val="17"/>
                <w:color w:val="auto"/>
              </w:rPr>
              <w:t>Asset backed securities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129.9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124.4</w:t>
            </w:r>
          </w:p>
        </w:tc>
      </w:tr>
      <w:tr>
        <w:trPr>
          <w:trHeight w:val="222"/>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Municipal securities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w:t>
            </w:r>
          </w:p>
        </w:tc>
      </w:tr>
      <w:tr>
        <w:trPr>
          <w:trHeight w:val="222"/>
        </w:trPr>
        <w:tc>
          <w:tcPr>
            <w:tcW w:w="352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68.7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68.7</w:t>
            </w:r>
          </w:p>
        </w:tc>
      </w:tr>
      <w:tr>
        <w:trPr>
          <w:trHeight w:val="222"/>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Certificates of deposit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r>
      <w:tr>
        <w:trPr>
          <w:trHeight w:val="222"/>
        </w:trPr>
        <w:tc>
          <w:tcPr>
            <w:tcW w:w="3520" w:type="dxa"/>
            <w:vAlign w:val="bottom"/>
          </w:tcPr>
          <w:p>
            <w:pPr>
              <w:ind w:left="140"/>
              <w:spacing w:after="0"/>
              <w:rPr>
                <w:sz w:val="20"/>
                <w:szCs w:val="20"/>
                <w:color w:val="auto"/>
              </w:rPr>
            </w:pPr>
            <w:r>
              <w:rPr>
                <w:rFonts w:ascii="Arial" w:cs="Arial" w:eastAsia="Arial" w:hAnsi="Arial"/>
                <w:sz w:val="17"/>
                <w:szCs w:val="17"/>
                <w:color w:val="auto"/>
              </w:rPr>
              <w:t>U.S. agency obligations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15.9</w:t>
            </w:r>
          </w:p>
        </w:tc>
      </w:tr>
      <w:tr>
        <w:trPr>
          <w:trHeight w:val="222"/>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government obligations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r>
      <w:tr>
        <w:trPr>
          <w:trHeight w:val="222"/>
        </w:trPr>
        <w:tc>
          <w:tcPr>
            <w:tcW w:w="3520" w:type="dxa"/>
            <w:vAlign w:val="bottom"/>
          </w:tcPr>
          <w:p>
            <w:pPr>
              <w:ind w:left="140"/>
              <w:spacing w:after="0"/>
              <w:rPr>
                <w:sz w:val="20"/>
                <w:szCs w:val="20"/>
                <w:color w:val="auto"/>
              </w:rPr>
            </w:pPr>
            <w:r>
              <w:rPr>
                <w:rFonts w:ascii="Arial" w:cs="Arial" w:eastAsia="Arial" w:hAnsi="Arial"/>
                <w:sz w:val="17"/>
                <w:szCs w:val="17"/>
                <w:color w:val="auto"/>
              </w:rPr>
              <w:t>Supranational securities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15"/>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short-term investments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1,135.6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1,094.2</w:t>
            </w:r>
          </w:p>
        </w:tc>
      </w:tr>
      <w:tr>
        <w:trPr>
          <w:trHeight w:val="215"/>
        </w:trPr>
        <w:tc>
          <w:tcPr>
            <w:tcW w:w="3520" w:type="dxa"/>
            <w:vAlign w:val="bottom"/>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1,487.7</w:t>
            </w:r>
          </w:p>
        </w:tc>
        <w:tc>
          <w:tcPr>
            <w:tcW w:w="10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(41.5)</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1,446.3</w:t>
            </w:r>
          </w:p>
        </w:tc>
      </w:tr>
      <w:tr>
        <w:trPr>
          <w:trHeight w:val="20"/>
        </w:trPr>
        <w:tc>
          <w:tcPr>
            <w:tcW w:w="3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5"/>
          </w:tcPr>
          <w:p>
            <w:pPr>
              <w:ind w:left="760"/>
              <w:spacing w:after="0"/>
              <w:rPr>
                <w:sz w:val="20"/>
                <w:szCs w:val="20"/>
                <w:color w:val="auto"/>
              </w:rPr>
            </w:pPr>
            <w:r>
              <w:rPr>
                <w:rFonts w:ascii="Arial" w:cs="Arial" w:eastAsia="Arial" w:hAnsi="Arial"/>
                <w:sz w:val="17"/>
                <w:szCs w:val="17"/>
                <w:b w:val="1"/>
                <w:bCs w:val="1"/>
                <w:color w:val="auto"/>
              </w:rPr>
              <w:t>As of December 31, 2021</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15"/>
        </w:trPr>
        <w:tc>
          <w:tcPr>
            <w:tcW w:w="35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Amortized Cost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Unrealized Gain</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w w:val="98"/>
              </w:rPr>
              <w:t>Unrealized Loss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93"/>
              </w:rPr>
              <w:t>Estimated Fair Value</w:t>
            </w:r>
          </w:p>
        </w:tc>
      </w:tr>
      <w:tr>
        <w:trPr>
          <w:trHeight w:val="215"/>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142.7</w:t>
            </w:r>
          </w:p>
        </w:tc>
      </w:tr>
      <w:tr>
        <w:trPr>
          <w:trHeight w:val="222"/>
        </w:trPr>
        <w:tc>
          <w:tcPr>
            <w:tcW w:w="352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2"/>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390.3</w:t>
            </w:r>
          </w:p>
        </w:tc>
      </w:tr>
      <w:tr>
        <w:trPr>
          <w:trHeight w:val="215"/>
        </w:trPr>
        <w:tc>
          <w:tcPr>
            <w:tcW w:w="3520" w:type="dxa"/>
            <w:vAlign w:val="bottom"/>
          </w:tcPr>
          <w:p>
            <w:pPr>
              <w:ind w:left="20"/>
              <w:spacing w:after="0"/>
              <w:rPr>
                <w:sz w:val="20"/>
                <w:szCs w:val="20"/>
                <w:color w:val="auto"/>
              </w:rPr>
            </w:pPr>
            <w:r>
              <w:rPr>
                <w:rFonts w:ascii="Arial" w:cs="Arial" w:eastAsia="Arial" w:hAnsi="Arial"/>
                <w:sz w:val="17"/>
                <w:szCs w:val="17"/>
                <w:color w:val="auto"/>
              </w:rPr>
              <w:t>Total cash &amp; cash equivalents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533.0</w:t>
            </w:r>
          </w:p>
        </w:tc>
        <w:tc>
          <w:tcPr>
            <w:tcW w:w="10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533.0</w:t>
            </w: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188"/>
        </w:trPr>
        <w:tc>
          <w:tcPr>
            <w:tcW w:w="3520" w:type="dxa"/>
            <w:vAlign w:val="bottom"/>
            <w:shd w:val="clear" w:color="auto" w:fill="CCEEFF"/>
          </w:tcPr>
          <w:p>
            <w:pPr>
              <w:ind w:left="20"/>
              <w:spacing w:after="0" w:line="188" w:lineRule="exact"/>
              <w:rPr>
                <w:sz w:val="20"/>
                <w:szCs w:val="20"/>
                <w:color w:val="auto"/>
              </w:rPr>
            </w:pPr>
            <w:r>
              <w:rPr>
                <w:rFonts w:ascii="Arial" w:cs="Arial" w:eastAsia="Arial" w:hAnsi="Arial"/>
                <w:sz w:val="17"/>
                <w:szCs w:val="17"/>
                <w:color w:val="auto"/>
              </w:rPr>
              <w:t>Short-term investments</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r>
      <w:tr>
        <w:trPr>
          <w:trHeight w:val="222"/>
        </w:trPr>
        <w:tc>
          <w:tcPr>
            <w:tcW w:w="3520" w:type="dxa"/>
            <w:vAlign w:val="bottom"/>
          </w:tcPr>
          <w:p>
            <w:pPr>
              <w:ind w:left="140"/>
              <w:spacing w:after="0"/>
              <w:rPr>
                <w:sz w:val="20"/>
                <w:szCs w:val="20"/>
                <w:color w:val="auto"/>
              </w:rPr>
            </w:pPr>
            <w:r>
              <w:rPr>
                <w:rFonts w:ascii="Arial" w:cs="Arial" w:eastAsia="Arial" w:hAnsi="Arial"/>
                <w:sz w:val="17"/>
                <w:szCs w:val="17"/>
                <w:color w:val="auto"/>
              </w:rPr>
              <w:t>Corporate notes and obligations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607.4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ind w:left="1400"/>
              <w:spacing w:after="0"/>
              <w:rPr>
                <w:sz w:val="20"/>
                <w:szCs w:val="20"/>
                <w:color w:val="auto"/>
              </w:rPr>
            </w:pPr>
            <w:r>
              <w:rPr>
                <w:rFonts w:ascii="Arial" w:cs="Arial" w:eastAsia="Arial" w:hAnsi="Arial"/>
                <w:sz w:val="17"/>
                <w:szCs w:val="17"/>
                <w:color w:val="auto"/>
                <w:w w:val="92"/>
              </w:rPr>
              <w:t>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603.8</w:t>
            </w:r>
          </w:p>
        </w:tc>
      </w:tr>
      <w:tr>
        <w:trPr>
          <w:trHeight w:val="222"/>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237.5</w:t>
            </w:r>
          </w:p>
        </w:tc>
      </w:tr>
      <w:tr>
        <w:trPr>
          <w:trHeight w:val="222"/>
        </w:trPr>
        <w:tc>
          <w:tcPr>
            <w:tcW w:w="3520" w:type="dxa"/>
            <w:vAlign w:val="bottom"/>
          </w:tcPr>
          <w:p>
            <w:pPr>
              <w:ind w:left="140"/>
              <w:spacing w:after="0"/>
              <w:rPr>
                <w:sz w:val="20"/>
                <w:szCs w:val="20"/>
                <w:color w:val="auto"/>
              </w:rPr>
            </w:pPr>
            <w:r>
              <w:rPr>
                <w:rFonts w:ascii="Arial" w:cs="Arial" w:eastAsia="Arial" w:hAnsi="Arial"/>
                <w:sz w:val="17"/>
                <w:szCs w:val="17"/>
                <w:color w:val="auto"/>
              </w:rPr>
              <w:t>Asset backed securities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140.7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ind w:left="1400"/>
              <w:spacing w:after="0"/>
              <w:rPr>
                <w:sz w:val="20"/>
                <w:szCs w:val="20"/>
                <w:color w:val="auto"/>
              </w:rPr>
            </w:pPr>
            <w:r>
              <w:rPr>
                <w:rFonts w:ascii="Arial" w:cs="Arial" w:eastAsia="Arial" w:hAnsi="Arial"/>
                <w:sz w:val="17"/>
                <w:szCs w:val="17"/>
                <w:color w:val="auto"/>
                <w:w w:val="92"/>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139.6</w:t>
            </w:r>
          </w:p>
        </w:tc>
      </w:tr>
      <w:tr>
        <w:trPr>
          <w:trHeight w:val="222"/>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Municipal securities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r>
      <w:tr>
        <w:trPr>
          <w:trHeight w:val="222"/>
        </w:trPr>
        <w:tc>
          <w:tcPr>
            <w:tcW w:w="352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61.7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61.7</w:t>
            </w:r>
          </w:p>
        </w:tc>
      </w:tr>
      <w:tr>
        <w:trPr>
          <w:trHeight w:val="222"/>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Certificates of deposit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r>
      <w:tr>
        <w:trPr>
          <w:trHeight w:val="222"/>
        </w:trPr>
        <w:tc>
          <w:tcPr>
            <w:tcW w:w="3520" w:type="dxa"/>
            <w:vAlign w:val="bottom"/>
          </w:tcPr>
          <w:p>
            <w:pPr>
              <w:ind w:left="140"/>
              <w:spacing w:after="0"/>
              <w:rPr>
                <w:sz w:val="20"/>
                <w:szCs w:val="20"/>
                <w:color w:val="auto"/>
              </w:rPr>
            </w:pPr>
            <w:r>
              <w:rPr>
                <w:rFonts w:ascii="Arial" w:cs="Arial" w:eastAsia="Arial" w:hAnsi="Arial"/>
                <w:sz w:val="17"/>
                <w:szCs w:val="17"/>
                <w:color w:val="auto"/>
              </w:rPr>
              <w:t>Foreign government obligations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18.3</w:t>
            </w:r>
          </w:p>
        </w:tc>
      </w:tr>
      <w:tr>
        <w:trPr>
          <w:trHeight w:val="222"/>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agency obligations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r>
      <w:tr>
        <w:trPr>
          <w:trHeight w:val="222"/>
        </w:trPr>
        <w:tc>
          <w:tcPr>
            <w:tcW w:w="3520" w:type="dxa"/>
            <w:vAlign w:val="bottom"/>
          </w:tcPr>
          <w:p>
            <w:pPr>
              <w:ind w:left="140"/>
              <w:spacing w:after="0"/>
              <w:rPr>
                <w:sz w:val="20"/>
                <w:szCs w:val="20"/>
                <w:color w:val="auto"/>
              </w:rPr>
            </w:pPr>
            <w:r>
              <w:rPr>
                <w:rFonts w:ascii="Arial" w:cs="Arial" w:eastAsia="Arial" w:hAnsi="Arial"/>
                <w:sz w:val="17"/>
                <w:szCs w:val="17"/>
                <w:color w:val="auto"/>
              </w:rPr>
              <w:t>Supranational securities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15"/>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short-term investments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1,193.8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Arial" w:cs="Arial" w:eastAsia="Arial" w:hAnsi="Arial"/>
                <w:sz w:val="17"/>
                <w:szCs w:val="17"/>
                <w:color w:val="auto"/>
                <w:w w:val="92"/>
              </w:rPr>
              <w:t>0.5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1,185.1</w:t>
            </w:r>
          </w:p>
        </w:tc>
      </w:tr>
      <w:tr>
        <w:trPr>
          <w:trHeight w:val="215"/>
        </w:trPr>
        <w:tc>
          <w:tcPr>
            <w:tcW w:w="3520" w:type="dxa"/>
            <w:vAlign w:val="bottom"/>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1,726.8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1400"/>
              <w:spacing w:after="0"/>
              <w:rPr>
                <w:sz w:val="20"/>
                <w:szCs w:val="20"/>
                <w:color w:val="auto"/>
              </w:rPr>
            </w:pPr>
            <w:r>
              <w:rPr>
                <w:rFonts w:ascii="Arial" w:cs="Arial" w:eastAsia="Arial" w:hAnsi="Arial"/>
                <w:sz w:val="17"/>
                <w:szCs w:val="17"/>
                <w:color w:val="auto"/>
                <w:w w:val="92"/>
              </w:rPr>
              <w:t>0.5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1,718.1</w:t>
            </w:r>
          </w:p>
        </w:tc>
      </w:tr>
      <w:tr>
        <w:trPr>
          <w:trHeight w:val="20"/>
        </w:trPr>
        <w:tc>
          <w:tcPr>
            <w:tcW w:w="3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80" w:firstLine="430"/>
        <w:spacing w:after="0" w:line="287" w:lineRule="auto"/>
        <w:rPr>
          <w:sz w:val="20"/>
          <w:szCs w:val="20"/>
          <w:color w:val="auto"/>
        </w:rPr>
      </w:pPr>
      <w:r>
        <w:rPr>
          <w:rFonts w:ascii="Arial" w:cs="Arial" w:eastAsia="Arial" w:hAnsi="Arial"/>
          <w:sz w:val="17"/>
          <w:szCs w:val="17"/>
          <w:color w:val="auto"/>
        </w:rPr>
        <w:t>Included in cash and cash equivalents is cash in transit from payment processors for credit and debit card transactions of $10.7 million and $8.3 million as of June 30, 2022 and December 31, 2021, respectively.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short-term investments were designated as available-for-sale securities as of June 30, 2022 and December 31, 2021.</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contractual maturities of the Company’s short-term investments as of June 30, 2022:</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4"/>
          </w:tcPr>
          <w:p>
            <w:pPr>
              <w:jc w:val="right"/>
              <w:ind w:right="1453"/>
              <w:spacing w:after="0"/>
              <w:rPr>
                <w:sz w:val="20"/>
                <w:szCs w:val="20"/>
                <w:color w:val="auto"/>
              </w:rPr>
            </w:pPr>
            <w:r>
              <w:rPr>
                <w:rFonts w:ascii="Arial" w:cs="Arial" w:eastAsia="Arial" w:hAnsi="Arial"/>
                <w:sz w:val="17"/>
                <w:szCs w:val="17"/>
                <w:b w:val="1"/>
                <w:bCs w:val="1"/>
                <w:color w:val="auto"/>
              </w:rPr>
              <w:t>As of June 30, 2022</w:t>
            </w:r>
          </w:p>
        </w:tc>
      </w:tr>
      <w:tr>
        <w:trPr>
          <w:trHeight w:val="215"/>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ind w:left="220"/>
              <w:spacing w:after="0"/>
              <w:rPr>
                <w:sz w:val="20"/>
                <w:szCs w:val="20"/>
                <w:color w:val="auto"/>
              </w:rPr>
            </w:pPr>
            <w:r>
              <w:rPr>
                <w:rFonts w:ascii="Arial" w:cs="Arial" w:eastAsia="Arial" w:hAnsi="Arial"/>
                <w:sz w:val="17"/>
                <w:szCs w:val="17"/>
                <w:b w:val="1"/>
                <w:bCs w:val="1"/>
                <w:color w:val="auto"/>
              </w:rPr>
              <w:t>Amortized cost</w:t>
            </w:r>
          </w:p>
        </w:tc>
        <w:tc>
          <w:tcPr>
            <w:tcW w:w="240" w:type="dxa"/>
            <w:vAlign w:val="bottom"/>
          </w:tcPr>
          <w:p>
            <w:pPr>
              <w:spacing w:after="0"/>
              <w:rPr>
                <w:sz w:val="18"/>
                <w:szCs w:val="18"/>
                <w:color w:val="auto"/>
              </w:rPr>
            </w:pPr>
          </w:p>
        </w:tc>
        <w:tc>
          <w:tcPr>
            <w:tcW w:w="1980" w:type="dxa"/>
            <w:vAlign w:val="bottom"/>
          </w:tcPr>
          <w:p>
            <w:pPr>
              <w:jc w:val="right"/>
              <w:ind w:right="273"/>
              <w:spacing w:after="0"/>
              <w:rPr>
                <w:sz w:val="20"/>
                <w:szCs w:val="20"/>
                <w:color w:val="auto"/>
              </w:rPr>
            </w:pPr>
            <w:r>
              <w:rPr>
                <w:rFonts w:ascii="Arial" w:cs="Arial" w:eastAsia="Arial" w:hAnsi="Arial"/>
                <w:sz w:val="17"/>
                <w:szCs w:val="17"/>
                <w:b w:val="1"/>
                <w:bCs w:val="1"/>
                <w:color w:val="auto"/>
                <w:w w:val="99"/>
              </w:rPr>
              <w:t>Estimated fair value</w:t>
            </w:r>
          </w:p>
        </w:tc>
      </w:tr>
      <w:tr>
        <w:trPr>
          <w:trHeight w:val="215"/>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Due within one year</w:t>
            </w: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373.4</w:t>
            </w:r>
          </w:p>
        </w:tc>
      </w:tr>
      <w:tr>
        <w:trPr>
          <w:trHeight w:val="222"/>
        </w:trPr>
        <w:tc>
          <w:tcPr>
            <w:tcW w:w="6700" w:type="dxa"/>
            <w:vAlign w:val="bottom"/>
          </w:tcPr>
          <w:p>
            <w:pPr>
              <w:ind w:left="20"/>
              <w:spacing w:after="0"/>
              <w:rPr>
                <w:sz w:val="20"/>
                <w:szCs w:val="20"/>
                <w:color w:val="auto"/>
              </w:rPr>
            </w:pPr>
            <w:r>
              <w:rPr>
                <w:rFonts w:ascii="Arial" w:cs="Arial" w:eastAsia="Arial" w:hAnsi="Arial"/>
                <w:sz w:val="17"/>
                <w:szCs w:val="17"/>
                <w:color w:val="auto"/>
              </w:rPr>
              <w:t>Due between one to three years</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462.9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446.3</w:t>
            </w:r>
          </w:p>
        </w:tc>
      </w:tr>
      <w:tr>
        <w:trPr>
          <w:trHeight w:val="222"/>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after three years</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274.5</w:t>
            </w:r>
          </w:p>
        </w:tc>
      </w:tr>
      <w:tr>
        <w:trPr>
          <w:trHeight w:val="215"/>
        </w:trPr>
        <w:tc>
          <w:tcPr>
            <w:tcW w:w="6700" w:type="dxa"/>
            <w:vAlign w:val="bottom"/>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1,135.6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1,094.2</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20" w:firstLine="430"/>
        <w:spacing w:after="0" w:line="271" w:lineRule="auto"/>
        <w:rPr>
          <w:sz w:val="20"/>
          <w:szCs w:val="20"/>
          <w:color w:val="auto"/>
        </w:rPr>
      </w:pPr>
      <w:r>
        <w:rPr>
          <w:rFonts w:ascii="Arial" w:cs="Arial" w:eastAsia="Arial" w:hAnsi="Arial"/>
          <w:sz w:val="17"/>
          <w:szCs w:val="17"/>
          <w:color w:val="auto"/>
        </w:rPr>
        <w:t>The Company had 729 short-term investments in unrealized loss positions as of June 30, 2022. There were no material unrealized losses from short-term investments and no material realized gains or losses from short-term investments that were reclassified out of accumulated other comprehensive loss for the three and six months ended June 30, 2022 or for the three and six months ended June 30, 2021.</w:t>
      </w:r>
    </w:p>
    <w:p>
      <w:pPr>
        <w:spacing w:after="0" w:line="198" w:lineRule="exact"/>
        <w:rPr>
          <w:sz w:val="20"/>
          <w:szCs w:val="20"/>
          <w:color w:val="auto"/>
        </w:rPr>
      </w:pPr>
    </w:p>
    <w:p>
      <w:pPr>
        <w:ind w:right="40" w:firstLine="430"/>
        <w:spacing w:after="0" w:line="266" w:lineRule="auto"/>
        <w:rPr>
          <w:sz w:val="20"/>
          <w:szCs w:val="20"/>
          <w:color w:val="auto"/>
        </w:rPr>
      </w:pPr>
      <w:r>
        <w:rPr>
          <w:rFonts w:ascii="Arial" w:cs="Arial" w:eastAsia="Arial" w:hAnsi="Arial"/>
          <w:sz w:val="17"/>
          <w:szCs w:val="17"/>
          <w:color w:val="auto"/>
        </w:rPr>
        <w:t>As of June 30, 2022, the Company’s short-term investments portfolio consisted of nine security types, seven of which were in an unrealized loss position. The Company’s short-term investments had unrealized losses of approximately $41.5 million as of June 30, 2022. The following tables present the breakdown of the short-term investments that have been in a continuous unrealized loss position aggregated by investment category, as of June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ind w:left="420"/>
              <w:spacing w:after="0"/>
              <w:rPr>
                <w:sz w:val="20"/>
                <w:szCs w:val="20"/>
                <w:color w:val="auto"/>
              </w:rPr>
            </w:pPr>
            <w:r>
              <w:rPr>
                <w:rFonts w:ascii="Arial" w:cs="Arial" w:eastAsia="Arial" w:hAnsi="Arial"/>
                <w:sz w:val="17"/>
                <w:szCs w:val="17"/>
                <w:b w:val="1"/>
                <w:bCs w:val="1"/>
                <w:color w:val="auto"/>
              </w:rPr>
              <w:t>As of June 30, 2022</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7"/>
                <w:szCs w:val="17"/>
                <w:b w:val="1"/>
                <w:bCs w:val="1"/>
                <w:color w:val="auto"/>
              </w:rPr>
              <w:t>Less than 12 months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380"/>
              <w:spacing w:after="0"/>
              <w:rPr>
                <w:sz w:val="20"/>
                <w:szCs w:val="20"/>
                <w:color w:val="auto"/>
              </w:rPr>
            </w:pPr>
            <w:r>
              <w:rPr>
                <w:rFonts w:ascii="Arial" w:cs="Arial" w:eastAsia="Arial" w:hAnsi="Arial"/>
                <w:sz w:val="17"/>
                <w:szCs w:val="17"/>
                <w:b w:val="1"/>
                <w:bCs w:val="1"/>
                <w:color w:val="auto"/>
                <w:w w:val="98"/>
              </w:rPr>
              <w:t>More than 12 months</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Total</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93"/>
              <w:spacing w:after="0" w:line="163" w:lineRule="exact"/>
              <w:rPr>
                <w:sz w:val="20"/>
                <w:szCs w:val="20"/>
                <w:color w:val="auto"/>
              </w:rPr>
            </w:pPr>
            <w:r>
              <w:rPr>
                <w:rFonts w:ascii="Arial" w:cs="Arial" w:eastAsia="Arial" w:hAnsi="Arial"/>
                <w:sz w:val="17"/>
                <w:szCs w:val="17"/>
                <w:b w:val="1"/>
                <w:bCs w:val="1"/>
                <w:color w:val="auto"/>
                <w:w w:val="85"/>
              </w:rPr>
              <w:t>Gross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w w:val="98"/>
              </w:rPr>
              <w:t>Gross Unrealized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3"/>
              <w:spacing w:after="0" w:line="163" w:lineRule="exact"/>
              <w:rPr>
                <w:sz w:val="20"/>
                <w:szCs w:val="20"/>
                <w:color w:val="auto"/>
              </w:rPr>
            </w:pPr>
            <w:r>
              <w:rPr>
                <w:rFonts w:ascii="Arial" w:cs="Arial" w:eastAsia="Arial" w:hAnsi="Arial"/>
                <w:sz w:val="17"/>
                <w:szCs w:val="17"/>
                <w:b w:val="1"/>
                <w:bCs w:val="1"/>
                <w:color w:val="auto"/>
                <w:w w:val="85"/>
              </w:rPr>
              <w:t>Gross</w:t>
            </w:r>
          </w:p>
        </w:tc>
        <w:tc>
          <w:tcPr>
            <w:tcW w:w="0" w:type="dxa"/>
            <w:vAlign w:val="bottom"/>
          </w:tcPr>
          <w:p>
            <w:pPr>
              <w:spacing w:after="0"/>
              <w:rPr>
                <w:sz w:val="1"/>
                <w:szCs w:val="1"/>
                <w:color w:val="auto"/>
              </w:rPr>
            </w:pPr>
          </w:p>
        </w:tc>
      </w:tr>
      <w:tr>
        <w:trPr>
          <w:trHeight w:val="170"/>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Fair Value</w:t>
            </w:r>
          </w:p>
        </w:tc>
        <w:tc>
          <w:tcPr>
            <w:tcW w:w="180" w:type="dxa"/>
            <w:vAlign w:val="bottom"/>
          </w:tcPr>
          <w:p>
            <w:pPr>
              <w:spacing w:after="0"/>
              <w:rPr>
                <w:sz w:val="14"/>
                <w:szCs w:val="14"/>
                <w:color w:val="auto"/>
              </w:rPr>
            </w:pPr>
          </w:p>
        </w:tc>
        <w:tc>
          <w:tcPr>
            <w:tcW w:w="1220" w:type="dxa"/>
            <w:vAlign w:val="bottom"/>
            <w:gridSpan w:val="2"/>
          </w:tcPr>
          <w:p>
            <w:pPr>
              <w:jc w:val="center"/>
              <w:ind w:right="280"/>
              <w:spacing w:after="0" w:line="170" w:lineRule="exact"/>
              <w:rPr>
                <w:sz w:val="20"/>
                <w:szCs w:val="20"/>
                <w:color w:val="auto"/>
              </w:rPr>
            </w:pPr>
            <w:r>
              <w:rPr>
                <w:rFonts w:ascii="Arial" w:cs="Arial" w:eastAsia="Arial" w:hAnsi="Arial"/>
                <w:sz w:val="17"/>
                <w:szCs w:val="17"/>
                <w:b w:val="1"/>
                <w:bCs w:val="1"/>
                <w:color w:val="auto"/>
                <w:w w:val="95"/>
              </w:rPr>
              <w:t>Unrealized</w:t>
            </w:r>
          </w:p>
        </w:tc>
        <w:tc>
          <w:tcPr>
            <w:tcW w:w="20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Fair Value</w:t>
            </w:r>
          </w:p>
        </w:tc>
        <w:tc>
          <w:tcPr>
            <w:tcW w:w="14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Fair Value</w:t>
            </w:r>
          </w:p>
        </w:tc>
        <w:tc>
          <w:tcPr>
            <w:tcW w:w="200" w:type="dxa"/>
            <w:vAlign w:val="bottom"/>
          </w:tcPr>
          <w:p>
            <w:pPr>
              <w:spacing w:after="0"/>
              <w:rPr>
                <w:sz w:val="14"/>
                <w:szCs w:val="14"/>
                <w:color w:val="auto"/>
              </w:rPr>
            </w:pPr>
          </w:p>
        </w:tc>
        <w:tc>
          <w:tcPr>
            <w:tcW w:w="1100" w:type="dxa"/>
            <w:vAlign w:val="bottom"/>
          </w:tcPr>
          <w:p>
            <w:pPr>
              <w:jc w:val="center"/>
              <w:ind w:right="113"/>
              <w:spacing w:after="0" w:line="170" w:lineRule="exact"/>
              <w:rPr>
                <w:sz w:val="20"/>
                <w:szCs w:val="20"/>
                <w:color w:val="auto"/>
              </w:rPr>
            </w:pPr>
            <w:r>
              <w:rPr>
                <w:rFonts w:ascii="Arial" w:cs="Arial" w:eastAsia="Arial" w:hAnsi="Arial"/>
                <w:sz w:val="17"/>
                <w:szCs w:val="17"/>
                <w:b w:val="1"/>
                <w:bCs w:val="1"/>
                <w:color w:val="auto"/>
                <w:w w:val="95"/>
              </w:rPr>
              <w:t>Unrealized</w:t>
            </w:r>
          </w:p>
        </w:tc>
        <w:tc>
          <w:tcPr>
            <w:tcW w:w="0" w:type="dxa"/>
            <w:vAlign w:val="bottom"/>
          </w:tcPr>
          <w:p>
            <w:pPr>
              <w:spacing w:after="0"/>
              <w:rPr>
                <w:sz w:val="1"/>
                <w:szCs w:val="1"/>
                <w:color w:val="auto"/>
              </w:rPr>
            </w:pPr>
          </w:p>
        </w:tc>
      </w:tr>
      <w:tr>
        <w:trPr>
          <w:trHeight w:val="222"/>
        </w:trPr>
        <w:tc>
          <w:tcPr>
            <w:tcW w:w="2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5"/>
              </w:rPr>
              <w:t>Losses</w:t>
            </w:r>
          </w:p>
        </w:tc>
        <w:tc>
          <w:tcPr>
            <w:tcW w:w="2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20" w:type="dxa"/>
            <w:vAlign w:val="bottom"/>
            <w:gridSpan w:val="3"/>
          </w:tcPr>
          <w:p>
            <w:pPr>
              <w:ind w:left="420"/>
              <w:spacing w:after="0"/>
              <w:rPr>
                <w:sz w:val="20"/>
                <w:szCs w:val="20"/>
                <w:color w:val="auto"/>
              </w:rPr>
            </w:pPr>
            <w:r>
              <w:rPr>
                <w:rFonts w:ascii="Arial" w:cs="Arial" w:eastAsia="Arial" w:hAnsi="Arial"/>
                <w:sz w:val="17"/>
                <w:szCs w:val="17"/>
                <w:b w:val="1"/>
                <w:bCs w:val="1"/>
                <w:color w:val="auto"/>
              </w:rPr>
              <w:t>Losses</w:t>
            </w:r>
          </w:p>
        </w:tc>
        <w:tc>
          <w:tcPr>
            <w:tcW w:w="1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ind w:right="93"/>
              <w:spacing w:after="0"/>
              <w:rPr>
                <w:sz w:val="20"/>
                <w:szCs w:val="20"/>
                <w:color w:val="auto"/>
              </w:rPr>
            </w:pPr>
            <w:r>
              <w:rPr>
                <w:rFonts w:ascii="Arial" w:cs="Arial" w:eastAsia="Arial" w:hAnsi="Arial"/>
                <w:sz w:val="17"/>
                <w:szCs w:val="17"/>
                <w:b w:val="1"/>
                <w:bCs w:val="1"/>
                <w:color w:val="auto"/>
                <w:w w:val="81"/>
              </w:rPr>
              <w:t>Losses</w:t>
            </w:r>
          </w:p>
        </w:tc>
        <w:tc>
          <w:tcPr>
            <w:tcW w:w="0" w:type="dxa"/>
            <w:vAlign w:val="bottom"/>
          </w:tcPr>
          <w:p>
            <w:pPr>
              <w:spacing w:after="0"/>
              <w:rPr>
                <w:sz w:val="1"/>
                <w:szCs w:val="1"/>
                <w:color w:val="auto"/>
              </w:rPr>
            </w:pPr>
          </w:p>
        </w:tc>
      </w:tr>
      <w:tr>
        <w:trPr>
          <w:trHeight w:val="215"/>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Corporate notes and obligations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Arial" w:cs="Arial" w:eastAsia="Arial" w:hAnsi="Arial"/>
                <w:sz w:val="17"/>
                <w:szCs w:val="17"/>
                <w:color w:val="auto"/>
              </w:rPr>
              <w:t>U.S. Treasury securities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64.1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 backed securities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Arial" w:cs="Arial" w:eastAsia="Arial" w:hAnsi="Arial"/>
                <w:sz w:val="17"/>
                <w:szCs w:val="17"/>
                <w:color w:val="auto"/>
              </w:rPr>
              <w:t>Municipal securities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agency obligations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Arial" w:cs="Arial" w:eastAsia="Arial" w:hAnsi="Arial"/>
                <w:sz w:val="17"/>
                <w:szCs w:val="17"/>
                <w:color w:val="auto"/>
              </w:rPr>
              <w:t>Foreign government obligations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Supranational securities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828.2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151.0</w:t>
            </w:r>
          </w:p>
        </w:tc>
        <w:tc>
          <w:tcPr>
            <w:tcW w:w="100" w:type="dxa"/>
            <w:vAlign w:val="bottom"/>
          </w:tcPr>
          <w:p>
            <w:pPr>
              <w:spacing w:after="0"/>
              <w:rPr>
                <w:sz w:val="18"/>
                <w:szCs w:val="18"/>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(10.1)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979.2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2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b w:val="1"/>
                <w:bCs w:val="1"/>
                <w:color w:val="auto"/>
                <w:w w:val="91"/>
              </w:rPr>
              <w:t>As of December 31, 2021</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7"/>
                <w:szCs w:val="17"/>
                <w:b w:val="1"/>
                <w:bCs w:val="1"/>
                <w:color w:val="auto"/>
              </w:rPr>
              <w:t>Less than 12 months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380"/>
              <w:spacing w:after="0"/>
              <w:rPr>
                <w:sz w:val="20"/>
                <w:szCs w:val="20"/>
                <w:color w:val="auto"/>
              </w:rPr>
            </w:pPr>
            <w:r>
              <w:rPr>
                <w:rFonts w:ascii="Arial" w:cs="Arial" w:eastAsia="Arial" w:hAnsi="Arial"/>
                <w:sz w:val="17"/>
                <w:szCs w:val="17"/>
                <w:b w:val="1"/>
                <w:bCs w:val="1"/>
                <w:color w:val="auto"/>
                <w:w w:val="98"/>
              </w:rPr>
              <w:t>More than 12 months</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Total</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93"/>
              <w:spacing w:after="0" w:line="163" w:lineRule="exact"/>
              <w:rPr>
                <w:sz w:val="20"/>
                <w:szCs w:val="20"/>
                <w:color w:val="auto"/>
              </w:rPr>
            </w:pPr>
            <w:r>
              <w:rPr>
                <w:rFonts w:ascii="Arial" w:cs="Arial" w:eastAsia="Arial" w:hAnsi="Arial"/>
                <w:sz w:val="17"/>
                <w:szCs w:val="17"/>
                <w:b w:val="1"/>
                <w:bCs w:val="1"/>
                <w:color w:val="auto"/>
                <w:w w:val="85"/>
              </w:rPr>
              <w:t>Gross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w w:val="98"/>
              </w:rPr>
              <w:t>Gross Unrealized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3"/>
              <w:spacing w:after="0" w:line="163" w:lineRule="exact"/>
              <w:rPr>
                <w:sz w:val="20"/>
                <w:szCs w:val="20"/>
                <w:color w:val="auto"/>
              </w:rPr>
            </w:pPr>
            <w:r>
              <w:rPr>
                <w:rFonts w:ascii="Arial" w:cs="Arial" w:eastAsia="Arial" w:hAnsi="Arial"/>
                <w:sz w:val="17"/>
                <w:szCs w:val="17"/>
                <w:b w:val="1"/>
                <w:bCs w:val="1"/>
                <w:color w:val="auto"/>
                <w:w w:val="85"/>
              </w:rPr>
              <w:t>Gross</w:t>
            </w:r>
          </w:p>
        </w:tc>
        <w:tc>
          <w:tcPr>
            <w:tcW w:w="0" w:type="dxa"/>
            <w:vAlign w:val="bottom"/>
          </w:tcPr>
          <w:p>
            <w:pPr>
              <w:spacing w:after="0"/>
              <w:rPr>
                <w:sz w:val="1"/>
                <w:szCs w:val="1"/>
                <w:color w:val="auto"/>
              </w:rPr>
            </w:pPr>
          </w:p>
        </w:tc>
      </w:tr>
      <w:tr>
        <w:trPr>
          <w:trHeight w:val="170"/>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ind w:left="80"/>
              <w:spacing w:after="0"/>
              <w:rPr>
                <w:sz w:val="20"/>
                <w:szCs w:val="20"/>
                <w:color w:val="auto"/>
              </w:rPr>
            </w:pPr>
            <w:r>
              <w:rPr>
                <w:rFonts w:ascii="Arial" w:cs="Arial" w:eastAsia="Arial" w:hAnsi="Arial"/>
                <w:sz w:val="17"/>
                <w:szCs w:val="17"/>
                <w:b w:val="1"/>
                <w:bCs w:val="1"/>
                <w:color w:val="auto"/>
              </w:rPr>
              <w:t>Fair Value</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80"/>
              <w:spacing w:after="0" w:line="170" w:lineRule="exact"/>
              <w:rPr>
                <w:sz w:val="20"/>
                <w:szCs w:val="20"/>
                <w:color w:val="auto"/>
              </w:rPr>
            </w:pPr>
            <w:r>
              <w:rPr>
                <w:rFonts w:ascii="Arial" w:cs="Arial" w:eastAsia="Arial" w:hAnsi="Arial"/>
                <w:sz w:val="17"/>
                <w:szCs w:val="17"/>
                <w:b w:val="1"/>
                <w:bCs w:val="1"/>
                <w:color w:val="auto"/>
                <w:w w:val="95"/>
              </w:rPr>
              <w:t>Unrealized</w:t>
            </w:r>
          </w:p>
        </w:tc>
        <w:tc>
          <w:tcPr>
            <w:tcW w:w="200" w:type="dxa"/>
            <w:vAlign w:val="bottom"/>
          </w:tcPr>
          <w:p>
            <w:pPr>
              <w:spacing w:after="0"/>
              <w:rPr>
                <w:sz w:val="14"/>
                <w:szCs w:val="14"/>
                <w:color w:val="auto"/>
              </w:rPr>
            </w:pPr>
          </w:p>
        </w:tc>
        <w:tc>
          <w:tcPr>
            <w:tcW w:w="112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Fair Value</w:t>
            </w:r>
          </w:p>
        </w:tc>
        <w:tc>
          <w:tcPr>
            <w:tcW w:w="100" w:type="dxa"/>
            <w:vAlign w:val="bottom"/>
            <w:vMerge w:val="restart"/>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7"/>
                <w:szCs w:val="17"/>
                <w:b w:val="1"/>
                <w:bCs w:val="1"/>
                <w:color w:val="auto"/>
              </w:rPr>
              <w:t>Fair Value</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3"/>
              <w:spacing w:after="0" w:line="170" w:lineRule="exact"/>
              <w:rPr>
                <w:sz w:val="20"/>
                <w:szCs w:val="20"/>
                <w:color w:val="auto"/>
              </w:rPr>
            </w:pPr>
            <w:r>
              <w:rPr>
                <w:rFonts w:ascii="Arial" w:cs="Arial" w:eastAsia="Arial" w:hAnsi="Arial"/>
                <w:sz w:val="17"/>
                <w:szCs w:val="17"/>
                <w:b w:val="1"/>
                <w:bCs w:val="1"/>
                <w:color w:val="auto"/>
                <w:w w:val="95"/>
              </w:rPr>
              <w:t>Unrealized</w:t>
            </w:r>
          </w:p>
        </w:tc>
        <w:tc>
          <w:tcPr>
            <w:tcW w:w="0" w:type="dxa"/>
            <w:vAlign w:val="bottom"/>
          </w:tcPr>
          <w:p>
            <w:pPr>
              <w:spacing w:after="0"/>
              <w:rPr>
                <w:sz w:val="1"/>
                <w:szCs w:val="1"/>
                <w:color w:val="auto"/>
              </w:rPr>
            </w:pPr>
          </w:p>
        </w:tc>
      </w:tr>
      <w:tr>
        <w:trPr>
          <w:trHeight w:val="222"/>
        </w:trPr>
        <w:tc>
          <w:tcPr>
            <w:tcW w:w="29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w w:val="85"/>
              </w:rPr>
              <w:t>Losses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320" w:type="dxa"/>
            <w:vAlign w:val="bottom"/>
            <w:tcBorders>
              <w:bottom w:val="single" w:sz="8" w:color="auto"/>
            </w:tcBorders>
            <w:gridSpan w:val="2"/>
          </w:tcPr>
          <w:p>
            <w:pPr>
              <w:ind w:left="420"/>
              <w:spacing w:after="0"/>
              <w:rPr>
                <w:sz w:val="20"/>
                <w:szCs w:val="20"/>
                <w:color w:val="auto"/>
              </w:rPr>
            </w:pPr>
            <w:r>
              <w:rPr>
                <w:rFonts w:ascii="Arial" w:cs="Arial" w:eastAsia="Arial" w:hAnsi="Arial"/>
                <w:sz w:val="17"/>
                <w:szCs w:val="17"/>
                <w:b w:val="1"/>
                <w:bCs w:val="1"/>
                <w:color w:val="auto"/>
              </w:rPr>
              <w:t>Losses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w w:val="81"/>
              </w:rPr>
              <w:t>Losses</w:t>
            </w:r>
          </w:p>
        </w:tc>
        <w:tc>
          <w:tcPr>
            <w:tcW w:w="0" w:type="dxa"/>
            <w:vAlign w:val="bottom"/>
          </w:tcPr>
          <w:p>
            <w:pPr>
              <w:spacing w:after="0"/>
              <w:rPr>
                <w:sz w:val="1"/>
                <w:szCs w:val="1"/>
                <w:color w:val="auto"/>
              </w:rPr>
            </w:pPr>
          </w:p>
        </w:tc>
      </w:tr>
      <w:tr>
        <w:trPr>
          <w:trHeight w:val="215"/>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notes and obligations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Arial" w:cs="Arial" w:eastAsia="Arial" w:hAnsi="Arial"/>
                <w:sz w:val="17"/>
                <w:szCs w:val="17"/>
                <w:color w:val="auto"/>
              </w:rPr>
              <w:t>U.S. Treasury securities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 backed securities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Arial" w:cs="Arial" w:eastAsia="Arial" w:hAnsi="Arial"/>
                <w:sz w:val="17"/>
                <w:szCs w:val="17"/>
                <w:color w:val="auto"/>
              </w:rPr>
              <w:t>Municipal securities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agency obligations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Arial" w:cs="Arial" w:eastAsia="Arial" w:hAnsi="Arial"/>
                <w:sz w:val="17"/>
                <w:szCs w:val="17"/>
                <w:color w:val="auto"/>
              </w:rPr>
              <w:t>Foreign government obligations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Supranational securities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941.0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Pr>
          <w:p>
            <w:pPr>
              <w:ind w:left="20"/>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941.0</w:t>
            </w:r>
          </w:p>
        </w:tc>
        <w:tc>
          <w:tcPr>
            <w:tcW w:w="10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right="140" w:firstLine="430"/>
        <w:spacing w:after="0" w:line="323" w:lineRule="auto"/>
        <w:rPr>
          <w:sz w:val="20"/>
          <w:szCs w:val="20"/>
          <w:color w:val="auto"/>
        </w:rPr>
      </w:pPr>
      <w:r>
        <w:rPr>
          <w:rFonts w:ascii="Arial" w:cs="Arial" w:eastAsia="Arial" w:hAnsi="Arial"/>
          <w:sz w:val="15"/>
          <w:szCs w:val="15"/>
          <w:color w:val="auto"/>
        </w:rPr>
        <w:t>Unrealized losses on short-term investments have not been recorded into income because management does not intend to sell nor will be required to sell these securities prior to their anticipated recovery, and for which the decline in fair value is largely due to changes in interest rates. The credit ratings associated with the corporate notes and obligations are mostly unchanged, are highly rated and the issuers continue to make timely principal and interest payments.</w:t>
      </w:r>
    </w:p>
    <w:p>
      <w:pPr>
        <w:spacing w:after="0" w:line="164" w:lineRule="exact"/>
        <w:rPr>
          <w:sz w:val="20"/>
          <w:szCs w:val="20"/>
          <w:color w:val="auto"/>
        </w:rPr>
      </w:pPr>
    </w:p>
    <w:p>
      <w:pPr>
        <w:ind w:right="200" w:firstLine="430"/>
        <w:spacing w:after="0" w:line="320" w:lineRule="auto"/>
        <w:rPr>
          <w:sz w:val="20"/>
          <w:szCs w:val="20"/>
          <w:color w:val="auto"/>
        </w:rPr>
      </w:pPr>
      <w:r>
        <w:rPr>
          <w:rFonts w:ascii="Arial" w:cs="Arial" w:eastAsia="Arial" w:hAnsi="Arial"/>
          <w:sz w:val="16"/>
          <w:szCs w:val="16"/>
          <w:color w:val="auto"/>
        </w:rPr>
        <w:t>The Company recorded interest income from its cash, cash equivalents, and short-term investments of $2.6 million and $4.4 million during the three and six months ended June 30, 2022, respectively, and $1.9 million and $3.8 million during three and six months ended June 30, 2021, respectively.</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Fair Value Measurements</w:t>
      </w:r>
    </w:p>
    <w:p>
      <w:pPr>
        <w:spacing w:after="0" w:line="254" w:lineRule="exact"/>
        <w:rPr>
          <w:sz w:val="20"/>
          <w:szCs w:val="20"/>
          <w:color w:val="auto"/>
        </w:rPr>
      </w:pPr>
    </w:p>
    <w:p>
      <w:pPr>
        <w:jc w:val="both"/>
        <w:ind w:right="20" w:firstLine="430"/>
        <w:spacing w:after="0" w:line="271" w:lineRule="auto"/>
        <w:rPr>
          <w:sz w:val="20"/>
          <w:szCs w:val="20"/>
          <w:color w:val="auto"/>
        </w:rPr>
      </w:pPr>
      <w:r>
        <w:rPr>
          <w:rFonts w:ascii="Arial" w:cs="Arial" w:eastAsia="Arial" w:hAnsi="Arial"/>
          <w:sz w:val="17"/>
          <w:szCs w:val="17"/>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198" w:lineRule="exact"/>
        <w:rPr>
          <w:sz w:val="20"/>
          <w:szCs w:val="20"/>
          <w:color w:val="auto"/>
        </w:rPr>
      </w:pPr>
    </w:p>
    <w:p>
      <w:pPr>
        <w:ind w:right="300" w:firstLine="430"/>
        <w:spacing w:after="0" w:line="287" w:lineRule="auto"/>
        <w:rPr>
          <w:sz w:val="20"/>
          <w:szCs w:val="20"/>
          <w:color w:val="auto"/>
        </w:rPr>
      </w:pPr>
      <w:r>
        <w:rPr>
          <w:rFonts w:ascii="Arial" w:cs="Arial" w:eastAsia="Arial" w:hAnsi="Arial"/>
          <w:sz w:val="17"/>
          <w:szCs w:val="17"/>
          <w:color w:val="auto"/>
        </w:rPr>
        <w:t>The following table presents information about the Company’s financial instruments that are measured at fair value on a recurring basis using the input categories discussed in Note 1:</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3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7"/>
                <w:szCs w:val="17"/>
                <w:b w:val="1"/>
                <w:bCs w:val="1"/>
                <w:color w:val="auto"/>
                <w:w w:val="89"/>
              </w:rPr>
              <w:t>As of June 30, 2022</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Level 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Level 2</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1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Money market funds</w:t>
            </w: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222.4</w:t>
            </w:r>
          </w:p>
        </w:tc>
        <w:tc>
          <w:tcPr>
            <w:tcW w:w="100" w:type="dxa"/>
            <w:vAlign w:val="bottom"/>
          </w:tcPr>
          <w:p>
            <w:pPr>
              <w:spacing w:after="0"/>
              <w:rPr>
                <w:sz w:val="19"/>
                <w:szCs w:val="19"/>
                <w:color w:val="auto"/>
              </w:rPr>
            </w:pPr>
          </w:p>
        </w:tc>
        <w:tc>
          <w:tcPr>
            <w:tcW w:w="1200" w:type="dxa"/>
            <w:vAlign w:val="bottom"/>
          </w:tcPr>
          <w:p>
            <w:pPr>
              <w:jc w:val="right"/>
              <w:ind w:right="1013"/>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222.4</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22"/>
        </w:trPr>
        <w:tc>
          <w:tcPr>
            <w:tcW w:w="33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Certificates of deposit</w:t>
            </w:r>
          </w:p>
        </w:tc>
        <w:tc>
          <w:tcPr>
            <w:tcW w:w="1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35"/>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cash equivalents</w:t>
            </w:r>
          </w:p>
        </w:tc>
        <w:tc>
          <w:tcPr>
            <w:tcW w:w="1300" w:type="dxa"/>
            <w:vAlign w:val="bottom"/>
            <w:shd w:val="clear" w:color="auto" w:fill="CCEEFF"/>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245.9</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Short-term investments</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493.2</w:t>
            </w: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U.S. Treasury securities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279.7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279.7</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 backed securities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w:t>
            </w: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Municipal securities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69.0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69.0</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Certificates of deposit</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agency obligations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Foreign government obligations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Supranational securities</w:t>
            </w:r>
          </w:p>
        </w:tc>
        <w:tc>
          <w:tcPr>
            <w:tcW w:w="13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15"/>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short-term investments</w:t>
            </w:r>
          </w:p>
        </w:tc>
        <w:tc>
          <w:tcPr>
            <w:tcW w:w="1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1,094.2</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1,094.2</w:t>
            </w:r>
          </w:p>
        </w:tc>
        <w:tc>
          <w:tcPr>
            <w:tcW w:w="0" w:type="dxa"/>
            <w:vAlign w:val="bottom"/>
          </w:tcPr>
          <w:p>
            <w:pPr>
              <w:spacing w:after="0"/>
              <w:rPr>
                <w:sz w:val="1"/>
                <w:szCs w:val="1"/>
                <w:color w:val="auto"/>
              </w:rPr>
            </w:pPr>
          </w:p>
        </w:tc>
      </w:tr>
      <w:tr>
        <w:trPr>
          <w:trHeight w:val="235"/>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300" w:type="dxa"/>
            <w:vAlign w:val="bottom"/>
            <w:shd w:val="clear" w:color="auto" w:fill="CCEEFF"/>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1,117.7</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3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7"/>
                <w:szCs w:val="17"/>
                <w:b w:val="1"/>
                <w:bCs w:val="1"/>
                <w:color w:val="auto"/>
              </w:rPr>
              <w:t>As of December 31, 2021</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Level 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Level 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1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Money market funds</w:t>
            </w:r>
          </w:p>
        </w:tc>
        <w:tc>
          <w:tcPr>
            <w:tcW w:w="1300" w:type="dxa"/>
            <w:vAlign w:val="bottom"/>
            <w:tcBorders>
              <w:bottom w:val="single" w:sz="8" w:color="auto"/>
            </w:tcBorders>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390.3</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053"/>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233"/>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390.3</w:t>
            </w:r>
          </w:p>
        </w:tc>
        <w:tc>
          <w:tcPr>
            <w:tcW w:w="0" w:type="dxa"/>
            <w:vAlign w:val="bottom"/>
          </w:tcPr>
          <w:p>
            <w:pPr>
              <w:spacing w:after="0"/>
              <w:rPr>
                <w:sz w:val="1"/>
                <w:szCs w:val="1"/>
                <w:color w:val="auto"/>
              </w:rPr>
            </w:pPr>
          </w:p>
        </w:tc>
      </w:tr>
      <w:tr>
        <w:trPr>
          <w:trHeight w:val="235"/>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cash equivalents</w:t>
            </w:r>
          </w:p>
        </w:tc>
        <w:tc>
          <w:tcPr>
            <w:tcW w:w="1300" w:type="dxa"/>
            <w:vAlign w:val="bottom"/>
            <w:shd w:val="clear" w:color="auto" w:fill="CCEEFF"/>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390.3</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53"/>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390.3</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Short-term investments</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603.8</w:t>
            </w: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U.S. Treasury securities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237.5</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237.5</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 backed securities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w:t>
            </w: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Municipal securities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69.8</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69.8</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Certificates of deposit</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government obligations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U.S. agency obligations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Supranational securities</w:t>
            </w:r>
          </w:p>
        </w:tc>
        <w:tc>
          <w:tcPr>
            <w:tcW w:w="13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5"/>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short-term investments</w:t>
            </w:r>
          </w:p>
        </w:tc>
        <w:tc>
          <w:tcPr>
            <w:tcW w:w="1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1,185.1</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1,185.1</w:t>
            </w:r>
          </w:p>
        </w:tc>
        <w:tc>
          <w:tcPr>
            <w:tcW w:w="0" w:type="dxa"/>
            <w:vAlign w:val="bottom"/>
          </w:tcPr>
          <w:p>
            <w:pPr>
              <w:spacing w:after="0"/>
              <w:rPr>
                <w:sz w:val="1"/>
                <w:szCs w:val="1"/>
                <w:color w:val="auto"/>
              </w:rPr>
            </w:pPr>
          </w:p>
        </w:tc>
      </w:tr>
      <w:tr>
        <w:trPr>
          <w:trHeight w:val="235"/>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300" w:type="dxa"/>
            <w:vAlign w:val="bottom"/>
            <w:shd w:val="clear" w:color="auto" w:fill="CCEEFF"/>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390.3</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53"/>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1,185.1</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1,575.4</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right="20" w:firstLine="430"/>
        <w:spacing w:after="0" w:line="271" w:lineRule="auto"/>
        <w:rPr>
          <w:sz w:val="20"/>
          <w:szCs w:val="20"/>
          <w:color w:val="auto"/>
        </w:rPr>
      </w:pPr>
      <w:r>
        <w:rPr>
          <w:rFonts w:ascii="Arial" w:cs="Arial" w:eastAsia="Arial" w:hAnsi="Arial"/>
          <w:sz w:val="17"/>
          <w:szCs w:val="17"/>
          <w:color w:val="auto"/>
        </w:rPr>
        <w:t>As of December 31, 2021, the Company had an investment in a non-marketable equity security in a privately held company without a readily determinable market value. The investments had a carrying value of $5.6 million and was categorized as Level 3 as of December 31, 2021. The investment was sold in the three months ended June 30, 2022 resulting in a gain of $5.0 million.</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had no transfers between levels of the fair value hierarchy.</w:t>
      </w:r>
    </w:p>
    <w:p>
      <w:pPr>
        <w:spacing w:after="0" w:line="248" w:lineRule="exact"/>
        <w:rPr>
          <w:sz w:val="20"/>
          <w:szCs w:val="20"/>
          <w:color w:val="auto"/>
        </w:rPr>
      </w:pPr>
    </w:p>
    <w:p>
      <w:pPr>
        <w:ind w:right="120" w:firstLine="430"/>
        <w:spacing w:after="0" w:line="287" w:lineRule="auto"/>
        <w:rPr>
          <w:sz w:val="20"/>
          <w:szCs w:val="20"/>
          <w:color w:val="auto"/>
        </w:rPr>
      </w:pPr>
      <w:r>
        <w:rPr>
          <w:rFonts w:ascii="Arial" w:cs="Arial" w:eastAsia="Arial" w:hAnsi="Arial"/>
          <w:sz w:val="17"/>
          <w:szCs w:val="17"/>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84" w:lineRule="exact"/>
        <w:rPr>
          <w:sz w:val="20"/>
          <w:szCs w:val="20"/>
          <w:color w:val="auto"/>
        </w:rPr>
      </w:pPr>
    </w:p>
    <w:p>
      <w:pPr>
        <w:jc w:val="both"/>
        <w:ind w:right="360" w:firstLine="430"/>
        <w:spacing w:after="0" w:line="271" w:lineRule="auto"/>
        <w:rPr>
          <w:sz w:val="20"/>
          <w:szCs w:val="20"/>
          <w:color w:val="auto"/>
        </w:rPr>
      </w:pPr>
      <w:r>
        <w:rPr>
          <w:rFonts w:ascii="Arial" w:cs="Arial" w:eastAsia="Arial" w:hAnsi="Arial"/>
          <w:sz w:val="17"/>
          <w:szCs w:val="17"/>
          <w:color w:val="auto"/>
        </w:rPr>
        <w:t>The Company had $695.8 million in aggregate principal amount of 0% convertible senior notes due in 2026 (the "2026 Notes"), and $693.3 million in aggregate principal amount of 0% convertible senior notes due in 2028 (the "2028 Notes" and together with the 2026 Notes, the "Notes"), outstanding as of June 30, 2022. Refer to Note 8 "Debt" for further details on the 2026 Notes and 2028 Notes.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estimated fair value of the 2026 Notes and the 2028 Notes, based on a market approach as of June 30, 2022 was approximately $625.4 million and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$611.4 million, respectively. The Notes were categorized as Level 2 instruments as the estimated fair value was determined based on the estimated or actual bids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and offers of the Notes in an over-the-counter market on the last business day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00" w:type="dxa"/>
            <w:vAlign w:val="bottom"/>
            <w:gridSpan w:val="2"/>
          </w:tcPr>
          <w:p>
            <w:pPr>
              <w:spacing w:after="0"/>
              <w:rPr>
                <w:sz w:val="20"/>
                <w:szCs w:val="20"/>
                <w:color w:val="auto"/>
              </w:rPr>
            </w:pPr>
            <w:r>
              <w:rPr>
                <w:rFonts w:ascii="Arial" w:cs="Arial" w:eastAsia="Arial" w:hAnsi="Arial"/>
                <w:sz w:val="17"/>
                <w:szCs w:val="17"/>
                <w:b w:val="1"/>
                <w:bCs w:val="1"/>
                <w:color w:val="auto"/>
              </w:rPr>
              <w:t>Note 4. Property and Equipment, Net</w:t>
            </w:r>
          </w:p>
        </w:tc>
        <w:tc>
          <w:tcPr>
            <w:tcW w:w="1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43"/>
        </w:trPr>
        <w:tc>
          <w:tcPr>
            <w:tcW w:w="40" w:type="dxa"/>
            <w:vAlign w:val="bottom"/>
          </w:tcPr>
          <w:p>
            <w:pPr>
              <w:spacing w:after="0"/>
              <w:rPr>
                <w:sz w:val="24"/>
                <w:szCs w:val="24"/>
                <w:color w:val="auto"/>
              </w:rPr>
            </w:pPr>
          </w:p>
        </w:tc>
        <w:tc>
          <w:tcPr>
            <w:tcW w:w="6760" w:type="dxa"/>
            <w:vAlign w:val="bottom"/>
          </w:tcPr>
          <w:p>
            <w:pPr>
              <w:ind w:left="400"/>
              <w:spacing w:after="0"/>
              <w:rPr>
                <w:sz w:val="20"/>
                <w:szCs w:val="20"/>
                <w:color w:val="auto"/>
              </w:rPr>
            </w:pPr>
            <w:r>
              <w:rPr>
                <w:rFonts w:ascii="Arial" w:cs="Arial" w:eastAsia="Arial" w:hAnsi="Arial"/>
                <w:sz w:val="17"/>
                <w:szCs w:val="17"/>
                <w:color w:val="auto"/>
              </w:rPr>
              <w:t>Property and equipment, net consisted of the following:</w:t>
            </w: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83"/>
        </w:trPr>
        <w:tc>
          <w:tcPr>
            <w:tcW w:w="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7"/>
                <w:szCs w:val="17"/>
                <w:b w:val="1"/>
                <w:bCs w:val="1"/>
                <w:color w:val="auto"/>
              </w:rPr>
              <w:t>As of</w:t>
            </w:r>
          </w:p>
        </w:tc>
        <w:tc>
          <w:tcPr>
            <w:tcW w:w="1920" w:type="dxa"/>
            <w:vAlign w:val="bottom"/>
            <w:tcBorders>
              <w:bottom w:val="single" w:sz="8" w:color="auto"/>
            </w:tcBorders>
          </w:tcPr>
          <w:p>
            <w:pPr>
              <w:spacing w:after="0"/>
              <w:rPr>
                <w:sz w:val="24"/>
                <w:szCs w:val="24"/>
                <w:color w:val="auto"/>
              </w:rPr>
            </w:pPr>
          </w:p>
        </w:tc>
      </w:tr>
      <w:tr>
        <w:trPr>
          <w:trHeight w:val="215"/>
        </w:trPr>
        <w:tc>
          <w:tcPr>
            <w:tcW w:w="40" w:type="dxa"/>
            <w:vAlign w:val="bottom"/>
          </w:tcPr>
          <w:p>
            <w:pPr>
              <w:spacing w:after="0"/>
              <w:rPr>
                <w:sz w:val="18"/>
                <w:szCs w:val="18"/>
                <w:color w:val="auto"/>
              </w:rPr>
            </w:pPr>
          </w:p>
        </w:tc>
        <w:tc>
          <w:tcPr>
            <w:tcW w:w="676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June 30, 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w w:val="97"/>
              </w:rPr>
              <w:t>December 31, 2021</w:t>
            </w:r>
          </w:p>
        </w:tc>
      </w:tr>
      <w:tr>
        <w:trPr>
          <w:trHeight w:val="215"/>
        </w:trPr>
        <w:tc>
          <w:tcPr>
            <w:tcW w:w="4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Datacenter and other computer equipment</w:t>
            </w:r>
          </w:p>
        </w:tc>
        <w:tc>
          <w:tcPr>
            <w:tcW w:w="1600" w:type="dxa"/>
            <w:vAlign w:val="bottom"/>
            <w:shd w:val="clear" w:color="auto" w:fill="CCEEFF"/>
          </w:tcPr>
          <w:p>
            <w:pPr>
              <w:jc w:val="right"/>
              <w:ind w:right="141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634.5</w:t>
            </w:r>
          </w:p>
        </w:tc>
      </w:tr>
      <w:tr>
        <w:trPr>
          <w:trHeight w:val="222"/>
        </w:trPr>
        <w:tc>
          <w:tcPr>
            <w:tcW w:w="4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Furniture and fixtures</w:t>
            </w:r>
          </w:p>
        </w:tc>
        <w:tc>
          <w:tcPr>
            <w:tcW w:w="1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21.7</w:t>
            </w:r>
          </w:p>
        </w:tc>
      </w:tr>
      <w:tr>
        <w:trPr>
          <w:trHeight w:val="222"/>
        </w:trPr>
        <w:tc>
          <w:tcPr>
            <w:tcW w:w="4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6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w:t>
            </w:r>
          </w:p>
        </w:tc>
      </w:tr>
      <w:tr>
        <w:trPr>
          <w:trHeight w:val="222"/>
        </w:trPr>
        <w:tc>
          <w:tcPr>
            <w:tcW w:w="40" w:type="dxa"/>
            <w:vAlign w:val="bottom"/>
          </w:tcPr>
          <w:p>
            <w:pPr>
              <w:spacing w:after="0"/>
              <w:rPr>
                <w:sz w:val="19"/>
                <w:szCs w:val="19"/>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Construction in progress</w:t>
            </w:r>
          </w:p>
        </w:tc>
        <w:tc>
          <w:tcPr>
            <w:tcW w:w="16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r>
      <w:tr>
        <w:trPr>
          <w:trHeight w:val="215"/>
        </w:trPr>
        <w:tc>
          <w:tcPr>
            <w:tcW w:w="4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property and equipment</w:t>
            </w:r>
          </w:p>
        </w:tc>
        <w:tc>
          <w:tcPr>
            <w:tcW w:w="1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774.6</w:t>
            </w:r>
          </w:p>
        </w:tc>
      </w:tr>
      <w:tr>
        <w:trPr>
          <w:trHeight w:val="222"/>
        </w:trPr>
        <w:tc>
          <w:tcPr>
            <w:tcW w:w="40" w:type="dxa"/>
            <w:vAlign w:val="bottom"/>
          </w:tcPr>
          <w:p>
            <w:pPr>
              <w:spacing w:after="0"/>
              <w:rPr>
                <w:sz w:val="19"/>
                <w:szCs w:val="19"/>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Accumulated depreciation and amortization</w:t>
            </w:r>
          </w:p>
        </w:tc>
        <w:tc>
          <w:tcPr>
            <w:tcW w:w="16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(490.7)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(452.6)</w:t>
            </w:r>
          </w:p>
        </w:tc>
      </w:tr>
      <w:tr>
        <w:trPr>
          <w:trHeight w:val="240"/>
        </w:trPr>
        <w:tc>
          <w:tcPr>
            <w:tcW w:w="40" w:type="dxa"/>
            <w:vAlign w:val="bottom"/>
          </w:tcPr>
          <w:p>
            <w:pPr>
              <w:spacing w:after="0"/>
              <w:rPr>
                <w:sz w:val="20"/>
                <w:szCs w:val="20"/>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600" w:type="dxa"/>
            <w:vAlign w:val="bottom"/>
            <w:tcBorders>
              <w:bottom w:val="single" w:sz="8" w:color="auto"/>
            </w:tcBorders>
            <w:shd w:val="clear" w:color="auto" w:fill="CCEEFF"/>
          </w:tcPr>
          <w:p>
            <w:pPr>
              <w:jc w:val="right"/>
              <w:ind w:right="1413"/>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322.0</w:t>
            </w:r>
          </w:p>
        </w:tc>
      </w:tr>
      <w:tr>
        <w:trPr>
          <w:trHeight w:val="20"/>
        </w:trPr>
        <w:tc>
          <w:tcPr>
            <w:tcW w:w="4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80" w:firstLine="430"/>
        <w:spacing w:after="0" w:line="263" w:lineRule="auto"/>
        <w:rPr>
          <w:sz w:val="20"/>
          <w:szCs w:val="20"/>
          <w:color w:val="auto"/>
        </w:rPr>
      </w:pPr>
      <w:r>
        <w:rPr>
          <w:rFonts w:ascii="Arial" w:cs="Arial" w:eastAsia="Arial" w:hAnsi="Arial"/>
          <w:sz w:val="17"/>
          <w:szCs w:val="17"/>
          <w:color w:val="auto"/>
        </w:rPr>
        <w:t>The Company leases certain infrastructure, computer equipment, and furniture from various third parties, through equipment finance leases. Infrastructure assets as of June 30, 2022 and December 31, 2021, respectively, included a total of $452.6 million and $469.4 million acquired under finance lease agreements. These leases are capitalized in property and equipment, and the related amortization of assets under finance leases is included in depreciation and amortization expense. The accumulated depreciation of the equipment under finance leases totaled $245.0 million and $237.6 million as of June 30, 2022 and December 31, 2021, respectively.</w:t>
      </w:r>
    </w:p>
    <w:p>
      <w:pPr>
        <w:spacing w:after="0" w:line="207" w:lineRule="exact"/>
        <w:rPr>
          <w:sz w:val="20"/>
          <w:szCs w:val="20"/>
          <w:color w:val="auto"/>
        </w:rPr>
      </w:pPr>
    </w:p>
    <w:p>
      <w:pPr>
        <w:ind w:right="840" w:firstLine="430"/>
        <w:spacing w:after="0" w:line="287" w:lineRule="auto"/>
        <w:rPr>
          <w:sz w:val="20"/>
          <w:szCs w:val="20"/>
          <w:color w:val="auto"/>
        </w:rPr>
      </w:pPr>
      <w:r>
        <w:rPr>
          <w:rFonts w:ascii="Arial" w:cs="Arial" w:eastAsia="Arial" w:hAnsi="Arial"/>
          <w:sz w:val="17"/>
          <w:szCs w:val="17"/>
          <w:color w:val="auto"/>
        </w:rPr>
        <w:t>Depreciation expense related to property and equipment was $35.4 million and $70.8 million for the three and six months ended June 30, 2022, respectively, and $32.7 million and $64.2 million for the three and six months ended June 30, 2021, respectively.</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Business Combinations</w:t>
      </w:r>
    </w:p>
    <w:p>
      <w:pPr>
        <w:spacing w:after="0" w:line="254" w:lineRule="exact"/>
        <w:rPr>
          <w:sz w:val="20"/>
          <w:szCs w:val="20"/>
          <w:color w:val="auto"/>
        </w:rPr>
      </w:pPr>
    </w:p>
    <w:p>
      <w:pPr>
        <w:ind w:right="180" w:firstLine="430"/>
        <w:spacing w:after="0" w:line="266" w:lineRule="auto"/>
        <w:rPr>
          <w:sz w:val="20"/>
          <w:szCs w:val="20"/>
          <w:color w:val="auto"/>
        </w:rPr>
      </w:pPr>
      <w:r>
        <w:rPr>
          <w:rFonts w:ascii="Arial" w:cs="Arial" w:eastAsia="Arial" w:hAnsi="Arial"/>
          <w:sz w:val="17"/>
          <w:szCs w:val="17"/>
          <w:color w:val="auto"/>
        </w:rPr>
        <w:t>On March 22, 2021, the Company acquired all outstanding stock of DocSend, a secure document sharing and analytics company. The Company believes the combination of Dropbox, HelloSign, and DocSend will help customers across industries manage end-to-end document workflows—from content collaboration to sharing and e-signature—giving them more control over their business results. The results of DocSend's operations have been included in the Company’s condensed consolidated results of operations since the date of acquisition.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00" w:type="dxa"/>
            <w:vAlign w:val="bottom"/>
          </w:tcPr>
          <w:p>
            <w:pPr>
              <w:spacing w:after="0"/>
              <w:rPr>
                <w:sz w:val="20"/>
                <w:szCs w:val="20"/>
                <w:color w:val="auto"/>
              </w:rPr>
            </w:pPr>
            <w:r>
              <w:rPr>
                <w:rFonts w:ascii="Arial" w:cs="Arial" w:eastAsia="Arial" w:hAnsi="Arial"/>
                <w:sz w:val="17"/>
                <w:szCs w:val="17"/>
                <w:color w:val="auto"/>
              </w:rPr>
              <w:t>The purchase consideration transferred consisted of the following:</w:t>
            </w:r>
          </w:p>
        </w:tc>
        <w:tc>
          <w:tcPr>
            <w:tcW w:w="3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83"/>
        </w:trPr>
        <w:tc>
          <w:tcPr>
            <w:tcW w:w="82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Purchase consideration</w:t>
            </w:r>
          </w:p>
        </w:tc>
      </w:tr>
      <w:tr>
        <w:trPr>
          <w:trHeight w:val="21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to common and preferred stockholders and vested option holders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w:t>
            </w:r>
          </w:p>
        </w:tc>
      </w:tr>
      <w:tr>
        <w:trPr>
          <w:trHeight w:val="222"/>
        </w:trPr>
        <w:tc>
          <w:tcPr>
            <w:tcW w:w="8200" w:type="dxa"/>
            <w:vAlign w:val="bottom"/>
          </w:tcPr>
          <w:p>
            <w:pPr>
              <w:ind w:left="20"/>
              <w:spacing w:after="0"/>
              <w:rPr>
                <w:sz w:val="20"/>
                <w:szCs w:val="20"/>
                <w:color w:val="auto"/>
              </w:rPr>
            </w:pPr>
            <w:r>
              <w:rPr>
                <w:rFonts w:ascii="Arial" w:cs="Arial" w:eastAsia="Arial" w:hAnsi="Arial"/>
                <w:sz w:val="17"/>
                <w:szCs w:val="17"/>
                <w:color w:val="auto"/>
              </w:rPr>
              <w:t>Transaction costs paid by Dropbox on behalf of DocSend</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2"/>
        </w:trPr>
        <w:tc>
          <w:tcPr>
            <w:tcW w:w="820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Fair value of assumed DocSend options attributable to pre-combination services</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2"/>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Purchase price adjustments</w:t>
            </w:r>
          </w:p>
        </w:tc>
        <w:tc>
          <w:tcPr>
            <w:tcW w:w="3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r>
      <w:tr>
        <w:trPr>
          <w:trHeight w:val="21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w:t>
            </w:r>
          </w:p>
        </w:tc>
      </w:tr>
    </w:tbl>
    <w:p>
      <w:pPr>
        <w:spacing w:after="0" w:line="294" w:lineRule="exact"/>
        <w:rPr>
          <w:sz w:val="20"/>
          <w:szCs w:val="20"/>
          <w:color w:val="auto"/>
        </w:rPr>
      </w:pPr>
    </w:p>
    <w:p>
      <w:pPr>
        <w:ind w:left="140" w:hanging="136"/>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The fair value of options assumed was based upon the Black-Scholes option-pricing model.</w:t>
      </w:r>
    </w:p>
    <w:p>
      <w:pPr>
        <w:spacing w:after="0" w:line="236" w:lineRule="exact"/>
        <w:rPr>
          <w:sz w:val="20"/>
          <w:szCs w:val="20"/>
          <w:color w:val="auto"/>
        </w:rPr>
      </w:pPr>
    </w:p>
    <w:p>
      <w:pPr>
        <w:ind w:right="60" w:firstLine="430"/>
        <w:spacing w:after="0" w:line="312" w:lineRule="auto"/>
        <w:rPr>
          <w:sz w:val="20"/>
          <w:szCs w:val="20"/>
          <w:color w:val="auto"/>
        </w:rPr>
      </w:pPr>
      <w:r>
        <w:rPr>
          <w:rFonts w:ascii="Arial" w:cs="Arial" w:eastAsia="Arial" w:hAnsi="Arial"/>
          <w:sz w:val="15"/>
          <w:szCs w:val="15"/>
          <w:color w:val="auto"/>
        </w:rPr>
        <w:t>In addition to the total purchase consideration above, the Company has compensation agreements with key DocSend personnel consisting of $30.7 million in cash payments subject to ongoing employee service. The related expenses are recognized within sales and marketing and research and development expenses over the required service period of approximately three years. The payments began in the first quarter of 2022, with $10.2 million paid during the six months ended June 30, 2022. The remaining balance of $20.5 million will be paid out over the next year in accordance with the acquisition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20" w:firstLine="430"/>
        <w:spacing w:after="0" w:line="287" w:lineRule="auto"/>
        <w:rPr>
          <w:sz w:val="20"/>
          <w:szCs w:val="20"/>
          <w:color w:val="auto"/>
        </w:rPr>
      </w:pPr>
      <w:r>
        <w:rPr>
          <w:rFonts w:ascii="Arial" w:cs="Arial" w:eastAsia="Arial" w:hAnsi="Arial"/>
          <w:sz w:val="17"/>
          <w:szCs w:val="17"/>
          <w:color w:val="auto"/>
        </w:rPr>
        <w:t>The purchase consideration was allocated to the tangible and intangible assets and liabilities acquired as of the acquisition date, with the excess recorded to goodwill as shown below.</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 acquired:</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2"/>
        </w:trPr>
        <w:tc>
          <w:tcPr>
            <w:tcW w:w="820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1340" w:type="dxa"/>
            <w:vAlign w:val="bottom"/>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22"/>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Acquisition-related intangible assets</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r>
      <w:tr>
        <w:trPr>
          <w:trHeight w:val="222"/>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Accounts receivable, prepaid and other assets</w:t>
            </w:r>
          </w:p>
        </w:tc>
        <w:tc>
          <w:tcPr>
            <w:tcW w:w="1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r>
      <w:tr>
        <w:trPr>
          <w:trHeight w:val="24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 acquired</w:t>
            </w:r>
          </w:p>
        </w:tc>
        <w:tc>
          <w:tcPr>
            <w:tcW w:w="1340" w:type="dxa"/>
            <w:vAlign w:val="bottom"/>
            <w:tcBorders>
              <w:bottom w:val="single" w:sz="8" w:color="auto"/>
            </w:tcBorders>
            <w:shd w:val="clear" w:color="auto" w:fill="CCEEFF"/>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8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22"/>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 assumed:</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2"/>
        </w:trPr>
        <w:tc>
          <w:tcPr>
            <w:tcW w:w="8200" w:type="dxa"/>
            <w:vAlign w:val="bottom"/>
          </w:tcPr>
          <w:p>
            <w:pPr>
              <w:ind w:left="220"/>
              <w:spacing w:after="0"/>
              <w:rPr>
                <w:sz w:val="20"/>
                <w:szCs w:val="20"/>
                <w:color w:val="auto"/>
              </w:rPr>
            </w:pPr>
            <w:r>
              <w:rPr>
                <w:rFonts w:ascii="Arial" w:cs="Arial" w:eastAsia="Arial" w:hAnsi="Arial"/>
                <w:sz w:val="17"/>
                <w:szCs w:val="17"/>
                <w:color w:val="auto"/>
              </w:rPr>
              <w:t>Accounts payable, accrued and other liabilities</w:t>
            </w:r>
          </w:p>
        </w:tc>
        <w:tc>
          <w:tcPr>
            <w:tcW w:w="1340" w:type="dxa"/>
            <w:vAlign w:val="bottom"/>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22"/>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22"/>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Deferred tax liability</w:t>
            </w:r>
          </w:p>
        </w:tc>
        <w:tc>
          <w:tcPr>
            <w:tcW w:w="1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r>
      <w:tr>
        <w:trPr>
          <w:trHeight w:val="21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assumed</w:t>
            </w:r>
          </w:p>
        </w:tc>
        <w:tc>
          <w:tcPr>
            <w:tcW w:w="1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15"/>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assets acquired, excluding goodwill</w:t>
            </w:r>
          </w:p>
        </w:tc>
        <w:tc>
          <w:tcPr>
            <w:tcW w:w="1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r>
      <w:tr>
        <w:trPr>
          <w:trHeight w:val="21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1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131.8</w:t>
            </w:r>
          </w:p>
        </w:tc>
      </w:tr>
      <w:tr>
        <w:trPr>
          <w:trHeight w:val="215"/>
        </w:trPr>
        <w:tc>
          <w:tcPr>
            <w:tcW w:w="8200" w:type="dxa"/>
            <w:vAlign w:val="bottom"/>
          </w:tcPr>
          <w:p>
            <w:pPr>
              <w:ind w:left="20"/>
              <w:spacing w:after="0" w:line="214" w:lineRule="exact"/>
              <w:rPr>
                <w:sz w:val="20"/>
                <w:szCs w:val="20"/>
                <w:color w:val="auto"/>
              </w:rPr>
            </w:pPr>
            <w:r>
              <w:rPr>
                <w:rFonts w:ascii="Arial" w:cs="Arial" w:eastAsia="Arial" w:hAnsi="Arial"/>
                <w:sz w:val="17"/>
                <w:szCs w:val="17"/>
                <w:color w:val="auto"/>
              </w:rPr>
              <w:t>Goodwill</w:t>
            </w:r>
            <w:r>
              <w:rPr>
                <w:rFonts w:ascii="Arial" w:cs="Arial" w:eastAsia="Arial" w:hAnsi="Arial"/>
                <w:sz w:val="22"/>
                <w:szCs w:val="22"/>
                <w:color w:val="auto"/>
                <w:vertAlign w:val="superscript"/>
              </w:rPr>
              <w:t>(2)</w:t>
            </w:r>
          </w:p>
        </w:tc>
        <w:tc>
          <w:tcPr>
            <w:tcW w:w="1340" w:type="dxa"/>
            <w:vAlign w:val="bottom"/>
            <w:tcBorders>
              <w:bottom w:val="single" w:sz="8" w:color="auto"/>
            </w:tcBorders>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110.2</w:t>
            </w:r>
          </w:p>
        </w:tc>
      </w:tr>
      <w:tr>
        <w:trPr>
          <w:trHeight w:val="20"/>
        </w:trPr>
        <w:tc>
          <w:tcPr>
            <w:tcW w:w="8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140" w:hanging="136"/>
        <w:spacing w:after="0"/>
        <w:tabs>
          <w:tab w:leader="none" w:pos="140" w:val="left"/>
        </w:tabs>
        <w:numPr>
          <w:ilvl w:val="0"/>
          <w:numId w:val="9"/>
        </w:numPr>
        <w:rPr>
          <w:rFonts w:ascii="Arial" w:cs="Arial" w:eastAsia="Arial" w:hAnsi="Arial"/>
          <w:sz w:val="8"/>
          <w:szCs w:val="8"/>
          <w:color w:val="auto"/>
        </w:rPr>
      </w:pPr>
      <w:r>
        <w:rPr>
          <w:rFonts w:ascii="Arial" w:cs="Arial" w:eastAsia="Arial" w:hAnsi="Arial"/>
          <w:sz w:val="13"/>
          <w:szCs w:val="13"/>
          <w:color w:val="auto"/>
        </w:rPr>
        <w:t>The goodwill recognized was primarily attributable to the opportunity to expand the user base of the Company's platform. The goodwill is not deductible for U.S. federal income tax purposes.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 of the separately identifiable finite-lived intangible assets acquired and estimated weighted average useful lives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7"/>
                <w:szCs w:val="17"/>
                <w:color w:val="auto"/>
                <w:w w:val="91"/>
              </w:rPr>
              <w:t>Estimated weighted average</w:t>
            </w:r>
          </w:p>
        </w:tc>
        <w:tc>
          <w:tcPr>
            <w:tcW w:w="0" w:type="dxa"/>
            <w:vAlign w:val="bottom"/>
          </w:tcPr>
          <w:p>
            <w:pPr>
              <w:spacing w:after="0"/>
              <w:rPr>
                <w:sz w:val="1"/>
                <w:szCs w:val="1"/>
                <w:color w:val="auto"/>
              </w:rPr>
            </w:pPr>
          </w:p>
        </w:tc>
      </w:tr>
      <w:tr>
        <w:trPr>
          <w:trHeight w:val="170"/>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vMerge w:val="restart"/>
          </w:tcPr>
          <w:p>
            <w:pPr>
              <w:jc w:val="right"/>
              <w:ind w:right="273"/>
              <w:spacing w:after="0"/>
              <w:rPr>
                <w:sz w:val="20"/>
                <w:szCs w:val="20"/>
                <w:color w:val="auto"/>
              </w:rPr>
            </w:pPr>
            <w:r>
              <w:rPr>
                <w:rFonts w:ascii="Arial" w:cs="Arial" w:eastAsia="Arial" w:hAnsi="Arial"/>
                <w:sz w:val="17"/>
                <w:szCs w:val="17"/>
                <w:color w:val="auto"/>
                <w:w w:val="98"/>
              </w:rPr>
              <w:t>Estimated fair values</w:t>
            </w:r>
          </w:p>
        </w:tc>
        <w:tc>
          <w:tcPr>
            <w:tcW w:w="160" w:type="dxa"/>
            <w:vAlign w:val="bottom"/>
          </w:tcPr>
          <w:p>
            <w:pPr>
              <w:spacing w:after="0"/>
              <w:rPr>
                <w:sz w:val="14"/>
                <w:szCs w:val="14"/>
                <w:color w:val="auto"/>
              </w:rPr>
            </w:pPr>
          </w:p>
        </w:tc>
        <w:tc>
          <w:tcPr>
            <w:tcW w:w="2180" w:type="dxa"/>
            <w:vAlign w:val="bottom"/>
          </w:tcPr>
          <w:p>
            <w:pPr>
              <w:jc w:val="center"/>
              <w:spacing w:after="0" w:line="170" w:lineRule="exact"/>
              <w:rPr>
                <w:sz w:val="20"/>
                <w:szCs w:val="20"/>
                <w:color w:val="auto"/>
              </w:rPr>
            </w:pPr>
            <w:r>
              <w:rPr>
                <w:rFonts w:ascii="Arial" w:cs="Arial" w:eastAsia="Arial" w:hAnsi="Arial"/>
                <w:sz w:val="17"/>
                <w:szCs w:val="17"/>
                <w:color w:val="auto"/>
                <w:w w:val="92"/>
              </w:rPr>
              <w:t>useful lives</w:t>
            </w:r>
          </w:p>
        </w:tc>
        <w:tc>
          <w:tcPr>
            <w:tcW w:w="0" w:type="dxa"/>
            <w:vAlign w:val="bottom"/>
          </w:tcPr>
          <w:p>
            <w:pPr>
              <w:spacing w:after="0"/>
              <w:rPr>
                <w:sz w:val="1"/>
                <w:szCs w:val="1"/>
                <w:color w:val="auto"/>
              </w:rPr>
            </w:pPr>
          </w:p>
        </w:tc>
      </w:tr>
      <w:tr>
        <w:trPr>
          <w:trHeight w:val="221"/>
        </w:trPr>
        <w:tc>
          <w:tcPr>
            <w:tcW w:w="67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(In years)</w:t>
            </w:r>
          </w:p>
        </w:tc>
        <w:tc>
          <w:tcPr>
            <w:tcW w:w="0" w:type="dxa"/>
            <w:vAlign w:val="bottom"/>
          </w:tcPr>
          <w:p>
            <w:pPr>
              <w:spacing w:after="0"/>
              <w:rPr>
                <w:sz w:val="1"/>
                <w:szCs w:val="1"/>
                <w:color w:val="auto"/>
              </w:rPr>
            </w:pPr>
          </w:p>
        </w:tc>
      </w:tr>
      <w:tr>
        <w:trPr>
          <w:trHeight w:val="215"/>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2340" w:type="dxa"/>
            <w:vAlign w:val="bottom"/>
            <w:gridSpan w:val="2"/>
            <w:shd w:val="clear" w:color="auto" w:fill="CCEEFF"/>
          </w:tcPr>
          <w:p>
            <w:pPr>
              <w:jc w:val="center"/>
              <w:ind w:left="7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8.1</w:t>
            </w:r>
          </w:p>
        </w:tc>
        <w:tc>
          <w:tcPr>
            <w:tcW w:w="2340" w:type="dxa"/>
            <w:vAlign w:val="bottom"/>
            <w:gridSpan w:val="2"/>
          </w:tcPr>
          <w:p>
            <w:pPr>
              <w:jc w:val="center"/>
              <w:ind w:left="7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340" w:type="dxa"/>
            <w:vAlign w:val="bottom"/>
            <w:gridSpan w:val="2"/>
            <w:shd w:val="clear" w:color="auto" w:fill="CCEEFF"/>
          </w:tcPr>
          <w:p>
            <w:pPr>
              <w:jc w:val="center"/>
              <w:ind w:left="7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Arial" w:cs="Arial" w:eastAsia="Arial" w:hAnsi="Arial"/>
                <w:sz w:val="17"/>
                <w:szCs w:val="17"/>
                <w:color w:val="auto"/>
              </w:rPr>
              <w:t>Total acquisition-related intangible assets</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w:t>
            </w:r>
          </w:p>
        </w:tc>
        <w:tc>
          <w:tcPr>
            <w:tcW w:w="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both"/>
        <w:ind w:right="200" w:firstLine="430"/>
        <w:spacing w:after="0" w:line="323" w:lineRule="auto"/>
        <w:rPr>
          <w:sz w:val="20"/>
          <w:szCs w:val="20"/>
          <w:color w:val="auto"/>
        </w:rPr>
      </w:pPr>
      <w:r>
        <w:rPr>
          <w:rFonts w:ascii="Arial" w:cs="Arial" w:eastAsia="Arial" w:hAnsi="Arial"/>
          <w:sz w:val="15"/>
          <w:szCs w:val="15"/>
          <w:color w:val="auto"/>
        </w:rPr>
        <w:t>The fair values of the acquisition-related intangible assets were determined using the following methodologies: the multi-period excess earnings method for customer relationships, and the relief from royalty method for developed technology, and the trade name, respectively. The valuation model inputs required the application of significant judgment by management. The acquired intangible assets have a total weighted average amortization period of 5.0 years.</w:t>
      </w:r>
    </w:p>
    <w:p>
      <w:pPr>
        <w:spacing w:after="0" w:line="164" w:lineRule="exact"/>
        <w:rPr>
          <w:sz w:val="20"/>
          <w:szCs w:val="20"/>
          <w:color w:val="auto"/>
        </w:rPr>
      </w:pPr>
    </w:p>
    <w:p>
      <w:pPr>
        <w:jc w:val="both"/>
        <w:ind w:right="180" w:firstLine="430"/>
        <w:spacing w:after="0" w:line="287" w:lineRule="auto"/>
        <w:rPr>
          <w:sz w:val="20"/>
          <w:szCs w:val="20"/>
          <w:color w:val="auto"/>
        </w:rPr>
      </w:pPr>
      <w:r>
        <w:rPr>
          <w:rFonts w:ascii="Arial" w:cs="Arial" w:eastAsia="Arial" w:hAnsi="Arial"/>
          <w:sz w:val="17"/>
          <w:szCs w:val="17"/>
          <w:color w:val="auto"/>
        </w:rPr>
        <w:t>One-time acquisition-related diligence costs of $1.2 million were expensed within general and administrative expenses as incurred during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80" w:type="dxa"/>
            <w:vAlign w:val="bottom"/>
          </w:tcPr>
          <w:p>
            <w:pPr>
              <w:spacing w:after="0"/>
              <w:rPr>
                <w:sz w:val="20"/>
                <w:szCs w:val="20"/>
                <w:color w:val="auto"/>
              </w:rPr>
            </w:pPr>
            <w:r>
              <w:rPr>
                <w:rFonts w:ascii="Arial" w:cs="Arial" w:eastAsia="Arial" w:hAnsi="Arial"/>
                <w:sz w:val="17"/>
                <w:szCs w:val="17"/>
                <w:b w:val="1"/>
                <w:bCs w:val="1"/>
                <w:color w:val="auto"/>
              </w:rPr>
              <w:t>Note 6. Intangible Assets</w:t>
            </w:r>
          </w:p>
        </w:tc>
        <w:tc>
          <w:tcPr>
            <w:tcW w:w="1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5080" w:type="dxa"/>
            <w:vAlign w:val="bottom"/>
          </w:tcPr>
          <w:p>
            <w:pPr>
              <w:ind w:left="440"/>
              <w:spacing w:after="0"/>
              <w:rPr>
                <w:sz w:val="20"/>
                <w:szCs w:val="20"/>
                <w:color w:val="auto"/>
              </w:rPr>
            </w:pPr>
            <w:r>
              <w:rPr>
                <w:rFonts w:ascii="Arial" w:cs="Arial" w:eastAsia="Arial" w:hAnsi="Arial"/>
                <w:sz w:val="17"/>
                <w:szCs w:val="17"/>
                <w:color w:val="auto"/>
              </w:rPr>
              <w:t>Intangible assets consisted of the following:</w:t>
            </w: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7"/>
                <w:szCs w:val="17"/>
                <w:b w:val="1"/>
                <w:bCs w:val="1"/>
                <w:color w:val="auto"/>
                <w:w w:val="92"/>
              </w:rPr>
              <w:t>Weighted-</w:t>
            </w:r>
          </w:p>
        </w:tc>
        <w:tc>
          <w:tcPr>
            <w:tcW w:w="0" w:type="dxa"/>
            <w:vAlign w:val="bottom"/>
          </w:tcPr>
          <w:p>
            <w:pPr>
              <w:spacing w:after="0"/>
              <w:rPr>
                <w:sz w:val="1"/>
                <w:szCs w:val="1"/>
                <w:color w:val="auto"/>
              </w:rPr>
            </w:pPr>
          </w:p>
        </w:tc>
      </w:tr>
      <w:tr>
        <w:trPr>
          <w:trHeight w:val="170"/>
        </w:trPr>
        <w:tc>
          <w:tcPr>
            <w:tcW w:w="5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0"/>
              </w:rPr>
              <w:t>average</w:t>
            </w:r>
          </w:p>
        </w:tc>
        <w:tc>
          <w:tcPr>
            <w:tcW w:w="0" w:type="dxa"/>
            <w:vAlign w:val="bottom"/>
          </w:tcPr>
          <w:p>
            <w:pPr>
              <w:spacing w:after="0"/>
              <w:rPr>
                <w:sz w:val="1"/>
                <w:szCs w:val="1"/>
                <w:color w:val="auto"/>
              </w:rPr>
            </w:pPr>
          </w:p>
        </w:tc>
      </w:tr>
      <w:tr>
        <w:trPr>
          <w:trHeight w:val="170"/>
        </w:trPr>
        <w:tc>
          <w:tcPr>
            <w:tcW w:w="5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3"/>
              </w:rPr>
              <w:t>remaining</w:t>
            </w:r>
          </w:p>
        </w:tc>
        <w:tc>
          <w:tcPr>
            <w:tcW w:w="0" w:type="dxa"/>
            <w:vAlign w:val="bottom"/>
          </w:tcPr>
          <w:p>
            <w:pPr>
              <w:spacing w:after="0"/>
              <w:rPr>
                <w:sz w:val="1"/>
                <w:szCs w:val="1"/>
                <w:color w:val="auto"/>
              </w:rPr>
            </w:pPr>
          </w:p>
        </w:tc>
      </w:tr>
      <w:tr>
        <w:trPr>
          <w:trHeight w:val="170"/>
        </w:trPr>
        <w:tc>
          <w:tcPr>
            <w:tcW w:w="5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0"/>
              </w:rPr>
              <w:t>useful life</w:t>
            </w: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As of 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vMerge w:val="restart"/>
          </w:tcPr>
          <w:p>
            <w:pPr>
              <w:jc w:val="right"/>
              <w:ind w:right="193"/>
              <w:spacing w:after="0"/>
              <w:rPr>
                <w:sz w:val="20"/>
                <w:szCs w:val="20"/>
                <w:color w:val="auto"/>
              </w:rPr>
            </w:pPr>
            <w:r>
              <w:rPr>
                <w:rFonts w:ascii="Arial" w:cs="Arial" w:eastAsia="Arial" w:hAnsi="Arial"/>
                <w:sz w:val="17"/>
                <w:szCs w:val="17"/>
                <w:b w:val="1"/>
                <w:bCs w:val="1"/>
                <w:color w:val="auto"/>
              </w:rPr>
              <w:t>As of December 31,</w:t>
            </w:r>
          </w:p>
        </w:tc>
        <w:tc>
          <w:tcPr>
            <w:tcW w:w="100" w:type="dxa"/>
            <w:vAlign w:val="bottom"/>
          </w:tcPr>
          <w:p>
            <w:pPr>
              <w:spacing w:after="0"/>
              <w:rPr>
                <w:sz w:val="14"/>
                <w:szCs w:val="14"/>
                <w:color w:val="auto"/>
              </w:rPr>
            </w:pPr>
          </w:p>
        </w:tc>
        <w:tc>
          <w:tcPr>
            <w:tcW w:w="1960" w:type="dxa"/>
            <w:vAlign w:val="bottom"/>
          </w:tcPr>
          <w:p>
            <w:pPr>
              <w:jc w:val="center"/>
              <w:spacing w:after="0" w:line="169" w:lineRule="exact"/>
              <w:rPr>
                <w:sz w:val="20"/>
                <w:szCs w:val="20"/>
                <w:color w:val="auto"/>
              </w:rPr>
            </w:pPr>
            <w:r>
              <w:rPr>
                <w:rFonts w:ascii="Arial" w:cs="Arial" w:eastAsia="Arial" w:hAnsi="Arial"/>
                <w:sz w:val="17"/>
                <w:szCs w:val="17"/>
                <w:color w:val="auto"/>
                <w:w w:val="94"/>
              </w:rPr>
              <w:t>(In years)</w:t>
            </w:r>
          </w:p>
        </w:tc>
        <w:tc>
          <w:tcPr>
            <w:tcW w:w="0" w:type="dxa"/>
            <w:vAlign w:val="bottom"/>
          </w:tcPr>
          <w:p>
            <w:pPr>
              <w:spacing w:after="0"/>
              <w:rPr>
                <w:sz w:val="1"/>
                <w:szCs w:val="1"/>
                <w:color w:val="auto"/>
              </w:rPr>
            </w:pPr>
          </w:p>
        </w:tc>
      </w:tr>
      <w:tr>
        <w:trPr>
          <w:trHeight w:val="222"/>
        </w:trPr>
        <w:tc>
          <w:tcPr>
            <w:tcW w:w="5080" w:type="dxa"/>
            <w:vAlign w:val="bottom"/>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As of June 30,</w:t>
            </w:r>
          </w:p>
        </w:tc>
        <w:tc>
          <w:tcPr>
            <w:tcW w:w="0" w:type="dxa"/>
            <w:vAlign w:val="bottom"/>
          </w:tcPr>
          <w:p>
            <w:pPr>
              <w:spacing w:after="0"/>
              <w:rPr>
                <w:sz w:val="1"/>
                <w:szCs w:val="1"/>
                <w:color w:val="auto"/>
              </w:rPr>
            </w:pPr>
          </w:p>
        </w:tc>
      </w:tr>
      <w:tr>
        <w:trPr>
          <w:trHeight w:val="215"/>
        </w:trPr>
        <w:tc>
          <w:tcPr>
            <w:tcW w:w="50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2021</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2022</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540" w:type="dxa"/>
            <w:vAlign w:val="bottom"/>
            <w:shd w:val="clear" w:color="auto" w:fill="CCEEFF"/>
          </w:tcPr>
          <w:p>
            <w:pPr>
              <w:jc w:val="right"/>
              <w:ind w:right="1333"/>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53"/>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206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84"/>
              </w:rPr>
              <w:t>3.3</w:t>
            </w:r>
          </w:p>
        </w:tc>
        <w:tc>
          <w:tcPr>
            <w:tcW w:w="0" w:type="dxa"/>
            <w:vAlign w:val="bottom"/>
          </w:tcPr>
          <w:p>
            <w:pPr>
              <w:spacing w:after="0"/>
              <w:rPr>
                <w:sz w:val="1"/>
                <w:szCs w:val="1"/>
                <w:color w:val="auto"/>
              </w:rPr>
            </w:pPr>
          </w:p>
        </w:tc>
      </w:tr>
      <w:tr>
        <w:trPr>
          <w:trHeight w:val="222"/>
        </w:trPr>
        <w:tc>
          <w:tcPr>
            <w:tcW w:w="508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1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28.6</w:t>
            </w:r>
          </w:p>
        </w:tc>
        <w:tc>
          <w:tcPr>
            <w:tcW w:w="206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3.2</w:t>
            </w:r>
          </w:p>
        </w:tc>
        <w:tc>
          <w:tcPr>
            <w:tcW w:w="0" w:type="dxa"/>
            <w:vAlign w:val="bottom"/>
          </w:tcPr>
          <w:p>
            <w:pPr>
              <w:spacing w:after="0"/>
              <w:rPr>
                <w:sz w:val="1"/>
                <w:szCs w:val="1"/>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Patents</w:t>
            </w:r>
          </w:p>
        </w:tc>
        <w:tc>
          <w:tcPr>
            <w:tcW w:w="1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206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84"/>
              </w:rPr>
              <w:t>4.8</w:t>
            </w:r>
          </w:p>
        </w:tc>
        <w:tc>
          <w:tcPr>
            <w:tcW w:w="0" w:type="dxa"/>
            <w:vAlign w:val="bottom"/>
          </w:tcPr>
          <w:p>
            <w:pPr>
              <w:spacing w:after="0"/>
              <w:rPr>
                <w:sz w:val="1"/>
                <w:szCs w:val="1"/>
                <w:color w:val="auto"/>
              </w:rPr>
            </w:pPr>
          </w:p>
        </w:tc>
      </w:tr>
      <w:tr>
        <w:trPr>
          <w:trHeight w:val="222"/>
        </w:trPr>
        <w:tc>
          <w:tcPr>
            <w:tcW w:w="5080" w:type="dxa"/>
            <w:vAlign w:val="bottom"/>
          </w:tcPr>
          <w:p>
            <w:pPr>
              <w:ind w:left="20"/>
              <w:spacing w:after="0"/>
              <w:rPr>
                <w:sz w:val="20"/>
                <w:szCs w:val="20"/>
                <w:color w:val="auto"/>
              </w:rPr>
            </w:pPr>
            <w:r>
              <w:rPr>
                <w:rFonts w:ascii="Arial" w:cs="Arial" w:eastAsia="Arial" w:hAnsi="Arial"/>
                <w:sz w:val="17"/>
                <w:szCs w:val="17"/>
                <w:color w:val="auto"/>
              </w:rPr>
              <w:t>Software</w:t>
            </w:r>
          </w:p>
        </w:tc>
        <w:tc>
          <w:tcPr>
            <w:tcW w:w="1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9.0</w:t>
            </w:r>
          </w:p>
        </w:tc>
        <w:tc>
          <w:tcPr>
            <w:tcW w:w="206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1.0</w:t>
            </w:r>
          </w:p>
        </w:tc>
        <w:tc>
          <w:tcPr>
            <w:tcW w:w="0" w:type="dxa"/>
            <w:vAlign w:val="bottom"/>
          </w:tcPr>
          <w:p>
            <w:pPr>
              <w:spacing w:after="0"/>
              <w:rPr>
                <w:sz w:val="1"/>
                <w:szCs w:val="1"/>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Trademarks and trade names</w:t>
            </w:r>
          </w:p>
        </w:tc>
        <w:tc>
          <w:tcPr>
            <w:tcW w:w="1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06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84"/>
              </w:rPr>
              <w:t>2.2</w:t>
            </w:r>
          </w:p>
        </w:tc>
        <w:tc>
          <w:tcPr>
            <w:tcW w:w="0" w:type="dxa"/>
            <w:vAlign w:val="bottom"/>
          </w:tcPr>
          <w:p>
            <w:pPr>
              <w:spacing w:after="0"/>
              <w:rPr>
                <w:sz w:val="1"/>
                <w:szCs w:val="1"/>
                <w:color w:val="auto"/>
              </w:rPr>
            </w:pPr>
          </w:p>
        </w:tc>
      </w:tr>
      <w:tr>
        <w:trPr>
          <w:trHeight w:val="222"/>
        </w:trPr>
        <w:tc>
          <w:tcPr>
            <w:tcW w:w="5080" w:type="dxa"/>
            <w:vAlign w:val="bottom"/>
          </w:tcPr>
          <w:p>
            <w:pPr>
              <w:ind w:left="20"/>
              <w:spacing w:after="0"/>
              <w:rPr>
                <w:sz w:val="20"/>
                <w:szCs w:val="20"/>
                <w:color w:val="auto"/>
              </w:rPr>
            </w:pPr>
            <w:r>
              <w:rPr>
                <w:rFonts w:ascii="Arial" w:cs="Arial" w:eastAsia="Arial" w:hAnsi="Arial"/>
                <w:sz w:val="17"/>
                <w:szCs w:val="17"/>
                <w:color w:val="auto"/>
              </w:rPr>
              <w:t>Licenses</w:t>
            </w:r>
          </w:p>
        </w:tc>
        <w:tc>
          <w:tcPr>
            <w:tcW w:w="1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Assembled workforce in asset acquisitions</w:t>
            </w:r>
          </w:p>
        </w:tc>
        <w:tc>
          <w:tcPr>
            <w:tcW w:w="1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06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84"/>
              </w:rPr>
              <w:t>3.8</w:t>
            </w:r>
          </w:p>
        </w:tc>
        <w:tc>
          <w:tcPr>
            <w:tcW w:w="0" w:type="dxa"/>
            <w:vAlign w:val="bottom"/>
          </w:tcPr>
          <w:p>
            <w:pPr>
              <w:spacing w:after="0"/>
              <w:rPr>
                <w:sz w:val="1"/>
                <w:szCs w:val="1"/>
                <w:color w:val="auto"/>
              </w:rPr>
            </w:pPr>
          </w:p>
        </w:tc>
      </w:tr>
      <w:tr>
        <w:trPr>
          <w:trHeight w:val="222"/>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5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2060" w:type="dxa"/>
            <w:vAlign w:val="bottom"/>
            <w:tcBorders>
              <w:bottom w:val="single" w:sz="8" w:color="CCEEFF"/>
            </w:tcBorders>
            <w:gridSpan w:val="2"/>
          </w:tcPr>
          <w:p>
            <w:pPr>
              <w:jc w:val="center"/>
              <w:ind w:left="13"/>
              <w:spacing w:after="0"/>
              <w:rPr>
                <w:sz w:val="20"/>
                <w:szCs w:val="20"/>
                <w:color w:val="auto"/>
              </w:rPr>
            </w:pPr>
            <w:r>
              <w:rPr>
                <w:rFonts w:ascii="Arial" w:cs="Arial" w:eastAsia="Arial" w:hAnsi="Arial"/>
                <w:sz w:val="17"/>
                <w:szCs w:val="17"/>
                <w:color w:val="auto"/>
                <w:w w:val="84"/>
              </w:rPr>
              <w:t>3.3</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intangibles</w:t>
            </w:r>
          </w:p>
        </w:tc>
        <w:tc>
          <w:tcPr>
            <w:tcW w:w="15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117.4</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117.0</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15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(70.9)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1540" w:type="dxa"/>
            <w:vAlign w:val="bottom"/>
            <w:tcBorders>
              <w:bottom w:val="single" w:sz="8" w:color="auto"/>
            </w:tcBorders>
            <w:shd w:val="clear" w:color="auto" w:fill="CCEEFF"/>
          </w:tcPr>
          <w:p>
            <w:pPr>
              <w:jc w:val="right"/>
              <w:ind w:right="1333"/>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53"/>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1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80" w:firstLine="430"/>
        <w:spacing w:after="0" w:line="287" w:lineRule="auto"/>
        <w:rPr>
          <w:sz w:val="20"/>
          <w:szCs w:val="20"/>
          <w:color w:val="auto"/>
        </w:rPr>
      </w:pPr>
      <w:r>
        <w:rPr>
          <w:rFonts w:ascii="Arial" w:cs="Arial" w:eastAsia="Arial" w:hAnsi="Arial"/>
          <w:sz w:val="17"/>
          <w:szCs w:val="17"/>
          <w:color w:val="auto"/>
        </w:rPr>
        <w:t>Amortization expense was $3.8 million and $7.8 million for the three and six months ended June 30, 2022, respectively, and $4.1 million and $7.2 million for the three and six months ended June 30, 2021, respectively.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9000" w:type="dxa"/>
            <w:vAlign w:val="bottom"/>
          </w:tcPr>
          <w:p>
            <w:pPr>
              <w:ind w:left="400"/>
              <w:spacing w:after="0"/>
              <w:rPr>
                <w:sz w:val="20"/>
                <w:szCs w:val="20"/>
                <w:color w:val="auto"/>
              </w:rPr>
            </w:pPr>
            <w:r>
              <w:rPr>
                <w:rFonts w:ascii="Arial" w:cs="Arial" w:eastAsia="Arial" w:hAnsi="Arial"/>
                <w:sz w:val="17"/>
                <w:szCs w:val="17"/>
                <w:color w:val="auto"/>
              </w:rPr>
              <w:t>Expected future amortization expense for intangible assets as of June 30, 2022 is as follows:</w:t>
            </w:r>
          </w:p>
        </w:tc>
        <w:tc>
          <w:tcPr>
            <w:tcW w:w="9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1"/>
        </w:trPr>
        <w:tc>
          <w:tcPr>
            <w:tcW w:w="90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2"/>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9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22"/>
        </w:trPr>
        <w:tc>
          <w:tcPr>
            <w:tcW w:w="9000" w:type="dxa"/>
            <w:vAlign w:val="bottom"/>
          </w:tcPr>
          <w:p>
            <w:pPr>
              <w:spacing w:after="0"/>
              <w:rPr>
                <w:sz w:val="20"/>
                <w:szCs w:val="20"/>
                <w:color w:val="auto"/>
              </w:rPr>
            </w:pPr>
            <w:r>
              <w:rPr>
                <w:rFonts w:ascii="Arial" w:cs="Arial" w:eastAsia="Arial" w:hAnsi="Arial"/>
                <w:sz w:val="17"/>
                <w:szCs w:val="17"/>
                <w:color w:val="auto"/>
              </w:rPr>
              <w:t>2023</w:t>
            </w:r>
          </w:p>
        </w:tc>
        <w:tc>
          <w:tcPr>
            <w:tcW w:w="9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22"/>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9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r>
      <w:tr>
        <w:trPr>
          <w:trHeight w:val="222"/>
        </w:trPr>
        <w:tc>
          <w:tcPr>
            <w:tcW w:w="9000" w:type="dxa"/>
            <w:vAlign w:val="bottom"/>
          </w:tcPr>
          <w:p>
            <w:pPr>
              <w:spacing w:after="0"/>
              <w:rPr>
                <w:sz w:val="20"/>
                <w:szCs w:val="20"/>
                <w:color w:val="auto"/>
              </w:rPr>
            </w:pPr>
            <w:r>
              <w:rPr>
                <w:rFonts w:ascii="Arial" w:cs="Arial" w:eastAsia="Arial" w:hAnsi="Arial"/>
                <w:sz w:val="17"/>
                <w:szCs w:val="17"/>
                <w:color w:val="auto"/>
              </w:rPr>
              <w:t>2025</w:t>
            </w:r>
          </w:p>
        </w:tc>
        <w:tc>
          <w:tcPr>
            <w:tcW w:w="9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22"/>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2026</w:t>
            </w:r>
          </w:p>
        </w:tc>
        <w:tc>
          <w:tcPr>
            <w:tcW w:w="9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22"/>
        </w:trPr>
        <w:tc>
          <w:tcPr>
            <w:tcW w:w="9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Thereafter</w:t>
            </w:r>
          </w:p>
        </w:tc>
        <w:tc>
          <w:tcPr>
            <w:tcW w:w="9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r>
      <w:tr>
        <w:trPr>
          <w:trHeight w:val="240"/>
        </w:trPr>
        <w:tc>
          <w:tcPr>
            <w:tcW w:w="9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Goodwill</w:t>
      </w:r>
    </w:p>
    <w:p>
      <w:pPr>
        <w:spacing w:after="0" w:line="254" w:lineRule="exact"/>
        <w:rPr>
          <w:sz w:val="20"/>
          <w:szCs w:val="20"/>
          <w:color w:val="auto"/>
        </w:rPr>
      </w:pPr>
    </w:p>
    <w:p>
      <w:pPr>
        <w:ind w:right="460" w:firstLine="430"/>
        <w:spacing w:after="0" w:line="287" w:lineRule="auto"/>
        <w:rPr>
          <w:sz w:val="20"/>
          <w:szCs w:val="20"/>
          <w:color w:val="auto"/>
        </w:rPr>
      </w:pPr>
      <w:r>
        <w:rPr>
          <w:rFonts w:ascii="Arial" w:cs="Arial" w:eastAsia="Arial" w:hAnsi="Arial"/>
          <w:sz w:val="17"/>
          <w:szCs w:val="17"/>
          <w:color w:val="auto"/>
        </w:rPr>
        <w:t>Goodwill represents the excess of the purchase price in a business combination over the fair value of net tangible and intangible assets acquired. The changes in the carrying amounts of goodwill were as follows: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1460" w:type="dxa"/>
            <w:vAlign w:val="bottom"/>
            <w:shd w:val="clear" w:color="auto" w:fill="CCEEFF"/>
          </w:tcPr>
          <w:p>
            <w:pPr>
              <w:jc w:val="right"/>
              <w:ind w:right="1273"/>
              <w:spacing w:after="0"/>
              <w:rPr>
                <w:sz w:val="20"/>
                <w:szCs w:val="20"/>
                <w:color w:val="auto"/>
              </w:rPr>
            </w:pPr>
            <w:r>
              <w:rPr>
                <w:rFonts w:ascii="Arial" w:cs="Arial" w:eastAsia="Arial" w:hAnsi="Arial"/>
                <w:sz w:val="17"/>
                <w:szCs w:val="17"/>
                <w:color w:val="auto"/>
                <w:w w:val="84"/>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356.6</w:t>
            </w:r>
          </w:p>
        </w:tc>
      </w:tr>
      <w:tr>
        <w:trPr>
          <w:trHeight w:val="222"/>
        </w:trPr>
        <w:tc>
          <w:tcPr>
            <w:tcW w:w="79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Effect of foreign currency translation</w:t>
            </w:r>
          </w:p>
        </w:tc>
        <w:tc>
          <w:tcPr>
            <w:tcW w:w="14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r>
      <w:tr>
        <w:trPr>
          <w:trHeight w:val="24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June 30, 2022</w:t>
            </w:r>
          </w:p>
        </w:tc>
        <w:tc>
          <w:tcPr>
            <w:tcW w:w="1460" w:type="dxa"/>
            <w:vAlign w:val="bottom"/>
            <w:tcBorders>
              <w:bottom w:val="single" w:sz="8" w:color="auto"/>
            </w:tcBorders>
            <w:shd w:val="clear" w:color="auto" w:fill="CCEEFF"/>
          </w:tcPr>
          <w:p>
            <w:pPr>
              <w:jc w:val="right"/>
              <w:ind w:right="1273"/>
              <w:spacing w:after="0"/>
              <w:rPr>
                <w:sz w:val="20"/>
                <w:szCs w:val="20"/>
                <w:color w:val="auto"/>
              </w:rPr>
            </w:pPr>
            <w:r>
              <w:rPr>
                <w:rFonts w:ascii="Arial" w:cs="Arial" w:eastAsia="Arial" w:hAnsi="Arial"/>
                <w:sz w:val="17"/>
                <w:szCs w:val="17"/>
                <w:color w:val="auto"/>
                <w:w w:val="84"/>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353.9</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600" w:firstLine="430"/>
        <w:spacing w:after="0" w:line="287" w:lineRule="auto"/>
        <w:rPr>
          <w:sz w:val="20"/>
          <w:szCs w:val="20"/>
          <w:color w:val="auto"/>
        </w:rPr>
      </w:pPr>
      <w:r>
        <w:rPr>
          <w:rFonts w:ascii="Arial" w:cs="Arial" w:eastAsia="Arial" w:hAnsi="Arial"/>
          <w:sz w:val="17"/>
          <w:szCs w:val="17"/>
          <w:color w:val="auto"/>
        </w:rPr>
        <w:t>Goodwill amounts are not amortized, but tested for impairment on an annual basis. There was no impairment of goodwill during the periods ended June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Debt</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Revolving credit facility</w:t>
      </w:r>
    </w:p>
    <w:p>
      <w:pPr>
        <w:spacing w:after="0" w:line="248" w:lineRule="exact"/>
        <w:rPr>
          <w:sz w:val="20"/>
          <w:szCs w:val="20"/>
          <w:color w:val="auto"/>
        </w:rPr>
      </w:pPr>
    </w:p>
    <w:p>
      <w:pPr>
        <w:ind w:right="200" w:firstLine="430"/>
        <w:spacing w:after="0" w:line="293" w:lineRule="auto"/>
        <w:rPr>
          <w:sz w:val="20"/>
          <w:szCs w:val="20"/>
          <w:color w:val="auto"/>
        </w:rPr>
      </w:pPr>
      <w:r>
        <w:rPr>
          <w:rFonts w:ascii="Arial" w:cs="Arial" w:eastAsia="Arial" w:hAnsi="Arial"/>
          <w:sz w:val="15"/>
          <w:szCs w:val="15"/>
          <w:color w:val="auto"/>
        </w:rPr>
        <w:t>In February 2018, the Company entered into an amendment to the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In February 2021, the Company amended the revolving credit facility to decrease its borrowing capacity under the revolving credit facility from $725.0 million to $500.0 million and extended the term of the agreement through February 2026. The Company may from time to time request increases in its borrowing capacity under the revolving credit facility of up to</w:t>
      </w:r>
    </w:p>
    <w:p>
      <w:pPr>
        <w:spacing w:after="0" w:line="2" w:lineRule="exact"/>
        <w:rPr>
          <w:sz w:val="20"/>
          <w:szCs w:val="20"/>
          <w:color w:val="auto"/>
        </w:rPr>
      </w:pPr>
    </w:p>
    <w:p>
      <w:pPr>
        <w:ind w:right="580"/>
        <w:spacing w:after="0" w:line="264" w:lineRule="auto"/>
        <w:rPr>
          <w:sz w:val="20"/>
          <w:szCs w:val="20"/>
          <w:color w:val="auto"/>
        </w:rPr>
      </w:pPr>
      <w:r>
        <w:rPr>
          <w:rFonts w:ascii="Arial" w:cs="Arial" w:eastAsia="Arial" w:hAnsi="Arial"/>
          <w:sz w:val="17"/>
          <w:szCs w:val="17"/>
          <w:color w:val="auto"/>
        </w:rPr>
        <w:t>$250.0 million, provided no event of default has occurred or is continuing or would result from such increase. In conjunction with the February 2021 amendment, the Company paid upfront issuance fees of $1.7 million, which are being amortized over the remaining term of the agreement, and wrote-off $0.2 million in unamortized deferred debt issuance costs.</w:t>
      </w:r>
    </w:p>
    <w:p>
      <w:pPr>
        <w:spacing w:after="0" w:line="203" w:lineRule="exact"/>
        <w:rPr>
          <w:sz w:val="20"/>
          <w:szCs w:val="20"/>
          <w:color w:val="auto"/>
        </w:rPr>
      </w:pPr>
    </w:p>
    <w:p>
      <w:pPr>
        <w:ind w:right="40" w:firstLine="430"/>
        <w:spacing w:after="0" w:line="261" w:lineRule="auto"/>
        <w:rPr>
          <w:sz w:val="20"/>
          <w:szCs w:val="20"/>
          <w:color w:val="auto"/>
        </w:rPr>
      </w:pPr>
      <w:r>
        <w:rPr>
          <w:rFonts w:ascii="Arial" w:cs="Arial" w:eastAsia="Arial" w:hAnsi="Arial"/>
          <w:sz w:val="17"/>
          <w:szCs w:val="17"/>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1.375%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LIBOR plus a spread of 1.375% or at an alternative base rate plus a spread of 0.375%.</w:t>
      </w:r>
    </w:p>
    <w:p>
      <w:pPr>
        <w:spacing w:after="0" w:line="207" w:lineRule="exact"/>
        <w:rPr>
          <w:sz w:val="20"/>
          <w:szCs w:val="20"/>
          <w:color w:val="auto"/>
        </w:rPr>
      </w:pPr>
    </w:p>
    <w:p>
      <w:pPr>
        <w:ind w:firstLine="430"/>
        <w:spacing w:after="0" w:line="263"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incurrence covenant and a minimum liquidity balance of $100.0 million, which includes any available borrowing capacity. The Company was in compliance with the covenants of the revolving credit facility as of June 30, 2022 and December 31, 2021, respectively.</w:t>
      </w:r>
    </w:p>
    <w:p>
      <w:pPr>
        <w:spacing w:after="0" w:line="207" w:lineRule="exact"/>
        <w:rPr>
          <w:sz w:val="20"/>
          <w:szCs w:val="20"/>
          <w:color w:val="auto"/>
        </w:rPr>
      </w:pPr>
    </w:p>
    <w:p>
      <w:pPr>
        <w:ind w:right="100" w:firstLine="430"/>
        <w:spacing w:after="0" w:line="271" w:lineRule="auto"/>
        <w:rPr>
          <w:sz w:val="20"/>
          <w:szCs w:val="20"/>
          <w:color w:val="auto"/>
        </w:rPr>
      </w:pPr>
      <w:r>
        <w:rPr>
          <w:rFonts w:ascii="Arial" w:cs="Arial" w:eastAsia="Arial" w:hAnsi="Arial"/>
          <w:sz w:val="17"/>
          <w:szCs w:val="17"/>
          <w:color w:val="auto"/>
        </w:rPr>
        <w:t>The Company had an aggregate of $40.9 million of letters of credit outstanding under the revolving credit facility as of June 30, 2022, and the Company’s total available borrowing capacity under the revolving credit facility was $459.1 million as of June 30, 2022. The Company’s letters of credit have final expiration dates through 2036.</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Convertible senior notes</w:t>
      </w:r>
    </w:p>
    <w:p>
      <w:pPr>
        <w:spacing w:after="0" w:line="248" w:lineRule="exact"/>
        <w:rPr>
          <w:sz w:val="20"/>
          <w:szCs w:val="20"/>
          <w:color w:val="auto"/>
        </w:rPr>
      </w:pPr>
    </w:p>
    <w:p>
      <w:pPr>
        <w:ind w:right="20" w:firstLine="430"/>
        <w:spacing w:after="0" w:line="266" w:lineRule="auto"/>
        <w:rPr>
          <w:sz w:val="20"/>
          <w:szCs w:val="20"/>
          <w:color w:val="auto"/>
        </w:rPr>
      </w:pPr>
      <w:r>
        <w:rPr>
          <w:rFonts w:ascii="Arial" w:cs="Arial" w:eastAsia="Arial" w:hAnsi="Arial"/>
          <w:sz w:val="17"/>
          <w:szCs w:val="17"/>
          <w:color w:val="auto"/>
        </w:rPr>
        <w:t>During the first quarter of 2021, the Company issued $695.8 million aggregate principal amount of the 2026 Notes. Additionally, during the first quarter of 2021, the Company issued $693.3 million aggregate principal amount of the 2028 Notes. The Notes were issued in a private placement to qualified institutional buyers pursuant to Rule 144A under the Securities Act of 1933. The net proceeds from the sale of the Notes were approximately $1.4 billion after deducting offering and issuance costs related to the Notes.</w:t>
      </w:r>
    </w:p>
    <w:p>
      <w:pPr>
        <w:spacing w:after="0" w:line="203" w:lineRule="exact"/>
        <w:rPr>
          <w:sz w:val="20"/>
          <w:szCs w:val="20"/>
          <w:color w:val="auto"/>
        </w:rPr>
      </w:pPr>
    </w:p>
    <w:p>
      <w:pPr>
        <w:jc w:val="both"/>
        <w:ind w:right="100" w:firstLine="430"/>
        <w:spacing w:after="0" w:line="323" w:lineRule="auto"/>
        <w:rPr>
          <w:sz w:val="20"/>
          <w:szCs w:val="20"/>
          <w:color w:val="auto"/>
        </w:rPr>
      </w:pPr>
      <w:r>
        <w:rPr>
          <w:rFonts w:ascii="Arial" w:cs="Arial" w:eastAsia="Arial" w:hAnsi="Arial"/>
          <w:sz w:val="15"/>
          <w:szCs w:val="15"/>
          <w:color w:val="auto"/>
        </w:rPr>
        <w:t>The Notes of each series do not bear regular interest. The Notes of each series may bear special interest as the remedy relating to the Company’s failure to comply with certain of its reporting obligations. The Company has complied with these reporting obligations from the issuance date through June 30, 2022. The 2026 Notes will mature on March 1, 2026, and the 2028 Notes will mature on March 1, 2028, in each case, unless earlier converted, redeemed or repurchased.</w:t>
      </w:r>
    </w:p>
    <w:p>
      <w:pPr>
        <w:spacing w:after="0" w:line="164" w:lineRule="exact"/>
        <w:rPr>
          <w:sz w:val="20"/>
          <w:szCs w:val="20"/>
          <w:color w:val="auto"/>
        </w:rPr>
      </w:pPr>
    </w:p>
    <w:p>
      <w:pPr>
        <w:ind w:firstLine="430"/>
        <w:spacing w:after="0" w:line="262" w:lineRule="auto"/>
        <w:rPr>
          <w:sz w:val="20"/>
          <w:szCs w:val="20"/>
          <w:color w:val="auto"/>
        </w:rPr>
      </w:pPr>
      <w:r>
        <w:rPr>
          <w:rFonts w:ascii="Arial" w:cs="Arial" w:eastAsia="Arial" w:hAnsi="Arial"/>
          <w:sz w:val="17"/>
          <w:szCs w:val="17"/>
          <w:color w:val="auto"/>
        </w:rPr>
        <w:t>The initial conversion rate for the 2026 Notes is 26.1458 shares of the Company’s Class A common stock per $1,000 principal amount of such Note, which is equivalent to an initial conversion price of approximately $38.25 per share. The initial conversion rate for the 2028 Notes is 28.2889 shares of Class A common stock per $1,000 principal amount of such Notes, which is equivalent to an initial conversion price of approximately $35.35 per share. The conversion rate for each series of Notes will be subject to adjustment upon the occurrence of certain specified events but will not be adjusted for accrued and unpaid special interest. In addition, upon the occurrence of a make-whole fundamental change (as defined in the relevant indentures governing the Notes) or a notice of redemption, the Company will, in certain circumstances, increase the conversion</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rate of the relevant series of Notes by a number of additional shares for a holder that elects to convert all or a portion of its Notes of such series in connection with such make-whole fundamental change or who elects to convert such Notes that are subject to such notice of redemption. The conversion rate for the 2026 Notes and the 2028 Notes shall not exceed 43.1406 shares per $1,000 principal amount of such Notes, subject to certain customary anti-dilution adjustments (as defined in the relevant indentures governing the Notes). There have been no changes to the initial conversion price of the Notes since issuance as of June 30, 2022.</w:t>
      </w:r>
    </w:p>
    <w:p>
      <w:pPr>
        <w:spacing w:after="0" w:line="207" w:lineRule="exact"/>
        <w:rPr>
          <w:sz w:val="20"/>
          <w:szCs w:val="20"/>
          <w:color w:val="auto"/>
        </w:rPr>
      </w:pPr>
    </w:p>
    <w:p>
      <w:pPr>
        <w:ind w:right="180" w:firstLine="430"/>
        <w:spacing w:after="0" w:line="263" w:lineRule="auto"/>
        <w:rPr>
          <w:sz w:val="20"/>
          <w:szCs w:val="20"/>
          <w:color w:val="auto"/>
        </w:rPr>
      </w:pPr>
      <w:r>
        <w:rPr>
          <w:rFonts w:ascii="Arial" w:cs="Arial" w:eastAsia="Arial" w:hAnsi="Arial"/>
          <w:sz w:val="17"/>
          <w:szCs w:val="17"/>
          <w:color w:val="auto"/>
        </w:rPr>
        <w:t>Upon conversion, the principal portion of the Notes of the applicable series being converted will be settled in cash, and any amount in excess of the principal portion of such Notes will be settled in cash or shares of the Company’s Class A common stock or any combination thereof at the Company’s option. The if-converted value of the 2026 Notes and the 2028 Notes was below the principal value of the respective Notes as of June 30, 2022. In addition, during the three and six months ended June 30, 2022 and 2021 the conditions allowing holders of the Notes to convert were not met. As a result, the Notes were not convertible during the three and six months ended June 30, 2022 and 2021.</w:t>
      </w:r>
    </w:p>
    <w:p>
      <w:pPr>
        <w:spacing w:after="0" w:line="207" w:lineRule="exact"/>
        <w:rPr>
          <w:sz w:val="20"/>
          <w:szCs w:val="20"/>
          <w:color w:val="auto"/>
        </w:rPr>
      </w:pPr>
    </w:p>
    <w:p>
      <w:pPr>
        <w:ind w:right="100" w:firstLine="430"/>
        <w:spacing w:after="0" w:line="277" w:lineRule="auto"/>
        <w:rPr>
          <w:sz w:val="20"/>
          <w:szCs w:val="20"/>
          <w:color w:val="auto"/>
        </w:rPr>
      </w:pPr>
      <w:r>
        <w:rPr>
          <w:rFonts w:ascii="Arial" w:cs="Arial" w:eastAsia="Arial" w:hAnsi="Arial"/>
          <w:sz w:val="16"/>
          <w:szCs w:val="16"/>
          <w:color w:val="auto"/>
        </w:rPr>
        <w:t>Prior to the close of business on the business day immediately preceding December 1, 2025, in the case of the 2026 Notes, and prior to the close of business on the business day immediately preceding December 1, 2027, in the case of the 2028 Notes, the Notes of the applicable series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relevant series of Notes on each applicable trading day; (2) during the five business day period after any five consecutive trading day period in which, for each trading day of that period, the trading price per $1,000 principal amount of 2026 Notes or 2028 Notes, as applicable, for such trading day was less than 98% of the product of the last reported sale price of the Class A common stock and the conversion rate for such series of Notes on each such trading day; (3) if the Company calls any or all of the Notes for redemption, such Notes of the applicable series called for redemption may be converted at any time prior to the close of business on the second scheduled trading day immediately preceding the redemption date; or (4) upon the occurrence of specified corporate transactions.</w:t>
      </w:r>
    </w:p>
    <w:p>
      <w:pPr>
        <w:spacing w:after="0" w:line="197" w:lineRule="exact"/>
        <w:rPr>
          <w:sz w:val="20"/>
          <w:szCs w:val="20"/>
          <w:color w:val="auto"/>
        </w:rPr>
      </w:pPr>
    </w:p>
    <w:p>
      <w:pPr>
        <w:ind w:firstLine="430"/>
        <w:spacing w:after="0" w:line="271" w:lineRule="auto"/>
        <w:rPr>
          <w:sz w:val="20"/>
          <w:szCs w:val="20"/>
          <w:color w:val="auto"/>
        </w:rPr>
      </w:pPr>
      <w:r>
        <w:rPr>
          <w:rFonts w:ascii="Arial" w:cs="Arial" w:eastAsia="Arial" w:hAnsi="Arial"/>
          <w:sz w:val="17"/>
          <w:szCs w:val="17"/>
          <w:color w:val="auto"/>
        </w:rPr>
        <w:t>On or after December 1, 2025, in the case of the 2026 Notes, and on or after December 1, 2027, in the case of the 2028 Notes, until the close of business on the second scheduled trading day immediately preceding the relevant maturity date, holders of the relevant series of Notes may convert all or a portion of their Notes of such series regardless of the foregoing conditions.</w:t>
      </w:r>
    </w:p>
    <w:p>
      <w:pPr>
        <w:spacing w:after="0" w:line="198" w:lineRule="exact"/>
        <w:rPr>
          <w:sz w:val="20"/>
          <w:szCs w:val="20"/>
          <w:color w:val="auto"/>
        </w:rPr>
      </w:pPr>
    </w:p>
    <w:p>
      <w:pPr>
        <w:ind w:right="40" w:firstLine="430"/>
        <w:spacing w:after="0" w:line="262" w:lineRule="auto"/>
        <w:rPr>
          <w:sz w:val="20"/>
          <w:szCs w:val="20"/>
          <w:color w:val="auto"/>
        </w:rPr>
      </w:pPr>
      <w:r>
        <w:rPr>
          <w:rFonts w:ascii="Arial" w:cs="Arial" w:eastAsia="Arial" w:hAnsi="Arial"/>
          <w:sz w:val="17"/>
          <w:szCs w:val="17"/>
          <w:color w:val="auto"/>
        </w:rPr>
        <w:t>The Company may redeem for cash all or any part of the Notes, at its option, on or after March 6, 2024, in the case of the 2026 Notes, and on or after March 6, 2025, in the case of the 2028 Notes, if the last reported sale price of its Class A common stock has been at least 130% of the conversion price for the relevant series of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series of Notes to be redeemed, plus any accrued and unpaid special interest to, but excluding, the redemption date. No sinking fund is provided for the Notes.</w:t>
      </w:r>
    </w:p>
    <w:p>
      <w:pPr>
        <w:spacing w:after="0" w:line="206" w:lineRule="exact"/>
        <w:rPr>
          <w:sz w:val="20"/>
          <w:szCs w:val="20"/>
          <w:color w:val="auto"/>
        </w:rPr>
      </w:pPr>
    </w:p>
    <w:p>
      <w:pPr>
        <w:ind w:right="40" w:firstLine="430"/>
        <w:spacing w:after="0" w:line="288" w:lineRule="auto"/>
        <w:rPr>
          <w:sz w:val="20"/>
          <w:szCs w:val="20"/>
          <w:color w:val="auto"/>
        </w:rPr>
      </w:pPr>
      <w:r>
        <w:rPr>
          <w:rFonts w:ascii="Arial" w:cs="Arial" w:eastAsia="Arial" w:hAnsi="Arial"/>
          <w:sz w:val="16"/>
          <w:szCs w:val="16"/>
          <w:color w:val="auto"/>
        </w:rPr>
        <w:t>Upon the occurrence of a fundamental change (as defined in the relevant indentures governing the Notes) prior to the relevant maturity date, holders of the relevant series of Notes may require the Company to repurchase all or a portion of the Notes of such series for cash at a price equal to 100% of the principal amount of the series of Notes to be repurchased, plus any accrued and unpaid special interest to, but excluding, the fundamental change repurchase date. Additionally, and upon events of default (as defined in the relevant indentures governing the Notes), the maturity of the Notes may be accelerated.</w:t>
      </w:r>
    </w:p>
    <w:p>
      <w:pPr>
        <w:spacing w:after="0" w:line="186" w:lineRule="exact"/>
        <w:rPr>
          <w:sz w:val="20"/>
          <w:szCs w:val="20"/>
          <w:color w:val="auto"/>
        </w:rPr>
      </w:pPr>
    </w:p>
    <w:p>
      <w:pPr>
        <w:ind w:right="40" w:firstLine="430"/>
        <w:spacing w:after="0" w:line="312" w:lineRule="auto"/>
        <w:rPr>
          <w:sz w:val="20"/>
          <w:szCs w:val="20"/>
          <w:color w:val="auto"/>
        </w:rPr>
      </w:pPr>
      <w:r>
        <w:rPr>
          <w:rFonts w:ascii="Arial" w:cs="Arial" w:eastAsia="Arial" w:hAnsi="Arial"/>
          <w:sz w:val="15"/>
          <w:szCs w:val="15"/>
          <w:color w:val="auto"/>
        </w:rPr>
        <w:t>The Notes are the Company’s general unsecured obligations and will rank senior in right of payment to any existing and future indebtedness that is contractually subordinated to the Notes; rank equal in right of payment with the Company’s existing and future senior unsecured indebtedness that is not so subordinated; effectively rank junior in right of payment to any of the Company’s existing and future secured indebtedness to the extent of the value of the assets securing such indebtedness; and be structurally subordinated to all indebtedness and other liabilities (including trade payables) of subsidiaries of the Company.</w:t>
      </w:r>
    </w:p>
    <w:p>
      <w:pPr>
        <w:spacing w:after="0" w:line="172" w:lineRule="exact"/>
        <w:rPr>
          <w:sz w:val="20"/>
          <w:szCs w:val="20"/>
          <w:color w:val="auto"/>
        </w:rPr>
      </w:pPr>
    </w:p>
    <w:p>
      <w:pPr>
        <w:jc w:val="both"/>
        <w:ind w:right="300" w:firstLine="430"/>
        <w:spacing w:after="0" w:line="271" w:lineRule="auto"/>
        <w:rPr>
          <w:sz w:val="20"/>
          <w:szCs w:val="20"/>
          <w:color w:val="auto"/>
        </w:rPr>
      </w:pPr>
      <w:r>
        <w:rPr>
          <w:rFonts w:ascii="Arial" w:cs="Arial" w:eastAsia="Arial" w:hAnsi="Arial"/>
          <w:sz w:val="17"/>
          <w:szCs w:val="17"/>
          <w:color w:val="auto"/>
        </w:rPr>
        <w:t>In accounting for the Notes, issuance costs of $11.0 million and $11.0 million for the 2026 Notes and the 2028 Notes were deducted from the carrying value of the Notes in the consolidated balance sheet. Issuance costs will be recognized as interest expense over the five-year term and seven-year term for the 2026 Notes and the 2028 Notes, respectively.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summary of the Company’s convertible senior notes as of June 30, 2022 and December 31, 2021.</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2026 Notes</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2028 Notes</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3"/>
              <w:spacing w:after="0"/>
              <w:rPr>
                <w:sz w:val="20"/>
                <w:szCs w:val="20"/>
                <w:color w:val="auto"/>
              </w:rPr>
            </w:pPr>
            <w:r>
              <w:rPr>
                <w:rFonts w:ascii="Arial" w:cs="Arial" w:eastAsia="Arial" w:hAnsi="Arial"/>
                <w:sz w:val="17"/>
                <w:szCs w:val="17"/>
                <w:b w:val="1"/>
                <w:bCs w:val="1"/>
                <w:color w:val="auto"/>
              </w:rPr>
              <w:t>Total</w:t>
            </w:r>
          </w:p>
        </w:tc>
      </w:tr>
      <w:tr>
        <w:trPr>
          <w:trHeight w:val="202"/>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June 30, 2022</w:t>
            </w:r>
          </w:p>
        </w:tc>
        <w:tc>
          <w:tcPr>
            <w:tcW w:w="1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2"/>
        </w:trPr>
        <w:tc>
          <w:tcPr>
            <w:tcW w:w="4940" w:type="dxa"/>
            <w:vAlign w:val="bottom"/>
          </w:tcPr>
          <w:p>
            <w:pPr>
              <w:ind w:left="20"/>
              <w:spacing w:after="0"/>
              <w:rPr>
                <w:sz w:val="20"/>
                <w:szCs w:val="20"/>
                <w:color w:val="auto"/>
              </w:rPr>
            </w:pPr>
            <w:r>
              <w:rPr>
                <w:rFonts w:ascii="Arial" w:cs="Arial" w:eastAsia="Arial" w:hAnsi="Arial"/>
                <w:sz w:val="17"/>
                <w:szCs w:val="17"/>
                <w:color w:val="auto"/>
              </w:rPr>
              <w:t>Principal balance</w:t>
            </w:r>
          </w:p>
        </w:tc>
        <w:tc>
          <w:tcPr>
            <w:tcW w:w="1500" w:type="dxa"/>
            <w:vAlign w:val="bottom"/>
          </w:tcPr>
          <w:p>
            <w:pPr>
              <w:jc w:val="right"/>
              <w:ind w:right="1293"/>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695.8</w:t>
            </w:r>
          </w:p>
        </w:tc>
        <w:tc>
          <w:tcPr>
            <w:tcW w:w="100" w:type="dxa"/>
            <w:vAlign w:val="bottom"/>
          </w:tcPr>
          <w:p>
            <w:pPr>
              <w:spacing w:after="0"/>
              <w:rPr>
                <w:sz w:val="19"/>
                <w:szCs w:val="19"/>
                <w:color w:val="auto"/>
              </w:rPr>
            </w:pPr>
          </w:p>
        </w:tc>
        <w:tc>
          <w:tcPr>
            <w:tcW w:w="1500" w:type="dxa"/>
            <w:vAlign w:val="bottom"/>
          </w:tcPr>
          <w:p>
            <w:pPr>
              <w:jc w:val="right"/>
              <w:ind w:right="1313"/>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693.3</w:t>
            </w:r>
          </w:p>
        </w:tc>
        <w:tc>
          <w:tcPr>
            <w:tcW w:w="80" w:type="dxa"/>
            <w:vAlign w:val="bottom"/>
          </w:tcPr>
          <w:p>
            <w:pPr>
              <w:spacing w:after="0"/>
              <w:rPr>
                <w:sz w:val="19"/>
                <w:szCs w:val="19"/>
                <w:color w:val="auto"/>
              </w:rPr>
            </w:pPr>
          </w:p>
        </w:tc>
        <w:tc>
          <w:tcPr>
            <w:tcW w:w="48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1,389.1</w:t>
            </w:r>
          </w:p>
        </w:tc>
      </w:tr>
      <w:tr>
        <w:trPr>
          <w:trHeight w:val="222"/>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Unamortized issuance costs</w:t>
            </w:r>
          </w:p>
        </w:tc>
        <w:tc>
          <w:tcPr>
            <w:tcW w:w="15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w:t>
            </w:r>
          </w:p>
        </w:tc>
      </w:tr>
      <w:tr>
        <w:trPr>
          <w:trHeight w:val="215"/>
        </w:trPr>
        <w:tc>
          <w:tcPr>
            <w:tcW w:w="4940" w:type="dxa"/>
            <w:vAlign w:val="bottom"/>
          </w:tcPr>
          <w:p>
            <w:pPr>
              <w:ind w:left="20"/>
              <w:spacing w:after="0"/>
              <w:rPr>
                <w:sz w:val="20"/>
                <w:szCs w:val="20"/>
                <w:color w:val="auto"/>
              </w:rPr>
            </w:pPr>
            <w:r>
              <w:rPr>
                <w:rFonts w:ascii="Arial" w:cs="Arial" w:eastAsia="Arial" w:hAnsi="Arial"/>
                <w:sz w:val="17"/>
                <w:szCs w:val="17"/>
                <w:color w:val="auto"/>
              </w:rPr>
              <w:t>Carrying value, net</w:t>
            </w:r>
          </w:p>
        </w:tc>
        <w:tc>
          <w:tcPr>
            <w:tcW w:w="1500" w:type="dxa"/>
            <w:vAlign w:val="bottom"/>
            <w:tcBorders>
              <w:bottom w:val="single" w:sz="8" w:color="auto"/>
            </w:tcBorders>
          </w:tcPr>
          <w:p>
            <w:pPr>
              <w:jc w:val="right"/>
              <w:ind w:right="1293"/>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687.7</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ind w:right="131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684.5</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1,372.2</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7"/>
        </w:trPr>
        <w:tc>
          <w:tcPr>
            <w:tcW w:w="49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2"/>
        </w:trPr>
        <w:tc>
          <w:tcPr>
            <w:tcW w:w="4940" w:type="dxa"/>
            <w:vAlign w:val="bottom"/>
          </w:tcPr>
          <w:p>
            <w:pPr>
              <w:ind w:left="20"/>
              <w:spacing w:after="0"/>
              <w:rPr>
                <w:sz w:val="20"/>
                <w:szCs w:val="20"/>
                <w:color w:val="auto"/>
              </w:rPr>
            </w:pPr>
            <w:r>
              <w:rPr>
                <w:rFonts w:ascii="Arial" w:cs="Arial" w:eastAsia="Arial" w:hAnsi="Arial"/>
                <w:sz w:val="17"/>
                <w:szCs w:val="17"/>
                <w:b w:val="1"/>
                <w:bCs w:val="1"/>
                <w:color w:val="auto"/>
              </w:rPr>
              <w:t>December 31, 2021</w:t>
            </w: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2"/>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Principal balance</w:t>
            </w:r>
          </w:p>
        </w:tc>
        <w:tc>
          <w:tcPr>
            <w:tcW w:w="150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1,389.1</w:t>
            </w:r>
          </w:p>
        </w:tc>
      </w:tr>
      <w:tr>
        <w:trPr>
          <w:trHeight w:val="222"/>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Unamortized issuance costs</w:t>
            </w:r>
          </w:p>
        </w:tc>
        <w:tc>
          <w:tcPr>
            <w:tcW w:w="1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w:t>
            </w:r>
          </w:p>
        </w:tc>
      </w:tr>
      <w:tr>
        <w:trPr>
          <w:trHeight w:val="24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Carrying value, net</w:t>
            </w:r>
          </w:p>
        </w:tc>
        <w:tc>
          <w:tcPr>
            <w:tcW w:w="1500" w:type="dxa"/>
            <w:vAlign w:val="bottom"/>
            <w:tcBorders>
              <w:bottom w:val="single" w:sz="8" w:color="auto"/>
            </w:tcBorders>
            <w:shd w:val="clear" w:color="auto" w:fill="CCEEFF"/>
          </w:tcPr>
          <w:p>
            <w:pPr>
              <w:jc w:val="right"/>
              <w:ind w:right="1293"/>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686.7</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31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683.6</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1,370.3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120" w:firstLine="626"/>
        <w:spacing w:after="0" w:line="284" w:lineRule="auto"/>
        <w:rPr>
          <w:sz w:val="20"/>
          <w:szCs w:val="20"/>
          <w:color w:val="auto"/>
        </w:rPr>
      </w:pPr>
      <w:r>
        <w:rPr>
          <w:rFonts w:ascii="Arial" w:cs="Arial" w:eastAsia="Arial" w:hAnsi="Arial"/>
          <w:sz w:val="16"/>
          <w:szCs w:val="16"/>
          <w:color w:val="auto"/>
        </w:rPr>
        <w:t>During the three months ended June 30, 2022 and 2021, the Company recognized $0.5 million and $0.6 million in interest expense for the 2026 Notes and $0.5 million and $0.3 million in interest expense for the 2028 Notes, respectively, with such interest expense solely consisting of amortization of issuance costs. During the six months ended June 30, 2022 and 2021, the Company recognized $1.0 million and $0.9 million in interest expense for the 2026 Notes and $0.9 million and $0.5 million in interest expense for the 2028 Notes, respectively, with such interest expense solely consisting of amortization of issuance costs. The effective interest rate for the 2026 Notes and the 2028 Notes was 0.32% and 0.22%, respectively, as of June 30,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00" w:type="dxa"/>
            <w:vAlign w:val="bottom"/>
          </w:tcPr>
          <w:p>
            <w:pPr>
              <w:ind w:left="440"/>
              <w:spacing w:after="0"/>
              <w:rPr>
                <w:sz w:val="20"/>
                <w:szCs w:val="20"/>
                <w:color w:val="auto"/>
              </w:rPr>
            </w:pPr>
            <w:r>
              <w:rPr>
                <w:rFonts w:ascii="Arial" w:cs="Arial" w:eastAsia="Arial" w:hAnsi="Arial"/>
                <w:sz w:val="17"/>
                <w:szCs w:val="17"/>
                <w:color w:val="auto"/>
              </w:rPr>
              <w:t>Maturities on the Company's long-term convertible debt are as follows:</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83"/>
        </w:trPr>
        <w:tc>
          <w:tcPr>
            <w:tcW w:w="9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Convertible Debt</w:t>
            </w:r>
          </w:p>
        </w:tc>
      </w:tr>
      <w:tr>
        <w:trPr>
          <w:trHeight w:val="215"/>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July 1, 2022 through December 31, 2022</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9200" w:type="dxa"/>
            <w:vAlign w:val="bottom"/>
          </w:tcPr>
          <w:p>
            <w:pPr>
              <w:ind w:left="20"/>
              <w:spacing w:after="0"/>
              <w:rPr>
                <w:sz w:val="20"/>
                <w:szCs w:val="20"/>
                <w:color w:val="auto"/>
              </w:rPr>
            </w:pPr>
            <w:r>
              <w:rPr>
                <w:rFonts w:ascii="Arial" w:cs="Arial" w:eastAsia="Arial" w:hAnsi="Arial"/>
                <w:sz w:val="17"/>
                <w:szCs w:val="17"/>
                <w:color w:val="auto"/>
              </w:rPr>
              <w:t>2023</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9200" w:type="dxa"/>
            <w:vAlign w:val="bottom"/>
          </w:tcPr>
          <w:p>
            <w:pPr>
              <w:ind w:left="20"/>
              <w:spacing w:after="0"/>
              <w:rPr>
                <w:sz w:val="20"/>
                <w:szCs w:val="20"/>
                <w:color w:val="auto"/>
              </w:rPr>
            </w:pPr>
            <w:r>
              <w:rPr>
                <w:rFonts w:ascii="Arial" w:cs="Arial" w:eastAsia="Arial" w:hAnsi="Arial"/>
                <w:sz w:val="17"/>
                <w:szCs w:val="17"/>
                <w:color w:val="auto"/>
              </w:rPr>
              <w:t>2025</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695.8</w:t>
            </w:r>
          </w:p>
        </w:tc>
      </w:tr>
      <w:tr>
        <w:trPr>
          <w:trHeight w:val="222"/>
        </w:trPr>
        <w:tc>
          <w:tcPr>
            <w:tcW w:w="9200" w:type="dxa"/>
            <w:vAlign w:val="bottom"/>
          </w:tcPr>
          <w:p>
            <w:pPr>
              <w:ind w:left="20"/>
              <w:spacing w:after="0"/>
              <w:rPr>
                <w:sz w:val="20"/>
                <w:szCs w:val="20"/>
                <w:color w:val="auto"/>
              </w:rPr>
            </w:pPr>
            <w:r>
              <w:rPr>
                <w:rFonts w:ascii="Arial" w:cs="Arial" w:eastAsia="Arial" w:hAnsi="Arial"/>
                <w:sz w:val="17"/>
                <w:szCs w:val="17"/>
                <w:color w:val="auto"/>
              </w:rPr>
              <w:t>2027</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693.3</w:t>
            </w:r>
          </w:p>
        </w:tc>
      </w:tr>
      <w:tr>
        <w:trPr>
          <w:trHeight w:val="215"/>
        </w:trPr>
        <w:tc>
          <w:tcPr>
            <w:tcW w:w="9200" w:type="dxa"/>
            <w:vAlign w:val="bottom"/>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1,389.1</w:t>
            </w:r>
          </w:p>
        </w:tc>
      </w:tr>
    </w:tbl>
    <w:p>
      <w:pPr>
        <w:spacing w:after="0" w:line="30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Convertible Note Hedges and Warrants</w:t>
      </w:r>
    </w:p>
    <w:p>
      <w:pPr>
        <w:spacing w:after="0" w:line="248" w:lineRule="exact"/>
        <w:rPr>
          <w:sz w:val="20"/>
          <w:szCs w:val="20"/>
          <w:color w:val="auto"/>
        </w:rPr>
      </w:pPr>
    </w:p>
    <w:p>
      <w:pPr>
        <w:ind w:right="20" w:firstLine="430"/>
        <w:spacing w:after="0" w:line="312" w:lineRule="auto"/>
        <w:rPr>
          <w:sz w:val="20"/>
          <w:szCs w:val="20"/>
          <w:color w:val="auto"/>
        </w:rPr>
      </w:pPr>
      <w:r>
        <w:rPr>
          <w:rFonts w:ascii="Arial" w:cs="Arial" w:eastAsia="Arial" w:hAnsi="Arial"/>
          <w:sz w:val="15"/>
          <w:szCs w:val="15"/>
          <w:color w:val="auto"/>
        </w:rPr>
        <w:t>Concurrent with the offering of the Notes, the Company entered into convertible note hedge transactions with certain counterparties whereby the Company had the option to purchase a total of approximately 18.2 million shares for note hedges expiring in March 2026 (the “2026 Note Hedges”) and 19.6 million shares for note hedges expiring in March 2028 (the “2028 Note Hedges”, together with the 2026 Note Hedges, the “Note Hedges”), respectively, of its common stock at a price of approximately $38.25 and $35.35 per share, respectively. The aggregate cost of the convertible note hedge transactions was $265.3 million.</w:t>
      </w:r>
    </w:p>
    <w:p>
      <w:pPr>
        <w:spacing w:after="0" w:line="172" w:lineRule="exact"/>
        <w:rPr>
          <w:sz w:val="20"/>
          <w:szCs w:val="20"/>
          <w:color w:val="auto"/>
        </w:rPr>
      </w:pPr>
    </w:p>
    <w:p>
      <w:pPr>
        <w:ind w:right="40" w:firstLine="430"/>
        <w:spacing w:after="0" w:line="263" w:lineRule="auto"/>
        <w:rPr>
          <w:sz w:val="20"/>
          <w:szCs w:val="20"/>
          <w:color w:val="auto"/>
        </w:rPr>
      </w:pPr>
      <w:r>
        <w:rPr>
          <w:rFonts w:ascii="Arial" w:cs="Arial" w:eastAsia="Arial" w:hAnsi="Arial"/>
          <w:sz w:val="17"/>
          <w:szCs w:val="17"/>
          <w:color w:val="auto"/>
        </w:rPr>
        <w:t>The Note Hedges, or a portion thereof, are exercisable upon conversion of the Notes and the satisfaction of certain conditions set forth in the Note Hedges. Additionally, the Note Hedges may be terminated and early settled upon the occurrence of certain events, including certain merger events, events of default, and upon a fundamental change (as defined in the relevant indentures for the Notes). The Note Hedges are settleable in cash, shares or a combination of cash and shares, at the option of the Company, and the settlement alternative will be the same as the settlement alternative of the conversion spread for the respective Notes.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firstLine="430"/>
        <w:spacing w:after="0" w:line="263" w:lineRule="auto"/>
        <w:rPr>
          <w:sz w:val="20"/>
          <w:szCs w:val="20"/>
          <w:color w:val="auto"/>
        </w:rPr>
      </w:pPr>
      <w:r>
        <w:rPr>
          <w:rFonts w:ascii="Arial" w:cs="Arial" w:eastAsia="Arial" w:hAnsi="Arial"/>
          <w:sz w:val="17"/>
          <w:szCs w:val="17"/>
          <w:color w:val="auto"/>
        </w:rPr>
        <w:t>The convertible note hedge transactions are expected generally to reduce the potential dilution to the Class A common stock upon conversion of the relevant series of Notes and/or offset any cash payments the Company is required to make in excess of the principal amount of such converted Notes, as the case may be, in the event that the market price per share of the Class A common stock, as measured under the terms of the convertible note hedge transactions, is greater than the applicable strike price of those convertible note hedge transactions. As of June 30, 2022, the Company’s stock price was below the exercise price of the respective Note Hedges.</w:t>
      </w:r>
    </w:p>
    <w:p>
      <w:pPr>
        <w:spacing w:after="0" w:line="207" w:lineRule="exact"/>
        <w:rPr>
          <w:sz w:val="20"/>
          <w:szCs w:val="20"/>
          <w:color w:val="auto"/>
        </w:rPr>
      </w:pPr>
    </w:p>
    <w:p>
      <w:pPr>
        <w:ind w:right="180" w:firstLine="430"/>
        <w:spacing w:after="0" w:line="288" w:lineRule="auto"/>
        <w:rPr>
          <w:sz w:val="20"/>
          <w:szCs w:val="20"/>
          <w:color w:val="auto"/>
        </w:rPr>
      </w:pPr>
      <w:r>
        <w:rPr>
          <w:rFonts w:ascii="Arial" w:cs="Arial" w:eastAsia="Arial" w:hAnsi="Arial"/>
          <w:sz w:val="16"/>
          <w:szCs w:val="16"/>
          <w:color w:val="auto"/>
        </w:rPr>
        <w:t>In addition, the Company sold warrants to certain counterparties whereby the holders of the warrants had the option to purchase a total of approximately 18.1 million shares underlying warrants expiring in 2026 (the “2026 Warrants”) and 20.1 million shares underlying warrants expiring in 2028 (the “2028 Warrants”, together with the 2026 Warrants, the “Warrants”), respectively, of the Company’s Class A common stock at an initial strike price of $46.36 and $46.36 per share, respectively. The Company received aggregate cash proceeds of $202.9 million from the sale of these Warrants.</w:t>
      </w:r>
    </w:p>
    <w:p>
      <w:pPr>
        <w:spacing w:after="0" w:line="186" w:lineRule="exact"/>
        <w:rPr>
          <w:sz w:val="20"/>
          <w:szCs w:val="20"/>
          <w:color w:val="auto"/>
        </w:rPr>
      </w:pPr>
    </w:p>
    <w:p>
      <w:pPr>
        <w:ind w:firstLine="430"/>
        <w:spacing w:after="0" w:line="262" w:lineRule="auto"/>
        <w:rPr>
          <w:sz w:val="20"/>
          <w:szCs w:val="20"/>
          <w:color w:val="auto"/>
        </w:rPr>
      </w:pPr>
      <w:r>
        <w:rPr>
          <w:rFonts w:ascii="Arial" w:cs="Arial" w:eastAsia="Arial" w:hAnsi="Arial"/>
          <w:sz w:val="17"/>
          <w:szCs w:val="17"/>
          <w:color w:val="auto"/>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first expiration date applicable to the 2026 Warrants and to the 2028 Warrants is June 1, 2026, and June 1, 2028, respectively, and the final expiration date applicable to the 2026 Warrants and 2028 Warrants is August 10, 2026 and August 10, 2028, respectively. As of June 30, 2022, the Company’s Class A common stock price was below the exercise price of the Warrants.</w:t>
      </w:r>
    </w:p>
    <w:p>
      <w:pPr>
        <w:spacing w:after="0" w:line="206" w:lineRule="exact"/>
        <w:rPr>
          <w:sz w:val="20"/>
          <w:szCs w:val="20"/>
          <w:color w:val="auto"/>
        </w:rPr>
      </w:pPr>
    </w:p>
    <w:p>
      <w:pPr>
        <w:ind w:firstLine="430"/>
        <w:spacing w:after="0" w:line="271" w:lineRule="auto"/>
        <w:rPr>
          <w:sz w:val="20"/>
          <w:szCs w:val="20"/>
          <w:color w:val="auto"/>
        </w:rPr>
      </w:pPr>
      <w:r>
        <w:rPr>
          <w:rFonts w:ascii="Arial" w:cs="Arial" w:eastAsia="Arial" w:hAnsi="Arial"/>
          <w:sz w:val="17"/>
          <w:szCs w:val="17"/>
          <w:color w:val="auto"/>
        </w:rPr>
        <w:t>Taken together, the purchase of the Note Hedges and the sale of the Warrants are intended to reduce potential dilution from the conversion of the 2026 Notes and the 2028 Notes, and to effectively increase the overall conversion price from $38.25 per share to $46.36 per share and from $35.35 per share to $46.36 for the 2026 Notes and the 2028 Notes, respectively.</w:t>
      </w:r>
    </w:p>
    <w:p>
      <w:pPr>
        <w:spacing w:after="0" w:line="198" w:lineRule="exact"/>
        <w:rPr>
          <w:sz w:val="20"/>
          <w:szCs w:val="20"/>
          <w:color w:val="auto"/>
        </w:rPr>
      </w:pPr>
    </w:p>
    <w:p>
      <w:pPr>
        <w:ind w:right="40" w:firstLine="430"/>
        <w:spacing w:after="0" w:line="288" w:lineRule="auto"/>
        <w:rPr>
          <w:sz w:val="20"/>
          <w:szCs w:val="20"/>
          <w:color w:val="auto"/>
        </w:rPr>
      </w:pPr>
      <w:r>
        <w:rPr>
          <w:rFonts w:ascii="Arial" w:cs="Arial" w:eastAsia="Arial" w:hAnsi="Arial"/>
          <w:sz w:val="16"/>
          <w:szCs w:val="16"/>
          <w:color w:val="auto"/>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and the premium received for the Warrants has been included as a net increase to additional paid-in capital within stockholders' deficit.</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Leases</w:t>
      </w:r>
    </w:p>
    <w:p>
      <w:pPr>
        <w:spacing w:after="0" w:line="254" w:lineRule="exact"/>
        <w:rPr>
          <w:sz w:val="20"/>
          <w:szCs w:val="20"/>
          <w:color w:val="auto"/>
        </w:rPr>
      </w:pPr>
    </w:p>
    <w:p>
      <w:pPr>
        <w:ind w:right="80" w:firstLine="391"/>
        <w:spacing w:after="0" w:line="287" w:lineRule="auto"/>
        <w:rPr>
          <w:sz w:val="20"/>
          <w:szCs w:val="20"/>
          <w:color w:val="auto"/>
        </w:rPr>
      </w:pPr>
      <w:r>
        <w:rPr>
          <w:rFonts w:ascii="Arial" w:cs="Arial" w:eastAsia="Arial" w:hAnsi="Arial"/>
          <w:sz w:val="17"/>
          <w:szCs w:val="17"/>
          <w:color w:val="auto"/>
        </w:rPr>
        <w:t>The Company has operating leases for corporate offices and datacenters, and finance leases for infrastructure and office equipment. The Company’s leases have remaining lease terms of 1 year to 14 years, some of which include options to extend the leases for up to 5 years.</w:t>
      </w:r>
    </w:p>
    <w:p>
      <w:pPr>
        <w:spacing w:after="0" w:line="184" w:lineRule="exact"/>
        <w:rPr>
          <w:sz w:val="20"/>
          <w:szCs w:val="20"/>
          <w:color w:val="auto"/>
        </w:rPr>
      </w:pPr>
    </w:p>
    <w:p>
      <w:pPr>
        <w:jc w:val="both"/>
        <w:ind w:right="40" w:firstLine="391"/>
        <w:spacing w:after="0" w:line="323" w:lineRule="auto"/>
        <w:rPr>
          <w:sz w:val="20"/>
          <w:szCs w:val="20"/>
          <w:color w:val="auto"/>
        </w:rPr>
      </w:pPr>
      <w:r>
        <w:rPr>
          <w:rFonts w:ascii="Arial" w:cs="Arial" w:eastAsia="Arial" w:hAnsi="Arial"/>
          <w:sz w:val="15"/>
          <w:szCs w:val="15"/>
          <w:color w:val="auto"/>
        </w:rPr>
        <w:t>The Company also has subleases for several floors of its former corporate offices. The Company classifies its subleases as operating leases. The subleases have remaining lease terms of 1 year to 10 years. Sublease income, which is recorded as a reduction of rental expense, was $4.9 million and $9.4 million during the three and six months ended June 30, 2022, respectively, and $4.0 million and $7.9 million during the three and six months ended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Future minimum lease payments under non-cancellable leases as of June 30, 2022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80" w:type="dxa"/>
            <w:vAlign w:val="bottom"/>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220" w:type="dxa"/>
            <w:vAlign w:val="bottom"/>
          </w:tcPr>
          <w:p>
            <w:pPr>
              <w:spacing w:after="0"/>
              <w:rPr>
                <w:sz w:val="21"/>
                <w:szCs w:val="21"/>
                <w:color w:val="auto"/>
              </w:rPr>
            </w:pPr>
          </w:p>
        </w:tc>
        <w:tc>
          <w:tcPr>
            <w:tcW w:w="1900" w:type="dxa"/>
            <w:vAlign w:val="bottom"/>
            <w:gridSpan w:val="2"/>
          </w:tcPr>
          <w:p>
            <w:pPr>
              <w:ind w:left="100"/>
              <w:spacing w:after="0"/>
              <w:rPr>
                <w:sz w:val="20"/>
                <w:szCs w:val="20"/>
                <w:color w:val="auto"/>
              </w:rPr>
            </w:pPr>
            <w:r>
              <w:rPr>
                <w:rFonts w:ascii="Arial" w:cs="Arial" w:eastAsia="Arial" w:hAnsi="Arial"/>
                <w:sz w:val="17"/>
                <w:szCs w:val="17"/>
                <w:b w:val="1"/>
                <w:bCs w:val="1"/>
                <w:color w:val="auto"/>
              </w:rPr>
              <w:t>Operating leases</w:t>
            </w:r>
            <w:r>
              <w:rPr>
                <w:rFonts w:ascii="Arial" w:cs="Arial" w:eastAsia="Arial" w:hAnsi="Arial"/>
                <w:sz w:val="22"/>
                <w:szCs w:val="22"/>
                <w:color w:val="auto"/>
                <w:vertAlign w:val="superscript"/>
              </w:rPr>
              <w:t>(1)</w:t>
            </w:r>
          </w:p>
        </w:tc>
        <w:tc>
          <w:tcPr>
            <w:tcW w:w="300" w:type="dxa"/>
            <w:vAlign w:val="bottom"/>
          </w:tcPr>
          <w:p>
            <w:pPr>
              <w:spacing w:after="0"/>
              <w:rPr>
                <w:sz w:val="21"/>
                <w:szCs w:val="21"/>
                <w:color w:val="auto"/>
              </w:rPr>
            </w:pPr>
          </w:p>
        </w:tc>
        <w:tc>
          <w:tcPr>
            <w:tcW w:w="1740" w:type="dxa"/>
            <w:vAlign w:val="bottom"/>
          </w:tcPr>
          <w:p>
            <w:pPr>
              <w:jc w:val="right"/>
              <w:ind w:right="393"/>
              <w:spacing w:after="0"/>
              <w:rPr>
                <w:sz w:val="20"/>
                <w:szCs w:val="20"/>
                <w:color w:val="auto"/>
              </w:rPr>
            </w:pPr>
            <w:r>
              <w:rPr>
                <w:rFonts w:ascii="Arial" w:cs="Arial" w:eastAsia="Arial" w:hAnsi="Arial"/>
                <w:sz w:val="17"/>
                <w:szCs w:val="17"/>
                <w:b w:val="1"/>
                <w:bCs w:val="1"/>
                <w:color w:val="auto"/>
              </w:rPr>
              <w:t>Finance leases</w:t>
            </w:r>
          </w:p>
        </w:tc>
      </w:tr>
      <w:tr>
        <w:trPr>
          <w:trHeight w:val="215"/>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 (excluding the six months ended June 30, 2022)</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64.6</w:t>
            </w: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2023</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94.0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102.3</w:t>
            </w: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w:t>
            </w: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2025</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82.7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29.5</w:t>
            </w: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22"/>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minimum lease payments</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267.2</w:t>
            </w: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Less imputed interest</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(169.4)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tenant improvement receivables</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7080" w:type="dxa"/>
            <w:vAlign w:val="bottom"/>
          </w:tcPr>
          <w:p>
            <w:pPr>
              <w:ind w:left="20"/>
              <w:spacing w:after="0"/>
              <w:rPr>
                <w:sz w:val="20"/>
                <w:szCs w:val="20"/>
                <w:color w:val="auto"/>
              </w:rPr>
            </w:pPr>
            <w:r>
              <w:rPr>
                <w:rFonts w:ascii="Arial" w:cs="Arial" w:eastAsia="Arial" w:hAnsi="Arial"/>
                <w:sz w:val="17"/>
                <w:szCs w:val="17"/>
                <w:color w:val="auto"/>
              </w:rPr>
              <w:t>Total liability</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257.9</w:t>
            </w: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right="280" w:firstLine="4"/>
        <w:spacing w:after="0" w:line="299" w:lineRule="auto"/>
        <w:tabs>
          <w:tab w:leader="none" w:pos="144"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Consists of future non-cancelable minimum rental payments under operating leases for the Company’s corporate offices and datacenters where the Company has possession, excluding rent payments from the Company’s sub-tenants and variable operating expenses.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00" w:type="dxa"/>
            <w:vAlign w:val="bottom"/>
          </w:tcPr>
          <w:p>
            <w:pPr>
              <w:ind w:left="400"/>
              <w:spacing w:after="0"/>
              <w:rPr>
                <w:sz w:val="20"/>
                <w:szCs w:val="20"/>
                <w:color w:val="auto"/>
              </w:rPr>
            </w:pPr>
            <w:r>
              <w:rPr>
                <w:rFonts w:ascii="Arial" w:cs="Arial" w:eastAsia="Arial" w:hAnsi="Arial"/>
                <w:sz w:val="17"/>
                <w:szCs w:val="17"/>
                <w:color w:val="auto"/>
              </w:rPr>
              <w:t>Future non-cancelable rent payments from the Company's subtenants as of June 30, 2022 were as follows:</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83"/>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w w:val="99"/>
              </w:rPr>
              <w:t>Operating leases</w:t>
            </w:r>
          </w:p>
        </w:tc>
      </w:tr>
      <w:tr>
        <w:trPr>
          <w:trHeight w:val="215"/>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 (excluding the six months ended June 30, 2022)</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22"/>
        </w:trPr>
        <w:tc>
          <w:tcPr>
            <w:tcW w:w="9200" w:type="dxa"/>
            <w:vAlign w:val="bottom"/>
          </w:tcPr>
          <w:p>
            <w:pPr>
              <w:ind w:left="20"/>
              <w:spacing w:after="0"/>
              <w:rPr>
                <w:sz w:val="20"/>
                <w:szCs w:val="20"/>
                <w:color w:val="auto"/>
              </w:rPr>
            </w:pPr>
            <w:r>
              <w:rPr>
                <w:rFonts w:ascii="Arial" w:cs="Arial" w:eastAsia="Arial" w:hAnsi="Arial"/>
                <w:sz w:val="17"/>
                <w:szCs w:val="17"/>
                <w:color w:val="auto"/>
              </w:rPr>
              <w:t>2023</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16.3</w:t>
            </w:r>
          </w:p>
        </w:tc>
      </w:tr>
      <w:tr>
        <w:trPr>
          <w:trHeight w:val="222"/>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r>
      <w:tr>
        <w:trPr>
          <w:trHeight w:val="222"/>
        </w:trPr>
        <w:tc>
          <w:tcPr>
            <w:tcW w:w="9200" w:type="dxa"/>
            <w:vAlign w:val="bottom"/>
          </w:tcPr>
          <w:p>
            <w:pPr>
              <w:ind w:left="20"/>
              <w:spacing w:after="0"/>
              <w:rPr>
                <w:sz w:val="20"/>
                <w:szCs w:val="20"/>
                <w:color w:val="auto"/>
              </w:rPr>
            </w:pPr>
            <w:r>
              <w:rPr>
                <w:rFonts w:ascii="Arial" w:cs="Arial" w:eastAsia="Arial" w:hAnsi="Arial"/>
                <w:sz w:val="17"/>
                <w:szCs w:val="17"/>
                <w:color w:val="auto"/>
              </w:rPr>
              <w:t>2025</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13.8</w:t>
            </w:r>
          </w:p>
        </w:tc>
      </w:tr>
      <w:tr>
        <w:trPr>
          <w:trHeight w:val="222"/>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r>
      <w:tr>
        <w:trPr>
          <w:trHeight w:val="222"/>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w:t>
            </w:r>
          </w:p>
        </w:tc>
      </w:tr>
      <w:tr>
        <w:trPr>
          <w:trHeight w:val="215"/>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sublease rent payments</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w:t>
            </w:r>
          </w:p>
        </w:tc>
      </w:tr>
      <w:tr>
        <w:trPr>
          <w:trHeight w:val="222"/>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sub-tenant incentive</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r>
      <w:tr>
        <w:trPr>
          <w:trHeight w:val="215"/>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sublease rent payments, net</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w:t>
            </w:r>
          </w:p>
        </w:tc>
      </w:tr>
    </w:tbl>
    <w:p>
      <w:pPr>
        <w:spacing w:after="0" w:line="301" w:lineRule="exact"/>
        <w:rPr>
          <w:sz w:val="20"/>
          <w:szCs w:val="20"/>
          <w:color w:val="auto"/>
        </w:rPr>
      </w:pPr>
    </w:p>
    <w:p>
      <w:pPr>
        <w:ind w:right="220" w:firstLine="391"/>
        <w:spacing w:after="0" w:line="296" w:lineRule="auto"/>
        <w:rPr>
          <w:sz w:val="20"/>
          <w:szCs w:val="20"/>
          <w:color w:val="auto"/>
        </w:rPr>
      </w:pPr>
      <w:r>
        <w:rPr>
          <w:rFonts w:ascii="Arial" w:cs="Arial" w:eastAsia="Arial" w:hAnsi="Arial"/>
          <w:sz w:val="16"/>
          <w:szCs w:val="16"/>
          <w:color w:val="auto"/>
        </w:rPr>
        <w:t>In 2017, the Company signed a 15 year lease agreement for office space in San Francisco, California, to serve as its corporate headquarters which commenced in 2018. The Company’s obligations under the lease are supported by a $26.1 million letter of credit, which reduced the borrowing capacity under the revolving credit facility. As of June 30, 2022, the Company's remaining minimum obligation for its headquarters was $580.0 million.</w:t>
      </w:r>
    </w:p>
    <w:p>
      <w:pPr>
        <w:spacing w:after="0" w:line="180" w:lineRule="exact"/>
        <w:rPr>
          <w:sz w:val="20"/>
          <w:szCs w:val="20"/>
          <w:color w:val="auto"/>
        </w:rPr>
      </w:pPr>
    </w:p>
    <w:p>
      <w:pPr>
        <w:ind w:right="20" w:firstLine="391"/>
        <w:spacing w:after="0" w:line="266" w:lineRule="auto"/>
        <w:rPr>
          <w:sz w:val="20"/>
          <w:szCs w:val="20"/>
          <w:color w:val="auto"/>
        </w:rPr>
      </w:pPr>
      <w:r>
        <w:rPr>
          <w:rFonts w:ascii="Arial" w:cs="Arial" w:eastAsia="Arial" w:hAnsi="Arial"/>
          <w:sz w:val="17"/>
          <w:szCs w:val="17"/>
          <w:color w:val="auto"/>
        </w:rPr>
        <w:t>In the fourth quarter of 2020, the Company announced a Virtual First work model pursuant to which remote work has become the primary experience for all of its employees. As part of the Virtual First strategy, Dropbox retained a portion of its office space to be used for the Company’s team collaboration use and a portion will be marketed for sublease. The Company evaluated certain of its right-of-use assets and other lease related assets including leasehold improvements, furniture and fixtures, and computer equipment for impairment under ASC 360.</w:t>
      </w:r>
    </w:p>
    <w:p>
      <w:pPr>
        <w:spacing w:after="0" w:line="203" w:lineRule="exact"/>
        <w:rPr>
          <w:sz w:val="20"/>
          <w:szCs w:val="20"/>
          <w:color w:val="auto"/>
        </w:rPr>
      </w:pPr>
    </w:p>
    <w:p>
      <w:pPr>
        <w:ind w:right="200" w:firstLine="391"/>
        <w:spacing w:after="0" w:line="271" w:lineRule="auto"/>
        <w:rPr>
          <w:sz w:val="20"/>
          <w:szCs w:val="20"/>
          <w:color w:val="auto"/>
        </w:rPr>
      </w:pPr>
      <w:r>
        <w:rPr>
          <w:rFonts w:ascii="Arial" w:cs="Arial" w:eastAsia="Arial" w:hAnsi="Arial"/>
          <w:sz w:val="17"/>
          <w:szCs w:val="17"/>
          <w:color w:val="auto"/>
        </w:rPr>
        <w:t>In connection with this analysis, the Company reassessed its real estate asset groups and estimated the fair value of the office space to be subleased using current market conditions. Where the carrying value of the individual asset groups exceeded their fair value, an impairment charge was recognized for the difference.</w:t>
      </w:r>
    </w:p>
    <w:p>
      <w:pPr>
        <w:spacing w:after="0" w:line="198" w:lineRule="exact"/>
        <w:rPr>
          <w:sz w:val="20"/>
          <w:szCs w:val="20"/>
          <w:color w:val="auto"/>
        </w:rPr>
      </w:pPr>
    </w:p>
    <w:p>
      <w:pPr>
        <w:ind w:right="20" w:firstLine="391"/>
        <w:spacing w:after="0" w:line="287" w:lineRule="auto"/>
        <w:rPr>
          <w:sz w:val="20"/>
          <w:szCs w:val="20"/>
          <w:color w:val="auto"/>
        </w:rPr>
      </w:pPr>
      <w:r>
        <w:rPr>
          <w:rFonts w:ascii="Arial" w:cs="Arial" w:eastAsia="Arial" w:hAnsi="Arial"/>
          <w:sz w:val="17"/>
          <w:szCs w:val="17"/>
          <w:color w:val="auto"/>
        </w:rPr>
        <w:t>During the second quarter of 2022, the company recorded total impairment of $8.7 million of other lease related assets. During the first quarter of 2021, the Company recorded total impairment of $17.3 million for right-of-use and other lease related assets.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As of June 30, 2022, the Company has a commitment of $21.8 million related to a sublease that has not yet commenced, with a sublease term of 11 years.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a $11.5 million commitment related to an operating lease that has not commenced, with a lease term of 6 years.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Commitments and Contingencies</w:t>
      </w:r>
    </w:p>
    <w:p>
      <w:pPr>
        <w:spacing w:after="0" w:line="25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Legal matters</w:t>
      </w:r>
    </w:p>
    <w:p>
      <w:pPr>
        <w:spacing w:after="0" w:line="117" w:lineRule="exact"/>
        <w:rPr>
          <w:sz w:val="20"/>
          <w:szCs w:val="20"/>
          <w:color w:val="auto"/>
        </w:rPr>
      </w:pPr>
    </w:p>
    <w:p>
      <w:pPr>
        <w:ind w:firstLine="391"/>
        <w:spacing w:after="0" w:line="262" w:lineRule="auto"/>
        <w:rPr>
          <w:sz w:val="20"/>
          <w:szCs w:val="20"/>
          <w:color w:val="auto"/>
        </w:rPr>
      </w:pPr>
      <w:r>
        <w:rPr>
          <w:rFonts w:ascii="Arial" w:cs="Arial" w:eastAsia="Arial" w:hAnsi="Arial"/>
          <w:sz w:val="17"/>
          <w:szCs w:val="17"/>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In its opinion, resolution of pending matters is not likely to have a material adverse impact on its condensed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206" w:lineRule="exact"/>
        <w:rPr>
          <w:sz w:val="20"/>
          <w:szCs w:val="20"/>
          <w:color w:val="auto"/>
        </w:rPr>
      </w:pPr>
    </w:p>
    <w:p>
      <w:pPr>
        <w:ind w:right="60" w:firstLine="391"/>
        <w:spacing w:after="0" w:line="266" w:lineRule="auto"/>
        <w:rPr>
          <w:sz w:val="20"/>
          <w:szCs w:val="20"/>
          <w:color w:val="auto"/>
        </w:rPr>
      </w:pPr>
      <w:r>
        <w:rPr>
          <w:rFonts w:ascii="Arial" w:cs="Arial" w:eastAsia="Arial" w:hAnsi="Arial"/>
          <w:sz w:val="17"/>
          <w:szCs w:val="17"/>
          <w:color w:val="auto"/>
        </w:rPr>
        <w:t>The Company is currently involved in California state court litigation asserting violations of federal securities laws, for allegedly making materially false and misleading statements in, or omitting material information from, the Company's initial public offering ("IPO") registration statement. Separate lawsuits making the same or similar allegations were filed in federal court in October 2019, and were resolved in a settlement approved by the federal court in December 2021.</w:t>
      </w:r>
    </w:p>
    <w:p>
      <w:pPr>
        <w:spacing w:after="0" w:line="203" w:lineRule="exact"/>
        <w:rPr>
          <w:sz w:val="20"/>
          <w:szCs w:val="20"/>
          <w:color w:val="auto"/>
        </w:rPr>
      </w:pPr>
    </w:p>
    <w:p>
      <w:pPr>
        <w:ind w:right="60" w:firstLine="391"/>
        <w:spacing w:after="0" w:line="278" w:lineRule="auto"/>
        <w:rPr>
          <w:sz w:val="20"/>
          <w:szCs w:val="20"/>
          <w:color w:val="auto"/>
        </w:rPr>
      </w:pPr>
      <w:r>
        <w:rPr>
          <w:rFonts w:ascii="Arial" w:cs="Arial" w:eastAsia="Arial" w:hAnsi="Arial"/>
          <w:sz w:val="16"/>
          <w:szCs w:val="16"/>
          <w:color w:val="auto"/>
        </w:rPr>
        <w:t>The California state court litigation consolidated four putative class action lawsuits that were filed on August 30, 2019, September 5, 2019, September 13, 2019, and October 3, 2019, in the Superior Court of the State of California, San Mateo County, against the Company, certain of its officers and directors, underwriters of its IPO, and Sequoia Capital XII, L.P. and certain of its affiliated entities (collectively, the “Dropbox Defendants”). On May 11, 2020, the Dropbox Defendants filed a motion to dismiss the consolidated state court case based on the exclusive federal forum provisions contained in the Company's amended and restated bylaws. On December 4, 2020, the state court issued an order granting the Company's motion to dismiss the consolidated state court case. On December 15, 2020, the state court plaintiffs filed a notice of appeal of this order and on May 13, 2022, the Court of Appeal for the State Court of California affirmed the order dismissing the state court case. The plaintiff has petitioned the California Supreme Court for review (which is discretionary) and the Court will decide whether it will hear the case either by August 22, 2022, or by September 22, 2022 if it decides to extend the time. The Company believes the appeal and claims are without merit and intends to vigorously defend against them.</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Indemnification</w:t>
      </w:r>
    </w:p>
    <w:p>
      <w:pPr>
        <w:spacing w:after="0" w:line="117" w:lineRule="exact"/>
        <w:rPr>
          <w:sz w:val="20"/>
          <w:szCs w:val="20"/>
          <w:color w:val="auto"/>
        </w:rPr>
      </w:pPr>
    </w:p>
    <w:p>
      <w:pPr>
        <w:ind w:right="120" w:firstLine="391"/>
        <w:spacing w:after="0" w:line="271" w:lineRule="auto"/>
        <w:rPr>
          <w:sz w:val="20"/>
          <w:szCs w:val="20"/>
          <w:color w:val="auto"/>
        </w:rPr>
      </w:pPr>
      <w:r>
        <w:rPr>
          <w:rFonts w:ascii="Arial" w:cs="Arial" w:eastAsia="Arial" w:hAnsi="Arial"/>
          <w:sz w:val="17"/>
          <w:szCs w:val="17"/>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Other commitments</w:t>
      </w:r>
    </w:p>
    <w:p>
      <w:pPr>
        <w:spacing w:after="0" w:line="117" w:lineRule="exact"/>
        <w:rPr>
          <w:sz w:val="20"/>
          <w:szCs w:val="20"/>
          <w:color w:val="auto"/>
        </w:rPr>
      </w:pPr>
    </w:p>
    <w:p>
      <w:pPr>
        <w:jc w:val="both"/>
        <w:ind w:right="280" w:firstLine="391"/>
        <w:spacing w:after="0" w:line="271" w:lineRule="auto"/>
        <w:rPr>
          <w:sz w:val="20"/>
          <w:szCs w:val="20"/>
          <w:color w:val="auto"/>
        </w:rPr>
      </w:pPr>
      <w:r>
        <w:rPr>
          <w:rFonts w:ascii="Arial" w:cs="Arial" w:eastAsia="Arial" w:hAnsi="Arial"/>
          <w:sz w:val="17"/>
          <w:szCs w:val="17"/>
          <w:color w:val="auto"/>
        </w:rPr>
        <w:t>Other commitments include payments to third-party vendors for services related to the Company’s infrastructure, infrastructure warranty contracts, and asset retirement obligations for office modifications. There have been no material changes in the Company's other commitments, as disclosed in the Annual Report.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20" w:type="dxa"/>
            <w:vAlign w:val="bottom"/>
          </w:tcPr>
          <w:p>
            <w:pPr>
              <w:spacing w:after="0"/>
              <w:rPr>
                <w:sz w:val="20"/>
                <w:szCs w:val="20"/>
                <w:color w:val="auto"/>
              </w:rPr>
            </w:pPr>
            <w:r>
              <w:rPr>
                <w:rFonts w:ascii="Arial" w:cs="Arial" w:eastAsia="Arial" w:hAnsi="Arial"/>
                <w:sz w:val="17"/>
                <w:szCs w:val="17"/>
                <w:b w:val="1"/>
                <w:bCs w:val="1"/>
                <w:color w:val="auto"/>
              </w:rPr>
              <w:t>Note 11. Accrued and Other Current Liabilities</w:t>
            </w:r>
          </w:p>
        </w:tc>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7"/>
        </w:trPr>
        <w:tc>
          <w:tcPr>
            <w:tcW w:w="6820" w:type="dxa"/>
            <w:vAlign w:val="bottom"/>
          </w:tcPr>
          <w:p>
            <w:pPr>
              <w:ind w:left="400"/>
              <w:spacing w:after="0"/>
              <w:rPr>
                <w:sz w:val="20"/>
                <w:szCs w:val="20"/>
                <w:color w:val="auto"/>
              </w:rPr>
            </w:pPr>
            <w:r>
              <w:rPr>
                <w:rFonts w:ascii="Arial" w:cs="Arial" w:eastAsia="Arial" w:hAnsi="Arial"/>
                <w:sz w:val="17"/>
                <w:szCs w:val="17"/>
                <w:color w:val="auto"/>
              </w:rPr>
              <w:t>Accrued and other current liabilities consisted of the following:</w:t>
            </w: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548"/>
        </w:trPr>
        <w:tc>
          <w:tcPr>
            <w:tcW w:w="682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7"/>
                <w:szCs w:val="17"/>
                <w:b w:val="1"/>
                <w:bCs w:val="1"/>
                <w:color w:val="auto"/>
              </w:rPr>
              <w:t>As of</w:t>
            </w:r>
          </w:p>
        </w:tc>
        <w:tc>
          <w:tcPr>
            <w:tcW w:w="1900" w:type="dxa"/>
            <w:vAlign w:val="bottom"/>
            <w:tcBorders>
              <w:bottom w:val="single" w:sz="8" w:color="auto"/>
            </w:tcBorders>
          </w:tcPr>
          <w:p>
            <w:pPr>
              <w:spacing w:after="0"/>
              <w:rPr>
                <w:sz w:val="24"/>
                <w:szCs w:val="24"/>
                <w:color w:val="auto"/>
              </w:rPr>
            </w:pPr>
          </w:p>
        </w:tc>
      </w:tr>
      <w:tr>
        <w:trPr>
          <w:trHeight w:val="215"/>
        </w:trPr>
        <w:tc>
          <w:tcPr>
            <w:tcW w:w="68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June 30, 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w w:val="97"/>
              </w:rPr>
              <w:t>December 31, 2021</w:t>
            </w:r>
          </w:p>
        </w:tc>
      </w:tr>
      <w:tr>
        <w:trPr>
          <w:trHeight w:val="215"/>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Non-income taxes payable</w:t>
            </w:r>
          </w:p>
        </w:tc>
        <w:tc>
          <w:tcPr>
            <w:tcW w:w="1640" w:type="dxa"/>
            <w:vAlign w:val="bottom"/>
            <w:shd w:val="clear" w:color="auto" w:fill="CCEEFF"/>
          </w:tcPr>
          <w:p>
            <w:pPr>
              <w:jc w:val="right"/>
              <w:ind w:right="145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r>
      <w:tr>
        <w:trPr>
          <w:trHeight w:val="222"/>
        </w:trPr>
        <w:tc>
          <w:tcPr>
            <w:tcW w:w="6820" w:type="dxa"/>
            <w:vAlign w:val="bottom"/>
          </w:tcPr>
          <w:p>
            <w:pPr>
              <w:ind w:left="20"/>
              <w:spacing w:after="0"/>
              <w:rPr>
                <w:sz w:val="20"/>
                <w:szCs w:val="20"/>
                <w:color w:val="auto"/>
              </w:rPr>
            </w:pPr>
            <w:r>
              <w:rPr>
                <w:rFonts w:ascii="Arial" w:cs="Arial" w:eastAsia="Arial" w:hAnsi="Arial"/>
                <w:sz w:val="17"/>
                <w:szCs w:val="17"/>
                <w:color w:val="auto"/>
              </w:rPr>
              <w:t>Accrued legal and other external fees</w:t>
            </w:r>
          </w:p>
        </w:tc>
        <w:tc>
          <w:tcPr>
            <w:tcW w:w="16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24.0</w:t>
            </w:r>
          </w:p>
        </w:tc>
      </w:tr>
      <w:tr>
        <w:trPr>
          <w:trHeight w:val="222"/>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accrued and current liabilities</w:t>
            </w:r>
          </w:p>
        </w:tc>
        <w:tc>
          <w:tcPr>
            <w:tcW w:w="16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w:t>
            </w:r>
          </w:p>
        </w:tc>
      </w:tr>
      <w:tr>
        <w:trPr>
          <w:trHeight w:val="215"/>
        </w:trPr>
        <w:tc>
          <w:tcPr>
            <w:tcW w:w="6820" w:type="dxa"/>
            <w:vAlign w:val="bottom"/>
          </w:tcPr>
          <w:p>
            <w:pPr>
              <w:ind w:left="20"/>
              <w:spacing w:after="0"/>
              <w:rPr>
                <w:sz w:val="20"/>
                <w:szCs w:val="20"/>
                <w:color w:val="auto"/>
              </w:rPr>
            </w:pPr>
            <w:r>
              <w:rPr>
                <w:rFonts w:ascii="Arial" w:cs="Arial" w:eastAsia="Arial" w:hAnsi="Arial"/>
                <w:sz w:val="17"/>
                <w:szCs w:val="17"/>
                <w:color w:val="auto"/>
              </w:rPr>
              <w:t>Total accrued and other current liabilities</w:t>
            </w:r>
          </w:p>
        </w:tc>
        <w:tc>
          <w:tcPr>
            <w:tcW w:w="1640" w:type="dxa"/>
            <w:vAlign w:val="bottom"/>
            <w:tcBorders>
              <w:bottom w:val="single" w:sz="8" w:color="auto"/>
            </w:tcBorders>
          </w:tcPr>
          <w:p>
            <w:pPr>
              <w:jc w:val="right"/>
              <w:ind w:right="1453"/>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147.7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140.8</w:t>
            </w:r>
          </w:p>
        </w:tc>
      </w:tr>
      <w:tr>
        <w:trPr>
          <w:trHeight w:val="20"/>
        </w:trPr>
        <w:tc>
          <w:tcPr>
            <w:tcW w:w="68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12.Stockholders’ Deficit</w:t>
      </w:r>
    </w:p>
    <w:p>
      <w:pPr>
        <w:spacing w:after="0" w:line="25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Common stock</w:t>
      </w:r>
    </w:p>
    <w:p>
      <w:pPr>
        <w:spacing w:after="0" w:line="117" w:lineRule="exact"/>
        <w:rPr>
          <w:sz w:val="20"/>
          <w:szCs w:val="20"/>
          <w:color w:val="auto"/>
        </w:rPr>
      </w:pPr>
    </w:p>
    <w:p>
      <w:pPr>
        <w:ind w:right="20" w:firstLine="391"/>
        <w:spacing w:after="0" w:line="263" w:lineRule="auto"/>
        <w:rPr>
          <w:sz w:val="20"/>
          <w:szCs w:val="20"/>
          <w:color w:val="auto"/>
        </w:rPr>
      </w:pPr>
      <w:r>
        <w:rPr>
          <w:rFonts w:ascii="Arial" w:cs="Arial" w:eastAsia="Arial" w:hAnsi="Arial"/>
          <w:sz w:val="17"/>
          <w:szCs w:val="17"/>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w:t>
      </w:r>
    </w:p>
    <w:p>
      <w:pPr>
        <w:spacing w:after="0" w:line="207" w:lineRule="exact"/>
        <w:rPr>
          <w:sz w:val="20"/>
          <w:szCs w:val="20"/>
          <w:color w:val="auto"/>
        </w:rPr>
      </w:pPr>
    </w:p>
    <w:p>
      <w:pPr>
        <w:ind w:firstLine="391"/>
        <w:spacing w:after="0" w:line="299" w:lineRule="auto"/>
        <w:rPr>
          <w:sz w:val="20"/>
          <w:szCs w:val="20"/>
          <w:color w:val="auto"/>
        </w:rPr>
      </w:pPr>
      <w:r>
        <w:rPr>
          <w:rFonts w:ascii="Arial" w:cs="Arial" w:eastAsia="Arial" w:hAnsi="Arial"/>
          <w:sz w:val="15"/>
          <w:szCs w:val="15"/>
          <w:color w:val="auto"/>
        </w:rPr>
        <w:t>As of June 30, 2022, the Company had authorized 2,400.0 million shares of Class A common stock, 475.0 million shares of Class B common stock, and 800.0 million shares of Class C common stock, each at par value of $0.00001. Holders of Class B common stock voluntarily converted 0.2 million shares into an equivalent number of shares of Class A common stock during the six months ended June 30, 2022 and 0.3 million during the six months ended June 30, 2021. As of June 30, 2022, 277.7 million shares of Class A common stock, 82.6 million shares of Class B common stock, and no shares of Class C common stock were issued and outstanding. As of December 31, 2021, 292.7 million shares of Class A common stock, 82.8 million shares of Class B common stock, and no shares of Class C common stock were issued and outstanding. Class A shares issued and outstanding as of June 30, 2022 and December 31, 2021 exclude unvested restricted stock awards granted to certain executives. Class A shares issued and outstanding also excludes 8.2 million unvested restricted stock awards granted to one of the Company's co-founders as of June 30, 2022 and December 31, 2021, respectively. See "Co-Founder Grant" section below for further details.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Preferred stock</w:t>
      </w:r>
    </w:p>
    <w:p>
      <w:pPr>
        <w:spacing w:after="0" w:line="248" w:lineRule="exact"/>
        <w:rPr>
          <w:sz w:val="20"/>
          <w:szCs w:val="20"/>
          <w:color w:val="auto"/>
        </w:rPr>
      </w:pPr>
    </w:p>
    <w:p>
      <w:pPr>
        <w:ind w:right="340" w:firstLine="391"/>
        <w:spacing w:after="0" w:line="320" w:lineRule="auto"/>
        <w:rPr>
          <w:sz w:val="20"/>
          <w:szCs w:val="20"/>
          <w:color w:val="auto"/>
        </w:rPr>
      </w:pPr>
      <w:r>
        <w:rPr>
          <w:rFonts w:ascii="Arial" w:cs="Arial" w:eastAsia="Arial" w:hAnsi="Arial"/>
          <w:sz w:val="16"/>
          <w:szCs w:val="16"/>
          <w:color w:val="auto"/>
        </w:rPr>
        <w:t>The Company's Board of Directors will have the authority, without further action by the Company's stockholders, to issue up to 240.0 million shares of undesignated preferred stock with rights and preferences, including voting rights, designated from time to time by the Board of Directors.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248" w:lineRule="exact"/>
        <w:rPr>
          <w:sz w:val="20"/>
          <w:szCs w:val="20"/>
          <w:color w:val="auto"/>
        </w:rPr>
      </w:pPr>
    </w:p>
    <w:p>
      <w:pPr>
        <w:ind w:right="40" w:firstLine="391"/>
        <w:spacing w:after="0" w:line="282" w:lineRule="auto"/>
        <w:rPr>
          <w:sz w:val="20"/>
          <w:szCs w:val="20"/>
          <w:color w:val="auto"/>
        </w:rPr>
      </w:pPr>
      <w:r>
        <w:rPr>
          <w:rFonts w:ascii="Arial" w:cs="Arial" w:eastAsia="Arial" w:hAnsi="Arial"/>
          <w:sz w:val="16"/>
          <w:szCs w:val="16"/>
          <w:color w:val="auto"/>
        </w:rPr>
        <w:t>In February 2020, the Company's Board of Directors approved a stock repurchase program for the repurchase of up to $600 million of the Company’s outstanding shares of Class A common stock. The Company completed the February 2020 stock repurchase program of up to $600 million during the six months ended June 30, 2021. In February 2021, the Board of Directors authorized the Company to repurchase up to an additional $1 billion of the Company's outstanding shares of Class A common stock. The Company completed the February 2021 stock repurchase program of up to $1 billion during the six months ended June 30, 2022. In February 2022, the Board of Directors authorized the Company to repurchase up to an additional $1.2 billion of the Company's</w:t>
      </w:r>
    </w:p>
    <w:p>
      <w:pPr>
        <w:spacing w:after="0" w:line="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outstanding shares of Class A common stock. Share repurchases will be made from time to time in private transactions or open market purchases, as permitted by securities laws and other legal requirements and will be subject to a review of the circumstances in place at that time, including prevailing market prices. The program does not obligate the Company to repurchase any specific number of shares and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40" w:firstLine="391"/>
        <w:spacing w:after="0" w:line="263" w:lineRule="auto"/>
        <w:rPr>
          <w:sz w:val="20"/>
          <w:szCs w:val="20"/>
          <w:color w:val="auto"/>
        </w:rPr>
      </w:pPr>
      <w:r>
        <w:rPr>
          <w:rFonts w:ascii="Arial" w:cs="Arial" w:eastAsia="Arial" w:hAnsi="Arial"/>
          <w:sz w:val="17"/>
          <w:szCs w:val="17"/>
          <w:color w:val="auto"/>
        </w:rPr>
        <w:t>During the three and six months ended June 30, 2022, the Company repurchased and subsequently retired 8.9 million and 19.9 million shares of its Class A common stock, respectively, for an aggregate amount of $189.8 million and $449.7 million, respectively. During the three and six months ended June 30, 2021, the Company repurchased and subsequently retired 5.5 million and 24.1 million shares of its Class A common stock for an aggregate amount of $150.8 million and $582.7 million, respectively. This included $200.0 million in repurchases of 8.6 million shares of the Company's Class A common stock in conjunction with the issuance of the Notes, which was outside of the Company's stock repurchase program.</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248" w:lineRule="exact"/>
        <w:rPr>
          <w:sz w:val="20"/>
          <w:szCs w:val="20"/>
          <w:color w:val="auto"/>
        </w:rPr>
      </w:pPr>
    </w:p>
    <w:p>
      <w:pPr>
        <w:ind w:right="180" w:firstLine="391"/>
        <w:spacing w:after="0" w:line="307" w:lineRule="auto"/>
        <w:rPr>
          <w:sz w:val="20"/>
          <w:szCs w:val="20"/>
          <w:color w:val="auto"/>
        </w:rPr>
      </w:pPr>
      <w:r>
        <w:rPr>
          <w:rFonts w:ascii="Arial" w:cs="Arial" w:eastAsia="Arial" w:hAnsi="Arial"/>
          <w:sz w:val="15"/>
          <w:szCs w:val="15"/>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44" w:lineRule="exact"/>
        <w:rPr>
          <w:sz w:val="20"/>
          <w:szCs w:val="20"/>
          <w:color w:val="auto"/>
        </w:rPr>
      </w:pPr>
    </w:p>
    <w:p>
      <w:pPr>
        <w:ind w:right="180" w:firstLine="391"/>
        <w:spacing w:after="0" w:line="287" w:lineRule="auto"/>
        <w:rPr>
          <w:sz w:val="20"/>
          <w:szCs w:val="20"/>
          <w:color w:val="auto"/>
        </w:rPr>
      </w:pPr>
      <w:r>
        <w:rPr>
          <w:rFonts w:ascii="Arial" w:cs="Arial" w:eastAsia="Arial" w:hAnsi="Arial"/>
          <w:sz w:val="17"/>
          <w:szCs w:val="17"/>
          <w:color w:val="auto"/>
        </w:rPr>
        <w:t>In connection with the acquisition of DocSend, the Company assumed unvested stock options and an immaterial number of unvested RSUs that had been granted under DocSend's 2013 Stock Plan and DocSend's 2015 Stock Option and Grant Plan.</w:t>
      </w:r>
    </w:p>
    <w:p>
      <w:pPr>
        <w:spacing w:after="0" w:line="184" w:lineRule="exact"/>
        <w:rPr>
          <w:sz w:val="20"/>
          <w:szCs w:val="20"/>
          <w:color w:val="auto"/>
        </w:rPr>
      </w:pPr>
    </w:p>
    <w:p>
      <w:pPr>
        <w:ind w:right="20" w:firstLine="430"/>
        <w:spacing w:after="0" w:line="271" w:lineRule="auto"/>
        <w:rPr>
          <w:sz w:val="20"/>
          <w:szCs w:val="20"/>
          <w:color w:val="auto"/>
        </w:rPr>
      </w:pPr>
      <w:r>
        <w:rPr>
          <w:rFonts w:ascii="Arial" w:cs="Arial" w:eastAsia="Arial" w:hAnsi="Arial"/>
          <w:sz w:val="17"/>
          <w:szCs w:val="17"/>
          <w:color w:val="auto"/>
        </w:rPr>
        <w:t>As of June 30, 2022, there were 36.3 million stock-based awards issued and outstanding and 101.8 million shares available for issuance under the Dropbox Equity Incentive Plans, HelloSign's 2011 Equity Incentive Plan, DocSend's 2013 Stock Plan and DocSend's 2015 Stock Option and Grant Plan (collectively, the "Plans").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Stock option and restricted stock activity for the Plans was as follows for the six months ended June 30, 2022:</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4"/>
            <w:vMerge w:val="restart"/>
          </w:tcPr>
          <w:p>
            <w:pPr>
              <w:ind w:left="260"/>
              <w:spacing w:after="0"/>
              <w:rPr>
                <w:sz w:val="20"/>
                <w:szCs w:val="20"/>
                <w:color w:val="auto"/>
              </w:rPr>
            </w:pPr>
            <w:r>
              <w:rPr>
                <w:rFonts w:ascii="Arial" w:cs="Arial" w:eastAsia="Arial" w:hAnsi="Arial"/>
                <w:sz w:val="17"/>
                <w:szCs w:val="17"/>
                <w:b w:val="1"/>
                <w:bCs w:val="1"/>
                <w:color w:val="auto"/>
              </w:rPr>
              <w:t>Options outstanding</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jc w:val="right"/>
              <w:ind w:right="539"/>
              <w:spacing w:after="0"/>
              <w:rPr>
                <w:sz w:val="20"/>
                <w:szCs w:val="20"/>
                <w:color w:val="auto"/>
              </w:rPr>
            </w:pPr>
            <w:r>
              <w:rPr>
                <w:rFonts w:ascii="Arial" w:cs="Arial" w:eastAsia="Arial" w:hAnsi="Arial"/>
                <w:sz w:val="17"/>
                <w:szCs w:val="17"/>
                <w:b w:val="1"/>
                <w:bCs w:val="1"/>
                <w:color w:val="auto"/>
              </w:rPr>
              <w:t>Restricted stock</w:t>
            </w: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7"/>
                <w:szCs w:val="17"/>
                <w:b w:val="1"/>
                <w:bCs w:val="1"/>
                <w:color w:val="auto"/>
              </w:rPr>
              <w:t>outstanding</w:t>
            </w:r>
          </w:p>
        </w:tc>
        <w:tc>
          <w:tcPr>
            <w:tcW w:w="0" w:type="dxa"/>
            <w:vAlign w:val="bottom"/>
          </w:tcPr>
          <w:p>
            <w:pPr>
              <w:spacing w:after="0"/>
              <w:rPr>
                <w:sz w:val="1"/>
                <w:szCs w:val="1"/>
                <w:color w:val="auto"/>
              </w:rPr>
            </w:pPr>
          </w:p>
        </w:tc>
      </w:tr>
      <w:tr>
        <w:trPr>
          <w:trHeight w:val="163"/>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63" w:lineRule="exact"/>
              <w:rPr>
                <w:sz w:val="20"/>
                <w:szCs w:val="20"/>
                <w:color w:val="auto"/>
              </w:rPr>
            </w:pPr>
            <w:r>
              <w:rPr>
                <w:rFonts w:ascii="Arial" w:cs="Arial" w:eastAsia="Arial" w:hAnsi="Arial"/>
                <w:sz w:val="17"/>
                <w:szCs w:val="17"/>
                <w:color w:val="auto"/>
                <w:w w:val="95"/>
              </w:rPr>
              <w:t>Number of</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auto"/>
                <w:w w:val="95"/>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auto"/>
                <w:w w:val="90"/>
              </w:rPr>
              <w:t>Weighted-</w:t>
            </w:r>
          </w:p>
        </w:tc>
        <w:tc>
          <w:tcPr>
            <w:tcW w:w="1240" w:type="dxa"/>
            <w:vAlign w:val="bottom"/>
            <w:gridSpan w:val="2"/>
          </w:tcPr>
          <w:p>
            <w:pPr>
              <w:jc w:val="center"/>
              <w:ind w:right="120"/>
              <w:spacing w:after="0" w:line="163" w:lineRule="exact"/>
              <w:rPr>
                <w:sz w:val="20"/>
                <w:szCs w:val="20"/>
                <w:color w:val="auto"/>
              </w:rPr>
            </w:pPr>
            <w:r>
              <w:rPr>
                <w:rFonts w:ascii="Arial" w:cs="Arial" w:eastAsia="Arial" w:hAnsi="Arial"/>
                <w:sz w:val="17"/>
                <w:szCs w:val="17"/>
                <w:color w:val="auto"/>
                <w:w w:val="92"/>
              </w:rPr>
              <w:t>Weighted-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auto"/>
                <w:w w:val="95"/>
              </w:rPr>
              <w:t>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center"/>
              <w:ind w:right="79"/>
              <w:spacing w:after="0"/>
              <w:rPr>
                <w:sz w:val="20"/>
                <w:szCs w:val="20"/>
                <w:color w:val="auto"/>
              </w:rPr>
            </w:pPr>
            <w:r>
              <w:rPr>
                <w:rFonts w:ascii="Arial" w:cs="Arial" w:eastAsia="Arial" w:hAnsi="Arial"/>
                <w:sz w:val="17"/>
                <w:szCs w:val="17"/>
                <w:color w:val="auto"/>
                <w:w w:val="92"/>
              </w:rPr>
              <w:t>Weighted-</w:t>
            </w: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70" w:lineRule="exact"/>
              <w:rPr>
                <w:sz w:val="20"/>
                <w:szCs w:val="20"/>
                <w:color w:val="auto"/>
              </w:rPr>
            </w:pPr>
            <w:r>
              <w:rPr>
                <w:rFonts w:ascii="Arial" w:cs="Arial" w:eastAsia="Arial" w:hAnsi="Arial"/>
                <w:sz w:val="17"/>
                <w:szCs w:val="17"/>
                <w:color w:val="auto"/>
                <w:w w:val="86"/>
              </w:rPr>
              <w:t>shares</w:t>
            </w: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40" w:type="dxa"/>
            <w:vAlign w:val="bottom"/>
            <w:gridSpan w:val="2"/>
          </w:tcPr>
          <w:p>
            <w:pPr>
              <w:jc w:val="center"/>
              <w:ind w:right="100"/>
              <w:spacing w:after="0" w:line="170" w:lineRule="exact"/>
              <w:rPr>
                <w:sz w:val="20"/>
                <w:szCs w:val="20"/>
                <w:color w:val="auto"/>
              </w:rPr>
            </w:pPr>
            <w:r>
              <w:rPr>
                <w:rFonts w:ascii="Arial" w:cs="Arial" w:eastAsia="Arial" w:hAnsi="Arial"/>
                <w:sz w:val="17"/>
                <w:szCs w:val="17"/>
                <w:color w:val="auto"/>
                <w:w w:val="87"/>
              </w:rPr>
              <w:t>average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70" w:lineRule="exact"/>
              <w:rPr>
                <w:sz w:val="20"/>
                <w:szCs w:val="20"/>
                <w:color w:val="auto"/>
              </w:rPr>
            </w:pPr>
            <w:r>
              <w:rPr>
                <w:rFonts w:ascii="Arial" w:cs="Arial" w:eastAsia="Arial" w:hAnsi="Arial"/>
                <w:sz w:val="17"/>
                <w:szCs w:val="17"/>
                <w:color w:val="auto"/>
                <w:w w:val="95"/>
              </w:rPr>
              <w:t>available for</w:t>
            </w:r>
          </w:p>
        </w:tc>
        <w:tc>
          <w:tcPr>
            <w:tcW w:w="1160" w:type="dxa"/>
            <w:vAlign w:val="bottom"/>
          </w:tcPr>
          <w:p>
            <w:pPr>
              <w:jc w:val="center"/>
              <w:spacing w:after="0" w:line="170" w:lineRule="exact"/>
              <w:rPr>
                <w:sz w:val="20"/>
                <w:szCs w:val="20"/>
                <w:color w:val="auto"/>
              </w:rPr>
            </w:pPr>
            <w:r>
              <w:rPr>
                <w:rFonts w:ascii="Arial" w:cs="Arial" w:eastAsia="Arial" w:hAnsi="Arial"/>
                <w:sz w:val="17"/>
                <w:szCs w:val="17"/>
                <w:color w:val="auto"/>
                <w:w w:val="86"/>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0" w:lineRule="exact"/>
              <w:rPr>
                <w:sz w:val="20"/>
                <w:szCs w:val="20"/>
                <w:color w:val="auto"/>
              </w:rPr>
            </w:pPr>
            <w:r>
              <w:rPr>
                <w:rFonts w:ascii="Arial" w:cs="Arial" w:eastAsia="Arial" w:hAnsi="Arial"/>
                <w:sz w:val="17"/>
                <w:szCs w:val="17"/>
                <w:color w:val="auto"/>
                <w:w w:val="87"/>
              </w:rPr>
              <w:t>average</w:t>
            </w:r>
          </w:p>
        </w:tc>
        <w:tc>
          <w:tcPr>
            <w:tcW w:w="1240" w:type="dxa"/>
            <w:vAlign w:val="bottom"/>
            <w:gridSpan w:val="2"/>
          </w:tcPr>
          <w:p>
            <w:pPr>
              <w:jc w:val="center"/>
              <w:ind w:right="100"/>
              <w:spacing w:after="0" w:line="170" w:lineRule="exact"/>
              <w:rPr>
                <w:sz w:val="20"/>
                <w:szCs w:val="20"/>
                <w:color w:val="auto"/>
              </w:rPr>
            </w:pPr>
            <w:r>
              <w:rPr>
                <w:rFonts w:ascii="Arial" w:cs="Arial" w:eastAsia="Arial" w:hAnsi="Arial"/>
                <w:sz w:val="17"/>
                <w:szCs w:val="17"/>
                <w:color w:val="auto"/>
                <w:w w:val="93"/>
              </w:rPr>
              <w:t>remaining</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line="170" w:lineRule="exact"/>
              <w:rPr>
                <w:sz w:val="20"/>
                <w:szCs w:val="20"/>
                <w:color w:val="auto"/>
              </w:rPr>
            </w:pPr>
            <w:r>
              <w:rPr>
                <w:rFonts w:ascii="Arial" w:cs="Arial" w:eastAsia="Arial" w:hAnsi="Arial"/>
                <w:sz w:val="17"/>
                <w:szCs w:val="17"/>
                <w:color w:val="auto"/>
                <w:w w:val="86"/>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99"/>
              <w:spacing w:after="0" w:line="170" w:lineRule="exact"/>
              <w:rPr>
                <w:sz w:val="20"/>
                <w:szCs w:val="20"/>
                <w:color w:val="auto"/>
              </w:rPr>
            </w:pPr>
            <w:r>
              <w:rPr>
                <w:rFonts w:ascii="Arial" w:cs="Arial" w:eastAsia="Arial" w:hAnsi="Arial"/>
                <w:sz w:val="17"/>
                <w:szCs w:val="17"/>
                <w:color w:val="auto"/>
                <w:w w:val="87"/>
              </w:rPr>
              <w:t>average</w:t>
            </w: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70" w:lineRule="exact"/>
              <w:rPr>
                <w:sz w:val="20"/>
                <w:szCs w:val="20"/>
                <w:color w:val="auto"/>
              </w:rPr>
            </w:pPr>
            <w:r>
              <w:rPr>
                <w:rFonts w:ascii="Arial" w:cs="Arial" w:eastAsia="Arial" w:hAnsi="Arial"/>
                <w:sz w:val="17"/>
                <w:szCs w:val="17"/>
                <w:color w:val="auto"/>
                <w:w w:val="89"/>
              </w:rPr>
              <w:t>issuance</w:t>
            </w:r>
          </w:p>
        </w:tc>
        <w:tc>
          <w:tcPr>
            <w:tcW w:w="1160" w:type="dxa"/>
            <w:vAlign w:val="bottom"/>
          </w:tcPr>
          <w:p>
            <w:pPr>
              <w:jc w:val="center"/>
              <w:spacing w:after="0" w:line="170" w:lineRule="exact"/>
              <w:rPr>
                <w:sz w:val="20"/>
                <w:szCs w:val="20"/>
                <w:color w:val="auto"/>
              </w:rPr>
            </w:pPr>
            <w:r>
              <w:rPr>
                <w:rFonts w:ascii="Arial" w:cs="Arial" w:eastAsia="Arial" w:hAnsi="Arial"/>
                <w:sz w:val="17"/>
                <w:szCs w:val="17"/>
                <w:color w:val="auto"/>
                <w:w w:val="93"/>
              </w:rPr>
              <w:t>outstanding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0" w:lineRule="exact"/>
              <w:rPr>
                <w:sz w:val="20"/>
                <w:szCs w:val="20"/>
                <w:color w:val="auto"/>
              </w:rPr>
            </w:pPr>
            <w:r>
              <w:rPr>
                <w:rFonts w:ascii="Arial" w:cs="Arial" w:eastAsia="Arial" w:hAnsi="Arial"/>
                <w:sz w:val="17"/>
                <w:szCs w:val="17"/>
                <w:color w:val="auto"/>
                <w:w w:val="91"/>
              </w:rPr>
              <w:t>exercise</w:t>
            </w:r>
          </w:p>
        </w:tc>
        <w:tc>
          <w:tcPr>
            <w:tcW w:w="1240" w:type="dxa"/>
            <w:vAlign w:val="bottom"/>
            <w:gridSpan w:val="2"/>
          </w:tcPr>
          <w:p>
            <w:pPr>
              <w:jc w:val="center"/>
              <w:ind w:right="120"/>
              <w:spacing w:after="0" w:line="170" w:lineRule="exact"/>
              <w:rPr>
                <w:sz w:val="20"/>
                <w:szCs w:val="20"/>
                <w:color w:val="auto"/>
              </w:rPr>
            </w:pPr>
            <w:r>
              <w:rPr>
                <w:rFonts w:ascii="Arial" w:cs="Arial" w:eastAsia="Arial" w:hAnsi="Arial"/>
                <w:sz w:val="17"/>
                <w:szCs w:val="17"/>
                <w:color w:val="auto"/>
                <w:w w:val="91"/>
              </w:rPr>
              <w:t>contractual</w:t>
            </w:r>
          </w:p>
        </w:tc>
        <w:tc>
          <w:tcPr>
            <w:tcW w:w="140" w:type="dxa"/>
            <w:vAlign w:val="bottom"/>
          </w:tcPr>
          <w:p>
            <w:pPr>
              <w:spacing w:after="0"/>
              <w:rPr>
                <w:sz w:val="14"/>
                <w:szCs w:val="14"/>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auto"/>
                <w:w w:val="91"/>
              </w:rPr>
              <w:t>Aggregate</w:t>
            </w:r>
          </w:p>
        </w:tc>
        <w:tc>
          <w:tcPr>
            <w:tcW w:w="1160" w:type="dxa"/>
            <w:vAlign w:val="bottom"/>
          </w:tcPr>
          <w:p>
            <w:pPr>
              <w:jc w:val="center"/>
              <w:spacing w:after="0" w:line="170" w:lineRule="exact"/>
              <w:rPr>
                <w:sz w:val="20"/>
                <w:szCs w:val="20"/>
                <w:color w:val="auto"/>
              </w:rPr>
            </w:pPr>
            <w:r>
              <w:rPr>
                <w:rFonts w:ascii="Arial" w:cs="Arial" w:eastAsia="Arial" w:hAnsi="Arial"/>
                <w:sz w:val="17"/>
                <w:szCs w:val="17"/>
                <w:color w:val="auto"/>
                <w:w w:val="93"/>
              </w:rPr>
              <w:t>outstanding</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9"/>
              <w:spacing w:after="0" w:line="170" w:lineRule="exact"/>
              <w:rPr>
                <w:sz w:val="20"/>
                <w:szCs w:val="20"/>
                <w:color w:val="auto"/>
              </w:rPr>
            </w:pPr>
            <w:r>
              <w:rPr>
                <w:rFonts w:ascii="Arial" w:cs="Arial" w:eastAsia="Arial" w:hAnsi="Arial"/>
                <w:sz w:val="17"/>
                <w:szCs w:val="17"/>
                <w:color w:val="auto"/>
                <w:w w:val="88"/>
              </w:rPr>
              <w:t>grant date</w:t>
            </w: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70" w:lineRule="exact"/>
              <w:rPr>
                <w:sz w:val="20"/>
                <w:szCs w:val="20"/>
                <w:color w:val="auto"/>
              </w:rPr>
            </w:pPr>
            <w:r>
              <w:rPr>
                <w:rFonts w:ascii="Arial" w:cs="Arial" w:eastAsia="Arial" w:hAnsi="Arial"/>
                <w:sz w:val="17"/>
                <w:szCs w:val="17"/>
                <w:color w:val="auto"/>
                <w:w w:val="89"/>
              </w:rPr>
              <w:t>under the</w:t>
            </w:r>
          </w:p>
        </w:tc>
        <w:tc>
          <w:tcPr>
            <w:tcW w:w="1160" w:type="dxa"/>
            <w:vAlign w:val="bottom"/>
          </w:tcPr>
          <w:p>
            <w:pPr>
              <w:jc w:val="center"/>
              <w:spacing w:after="0" w:line="170" w:lineRule="exact"/>
              <w:rPr>
                <w:sz w:val="20"/>
                <w:szCs w:val="20"/>
                <w:color w:val="auto"/>
              </w:rPr>
            </w:pPr>
            <w:r>
              <w:rPr>
                <w:rFonts w:ascii="Arial" w:cs="Arial" w:eastAsia="Arial" w:hAnsi="Arial"/>
                <w:sz w:val="17"/>
                <w:szCs w:val="17"/>
                <w:color w:val="auto"/>
                <w:w w:val="91"/>
              </w:rPr>
              <w:t>under the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0" w:lineRule="exact"/>
              <w:rPr>
                <w:sz w:val="20"/>
                <w:szCs w:val="20"/>
                <w:color w:val="auto"/>
              </w:rPr>
            </w:pPr>
            <w:r>
              <w:rPr>
                <w:rFonts w:ascii="Arial" w:cs="Arial" w:eastAsia="Arial" w:hAnsi="Arial"/>
                <w:sz w:val="17"/>
                <w:szCs w:val="17"/>
                <w:color w:val="auto"/>
                <w:w w:val="92"/>
              </w:rPr>
              <w:t>price</w:t>
            </w:r>
          </w:p>
        </w:tc>
        <w:tc>
          <w:tcPr>
            <w:tcW w:w="1240" w:type="dxa"/>
            <w:vAlign w:val="bottom"/>
            <w:gridSpan w:val="2"/>
          </w:tcPr>
          <w:p>
            <w:pPr>
              <w:jc w:val="center"/>
              <w:ind w:right="120"/>
              <w:spacing w:after="0" w:line="170" w:lineRule="exact"/>
              <w:rPr>
                <w:sz w:val="20"/>
                <w:szCs w:val="20"/>
                <w:color w:val="auto"/>
              </w:rPr>
            </w:pPr>
            <w:r>
              <w:rPr>
                <w:rFonts w:ascii="Arial" w:cs="Arial" w:eastAsia="Arial" w:hAnsi="Arial"/>
                <w:sz w:val="17"/>
                <w:szCs w:val="17"/>
                <w:color w:val="auto"/>
                <w:w w:val="93"/>
              </w:rPr>
              <w:t>term</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60" w:type="dxa"/>
            <w:vAlign w:val="bottom"/>
          </w:tcPr>
          <w:p>
            <w:pPr>
              <w:jc w:val="center"/>
              <w:spacing w:after="0" w:line="170" w:lineRule="exact"/>
              <w:rPr>
                <w:sz w:val="20"/>
                <w:szCs w:val="20"/>
                <w:color w:val="auto"/>
              </w:rPr>
            </w:pPr>
            <w:r>
              <w:rPr>
                <w:rFonts w:ascii="Arial" w:cs="Arial" w:eastAsia="Arial" w:hAnsi="Arial"/>
                <w:sz w:val="17"/>
                <w:szCs w:val="17"/>
                <w:color w:val="auto"/>
                <w:w w:val="91"/>
              </w:rPr>
              <w:t>under the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99"/>
              <w:spacing w:after="0" w:line="170" w:lineRule="exact"/>
              <w:rPr>
                <w:sz w:val="20"/>
                <w:szCs w:val="20"/>
                <w:color w:val="auto"/>
              </w:rPr>
            </w:pPr>
            <w:r>
              <w:rPr>
                <w:rFonts w:ascii="Arial" w:cs="Arial" w:eastAsia="Arial" w:hAnsi="Arial"/>
                <w:sz w:val="17"/>
                <w:szCs w:val="17"/>
                <w:color w:val="auto"/>
                <w:w w:val="95"/>
              </w:rPr>
              <w:t>fair value</w:t>
            </w:r>
          </w:p>
        </w:tc>
        <w:tc>
          <w:tcPr>
            <w:tcW w:w="0" w:type="dxa"/>
            <w:vAlign w:val="bottom"/>
          </w:tcPr>
          <w:p>
            <w:pPr>
              <w:spacing w:after="0"/>
              <w:rPr>
                <w:sz w:val="1"/>
                <w:szCs w:val="1"/>
                <w:color w:val="auto"/>
              </w:rPr>
            </w:pPr>
          </w:p>
        </w:tc>
      </w:tr>
      <w:tr>
        <w:trPr>
          <w:trHeight w:val="221"/>
        </w:trPr>
        <w:tc>
          <w:tcPr>
            <w:tcW w:w="24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Plans</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Plans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8"/>
              <w:spacing w:after="0"/>
              <w:rPr>
                <w:sz w:val="20"/>
                <w:szCs w:val="20"/>
                <w:color w:val="auto"/>
              </w:rPr>
            </w:pPr>
            <w:r>
              <w:rPr>
                <w:rFonts w:ascii="Arial" w:cs="Arial" w:eastAsia="Arial" w:hAnsi="Arial"/>
                <w:sz w:val="17"/>
                <w:szCs w:val="17"/>
                <w:color w:val="auto"/>
                <w:w w:val="86"/>
              </w:rPr>
              <w:t>per share</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(In years)</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5"/>
              </w:rPr>
              <w:t>intrinsic value</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Plans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7"/>
                <w:szCs w:val="17"/>
                <w:color w:val="auto"/>
                <w:w w:val="89"/>
              </w:rPr>
              <w:t>per share</w:t>
            </w:r>
          </w:p>
        </w:tc>
        <w:tc>
          <w:tcPr>
            <w:tcW w:w="0" w:type="dxa"/>
            <w:vAlign w:val="bottom"/>
          </w:tcPr>
          <w:p>
            <w:pPr>
              <w:spacing w:after="0"/>
              <w:rPr>
                <w:sz w:val="1"/>
                <w:szCs w:val="1"/>
                <w:color w:val="auto"/>
              </w:rPr>
            </w:pPr>
          </w:p>
        </w:tc>
      </w:tr>
      <w:tr>
        <w:trPr>
          <w:trHeight w:val="202"/>
        </w:trPr>
        <w:tc>
          <w:tcPr>
            <w:tcW w:w="2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ind w:left="920"/>
              <w:spacing w:after="0"/>
              <w:rPr>
                <w:sz w:val="20"/>
                <w:szCs w:val="20"/>
                <w:color w:val="auto"/>
              </w:rPr>
            </w:pPr>
            <w:r>
              <w:rPr>
                <w:rFonts w:ascii="Arial" w:cs="Arial" w:eastAsia="Arial" w:hAnsi="Arial"/>
                <w:sz w:val="16"/>
                <w:szCs w:val="16"/>
                <w:color w:val="auto"/>
                <w:w w:val="80"/>
              </w:rPr>
              <w:t>5.4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w:t>
            </w:r>
          </w:p>
        </w:tc>
        <w:tc>
          <w:tcPr>
            <w:tcW w:w="0" w:type="dxa"/>
            <w:vAlign w:val="bottom"/>
          </w:tcPr>
          <w:p>
            <w:pPr>
              <w:spacing w:after="0"/>
              <w:rPr>
                <w:sz w:val="1"/>
                <w:szCs w:val="1"/>
                <w:color w:val="auto"/>
              </w:rPr>
            </w:pPr>
          </w:p>
        </w:tc>
      </w:tr>
      <w:tr>
        <w:trPr>
          <w:trHeight w:val="222"/>
        </w:trPr>
        <w:tc>
          <w:tcPr>
            <w:tcW w:w="2480" w:type="dxa"/>
            <w:vAlign w:val="bottom"/>
          </w:tcPr>
          <w:p>
            <w:pPr>
              <w:ind w:left="20"/>
              <w:spacing w:after="0"/>
              <w:rPr>
                <w:sz w:val="20"/>
                <w:szCs w:val="20"/>
                <w:color w:val="auto"/>
              </w:rPr>
            </w:pPr>
            <w:r>
              <w:rPr>
                <w:rFonts w:ascii="Arial" w:cs="Arial" w:eastAsia="Arial" w:hAnsi="Arial"/>
                <w:sz w:val="17"/>
                <w:szCs w:val="17"/>
                <w:color w:val="auto"/>
              </w:rPr>
              <w:t>Additional shares authorized</w:t>
            </w:r>
          </w:p>
        </w:tc>
        <w:tc>
          <w:tcPr>
            <w:tcW w:w="124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rPr>
              <w:t>Options exercised and restricted</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units and awards released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line="170" w:lineRule="exact"/>
              <w:rPr>
                <w:sz w:val="20"/>
                <w:szCs w:val="20"/>
                <w:color w:val="auto"/>
              </w:rPr>
            </w:pPr>
            <w:r>
              <w:rPr>
                <w:rFonts w:ascii="Arial" w:cs="Arial" w:eastAsia="Arial" w:hAnsi="Arial"/>
                <w:sz w:val="17"/>
                <w:szCs w:val="17"/>
                <w:color w:val="auto"/>
                <w:w w:val="97"/>
              </w:rPr>
              <w:t>Options and restricted stock units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80" w:type="dxa"/>
            <w:vAlign w:val="bottom"/>
          </w:tcPr>
          <w:p>
            <w:pPr>
              <w:ind w:left="20"/>
              <w:spacing w:after="0"/>
              <w:rPr>
                <w:sz w:val="20"/>
                <w:szCs w:val="20"/>
                <w:color w:val="auto"/>
              </w:rPr>
            </w:pPr>
            <w:r>
              <w:rPr>
                <w:rFonts w:ascii="Arial" w:cs="Arial" w:eastAsia="Arial" w:hAnsi="Arial"/>
                <w:sz w:val="17"/>
                <w:szCs w:val="17"/>
                <w:color w:val="auto"/>
              </w:rPr>
              <w:t>and awards canceled</w:t>
            </w:r>
          </w:p>
        </w:tc>
        <w:tc>
          <w:tcPr>
            <w:tcW w:w="12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22.81</w:t>
            </w: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rPr>
              <w:t>Shares withheld related to net</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w w:val="92"/>
              </w:rPr>
              <w:t>share settlement of restricted stock</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units and awards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w:t>
            </w: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line="170" w:lineRule="exact"/>
              <w:rPr>
                <w:sz w:val="20"/>
                <w:szCs w:val="20"/>
                <w:color w:val="auto"/>
              </w:rPr>
            </w:pPr>
            <w:r>
              <w:rPr>
                <w:rFonts w:ascii="Arial" w:cs="Arial" w:eastAsia="Arial" w:hAnsi="Arial"/>
                <w:sz w:val="17"/>
                <w:szCs w:val="17"/>
                <w:color w:val="auto"/>
                <w:w w:val="97"/>
              </w:rPr>
              <w:t>Options and restricted stock units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and awards granted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23.16</w:t>
            </w:r>
          </w:p>
        </w:tc>
        <w:tc>
          <w:tcPr>
            <w:tcW w:w="0" w:type="dxa"/>
            <w:vAlign w:val="bottom"/>
          </w:tcPr>
          <w:p>
            <w:pPr>
              <w:spacing w:after="0"/>
              <w:rPr>
                <w:sz w:val="1"/>
                <w:szCs w:val="1"/>
                <w:color w:val="auto"/>
              </w:rPr>
            </w:pPr>
          </w:p>
        </w:tc>
      </w:tr>
      <w:tr>
        <w:trPr>
          <w:trHeight w:val="227"/>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June 30, 2022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13.39</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w w:val="80"/>
              </w:rPr>
              <w:t>4.6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23.84</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Vested at June 30, 2022</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48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0.5</w:t>
            </w:r>
          </w:p>
        </w:tc>
        <w:tc>
          <w:tcPr>
            <w:tcW w:w="26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17.61</w:t>
            </w:r>
          </w:p>
        </w:tc>
        <w:tc>
          <w:tcPr>
            <w:tcW w:w="100" w:type="dxa"/>
            <w:vAlign w:val="bottom"/>
          </w:tcPr>
          <w:p>
            <w:pPr>
              <w:spacing w:after="0"/>
              <w:rPr>
                <w:sz w:val="15"/>
                <w:szCs w:val="15"/>
                <w:color w:val="auto"/>
              </w:rPr>
            </w:pPr>
          </w:p>
        </w:tc>
        <w:tc>
          <w:tcPr>
            <w:tcW w:w="1120" w:type="dxa"/>
            <w:vAlign w:val="bottom"/>
          </w:tcPr>
          <w:p>
            <w:pPr>
              <w:ind w:left="920"/>
              <w:spacing w:after="0" w:line="181" w:lineRule="exact"/>
              <w:rPr>
                <w:sz w:val="20"/>
                <w:szCs w:val="20"/>
                <w:color w:val="auto"/>
              </w:rPr>
            </w:pPr>
            <w:r>
              <w:rPr>
                <w:rFonts w:ascii="Arial" w:cs="Arial" w:eastAsia="Arial" w:hAnsi="Arial"/>
                <w:sz w:val="16"/>
                <w:szCs w:val="16"/>
                <w:color w:val="auto"/>
                <w:w w:val="80"/>
              </w:rPr>
              <w:t>3.7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2.6</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June 30, 2022</w:t>
            </w: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23.84</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information about the pre-tax intrinsic value of options exercised during the three and six months ended June 30, 2022:</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100" w:type="dxa"/>
            <w:vAlign w:val="bottom"/>
            <w:gridSpan w:val="4"/>
          </w:tcPr>
          <w:p>
            <w:pPr>
              <w:jc w:val="center"/>
              <w:ind w:left="393"/>
              <w:spacing w:after="0"/>
              <w:rPr>
                <w:sz w:val="20"/>
                <w:szCs w:val="20"/>
                <w:color w:val="auto"/>
              </w:rPr>
            </w:pPr>
            <w:r>
              <w:rPr>
                <w:rFonts w:ascii="Arial" w:cs="Arial" w:eastAsia="Arial" w:hAnsi="Arial"/>
                <w:sz w:val="17"/>
                <w:szCs w:val="17"/>
                <w:b w:val="1"/>
                <w:bCs w:val="1"/>
                <w:color w:val="auto"/>
                <w:w w:val="93"/>
              </w:rPr>
              <w:t>Three Months Ended</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Six Months Ended</w:t>
            </w:r>
          </w:p>
        </w:tc>
        <w:tc>
          <w:tcPr>
            <w:tcW w:w="1080" w:type="dxa"/>
            <w:vAlign w:val="bottom"/>
          </w:tcPr>
          <w:p>
            <w:pPr>
              <w:spacing w:after="0"/>
              <w:rPr>
                <w:sz w:val="16"/>
                <w:szCs w:val="16"/>
                <w:color w:val="auto"/>
              </w:rPr>
            </w:pPr>
          </w:p>
        </w:tc>
      </w:tr>
      <w:tr>
        <w:trPr>
          <w:trHeight w:val="222"/>
        </w:trPr>
        <w:tc>
          <w:tcPr>
            <w:tcW w:w="396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center"/>
              <w:ind w:right="673"/>
              <w:spacing w:after="0"/>
              <w:rPr>
                <w:sz w:val="20"/>
                <w:szCs w:val="20"/>
                <w:color w:val="auto"/>
              </w:rPr>
            </w:pPr>
            <w:r>
              <w:rPr>
                <w:rFonts w:ascii="Arial" w:cs="Arial" w:eastAsia="Arial" w:hAnsi="Arial"/>
                <w:sz w:val="17"/>
                <w:szCs w:val="17"/>
                <w:b w:val="1"/>
                <w:bCs w:val="1"/>
                <w:color w:val="auto"/>
                <w:w w:val="91"/>
              </w:rPr>
              <w:t>June 30,</w:t>
            </w:r>
          </w:p>
        </w:tc>
        <w:tc>
          <w:tcPr>
            <w:tcW w:w="5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1"/>
              </w:rPr>
              <w:t>June 30,</w:t>
            </w:r>
          </w:p>
        </w:tc>
        <w:tc>
          <w:tcPr>
            <w:tcW w:w="1080" w:type="dxa"/>
            <w:vAlign w:val="bottom"/>
            <w:tcBorders>
              <w:bottom w:val="single" w:sz="8" w:color="auto"/>
            </w:tcBorders>
          </w:tcPr>
          <w:p>
            <w:pPr>
              <w:spacing w:after="0"/>
              <w:rPr>
                <w:sz w:val="19"/>
                <w:szCs w:val="19"/>
                <w:color w:val="auto"/>
              </w:rPr>
            </w:pPr>
          </w:p>
        </w:tc>
      </w:tr>
      <w:tr>
        <w:trPr>
          <w:trHeight w:val="215"/>
        </w:trPr>
        <w:tc>
          <w:tcPr>
            <w:tcW w:w="39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95"/>
              </w:rPr>
              <w:t>2021</w:t>
            </w:r>
          </w:p>
        </w:tc>
      </w:tr>
      <w:tr>
        <w:trPr>
          <w:trHeight w:val="215"/>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Intrinsic value of options exercised</w:t>
            </w:r>
          </w:p>
        </w:tc>
        <w:tc>
          <w:tcPr>
            <w:tcW w:w="1240" w:type="dxa"/>
            <w:vAlign w:val="bottom"/>
            <w:shd w:val="clear" w:color="auto" w:fill="CCEEFF"/>
          </w:tcPr>
          <w:p>
            <w:pPr>
              <w:jc w:val="right"/>
              <w:ind w:right="105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5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r>
    </w:tbl>
    <w:p>
      <w:pPr>
        <w:spacing w:after="0" w:line="314" w:lineRule="exact"/>
        <w:rPr>
          <w:sz w:val="20"/>
          <w:szCs w:val="20"/>
          <w:color w:val="auto"/>
        </w:rPr>
      </w:pPr>
    </w:p>
    <w:p>
      <w:pPr>
        <w:ind w:right="120" w:firstLine="430"/>
        <w:spacing w:after="0" w:line="271" w:lineRule="auto"/>
        <w:rPr>
          <w:sz w:val="20"/>
          <w:szCs w:val="20"/>
          <w:color w:val="auto"/>
        </w:rPr>
      </w:pPr>
      <w:r>
        <w:rPr>
          <w:rFonts w:ascii="Arial" w:cs="Arial" w:eastAsia="Arial" w:hAnsi="Arial"/>
          <w:sz w:val="17"/>
          <w:szCs w:val="17"/>
          <w:color w:val="auto"/>
        </w:rPr>
        <w:t>As of June 30, 2022, unamortized stock-based compensation related to unvested stock options, restricted stock awards (excluding the Co-Founder Grant), and RSUs was $800.5 million. The weighted-average period over which such compensation expense will be recognized if the requisite service is provided is approximately 3.0 years as of June 30, 2022.</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Assumed stock options</w:t>
      </w:r>
    </w:p>
    <w:p>
      <w:pPr>
        <w:spacing w:after="0" w:line="117" w:lineRule="exact"/>
        <w:rPr>
          <w:sz w:val="20"/>
          <w:szCs w:val="20"/>
          <w:color w:val="auto"/>
        </w:rPr>
      </w:pPr>
    </w:p>
    <w:p>
      <w:pPr>
        <w:ind w:right="440" w:firstLine="430"/>
        <w:spacing w:after="0" w:line="287" w:lineRule="auto"/>
        <w:rPr>
          <w:sz w:val="20"/>
          <w:szCs w:val="20"/>
          <w:color w:val="auto"/>
        </w:rPr>
      </w:pPr>
      <w:r>
        <w:rPr>
          <w:rFonts w:ascii="Arial" w:cs="Arial" w:eastAsia="Arial" w:hAnsi="Arial"/>
          <w:sz w:val="17"/>
          <w:szCs w:val="17"/>
          <w:color w:val="auto"/>
        </w:rPr>
        <w:t>In connection with the acquisition of DocSend the Company assumed 0.4 million unvested stock options which were valued using the Black-Scholes option-pricing model. The fair value of stock options assumed were estimated using the following assumptions: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5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47 %</w:t>
            </w:r>
          </w:p>
        </w:tc>
      </w:tr>
      <w:tr>
        <w:trPr>
          <w:trHeight w:val="222"/>
        </w:trPr>
        <w:tc>
          <w:tcPr>
            <w:tcW w:w="594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5260" w:type="dxa"/>
            <w:vAlign w:val="bottom"/>
          </w:tcPr>
          <w:p>
            <w:pPr>
              <w:jc w:val="right"/>
              <w:spacing w:after="0"/>
              <w:rPr>
                <w:sz w:val="20"/>
                <w:szCs w:val="20"/>
                <w:color w:val="auto"/>
              </w:rPr>
            </w:pPr>
            <w:r>
              <w:rPr>
                <w:rFonts w:ascii="Arial" w:cs="Arial" w:eastAsia="Arial" w:hAnsi="Arial"/>
                <w:sz w:val="17"/>
                <w:szCs w:val="17"/>
                <w:color w:val="auto"/>
              </w:rPr>
              <w:t>2.0 - 6.8</w:t>
            </w:r>
          </w:p>
        </w:tc>
      </w:tr>
      <w:tr>
        <w:trPr>
          <w:trHeight w:val="222"/>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5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0.15% - 1.29%</w:t>
            </w:r>
          </w:p>
        </w:tc>
      </w:tr>
      <w:tr>
        <w:trPr>
          <w:trHeight w:val="222"/>
        </w:trPr>
        <w:tc>
          <w:tcPr>
            <w:tcW w:w="594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5260" w:type="dxa"/>
            <w:vAlign w:val="bottom"/>
          </w:tcPr>
          <w:p>
            <w:pPr>
              <w:jc w:val="right"/>
              <w:spacing w:after="0"/>
              <w:rPr>
                <w:sz w:val="20"/>
                <w:szCs w:val="20"/>
                <w:color w:val="auto"/>
              </w:rPr>
            </w:pPr>
            <w:r>
              <w:rPr>
                <w:rFonts w:ascii="Arial" w:cs="Arial" w:eastAsia="Arial" w:hAnsi="Arial"/>
                <w:sz w:val="17"/>
                <w:szCs w:val="17"/>
                <w:color w:val="auto"/>
              </w:rPr>
              <w:t>— %</w:t>
            </w:r>
          </w:p>
        </w:tc>
      </w:tr>
    </w:tbl>
    <w:p>
      <w:pPr>
        <w:spacing w:after="0" w:line="301" w:lineRule="exact"/>
        <w:rPr>
          <w:sz w:val="20"/>
          <w:szCs w:val="20"/>
          <w:color w:val="auto"/>
        </w:rPr>
      </w:pPr>
    </w:p>
    <w:p>
      <w:pPr>
        <w:ind w:right="220" w:firstLine="430"/>
        <w:spacing w:after="0" w:line="263"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expected volatility is based on the Company's historical volatility. Management believes this is the best estimate of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volatility over the expected life of its stock options.</w:t>
      </w:r>
    </w:p>
    <w:p>
      <w:pPr>
        <w:spacing w:after="0" w:line="1" w:lineRule="exact"/>
        <w:rPr>
          <w:sz w:val="20"/>
          <w:szCs w:val="20"/>
          <w:color w:val="auto"/>
        </w:rPr>
      </w:pPr>
    </w:p>
    <w:p>
      <w:pPr>
        <w:ind w:right="240" w:firstLine="430"/>
        <w:spacing w:after="0" w:line="288"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Company determines the expected term based on the average period the stock options are expected to remain outstanding,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calculated as the midpoint of the stock options’ remaining vesting term and contractual expiration period, as the Company does not have sufficient historical information to develop reasonable expectations about future exercise patterns and post-vesting employment termination behavior.</w:t>
      </w:r>
    </w:p>
    <w:p>
      <w:pPr>
        <w:spacing w:after="0" w:line="186" w:lineRule="exact"/>
        <w:rPr>
          <w:sz w:val="20"/>
          <w:szCs w:val="20"/>
          <w:color w:val="auto"/>
        </w:rPr>
      </w:pPr>
    </w:p>
    <w:p>
      <w:pPr>
        <w:ind w:right="580" w:firstLine="430"/>
        <w:spacing w:after="0" w:line="287"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 The risk-free interest rate is based on the U.S. Treasury security in effect at the time the options were assumed for maturities</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with the expected term of the option.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Expected dividend yield</w:t>
      </w:r>
      <w:r>
        <w:rPr>
          <w:rFonts w:ascii="Arial" w:cs="Arial" w:eastAsia="Arial" w:hAnsi="Arial"/>
          <w:sz w:val="15"/>
          <w:szCs w:val="15"/>
          <w:color w:val="auto"/>
        </w:rPr>
        <w:t>. The Company has not paid and does not expect to pay dividends. Consequently, the Company uses an expected dividend yield of</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zero.</w:t>
      </w:r>
    </w:p>
    <w:p>
      <w:pPr>
        <w:spacing w:after="0" w:line="236" w:lineRule="exact"/>
        <w:rPr>
          <w:sz w:val="20"/>
          <w:szCs w:val="20"/>
          <w:color w:val="auto"/>
        </w:rPr>
      </w:pPr>
    </w:p>
    <w:p>
      <w:pPr>
        <w:ind w:right="60" w:firstLine="430"/>
        <w:spacing w:after="0" w:line="287" w:lineRule="auto"/>
        <w:rPr>
          <w:sz w:val="20"/>
          <w:szCs w:val="20"/>
          <w:color w:val="auto"/>
        </w:rPr>
      </w:pPr>
      <w:r>
        <w:rPr>
          <w:rFonts w:ascii="Arial" w:cs="Arial" w:eastAsia="Arial" w:hAnsi="Arial"/>
          <w:sz w:val="17"/>
          <w:szCs w:val="17"/>
          <w:color w:val="auto"/>
        </w:rPr>
        <w:t>In connection with the acquisition of DocSend, the estimated weighted-average grant date fair value for stock options assumed was $25.28 per share and a total fair value of $9.3 million, of which, $8.1 million will be recognized as post-combination stock-based compensation expense.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Co-Founder Grant</w:t>
      </w:r>
    </w:p>
    <w:p>
      <w:pPr>
        <w:spacing w:after="0" w:line="117" w:lineRule="exact"/>
        <w:rPr>
          <w:sz w:val="20"/>
          <w:szCs w:val="20"/>
          <w:color w:val="auto"/>
        </w:rPr>
      </w:pPr>
    </w:p>
    <w:p>
      <w:pPr>
        <w:ind w:firstLine="430"/>
        <w:spacing w:after="0" w:line="263" w:lineRule="auto"/>
        <w:rPr>
          <w:sz w:val="20"/>
          <w:szCs w:val="20"/>
          <w:color w:val="auto"/>
        </w:rPr>
      </w:pPr>
      <w:r>
        <w:rPr>
          <w:rFonts w:ascii="Arial" w:cs="Arial" w:eastAsia="Arial" w:hAnsi="Arial"/>
          <w:sz w:val="17"/>
          <w:szCs w:val="17"/>
          <w:color w:val="auto"/>
        </w:rPr>
        <w:t>In December 2017, the Board of Directors approved the Company's Co-Founder Grant, consisting of 10.3 million shares of Class A common stock in the form of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Co-Founder Grant also provides the holder with certain stockholder rights, such as the right to vote the shares with the other holders of Class A common stock and a right to cumulative declared dividends.</w:t>
      </w:r>
    </w:p>
    <w:p>
      <w:pPr>
        <w:spacing w:after="0" w:line="207" w:lineRule="exact"/>
        <w:rPr>
          <w:sz w:val="20"/>
          <w:szCs w:val="20"/>
          <w:color w:val="auto"/>
        </w:rPr>
      </w:pPr>
    </w:p>
    <w:p>
      <w:pPr>
        <w:jc w:val="both"/>
        <w:ind w:right="140" w:firstLine="430"/>
        <w:spacing w:after="0" w:line="271" w:lineRule="auto"/>
        <w:rPr>
          <w:sz w:val="20"/>
          <w:szCs w:val="20"/>
          <w:color w:val="auto"/>
        </w:rPr>
      </w:pPr>
      <w:r>
        <w:rPr>
          <w:rFonts w:ascii="Arial" w:cs="Arial" w:eastAsia="Arial" w:hAnsi="Arial"/>
          <w:sz w:val="17"/>
          <w:szCs w:val="17"/>
          <w:color w:val="auto"/>
        </w:rPr>
        <w:t>The Co-Founder Grant is eligible to vest over the ten-year period following the date the Company’s shares of Class A common stock commenced trading on the Nasdaq Global Select Market in connection with the Company’s IPO. The Co-Founder Grant is comprised of nine tranches that are eligible to vest based on the achievement of stock price goals, each of</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color w:val="auto"/>
        </w:rPr>
        <w:t>which are referred to as a Stock Price Target, measured over a consecutive thirty-day trading period during the Performance Period. The Performance Period began on January 1, 2019.</w:t>
      </w:r>
    </w:p>
    <w:p>
      <w:pPr>
        <w:spacing w:after="0" w:line="184" w:lineRule="exact"/>
        <w:rPr>
          <w:sz w:val="20"/>
          <w:szCs w:val="20"/>
          <w:color w:val="auto"/>
        </w:rPr>
      </w:pPr>
    </w:p>
    <w:p>
      <w:pPr>
        <w:ind w:right="320" w:firstLine="430"/>
        <w:spacing w:after="0" w:line="287" w:lineRule="auto"/>
        <w:rPr>
          <w:sz w:val="20"/>
          <w:szCs w:val="20"/>
          <w:color w:val="auto"/>
        </w:rPr>
      </w:pPr>
      <w:r>
        <w:rPr>
          <w:rFonts w:ascii="Arial" w:cs="Arial" w:eastAsia="Arial" w:hAnsi="Arial"/>
          <w:sz w:val="17"/>
          <w:szCs w:val="17"/>
          <w:color w:val="auto"/>
        </w:rPr>
        <w:t>During the first four years of the Performance Period, no more than 20% of the shares subject to the Co-Founder Grant would be eligible to vest in any calendar year. After the first four years, all shares are eligible to vest based on the achievement of the Stock Price Targets.</w:t>
      </w:r>
    </w:p>
    <w:p>
      <w:pPr>
        <w:spacing w:after="0" w:line="184" w:lineRule="exact"/>
        <w:rPr>
          <w:sz w:val="20"/>
          <w:szCs w:val="20"/>
          <w:color w:val="auto"/>
        </w:rPr>
      </w:pPr>
    </w:p>
    <w:p>
      <w:pPr>
        <w:ind w:firstLine="430"/>
        <w:spacing w:after="0" w:line="266" w:lineRule="auto"/>
        <w:rPr>
          <w:sz w:val="20"/>
          <w:szCs w:val="20"/>
          <w:color w:val="auto"/>
        </w:rPr>
      </w:pPr>
      <w:r>
        <w:rPr>
          <w:rFonts w:ascii="Arial" w:cs="Arial" w:eastAsia="Arial" w:hAnsi="Arial"/>
          <w:sz w:val="17"/>
          <w:szCs w:val="17"/>
          <w:color w:val="auto"/>
        </w:rPr>
        <w:t>The first tranche of Mr. Houston's Co-Founder Grant, or 2.1 million shares of Class A common stock, vested in the fourth quarter of 2021. The stock-based compensation expense for Mr. Houston's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w:t>
      </w:r>
    </w:p>
    <w:p>
      <w:pPr>
        <w:spacing w:after="0" w:line="203" w:lineRule="exact"/>
        <w:rPr>
          <w:sz w:val="20"/>
          <w:szCs w:val="20"/>
          <w:color w:val="auto"/>
        </w:rPr>
      </w:pPr>
    </w:p>
    <w:p>
      <w:pPr>
        <w:ind w:right="200" w:firstLine="430"/>
        <w:spacing w:after="0" w:line="271" w:lineRule="auto"/>
        <w:rPr>
          <w:sz w:val="20"/>
          <w:szCs w:val="20"/>
          <w:color w:val="auto"/>
        </w:rPr>
      </w:pPr>
      <w:r>
        <w:rPr>
          <w:rFonts w:ascii="Arial" w:cs="Arial" w:eastAsia="Arial" w:hAnsi="Arial"/>
          <w:sz w:val="17"/>
          <w:szCs w:val="17"/>
          <w:color w:val="auto"/>
        </w:rPr>
        <w:t>The Company recognized stock-based compensation expense related to the Co-Founder Grant of $3.3 million and $6.9 million during the three and six months ended June 30, 2022, respectively, and $3.6 million and $7.2 million during the three and six months ended June 30, 2021, respectively. As of June 30, 2022, unamortized stock-based compensation expense related to the Co-Founder Grant was $14.3 million.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Net Income Per Share</w:t>
      </w:r>
    </w:p>
    <w:p>
      <w:pPr>
        <w:spacing w:after="0" w:line="254" w:lineRule="exact"/>
        <w:rPr>
          <w:sz w:val="20"/>
          <w:szCs w:val="20"/>
          <w:color w:val="auto"/>
        </w:rPr>
      </w:pPr>
    </w:p>
    <w:p>
      <w:pPr>
        <w:ind w:firstLine="430"/>
        <w:spacing w:after="0" w:line="296" w:lineRule="auto"/>
        <w:rPr>
          <w:sz w:val="20"/>
          <w:szCs w:val="20"/>
          <w:color w:val="auto"/>
        </w:rPr>
      </w:pPr>
      <w:r>
        <w:rPr>
          <w:rFonts w:ascii="Arial" w:cs="Arial" w:eastAsia="Arial" w:hAnsi="Arial"/>
          <w:sz w:val="16"/>
          <w:szCs w:val="16"/>
          <w:color w:val="auto"/>
        </w:rPr>
        <w:t>The Company computes net income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spacing w:after="0" w:line="180" w:lineRule="exact"/>
        <w:rPr>
          <w:sz w:val="20"/>
          <w:szCs w:val="20"/>
          <w:color w:val="auto"/>
        </w:rPr>
      </w:pPr>
    </w:p>
    <w:p>
      <w:pPr>
        <w:ind w:right="380" w:firstLine="430"/>
        <w:spacing w:after="0" w:line="287" w:lineRule="auto"/>
        <w:rPr>
          <w:sz w:val="20"/>
          <w:szCs w:val="20"/>
          <w:color w:val="auto"/>
        </w:rPr>
      </w:pPr>
      <w:r>
        <w:rPr>
          <w:rFonts w:ascii="Arial" w:cs="Arial" w:eastAsia="Arial" w:hAnsi="Arial"/>
          <w:sz w:val="17"/>
          <w:szCs w:val="17"/>
          <w:color w:val="auto"/>
        </w:rPr>
        <w:t>Basic net income per share is computed by dividing net income attributable to common stockholders by the weighted-average number of shares of the Class A and Class B common stock outstanding.</w:t>
      </w:r>
    </w:p>
    <w:p>
      <w:pPr>
        <w:spacing w:after="0" w:line="184" w:lineRule="exact"/>
        <w:rPr>
          <w:sz w:val="20"/>
          <w:szCs w:val="20"/>
          <w:color w:val="auto"/>
        </w:rPr>
      </w:pPr>
    </w:p>
    <w:p>
      <w:pPr>
        <w:ind w:right="20" w:firstLine="391"/>
        <w:spacing w:after="0" w:line="284" w:lineRule="auto"/>
        <w:rPr>
          <w:sz w:val="20"/>
          <w:szCs w:val="20"/>
          <w:color w:val="auto"/>
        </w:rPr>
      </w:pPr>
      <w:r>
        <w:rPr>
          <w:rFonts w:ascii="Arial" w:cs="Arial" w:eastAsia="Arial" w:hAnsi="Arial"/>
          <w:sz w:val="16"/>
          <w:szCs w:val="16"/>
          <w:color w:val="auto"/>
        </w:rPr>
        <w:t>Diluted net income per share is computed by dividing net income attributable to common stockholders by the weighted-average number of diluted common shares outstanding. The computation of the diluted net income per share of Class A common stock assumes the conversion of the Company's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and the 2028 Notes, and by application of the treasury stock method for the Company's other potentially dilutive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440" w:firstLine="391"/>
        <w:spacing w:after="0" w:line="287" w:lineRule="auto"/>
        <w:rPr>
          <w:sz w:val="20"/>
          <w:szCs w:val="20"/>
          <w:color w:val="auto"/>
        </w:rPr>
      </w:pPr>
      <w:r>
        <w:rPr>
          <w:rFonts w:ascii="Arial" w:cs="Arial" w:eastAsia="Arial" w:hAnsi="Arial"/>
          <w:sz w:val="17"/>
          <w:szCs w:val="17"/>
          <w:color w:val="auto"/>
        </w:rPr>
        <w:t>The numerators and denominators of the basic and diluted EPS computations for the Company's common stock are calculated as follows (in millions, except for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5"/>
          </w:tcPr>
          <w:p>
            <w:pPr>
              <w:ind w:left="440"/>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16"/>
                <w:szCs w:val="16"/>
                <w:color w:val="auto"/>
              </w:rPr>
            </w:pPr>
          </w:p>
        </w:tc>
        <w:tc>
          <w:tcPr>
            <w:tcW w:w="2600" w:type="dxa"/>
            <w:vAlign w:val="bottom"/>
            <w:gridSpan w:val="4"/>
          </w:tcPr>
          <w:p>
            <w:pPr>
              <w:jc w:val="right"/>
              <w:ind w:right="553"/>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22"/>
        </w:trPr>
        <w:tc>
          <w:tcPr>
            <w:tcW w:w="5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7"/>
                <w:szCs w:val="17"/>
                <w:b w:val="1"/>
                <w:bCs w:val="1"/>
                <w:color w:val="auto"/>
              </w:rPr>
              <w:t>2022</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7"/>
                <w:szCs w:val="17"/>
                <w:b w:val="1"/>
                <w:bCs w:val="1"/>
                <w:color w:val="auto"/>
              </w:rPr>
              <w:t>2021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7"/>
                <w:szCs w:val="17"/>
                <w:color w:val="auto"/>
              </w:rPr>
              <w:t>Class A</w:t>
            </w:r>
          </w:p>
        </w:tc>
        <w:tc>
          <w:tcPr>
            <w:tcW w:w="38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7"/>
                <w:szCs w:val="17"/>
                <w:color w:val="auto"/>
              </w:rPr>
              <w:t>Class B</w:t>
            </w:r>
          </w:p>
        </w:tc>
        <w:tc>
          <w:tcPr>
            <w:tcW w:w="26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7"/>
                <w:szCs w:val="17"/>
                <w:color w:val="auto"/>
              </w:rPr>
              <w:t>Class A</w:t>
            </w:r>
          </w:p>
        </w:tc>
        <w:tc>
          <w:tcPr>
            <w:tcW w:w="340" w:type="dxa"/>
            <w:vAlign w:val="bottom"/>
          </w:tcPr>
          <w:p>
            <w:pPr>
              <w:spacing w:after="0"/>
              <w:rPr>
                <w:sz w:val="18"/>
                <w:szCs w:val="18"/>
                <w:color w:val="auto"/>
              </w:rPr>
            </w:pPr>
          </w:p>
        </w:tc>
        <w:tc>
          <w:tcPr>
            <w:tcW w:w="1040" w:type="dxa"/>
            <w:vAlign w:val="bottom"/>
          </w:tcPr>
          <w:p>
            <w:pPr>
              <w:jc w:val="right"/>
              <w:ind w:right="333"/>
              <w:spacing w:after="0"/>
              <w:rPr>
                <w:sz w:val="20"/>
                <w:szCs w:val="20"/>
                <w:color w:val="auto"/>
              </w:rPr>
            </w:pPr>
            <w:r>
              <w:rPr>
                <w:rFonts w:ascii="Arial" w:cs="Arial" w:eastAsia="Arial" w:hAnsi="Arial"/>
                <w:sz w:val="17"/>
                <w:szCs w:val="17"/>
                <w:color w:val="auto"/>
              </w:rPr>
              <w:t>Class B</w:t>
            </w:r>
          </w:p>
        </w:tc>
        <w:tc>
          <w:tcPr>
            <w:tcW w:w="0" w:type="dxa"/>
            <w:vAlign w:val="bottom"/>
          </w:tcPr>
          <w:p>
            <w:pPr>
              <w:spacing w:after="0"/>
              <w:rPr>
                <w:sz w:val="1"/>
                <w:szCs w:val="1"/>
                <w:color w:val="auto"/>
              </w:rPr>
            </w:pPr>
          </w:p>
        </w:tc>
      </w:tr>
      <w:tr>
        <w:trPr>
          <w:trHeight w:val="202"/>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net income per share:</w:t>
            </w: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Arial" w:cs="Arial" w:eastAsia="Arial" w:hAnsi="Arial"/>
                <w:sz w:val="17"/>
                <w:szCs w:val="17"/>
                <w:color w:val="auto"/>
              </w:rPr>
              <w:t>Numerator</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income attributable to common stockholders</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Denominator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rPr>
              <w:t>Weighted-average number of common shares outstanding used in</w:t>
            </w:r>
          </w:p>
        </w:tc>
        <w:tc>
          <w:tcPr>
            <w:tcW w:w="2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281.4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82.7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305.3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215"/>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computing basic net income per share</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income per common share, basic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80" w:type="dxa"/>
            <w:vAlign w:val="bottom"/>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0.17</w:t>
            </w:r>
          </w:p>
        </w:tc>
        <w:tc>
          <w:tcPr>
            <w:tcW w:w="100" w:type="dxa"/>
            <w:vAlign w:val="bottom"/>
          </w:tcPr>
          <w:p>
            <w:pPr>
              <w:spacing w:after="0"/>
              <w:rPr>
                <w:sz w:val="16"/>
                <w:szCs w:val="16"/>
                <w:color w:val="auto"/>
              </w:rPr>
            </w:pPr>
          </w:p>
        </w:tc>
        <w:tc>
          <w:tcPr>
            <w:tcW w:w="380" w:type="dxa"/>
            <w:vAlign w:val="bottom"/>
          </w:tcPr>
          <w:p>
            <w:pPr>
              <w:jc w:val="right"/>
              <w:ind w:right="173"/>
              <w:spacing w:after="0" w:line="194"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0.17</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0.23</w:t>
            </w:r>
          </w:p>
        </w:tc>
        <w:tc>
          <w:tcPr>
            <w:tcW w:w="100" w:type="dxa"/>
            <w:vAlign w:val="bottom"/>
          </w:tcPr>
          <w:p>
            <w:pPr>
              <w:spacing w:after="0"/>
              <w:rPr>
                <w:sz w:val="16"/>
                <w:szCs w:val="16"/>
                <w:color w:val="auto"/>
              </w:rPr>
            </w:pPr>
          </w:p>
        </w:tc>
        <w:tc>
          <w:tcPr>
            <w:tcW w:w="340" w:type="dxa"/>
            <w:vAlign w:val="bottom"/>
          </w:tcPr>
          <w:p>
            <w:pPr>
              <w:jc w:val="right"/>
              <w:ind w:right="153"/>
              <w:spacing w:after="0" w:line="194" w:lineRule="exact"/>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0.23</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net income per share: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Arial" w:cs="Arial" w:eastAsia="Arial" w:hAnsi="Arial"/>
                <w:sz w:val="17"/>
                <w:szCs w:val="17"/>
                <w:color w:val="auto"/>
              </w:rPr>
              <w:t>Numerator</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attributable to common stockholders</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Arial" w:cs="Arial" w:eastAsia="Arial" w:hAnsi="Arial"/>
                <w:sz w:val="17"/>
                <w:szCs w:val="17"/>
                <w:color w:val="auto"/>
                <w:w w:val="94"/>
              </w:rPr>
              <w:t>Reallocation of net income as a result of conversion of Class B to Class A</w:t>
            </w:r>
          </w:p>
        </w:tc>
        <w:tc>
          <w:tcPr>
            <w:tcW w:w="2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380" w:type="dxa"/>
            <w:vAlign w:val="bottom"/>
          </w:tcPr>
          <w:p>
            <w:pPr>
              <w:ind w:left="140"/>
              <w:spacing w:after="0"/>
              <w:rPr>
                <w:sz w:val="20"/>
                <w:szCs w:val="20"/>
                <w:color w:val="auto"/>
              </w:rPr>
            </w:pPr>
            <w:r>
              <w:rPr>
                <w:rFonts w:ascii="Arial" w:cs="Arial" w:eastAsia="Arial" w:hAnsi="Arial"/>
                <w:sz w:val="17"/>
                <w:szCs w:val="17"/>
                <w:color w:val="auto"/>
              </w:rPr>
              <w:t>common stock</w:t>
            </w: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Reallocation of net income to Class B common stock</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Net income attributable to common stockholders for diluted EPS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80" w:type="dxa"/>
            <w:vAlign w:val="bottom"/>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62.0</w:t>
            </w:r>
          </w:p>
        </w:tc>
        <w:tc>
          <w:tcPr>
            <w:tcW w:w="100" w:type="dxa"/>
            <w:vAlign w:val="bottom"/>
          </w:tcPr>
          <w:p>
            <w:pPr>
              <w:spacing w:after="0"/>
              <w:rPr>
                <w:sz w:val="16"/>
                <w:szCs w:val="16"/>
                <w:color w:val="auto"/>
              </w:rPr>
            </w:pPr>
          </w:p>
        </w:tc>
        <w:tc>
          <w:tcPr>
            <w:tcW w:w="380" w:type="dxa"/>
            <w:vAlign w:val="bottom"/>
          </w:tcPr>
          <w:p>
            <w:pPr>
              <w:jc w:val="right"/>
              <w:ind w:right="173"/>
              <w:spacing w:after="0" w:line="194"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14.0</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87.9</w:t>
            </w:r>
          </w:p>
        </w:tc>
        <w:tc>
          <w:tcPr>
            <w:tcW w:w="100" w:type="dxa"/>
            <w:vAlign w:val="bottom"/>
          </w:tcPr>
          <w:p>
            <w:pPr>
              <w:spacing w:after="0"/>
              <w:rPr>
                <w:sz w:val="16"/>
                <w:szCs w:val="16"/>
                <w:color w:val="auto"/>
              </w:rPr>
            </w:pPr>
          </w:p>
        </w:tc>
        <w:tc>
          <w:tcPr>
            <w:tcW w:w="340" w:type="dxa"/>
            <w:vAlign w:val="bottom"/>
          </w:tcPr>
          <w:p>
            <w:pPr>
              <w:jc w:val="right"/>
              <w:ind w:right="153"/>
              <w:spacing w:after="0" w:line="194" w:lineRule="exact"/>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Arial" w:cs="Arial" w:eastAsia="Arial" w:hAnsi="Arial"/>
                <w:sz w:val="17"/>
                <w:szCs w:val="17"/>
                <w:color w:val="auto"/>
              </w:rPr>
              <w:t>Weighted-average number of common shares outstanding used in</w:t>
            </w:r>
          </w:p>
        </w:tc>
        <w:tc>
          <w:tcPr>
            <w:tcW w:w="2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281.4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82.7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305.3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221"/>
        </w:trPr>
        <w:tc>
          <w:tcPr>
            <w:tcW w:w="5380" w:type="dxa"/>
            <w:vAlign w:val="bottom"/>
          </w:tcPr>
          <w:p>
            <w:pPr>
              <w:ind w:left="140"/>
              <w:spacing w:after="0"/>
              <w:rPr>
                <w:sz w:val="20"/>
                <w:szCs w:val="20"/>
                <w:color w:val="auto"/>
              </w:rPr>
            </w:pPr>
            <w:r>
              <w:rPr>
                <w:rFonts w:ascii="Arial" w:cs="Arial" w:eastAsia="Arial" w:hAnsi="Arial"/>
                <w:sz w:val="17"/>
                <w:szCs w:val="17"/>
                <w:color w:val="auto"/>
              </w:rPr>
              <w:t>computing basic net income per share</w:t>
            </w: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w w:val="95"/>
              </w:rPr>
              <w:t>Weighted-average effect of dilutive restricted stock units and awards and</w:t>
            </w:r>
          </w:p>
        </w:tc>
        <w:tc>
          <w:tcPr>
            <w:tcW w:w="2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1"/>
        </w:trPr>
        <w:tc>
          <w:tcPr>
            <w:tcW w:w="5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employee stock options</w:t>
            </w:r>
          </w:p>
        </w:tc>
        <w:tc>
          <w:tcPr>
            <w:tcW w:w="2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140"/>
              <w:spacing w:after="0"/>
              <w:rPr>
                <w:sz w:val="20"/>
                <w:szCs w:val="20"/>
                <w:color w:val="auto"/>
              </w:rPr>
            </w:pPr>
            <w:r>
              <w:rPr>
                <w:rFonts w:ascii="Arial" w:cs="Arial" w:eastAsia="Arial" w:hAnsi="Arial"/>
                <w:sz w:val="17"/>
                <w:szCs w:val="17"/>
                <w:color w:val="auto"/>
              </w:rPr>
              <w:t>Conversion of Class B to Class A common stock</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380" w:type="dxa"/>
            <w:vAlign w:val="bottom"/>
            <w:shd w:val="clear" w:color="auto" w:fill="CCEEFF"/>
          </w:tcPr>
          <w:p>
            <w:pPr>
              <w:ind w:left="140"/>
              <w:spacing w:after="0" w:line="136" w:lineRule="exact"/>
              <w:rPr>
                <w:sz w:val="20"/>
                <w:szCs w:val="20"/>
                <w:color w:val="auto"/>
              </w:rPr>
            </w:pPr>
            <w:r>
              <w:rPr>
                <w:rFonts w:ascii="Arial" w:cs="Arial" w:eastAsia="Arial" w:hAnsi="Arial"/>
                <w:sz w:val="15"/>
                <w:szCs w:val="15"/>
                <w:color w:val="auto"/>
              </w:rPr>
              <w:t>Weighted-average number of common shares outstanding used in</w:t>
            </w:r>
          </w:p>
        </w:tc>
        <w:tc>
          <w:tcPr>
            <w:tcW w:w="2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365.7</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82.7</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397.0</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83.3</w:t>
            </w:r>
          </w:p>
        </w:tc>
        <w:tc>
          <w:tcPr>
            <w:tcW w:w="0" w:type="dxa"/>
            <w:vAlign w:val="bottom"/>
          </w:tcPr>
          <w:p>
            <w:pPr>
              <w:spacing w:after="0"/>
              <w:rPr>
                <w:sz w:val="1"/>
                <w:szCs w:val="1"/>
                <w:color w:val="auto"/>
              </w:rPr>
            </w:pPr>
          </w:p>
        </w:tc>
      </w:tr>
      <w:tr>
        <w:trPr>
          <w:trHeight w:val="215"/>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computing diluted net income per share</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Net income per common share,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0.17</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73"/>
              <w:spacing w:after="0" w:line="194"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0.17</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0.22</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3"/>
              <w:spacing w:after="0" w:line="194" w:lineRule="exact"/>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0.22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5"/>
          </w:tcPr>
          <w:p>
            <w:pPr>
              <w:ind w:left="540"/>
              <w:spacing w:after="0"/>
              <w:rPr>
                <w:sz w:val="20"/>
                <w:szCs w:val="20"/>
                <w:color w:val="auto"/>
              </w:rPr>
            </w:pPr>
            <w:r>
              <w:rPr>
                <w:rFonts w:ascii="Arial" w:cs="Arial" w:eastAsia="Arial" w:hAnsi="Arial"/>
                <w:sz w:val="17"/>
                <w:szCs w:val="17"/>
                <w:b w:val="1"/>
                <w:bCs w:val="1"/>
                <w:color w:val="auto"/>
              </w:rPr>
              <w:t>Six Months Ended</w:t>
            </w:r>
          </w:p>
        </w:tc>
        <w:tc>
          <w:tcPr>
            <w:tcW w:w="260" w:type="dxa"/>
            <w:vAlign w:val="bottom"/>
          </w:tcPr>
          <w:p>
            <w:pPr>
              <w:spacing w:after="0"/>
              <w:rPr>
                <w:sz w:val="16"/>
                <w:szCs w:val="16"/>
                <w:color w:val="auto"/>
              </w:rPr>
            </w:pPr>
          </w:p>
        </w:tc>
        <w:tc>
          <w:tcPr>
            <w:tcW w:w="2600" w:type="dxa"/>
            <w:vAlign w:val="bottom"/>
            <w:gridSpan w:val="4"/>
          </w:tcPr>
          <w:p>
            <w:pPr>
              <w:jc w:val="right"/>
              <w:ind w:right="653"/>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22"/>
        </w:trPr>
        <w:tc>
          <w:tcPr>
            <w:tcW w:w="5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7"/>
                <w:szCs w:val="17"/>
                <w:b w:val="1"/>
                <w:bCs w:val="1"/>
                <w:color w:val="auto"/>
              </w:rPr>
              <w:t>2022</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7"/>
                <w:szCs w:val="17"/>
                <w:b w:val="1"/>
                <w:bCs w:val="1"/>
                <w:color w:val="auto"/>
              </w:rPr>
              <w:t>2021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7"/>
                <w:szCs w:val="17"/>
                <w:color w:val="auto"/>
              </w:rPr>
              <w:t>Class A</w:t>
            </w:r>
          </w:p>
        </w:tc>
        <w:tc>
          <w:tcPr>
            <w:tcW w:w="38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7"/>
                <w:szCs w:val="17"/>
                <w:color w:val="auto"/>
              </w:rPr>
              <w:t>Class B</w:t>
            </w:r>
          </w:p>
        </w:tc>
        <w:tc>
          <w:tcPr>
            <w:tcW w:w="26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7"/>
                <w:szCs w:val="17"/>
                <w:color w:val="auto"/>
              </w:rPr>
              <w:t>Class A</w:t>
            </w:r>
          </w:p>
        </w:tc>
        <w:tc>
          <w:tcPr>
            <w:tcW w:w="340" w:type="dxa"/>
            <w:vAlign w:val="bottom"/>
          </w:tcPr>
          <w:p>
            <w:pPr>
              <w:spacing w:after="0"/>
              <w:rPr>
                <w:sz w:val="18"/>
                <w:szCs w:val="18"/>
                <w:color w:val="auto"/>
              </w:rPr>
            </w:pPr>
          </w:p>
        </w:tc>
        <w:tc>
          <w:tcPr>
            <w:tcW w:w="1040" w:type="dxa"/>
            <w:vAlign w:val="bottom"/>
          </w:tcPr>
          <w:p>
            <w:pPr>
              <w:jc w:val="right"/>
              <w:ind w:right="333"/>
              <w:spacing w:after="0"/>
              <w:rPr>
                <w:sz w:val="20"/>
                <w:szCs w:val="20"/>
                <w:color w:val="auto"/>
              </w:rPr>
            </w:pPr>
            <w:r>
              <w:rPr>
                <w:rFonts w:ascii="Arial" w:cs="Arial" w:eastAsia="Arial" w:hAnsi="Arial"/>
                <w:sz w:val="17"/>
                <w:szCs w:val="17"/>
                <w:color w:val="auto"/>
              </w:rPr>
              <w:t>Class B</w:t>
            </w:r>
          </w:p>
        </w:tc>
        <w:tc>
          <w:tcPr>
            <w:tcW w:w="0" w:type="dxa"/>
            <w:vAlign w:val="bottom"/>
          </w:tcPr>
          <w:p>
            <w:pPr>
              <w:spacing w:after="0"/>
              <w:rPr>
                <w:sz w:val="1"/>
                <w:szCs w:val="1"/>
                <w:color w:val="auto"/>
              </w:rPr>
            </w:pPr>
          </w:p>
        </w:tc>
      </w:tr>
      <w:tr>
        <w:trPr>
          <w:trHeight w:val="202"/>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net income per share:</w:t>
            </w: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Arial" w:cs="Arial" w:eastAsia="Arial" w:hAnsi="Arial"/>
                <w:sz w:val="17"/>
                <w:szCs w:val="17"/>
                <w:color w:val="auto"/>
              </w:rPr>
              <w:t>Numerator</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income attributable to common stockholders</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Denominator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rPr>
              <w:t>Weighted-average number of common shares outstanding used in</w:t>
            </w:r>
          </w:p>
        </w:tc>
        <w:tc>
          <w:tcPr>
            <w:tcW w:w="2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284.7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82.7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310.0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83.3</w:t>
            </w:r>
          </w:p>
        </w:tc>
        <w:tc>
          <w:tcPr>
            <w:tcW w:w="0" w:type="dxa"/>
            <w:vAlign w:val="bottom"/>
          </w:tcPr>
          <w:p>
            <w:pPr>
              <w:spacing w:after="0"/>
              <w:rPr>
                <w:sz w:val="1"/>
                <w:szCs w:val="1"/>
                <w:color w:val="auto"/>
              </w:rPr>
            </w:pPr>
          </w:p>
        </w:tc>
      </w:tr>
      <w:tr>
        <w:trPr>
          <w:trHeight w:val="215"/>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computing basic net income per share</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income per common share, basic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80" w:type="dxa"/>
            <w:vAlign w:val="bottom"/>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0.39</w:t>
            </w:r>
          </w:p>
        </w:tc>
        <w:tc>
          <w:tcPr>
            <w:tcW w:w="100" w:type="dxa"/>
            <w:vAlign w:val="bottom"/>
          </w:tcPr>
          <w:p>
            <w:pPr>
              <w:spacing w:after="0"/>
              <w:rPr>
                <w:sz w:val="16"/>
                <w:szCs w:val="16"/>
                <w:color w:val="auto"/>
              </w:rPr>
            </w:pPr>
          </w:p>
        </w:tc>
        <w:tc>
          <w:tcPr>
            <w:tcW w:w="380" w:type="dxa"/>
            <w:vAlign w:val="bottom"/>
          </w:tcPr>
          <w:p>
            <w:pPr>
              <w:jc w:val="right"/>
              <w:ind w:right="173"/>
              <w:spacing w:after="0" w:line="194"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0.39</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0.34</w:t>
            </w:r>
          </w:p>
        </w:tc>
        <w:tc>
          <w:tcPr>
            <w:tcW w:w="100" w:type="dxa"/>
            <w:vAlign w:val="bottom"/>
          </w:tcPr>
          <w:p>
            <w:pPr>
              <w:spacing w:after="0"/>
              <w:rPr>
                <w:sz w:val="16"/>
                <w:szCs w:val="16"/>
                <w:color w:val="auto"/>
              </w:rPr>
            </w:pPr>
          </w:p>
        </w:tc>
        <w:tc>
          <w:tcPr>
            <w:tcW w:w="340" w:type="dxa"/>
            <w:vAlign w:val="bottom"/>
          </w:tcPr>
          <w:p>
            <w:pPr>
              <w:jc w:val="right"/>
              <w:ind w:right="153"/>
              <w:spacing w:after="0" w:line="194" w:lineRule="exact"/>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0.34</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net income per share: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Arial" w:cs="Arial" w:eastAsia="Arial" w:hAnsi="Arial"/>
                <w:sz w:val="17"/>
                <w:szCs w:val="17"/>
                <w:color w:val="auto"/>
              </w:rPr>
              <w:t>Numerator</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attributable to common stockholders</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Arial" w:cs="Arial" w:eastAsia="Arial" w:hAnsi="Arial"/>
                <w:sz w:val="17"/>
                <w:szCs w:val="17"/>
                <w:color w:val="auto"/>
                <w:w w:val="94"/>
              </w:rPr>
              <w:t>Reallocation of net income as a result of conversion of Class B to Class A</w:t>
            </w:r>
          </w:p>
        </w:tc>
        <w:tc>
          <w:tcPr>
            <w:tcW w:w="2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31.9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380" w:type="dxa"/>
            <w:vAlign w:val="bottom"/>
          </w:tcPr>
          <w:p>
            <w:pPr>
              <w:ind w:left="140"/>
              <w:spacing w:after="0"/>
              <w:rPr>
                <w:sz w:val="20"/>
                <w:szCs w:val="20"/>
                <w:color w:val="auto"/>
              </w:rPr>
            </w:pPr>
            <w:r>
              <w:rPr>
                <w:rFonts w:ascii="Arial" w:cs="Arial" w:eastAsia="Arial" w:hAnsi="Arial"/>
                <w:sz w:val="17"/>
                <w:szCs w:val="17"/>
                <w:color w:val="auto"/>
              </w:rPr>
              <w:t>common stock</w:t>
            </w: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Reallocation of net income to Class B common stock</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Net income attributable to common stockholders for diluted EPS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80" w:type="dxa"/>
            <w:vAlign w:val="bottom"/>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141.7</w:t>
            </w:r>
          </w:p>
        </w:tc>
        <w:tc>
          <w:tcPr>
            <w:tcW w:w="100" w:type="dxa"/>
            <w:vAlign w:val="bottom"/>
          </w:tcPr>
          <w:p>
            <w:pPr>
              <w:spacing w:after="0"/>
              <w:rPr>
                <w:sz w:val="16"/>
                <w:szCs w:val="16"/>
                <w:color w:val="auto"/>
              </w:rPr>
            </w:pPr>
          </w:p>
        </w:tc>
        <w:tc>
          <w:tcPr>
            <w:tcW w:w="380" w:type="dxa"/>
            <w:vAlign w:val="bottom"/>
          </w:tcPr>
          <w:p>
            <w:pPr>
              <w:jc w:val="right"/>
              <w:ind w:right="173"/>
              <w:spacing w:after="0" w:line="194"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auto"/>
              </w:rPr>
              <w:t>31.7</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135.6</w:t>
            </w:r>
          </w:p>
        </w:tc>
        <w:tc>
          <w:tcPr>
            <w:tcW w:w="100" w:type="dxa"/>
            <w:vAlign w:val="bottom"/>
          </w:tcPr>
          <w:p>
            <w:pPr>
              <w:spacing w:after="0"/>
              <w:rPr>
                <w:sz w:val="16"/>
                <w:szCs w:val="16"/>
                <w:color w:val="auto"/>
              </w:rPr>
            </w:pPr>
          </w:p>
        </w:tc>
        <w:tc>
          <w:tcPr>
            <w:tcW w:w="340" w:type="dxa"/>
            <w:vAlign w:val="bottom"/>
          </w:tcPr>
          <w:p>
            <w:pPr>
              <w:jc w:val="right"/>
              <w:ind w:right="153"/>
              <w:spacing w:after="0" w:line="194" w:lineRule="exact"/>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Arial" w:cs="Arial" w:eastAsia="Arial" w:hAnsi="Arial"/>
                <w:sz w:val="17"/>
                <w:szCs w:val="17"/>
                <w:color w:val="auto"/>
              </w:rPr>
              <w:t>Weighted-average number of common shares outstanding used in</w:t>
            </w:r>
          </w:p>
        </w:tc>
        <w:tc>
          <w:tcPr>
            <w:tcW w:w="2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284.7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82.7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310.0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83.3</w:t>
            </w:r>
          </w:p>
        </w:tc>
        <w:tc>
          <w:tcPr>
            <w:tcW w:w="0" w:type="dxa"/>
            <w:vAlign w:val="bottom"/>
          </w:tcPr>
          <w:p>
            <w:pPr>
              <w:spacing w:after="0"/>
              <w:rPr>
                <w:sz w:val="1"/>
                <w:szCs w:val="1"/>
                <w:color w:val="auto"/>
              </w:rPr>
            </w:pPr>
          </w:p>
        </w:tc>
      </w:tr>
      <w:tr>
        <w:trPr>
          <w:trHeight w:val="221"/>
        </w:trPr>
        <w:tc>
          <w:tcPr>
            <w:tcW w:w="5380" w:type="dxa"/>
            <w:vAlign w:val="bottom"/>
          </w:tcPr>
          <w:p>
            <w:pPr>
              <w:ind w:left="140"/>
              <w:spacing w:after="0"/>
              <w:rPr>
                <w:sz w:val="20"/>
                <w:szCs w:val="20"/>
                <w:color w:val="auto"/>
              </w:rPr>
            </w:pPr>
            <w:r>
              <w:rPr>
                <w:rFonts w:ascii="Arial" w:cs="Arial" w:eastAsia="Arial" w:hAnsi="Arial"/>
                <w:sz w:val="17"/>
                <w:szCs w:val="17"/>
                <w:color w:val="auto"/>
              </w:rPr>
              <w:t>computing basic net income per share</w:t>
            </w: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w w:val="95"/>
              </w:rPr>
              <w:t>Weighted-average effect of dilutive restricted stock units and awards and</w:t>
            </w:r>
          </w:p>
        </w:tc>
        <w:tc>
          <w:tcPr>
            <w:tcW w:w="2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1"/>
        </w:trPr>
        <w:tc>
          <w:tcPr>
            <w:tcW w:w="5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employee stock options</w:t>
            </w:r>
          </w:p>
        </w:tc>
        <w:tc>
          <w:tcPr>
            <w:tcW w:w="2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140"/>
              <w:spacing w:after="0"/>
              <w:rPr>
                <w:sz w:val="20"/>
                <w:szCs w:val="20"/>
                <w:color w:val="auto"/>
              </w:rPr>
            </w:pPr>
            <w:r>
              <w:rPr>
                <w:rFonts w:ascii="Arial" w:cs="Arial" w:eastAsia="Arial" w:hAnsi="Arial"/>
                <w:sz w:val="17"/>
                <w:szCs w:val="17"/>
                <w:color w:val="auto"/>
              </w:rPr>
              <w:t>Conversion of Class B to Class A common stock</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380" w:type="dxa"/>
            <w:vAlign w:val="bottom"/>
            <w:shd w:val="clear" w:color="auto" w:fill="CCEEFF"/>
          </w:tcPr>
          <w:p>
            <w:pPr>
              <w:ind w:left="140"/>
              <w:spacing w:after="0" w:line="136" w:lineRule="exact"/>
              <w:rPr>
                <w:sz w:val="20"/>
                <w:szCs w:val="20"/>
                <w:color w:val="auto"/>
              </w:rPr>
            </w:pPr>
            <w:r>
              <w:rPr>
                <w:rFonts w:ascii="Arial" w:cs="Arial" w:eastAsia="Arial" w:hAnsi="Arial"/>
                <w:sz w:val="15"/>
                <w:szCs w:val="15"/>
                <w:color w:val="auto"/>
              </w:rPr>
              <w:t>Weighted-average number of common shares outstanding used in</w:t>
            </w:r>
          </w:p>
        </w:tc>
        <w:tc>
          <w:tcPr>
            <w:tcW w:w="2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369.6</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82.7</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401.2</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83.4</w:t>
            </w:r>
          </w:p>
        </w:tc>
        <w:tc>
          <w:tcPr>
            <w:tcW w:w="0" w:type="dxa"/>
            <w:vAlign w:val="bottom"/>
          </w:tcPr>
          <w:p>
            <w:pPr>
              <w:spacing w:after="0"/>
              <w:rPr>
                <w:sz w:val="1"/>
                <w:szCs w:val="1"/>
                <w:color w:val="auto"/>
              </w:rPr>
            </w:pPr>
          </w:p>
        </w:tc>
      </w:tr>
      <w:tr>
        <w:trPr>
          <w:trHeight w:val="215"/>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computing diluted net income per share</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Net income per common share,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0.38</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73"/>
              <w:spacing w:after="0" w:line="194"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0.38</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0.34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3"/>
              <w:spacing w:after="0" w:line="194" w:lineRule="exact"/>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0.34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right="400" w:firstLine="430"/>
        <w:spacing w:after="0" w:line="287" w:lineRule="auto"/>
        <w:rPr>
          <w:sz w:val="20"/>
          <w:szCs w:val="20"/>
          <w:color w:val="auto"/>
        </w:rPr>
      </w:pPr>
      <w:r>
        <w:rPr>
          <w:rFonts w:ascii="Arial" w:cs="Arial" w:eastAsia="Arial" w:hAnsi="Arial"/>
          <w:sz w:val="17"/>
          <w:szCs w:val="17"/>
          <w:color w:val="auto"/>
        </w:rPr>
        <w:t>The weighted-average impact of potentially dilutive securities that were not included in the diluted per share calculations because they would be anti-dilutive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60" w:type="dxa"/>
            <w:vAlign w:val="bottom"/>
            <w:gridSpan w:val="4"/>
          </w:tcPr>
          <w:p>
            <w:pPr>
              <w:jc w:val="center"/>
              <w:ind w:left="433"/>
              <w:spacing w:after="0"/>
              <w:rPr>
                <w:sz w:val="20"/>
                <w:szCs w:val="20"/>
                <w:color w:val="auto"/>
              </w:rPr>
            </w:pPr>
            <w:r>
              <w:rPr>
                <w:rFonts w:ascii="Arial" w:cs="Arial" w:eastAsia="Arial" w:hAnsi="Arial"/>
                <w:sz w:val="17"/>
                <w:szCs w:val="17"/>
                <w:b w:val="1"/>
                <w:bCs w:val="1"/>
                <w:color w:val="auto"/>
                <w:w w:val="93"/>
              </w:rPr>
              <w:t>Three Months Ended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Six Months Ended</w:t>
            </w:r>
          </w:p>
        </w:tc>
        <w:tc>
          <w:tcPr>
            <w:tcW w:w="1080" w:type="dxa"/>
            <w:vAlign w:val="bottom"/>
          </w:tcPr>
          <w:p>
            <w:pPr>
              <w:spacing w:after="0"/>
              <w:rPr>
                <w:sz w:val="16"/>
                <w:szCs w:val="16"/>
                <w:color w:val="auto"/>
              </w:rPr>
            </w:pPr>
          </w:p>
        </w:tc>
      </w:tr>
      <w:tr>
        <w:trPr>
          <w:trHeight w:val="222"/>
        </w:trPr>
        <w:tc>
          <w:tcPr>
            <w:tcW w:w="39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ind w:right="640"/>
              <w:spacing w:after="0"/>
              <w:rPr>
                <w:sz w:val="20"/>
                <w:szCs w:val="20"/>
                <w:color w:val="auto"/>
              </w:rPr>
            </w:pPr>
            <w:r>
              <w:rPr>
                <w:rFonts w:ascii="Arial" w:cs="Arial" w:eastAsia="Arial" w:hAnsi="Arial"/>
                <w:sz w:val="17"/>
                <w:szCs w:val="17"/>
                <w:b w:val="1"/>
                <w:bCs w:val="1"/>
                <w:color w:val="auto"/>
                <w:w w:val="91"/>
              </w:rPr>
              <w:t>June 30,</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1"/>
              </w:rPr>
              <w:t>June 30,</w:t>
            </w:r>
          </w:p>
        </w:tc>
        <w:tc>
          <w:tcPr>
            <w:tcW w:w="1080" w:type="dxa"/>
            <w:vAlign w:val="bottom"/>
            <w:tcBorders>
              <w:bottom w:val="single" w:sz="8" w:color="auto"/>
            </w:tcBorders>
          </w:tcPr>
          <w:p>
            <w:pPr>
              <w:spacing w:after="0"/>
              <w:rPr>
                <w:sz w:val="19"/>
                <w:szCs w:val="19"/>
                <w:color w:val="auto"/>
              </w:rPr>
            </w:pPr>
          </w:p>
        </w:tc>
      </w:tr>
      <w:tr>
        <w:trPr>
          <w:trHeight w:val="215"/>
        </w:trPr>
        <w:tc>
          <w:tcPr>
            <w:tcW w:w="396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19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2021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ind w:right="613"/>
              <w:spacing w:after="0"/>
              <w:rPr>
                <w:sz w:val="20"/>
                <w:szCs w:val="20"/>
                <w:color w:val="auto"/>
              </w:rPr>
            </w:pPr>
            <w:r>
              <w:rPr>
                <w:rFonts w:ascii="Arial" w:cs="Arial" w:eastAsia="Arial" w:hAnsi="Arial"/>
                <w:sz w:val="17"/>
                <w:szCs w:val="17"/>
                <w:b w:val="1"/>
                <w:bCs w:val="1"/>
                <w:color w:val="auto"/>
                <w:w w:val="95"/>
              </w:rPr>
              <w:t>2021</w:t>
            </w:r>
          </w:p>
        </w:tc>
      </w:tr>
      <w:tr>
        <w:trPr>
          <w:trHeight w:val="215"/>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stock units and awards</w:t>
            </w: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22"/>
        </w:trPr>
        <w:tc>
          <w:tcPr>
            <w:tcW w:w="5120" w:type="dxa"/>
            <w:vAlign w:val="bottom"/>
            <w:gridSpan w:val="2"/>
          </w:tcPr>
          <w:p>
            <w:pPr>
              <w:ind w:left="20"/>
              <w:spacing w:after="0"/>
              <w:rPr>
                <w:sz w:val="20"/>
                <w:szCs w:val="20"/>
                <w:color w:val="auto"/>
              </w:rPr>
            </w:pPr>
            <w:r>
              <w:rPr>
                <w:rFonts w:ascii="Arial" w:cs="Arial" w:eastAsia="Arial" w:hAnsi="Arial"/>
                <w:sz w:val="17"/>
                <w:szCs w:val="17"/>
                <w:color w:val="auto"/>
              </w:rPr>
              <w:t>Options to purchase shares of common stock</w:t>
            </w:r>
          </w:p>
        </w:tc>
        <w:tc>
          <w:tcPr>
            <w:tcW w:w="58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0.4</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22"/>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Co-Founder Grant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r>
      <w:tr>
        <w:trPr>
          <w:trHeight w:val="222"/>
        </w:trPr>
        <w:tc>
          <w:tcPr>
            <w:tcW w:w="5120" w:type="dxa"/>
            <w:vAlign w:val="bottom"/>
            <w:gridSpan w:val="2"/>
          </w:tcPr>
          <w:p>
            <w:pPr>
              <w:ind w:left="20"/>
              <w:spacing w:after="0"/>
              <w:rPr>
                <w:sz w:val="20"/>
                <w:szCs w:val="20"/>
                <w:color w:val="auto"/>
              </w:rPr>
            </w:pPr>
            <w:r>
              <w:rPr>
                <w:rFonts w:ascii="Arial" w:cs="Arial" w:eastAsia="Arial" w:hAnsi="Arial"/>
                <w:sz w:val="17"/>
                <w:szCs w:val="17"/>
                <w:color w:val="auto"/>
              </w:rPr>
              <w:t>Convertible Senior Notes</w:t>
            </w:r>
          </w:p>
        </w:tc>
        <w:tc>
          <w:tcPr>
            <w:tcW w:w="580" w:type="dxa"/>
            <w:vAlign w:val="bottom"/>
          </w:tcPr>
          <w:p>
            <w:pPr>
              <w:jc w:val="right"/>
              <w:spacing w:after="0"/>
              <w:rPr>
                <w:sz w:val="20"/>
                <w:szCs w:val="20"/>
                <w:color w:val="auto"/>
              </w:rPr>
            </w:pPr>
            <w:r>
              <w:rPr>
                <w:rFonts w:ascii="Arial" w:cs="Arial" w:eastAsia="Arial" w:hAnsi="Arial"/>
                <w:sz w:val="17"/>
                <w:szCs w:val="17"/>
                <w:color w:val="auto"/>
              </w:rPr>
              <w:t>37.8</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37.8</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37.8</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26.0</w:t>
            </w:r>
          </w:p>
        </w:tc>
      </w:tr>
      <w:tr>
        <w:trPr>
          <w:trHeight w:val="222"/>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Warrants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r>
      <w:tr>
        <w:trPr>
          <w:trHeight w:val="215"/>
        </w:trPr>
        <w:tc>
          <w:tcPr>
            <w:tcW w:w="3960" w:type="dxa"/>
            <w:vAlign w:val="bottom"/>
          </w:tcPr>
          <w:p>
            <w:pPr>
              <w:ind w:left="20"/>
              <w:spacing w:after="0"/>
              <w:rPr>
                <w:sz w:val="20"/>
                <w:szCs w:val="20"/>
                <w:color w:val="auto"/>
              </w:rPr>
            </w:pPr>
            <w:r>
              <w:rPr>
                <w:rFonts w:ascii="Arial" w:cs="Arial" w:eastAsia="Arial" w:hAnsi="Arial"/>
                <w:sz w:val="17"/>
                <w:szCs w:val="17"/>
                <w:color w:val="auto"/>
              </w:rPr>
              <w:t>Total</w:t>
            </w:r>
          </w:p>
        </w:tc>
        <w:tc>
          <w:tcPr>
            <w:tcW w:w="1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110.9</w:t>
            </w:r>
          </w:p>
        </w:tc>
        <w:tc>
          <w:tcPr>
            <w:tcW w:w="100" w:type="dxa"/>
            <w:vAlign w:val="bottom"/>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86.2</w:t>
            </w:r>
          </w:p>
        </w:tc>
        <w:tc>
          <w:tcPr>
            <w:tcW w:w="80" w:type="dxa"/>
            <w:vAlign w:val="bottom"/>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103.1</w:t>
            </w: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67.5</w:t>
            </w:r>
          </w:p>
        </w:tc>
      </w:tr>
      <w:tr>
        <w:trPr>
          <w:trHeight w:val="20"/>
        </w:trPr>
        <w:tc>
          <w:tcPr>
            <w:tcW w:w="3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Income Taxes</w:t>
      </w:r>
    </w:p>
    <w:p>
      <w:pPr>
        <w:spacing w:after="0" w:line="254" w:lineRule="exact"/>
        <w:rPr>
          <w:sz w:val="20"/>
          <w:szCs w:val="20"/>
          <w:color w:val="auto"/>
        </w:rPr>
      </w:pPr>
    </w:p>
    <w:p>
      <w:pPr>
        <w:jc w:val="both"/>
        <w:ind w:right="140" w:firstLine="430"/>
        <w:spacing w:after="0" w:line="296" w:lineRule="auto"/>
        <w:rPr>
          <w:sz w:val="20"/>
          <w:szCs w:val="20"/>
          <w:color w:val="auto"/>
        </w:rPr>
      </w:pPr>
      <w:r>
        <w:rPr>
          <w:rFonts w:ascii="Arial" w:cs="Arial" w:eastAsia="Arial" w:hAnsi="Arial"/>
          <w:sz w:val="16"/>
          <w:szCs w:val="16"/>
          <w:color w:val="auto"/>
        </w:rPr>
        <w:t>The Company computed the year-to-date income tax provision by applying the estimated annual effective tax rate to the year-to-date pre-tax income and adjusted for discrete tax items in the period. The Company's provision for income taxes was $17.1 million and $31.2 million for the three and six months ended June 30, 2022, respectively, and $3.0 million and $1.8 million for the three and six months ended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391" w:lineRule="exact"/>
        <w:rPr>
          <w:sz w:val="20"/>
          <w:szCs w:val="20"/>
          <w:color w:val="auto"/>
        </w:rPr>
      </w:pPr>
    </w:p>
    <w:p>
      <w:pPr>
        <w:ind w:right="100" w:firstLine="430"/>
        <w:spacing w:after="0" w:line="239" w:lineRule="auto"/>
        <w:rPr>
          <w:sz w:val="20"/>
          <w:szCs w:val="20"/>
          <w:color w:val="auto"/>
        </w:rPr>
      </w:pPr>
      <w:r>
        <w:rPr>
          <w:rFonts w:ascii="Arial" w:cs="Arial" w:eastAsia="Arial" w:hAnsi="Arial"/>
          <w:sz w:val="17"/>
          <w:szCs w:val="17"/>
          <w:color w:val="auto"/>
        </w:rPr>
        <w:t>The provision for income taxes for the six months ended June 30, 2022 was primarily attributable to federal, state and foreign income taxes. In addition, a requirement of the Tax Cuts and Jobs Act of 2017 (TCJA) to capitalize certain research expenditures became effective January 1, 2022, which resulted in an increase in the federal and state income tax liability.</w:t>
      </w:r>
    </w:p>
    <w:p>
      <w:pPr>
        <w:spacing w:after="0" w:line="211" w:lineRule="exact"/>
        <w:rPr>
          <w:sz w:val="20"/>
          <w:szCs w:val="20"/>
          <w:color w:val="auto"/>
        </w:rPr>
      </w:pPr>
    </w:p>
    <w:p>
      <w:pPr>
        <w:jc w:val="both"/>
        <w:ind w:right="60" w:firstLine="430"/>
        <w:spacing w:after="0" w:line="271" w:lineRule="auto"/>
        <w:rPr>
          <w:sz w:val="20"/>
          <w:szCs w:val="20"/>
          <w:color w:val="auto"/>
        </w:rPr>
      </w:pPr>
      <w:r>
        <w:rPr>
          <w:rFonts w:ascii="Arial" w:cs="Arial" w:eastAsia="Arial" w:hAnsi="Arial"/>
          <w:sz w:val="17"/>
          <w:szCs w:val="17"/>
          <w:color w:val="auto"/>
        </w:rPr>
        <w:t>For the three and six months ended June 30, 2022, the difference between the U.S. statutory rate and the Company's effective tax rate was primarily due to the requirement to capitalize research expenditures in accordance with TCJA, which was partially offset by the utilization of U.S. deferred tax assets which have a full valuation allowance.</w:t>
      </w:r>
    </w:p>
    <w:p>
      <w:pPr>
        <w:spacing w:after="0" w:line="198" w:lineRule="exact"/>
        <w:rPr>
          <w:sz w:val="20"/>
          <w:szCs w:val="20"/>
          <w:color w:val="auto"/>
        </w:rPr>
      </w:pPr>
    </w:p>
    <w:p>
      <w:pPr>
        <w:ind w:right="60" w:firstLine="430"/>
        <w:spacing w:after="0" w:line="271" w:lineRule="auto"/>
        <w:rPr>
          <w:sz w:val="20"/>
          <w:szCs w:val="20"/>
          <w:color w:val="auto"/>
        </w:rPr>
      </w:pPr>
      <w:r>
        <w:rPr>
          <w:rFonts w:ascii="Arial" w:cs="Arial" w:eastAsia="Arial" w:hAnsi="Arial"/>
          <w:sz w:val="17"/>
          <w:szCs w:val="17"/>
          <w:color w:val="auto"/>
        </w:rPr>
        <w:t>For the three and six months ended June 30, 2021, the difference between the U.S. statutory rate and the Company's effective tax rate was primarily due to the full valuation allowance on its U.S. and Irish deferred tax assets. For the periods presented, the effective tax rate was also impacted by earnings realized in foreign jurisdictions with statutory tax rates lower than the federal statutory tax rate.</w:t>
      </w:r>
    </w:p>
    <w:p>
      <w:pPr>
        <w:spacing w:after="0" w:line="198" w:lineRule="exact"/>
        <w:rPr>
          <w:sz w:val="20"/>
          <w:szCs w:val="20"/>
          <w:color w:val="auto"/>
        </w:rPr>
      </w:pPr>
    </w:p>
    <w:p>
      <w:pPr>
        <w:ind w:right="160" w:firstLine="430"/>
        <w:spacing w:after="0" w:line="266" w:lineRule="auto"/>
        <w:rPr>
          <w:sz w:val="20"/>
          <w:szCs w:val="20"/>
          <w:color w:val="auto"/>
        </w:rPr>
      </w:pPr>
      <w:r>
        <w:rPr>
          <w:rFonts w:ascii="Arial" w:cs="Arial" w:eastAsia="Arial" w:hAnsi="Arial"/>
          <w:sz w:val="17"/>
          <w:szCs w:val="17"/>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June 30, 2022, the Company continues to maintain valuation allowances on all of its deferred tax assets in the U.S. and on a portion of its deferred tax assets in one of its foreign jurisdictions.</w:t>
      </w:r>
    </w:p>
    <w:p>
      <w:pPr>
        <w:spacing w:after="0" w:line="203" w:lineRule="exact"/>
        <w:rPr>
          <w:sz w:val="20"/>
          <w:szCs w:val="20"/>
          <w:color w:val="auto"/>
        </w:rPr>
      </w:pPr>
    </w:p>
    <w:p>
      <w:pPr>
        <w:ind w:right="120" w:firstLine="430"/>
        <w:spacing w:after="0" w:line="263" w:lineRule="auto"/>
        <w:rPr>
          <w:sz w:val="20"/>
          <w:szCs w:val="20"/>
          <w:color w:val="auto"/>
        </w:rPr>
      </w:pPr>
      <w:r>
        <w:rPr>
          <w:rFonts w:ascii="Arial" w:cs="Arial" w:eastAsia="Arial" w:hAnsi="Arial"/>
          <w:sz w:val="17"/>
          <w:szCs w:val="17"/>
          <w:color w:val="auto"/>
        </w:rPr>
        <w:t>Given the Company’s recent history of earnings, management believes that there is a reasonable possibility that, within the next twelve months, sufficient positive evidence may become available to allow management to reach a conclusion that a significant portion of the valuation allowance recorded against the U.S. deferred tax assets will be reversed. The reversal would result in an income tax benefit for the quarterly and annual fiscal period in which the Company releases the valuation allowance. However, the exact timing and amount of the valuation allowance release are subject to change on the basis of the level of profitability that the Company actually achieves.</w:t>
      </w:r>
    </w:p>
    <w:p>
      <w:pPr>
        <w:spacing w:after="0" w:line="207" w:lineRule="exact"/>
        <w:rPr>
          <w:sz w:val="20"/>
          <w:szCs w:val="20"/>
          <w:color w:val="auto"/>
        </w:rPr>
      </w:pPr>
    </w:p>
    <w:p>
      <w:pPr>
        <w:ind w:right="220" w:firstLine="430"/>
        <w:spacing w:after="0" w:line="287" w:lineRule="auto"/>
        <w:rPr>
          <w:sz w:val="20"/>
          <w:szCs w:val="20"/>
          <w:color w:val="auto"/>
        </w:rPr>
      </w:pPr>
      <w:r>
        <w:rPr>
          <w:rFonts w:ascii="Arial" w:cs="Arial" w:eastAsia="Arial" w:hAnsi="Arial"/>
          <w:sz w:val="17"/>
          <w:szCs w:val="17"/>
          <w:color w:val="auto"/>
        </w:rPr>
        <w:t>The Company is subject to income tax audits in the U.S. and foreign jurisdictions. The Company records liabilities related to uncertain tax positions and believes that it has provided adequate reserves for income tax uncertainties in all open tax years.</w:t>
      </w:r>
    </w:p>
    <w:p>
      <w:pPr>
        <w:spacing w:after="0" w:line="184" w:lineRule="exact"/>
        <w:rPr>
          <w:sz w:val="20"/>
          <w:szCs w:val="20"/>
          <w:color w:val="auto"/>
        </w:rPr>
      </w:pPr>
    </w:p>
    <w:p>
      <w:pPr>
        <w:ind w:right="320" w:firstLine="430"/>
        <w:spacing w:after="0" w:line="271" w:lineRule="auto"/>
        <w:rPr>
          <w:sz w:val="20"/>
          <w:szCs w:val="20"/>
          <w:color w:val="auto"/>
        </w:rPr>
      </w:pPr>
      <w:r>
        <w:rPr>
          <w:rFonts w:ascii="Arial" w:cs="Arial" w:eastAsia="Arial" w:hAnsi="Arial"/>
          <w:sz w:val="17"/>
          <w:szCs w:val="17"/>
          <w:color w:val="auto"/>
        </w:rPr>
        <w:t>Unrecognized tax benefits increased by approximately $4.8 million and $9.6 million for the three and six months ended June 30, 2022, respectively, of which $1.9 million, if recognized, would affect the Company's effective tax rate. Additionally, unrecognized tax benefits decreased by approximately $0.4 million for the six months ended June 30, 2022, due to a statute of limitations lapse related to prior period tax positions.</w:t>
      </w:r>
    </w:p>
    <w:p>
      <w:pPr>
        <w:spacing w:after="0" w:line="198" w:lineRule="exact"/>
        <w:rPr>
          <w:sz w:val="20"/>
          <w:szCs w:val="20"/>
          <w:color w:val="auto"/>
        </w:rPr>
      </w:pPr>
    </w:p>
    <w:p>
      <w:pPr>
        <w:jc w:val="both"/>
        <w:ind w:right="160" w:firstLine="430"/>
        <w:spacing w:after="0" w:line="271" w:lineRule="auto"/>
        <w:rPr>
          <w:sz w:val="20"/>
          <w:szCs w:val="20"/>
          <w:color w:val="auto"/>
        </w:rPr>
      </w:pPr>
      <w:r>
        <w:rPr>
          <w:rFonts w:ascii="Arial" w:cs="Arial" w:eastAsia="Arial" w:hAnsi="Arial"/>
          <w:sz w:val="17"/>
          <w:szCs w:val="17"/>
          <w:color w:val="auto"/>
        </w:rPr>
        <w:t>It is reasonably possible that there could be changes to the amount of uncertain tax positions due to activities of the taxing authorities, settlement of audit issues, reassessment of existing uncertain tax positions, or the expiration of applicable statutes of limitations; however, the Company is not able to estimate the impact of these items at this time.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40" w:type="dxa"/>
            <w:vAlign w:val="bottom"/>
          </w:tcPr>
          <w:p>
            <w:pPr>
              <w:spacing w:after="0"/>
              <w:rPr>
                <w:sz w:val="20"/>
                <w:szCs w:val="20"/>
                <w:color w:val="auto"/>
              </w:rPr>
            </w:pPr>
            <w:r>
              <w:rPr>
                <w:rFonts w:ascii="Arial" w:cs="Arial" w:eastAsia="Arial" w:hAnsi="Arial"/>
                <w:sz w:val="17"/>
                <w:szCs w:val="17"/>
                <w:b w:val="1"/>
                <w:bCs w:val="1"/>
                <w:color w:val="auto"/>
              </w:rPr>
              <w:t>Note 15. Geographic Areas</w:t>
            </w:r>
          </w:p>
        </w:tc>
        <w:tc>
          <w:tcPr>
            <w:tcW w:w="1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43"/>
        </w:trPr>
        <w:tc>
          <w:tcPr>
            <w:tcW w:w="7140" w:type="dxa"/>
            <w:vAlign w:val="bottom"/>
          </w:tcPr>
          <w:p>
            <w:pPr>
              <w:ind w:left="440"/>
              <w:spacing w:after="0"/>
              <w:rPr>
                <w:sz w:val="20"/>
                <w:szCs w:val="20"/>
                <w:color w:val="auto"/>
              </w:rPr>
            </w:pPr>
            <w:r>
              <w:rPr>
                <w:rFonts w:ascii="Arial" w:cs="Arial" w:eastAsia="Arial" w:hAnsi="Arial"/>
                <w:sz w:val="17"/>
                <w:szCs w:val="17"/>
                <w:b w:val="1"/>
                <w:bCs w:val="1"/>
                <w:i w:val="1"/>
                <w:iCs w:val="1"/>
                <w:color w:val="auto"/>
              </w:rPr>
              <w:t>Long-lived assets</w:t>
            </w: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13"/>
        </w:trPr>
        <w:tc>
          <w:tcPr>
            <w:tcW w:w="7140" w:type="dxa"/>
            <w:vAlign w:val="bottom"/>
          </w:tcPr>
          <w:p>
            <w:pPr>
              <w:ind w:left="440"/>
              <w:spacing w:after="0"/>
              <w:rPr>
                <w:sz w:val="20"/>
                <w:szCs w:val="20"/>
                <w:color w:val="auto"/>
              </w:rPr>
            </w:pPr>
            <w:r>
              <w:rPr>
                <w:rFonts w:ascii="Arial" w:cs="Arial" w:eastAsia="Arial" w:hAnsi="Arial"/>
                <w:sz w:val="17"/>
                <w:szCs w:val="17"/>
                <w:color w:val="auto"/>
              </w:rPr>
              <w:t>The following table sets forth long-lived assets by geographic area:</w:t>
            </w: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83"/>
        </w:trPr>
        <w:tc>
          <w:tcPr>
            <w:tcW w:w="714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w:t>
            </w:r>
          </w:p>
        </w:tc>
        <w:tc>
          <w:tcPr>
            <w:tcW w:w="1780" w:type="dxa"/>
            <w:vAlign w:val="bottom"/>
            <w:tcBorders>
              <w:bottom w:val="single" w:sz="8" w:color="auto"/>
            </w:tcBorders>
          </w:tcPr>
          <w:p>
            <w:pPr>
              <w:spacing w:after="0"/>
              <w:rPr>
                <w:sz w:val="24"/>
                <w:szCs w:val="24"/>
                <w:color w:val="auto"/>
              </w:rPr>
            </w:pPr>
          </w:p>
        </w:tc>
      </w:tr>
      <w:tr>
        <w:trPr>
          <w:trHeight w:val="215"/>
        </w:trPr>
        <w:tc>
          <w:tcPr>
            <w:tcW w:w="71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June 30, 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w w:val="95"/>
              </w:rPr>
              <w:t>December 31, 2021</w:t>
            </w:r>
          </w:p>
        </w:tc>
      </w:tr>
      <w:tr>
        <w:trPr>
          <w:trHeight w:val="215"/>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520" w:type="dxa"/>
            <w:vAlign w:val="bottom"/>
            <w:shd w:val="clear" w:color="auto" w:fill="CCEEFF"/>
          </w:tcPr>
          <w:p>
            <w:pPr>
              <w:jc w:val="right"/>
              <w:ind w:right="1313"/>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287.0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316.6</w:t>
            </w:r>
          </w:p>
        </w:tc>
      </w:tr>
      <w:tr>
        <w:trPr>
          <w:trHeight w:val="222"/>
        </w:trPr>
        <w:tc>
          <w:tcPr>
            <w:tcW w:w="7140" w:type="dxa"/>
            <w:vAlign w:val="bottom"/>
            <w:tcBorders>
              <w:bottom w:val="single" w:sz="8" w:color="CCEEFF"/>
            </w:tcBorders>
          </w:tcPr>
          <w:p>
            <w:pPr>
              <w:ind w:left="20"/>
              <w:spacing w:after="0" w:line="222"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2"/>
                <w:szCs w:val="22"/>
                <w:color w:val="auto"/>
                <w:vertAlign w:val="superscript"/>
              </w:rPr>
              <w:t>(1)</w:t>
            </w:r>
          </w:p>
        </w:tc>
        <w:tc>
          <w:tcPr>
            <w:tcW w:w="1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r>
      <w:tr>
        <w:trPr>
          <w:trHeight w:val="24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property and equipment, net</w:t>
            </w:r>
          </w:p>
        </w:tc>
        <w:tc>
          <w:tcPr>
            <w:tcW w:w="1520" w:type="dxa"/>
            <w:vAlign w:val="bottom"/>
            <w:tcBorders>
              <w:bottom w:val="single" w:sz="8" w:color="auto"/>
            </w:tcBorders>
            <w:shd w:val="clear" w:color="auto" w:fill="CCEEFF"/>
          </w:tcPr>
          <w:p>
            <w:pPr>
              <w:jc w:val="right"/>
              <w:ind w:right="1313"/>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296.3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right="800" w:firstLine="4"/>
        <w:spacing w:after="0" w:line="243" w:lineRule="auto"/>
        <w:tabs>
          <w:tab w:leader="none" w:pos="16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No single country other than the United States had a property and equipment balance greater than 10% of total property and equipment, net, as of June 30, 2022 and December 31, 2021.</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w:t>
      </w:r>
    </w:p>
    <w:p>
      <w:pPr>
        <w:spacing w:after="0" w:line="117" w:lineRule="exact"/>
        <w:rPr>
          <w:sz w:val="20"/>
          <w:szCs w:val="20"/>
          <w:color w:val="auto"/>
        </w:rPr>
      </w:pPr>
    </w:p>
    <w:p>
      <w:pPr>
        <w:ind w:right="300" w:firstLine="430"/>
        <w:spacing w:after="0" w:line="287" w:lineRule="auto"/>
        <w:rPr>
          <w:sz w:val="20"/>
          <w:szCs w:val="20"/>
          <w:color w:val="auto"/>
        </w:rPr>
      </w:pPr>
      <w:r>
        <w:rPr>
          <w:rFonts w:ascii="Arial" w:cs="Arial" w:eastAsia="Arial" w:hAnsi="Arial"/>
          <w:sz w:val="17"/>
          <w:szCs w:val="17"/>
          <w:color w:val="auto"/>
        </w:rPr>
        <w:t>Revenue by geography is generally based on the address of the customer as defined in the Company’s subscription agreement. The following table sets forth revenue by geographic area for the three and six months ended June 30, 2022 and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40" w:type="dxa"/>
            <w:vAlign w:val="bottom"/>
          </w:tcPr>
          <w:p>
            <w:pPr>
              <w:spacing w:after="0"/>
              <w:rPr>
                <w:sz w:val="16"/>
                <w:szCs w:val="16"/>
                <w:color w:val="auto"/>
              </w:rPr>
            </w:pPr>
          </w:p>
        </w:tc>
        <w:tc>
          <w:tcPr>
            <w:tcW w:w="3020" w:type="dxa"/>
            <w:vAlign w:val="bottom"/>
            <w:gridSpan w:val="4"/>
          </w:tcPr>
          <w:p>
            <w:pPr>
              <w:jc w:val="right"/>
              <w:ind w:right="333"/>
              <w:spacing w:after="0"/>
              <w:rPr>
                <w:sz w:val="20"/>
                <w:szCs w:val="20"/>
                <w:color w:val="auto"/>
              </w:rPr>
            </w:pPr>
            <w:r>
              <w:rPr>
                <w:rFonts w:ascii="Arial" w:cs="Arial" w:eastAsia="Arial" w:hAnsi="Arial"/>
                <w:sz w:val="17"/>
                <w:szCs w:val="17"/>
                <w:b w:val="1"/>
                <w:bCs w:val="1"/>
                <w:color w:val="auto"/>
              </w:rPr>
              <w:t>Three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7"/>
                <w:szCs w:val="17"/>
                <w:b w:val="1"/>
                <w:bCs w:val="1"/>
                <w:color w:val="auto"/>
                <w:w w:val="93"/>
              </w:rPr>
              <w:t>Six Months Ended</w:t>
            </w:r>
          </w:p>
        </w:tc>
        <w:tc>
          <w:tcPr>
            <w:tcW w:w="1080" w:type="dxa"/>
            <w:vAlign w:val="bottom"/>
          </w:tcPr>
          <w:p>
            <w:pPr>
              <w:spacing w:after="0"/>
              <w:rPr>
                <w:sz w:val="16"/>
                <w:szCs w:val="16"/>
                <w:color w:val="auto"/>
              </w:rPr>
            </w:pPr>
          </w:p>
        </w:tc>
      </w:tr>
      <w:tr>
        <w:trPr>
          <w:trHeight w:val="222"/>
        </w:trPr>
        <w:tc>
          <w:tcPr>
            <w:tcW w:w="39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813"/>
              <w:spacing w:after="0"/>
              <w:rPr>
                <w:sz w:val="20"/>
                <w:szCs w:val="20"/>
                <w:color w:val="auto"/>
              </w:rPr>
            </w:pPr>
            <w:r>
              <w:rPr>
                <w:rFonts w:ascii="Arial" w:cs="Arial" w:eastAsia="Arial" w:hAnsi="Arial"/>
                <w:sz w:val="17"/>
                <w:szCs w:val="17"/>
                <w:b w:val="1"/>
                <w:bCs w:val="1"/>
                <w:color w:val="auto"/>
              </w:rPr>
              <w:t>June 30,</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19"/>
                <w:szCs w:val="19"/>
                <w:color w:val="auto"/>
              </w:rPr>
            </w:pPr>
          </w:p>
        </w:tc>
      </w:tr>
      <w:tr>
        <w:trPr>
          <w:trHeight w:val="215"/>
        </w:trPr>
        <w:tc>
          <w:tcPr>
            <w:tcW w:w="39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95"/>
              </w:rPr>
              <w:t>2021</w:t>
            </w:r>
          </w:p>
        </w:tc>
      </w:tr>
      <w:tr>
        <w:trPr>
          <w:trHeight w:val="215"/>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307.2</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606.4</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544.6</w:t>
            </w:r>
          </w:p>
        </w:tc>
      </w:tr>
      <w:tr>
        <w:trPr>
          <w:trHeight w:val="222"/>
        </w:trPr>
        <w:tc>
          <w:tcPr>
            <w:tcW w:w="3940" w:type="dxa"/>
            <w:vAlign w:val="bottom"/>
            <w:tcBorders>
              <w:bottom w:val="single" w:sz="8" w:color="CCEEFF"/>
            </w:tcBorders>
          </w:tcPr>
          <w:p>
            <w:pPr>
              <w:ind w:left="20"/>
              <w:spacing w:after="0" w:line="222"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2"/>
                <w:szCs w:val="22"/>
                <w:color w:val="auto"/>
                <w:vertAlign w:val="superscript"/>
              </w:rPr>
              <w:t>(1)</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265.5</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253.3</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528.7</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497.6</w:t>
            </w:r>
          </w:p>
        </w:tc>
      </w:tr>
      <w:tr>
        <w:trPr>
          <w:trHeight w:val="24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572.7</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530.6</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1,135.1</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1,042.2</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left="160" w:hanging="156"/>
        <w:spacing w:after="0"/>
        <w:tabs>
          <w:tab w:leader="none" w:pos="16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No single country outside of the United States accounted for more than 10% of total revenue during the three and six months ended June 30, 2022 and 2021, respectively.</w:t>
      </w:r>
    </w:p>
    <w:p>
      <w:pPr>
        <w:spacing w:after="0" w:line="200" w:lineRule="exact"/>
        <w:rPr>
          <w:rFonts w:ascii="Arial" w:cs="Arial" w:eastAsia="Arial" w:hAnsi="Arial"/>
          <w:sz w:val="19"/>
          <w:szCs w:val="19"/>
          <w:color w:val="auto"/>
          <w:vertAlign w:val="superscript"/>
        </w:rPr>
      </w:pPr>
    </w:p>
    <w:p>
      <w:pPr>
        <w:spacing w:after="0" w:line="354" w:lineRule="exact"/>
        <w:rPr>
          <w:rFonts w:ascii="Arial" w:cs="Arial" w:eastAsia="Arial" w:hAnsi="Arial"/>
          <w:sz w:val="19"/>
          <w:szCs w:val="19"/>
          <w:color w:val="auto"/>
          <w:vertAlign w:val="superscript"/>
        </w:rPr>
      </w:pPr>
    </w:p>
    <w:p>
      <w:pPr>
        <w:ind w:left="5540"/>
        <w:spacing w:after="0"/>
        <w:rPr>
          <w:rFonts w:ascii="Arial" w:cs="Arial" w:eastAsia="Arial" w:hAnsi="Arial"/>
          <w:sz w:val="19"/>
          <w:szCs w:val="19"/>
          <w:color w:val="auto"/>
          <w:vertAlign w:val="superscript"/>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54" w:lineRule="exact"/>
        <w:rPr>
          <w:sz w:val="20"/>
          <w:szCs w:val="20"/>
          <w:color w:val="auto"/>
        </w:rPr>
      </w:pPr>
    </w:p>
    <w:p>
      <w:pPr>
        <w:ind w:firstLine="430"/>
        <w:spacing w:after="0" w:line="26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jc w:val="center"/>
        <w:ind w:right="980"/>
        <w:spacing w:after="0" w:line="357" w:lineRule="auto"/>
        <w:rPr>
          <w:sz w:val="20"/>
          <w:szCs w:val="20"/>
          <w:color w:val="auto"/>
        </w:rPr>
      </w:pPr>
      <w:r>
        <w:rPr>
          <w:rFonts w:ascii="Arial" w:cs="Arial" w:eastAsia="Arial" w:hAnsi="Arial"/>
          <w:sz w:val="15"/>
          <w:szCs w:val="15"/>
          <w:color w:val="auto"/>
        </w:rPr>
        <w:t>Our modern economy runs on knowledge. Today, knowledge lives in the cloud as digital content, and Dropbox is where businesses and individuals can create, access, and share this content globally. We serve more than 700 million registered users across approximately 180 countries.</w:t>
      </w:r>
    </w:p>
    <w:p>
      <w:pPr>
        <w:spacing w:after="0" w:line="139" w:lineRule="exact"/>
        <w:rPr>
          <w:sz w:val="20"/>
          <w:szCs w:val="20"/>
          <w:color w:val="auto"/>
        </w:rPr>
      </w:pPr>
    </w:p>
    <w:p>
      <w:pPr>
        <w:ind w:right="160" w:firstLine="430"/>
        <w:spacing w:after="0" w:line="287" w:lineRule="auto"/>
        <w:rPr>
          <w:sz w:val="20"/>
          <w:szCs w:val="20"/>
          <w:color w:val="auto"/>
        </w:rPr>
      </w:pPr>
      <w:r>
        <w:rPr>
          <w:rFonts w:ascii="Arial" w:cs="Arial" w:eastAsia="Arial" w:hAnsi="Arial"/>
          <w:sz w:val="17"/>
          <w:szCs w:val="17"/>
          <w:color w:val="auto"/>
        </w:rPr>
        <w:t>Since our founding in 2007, our market opportunity has grown as we’ve expanded from keeping files in sync to keeping teams in sync. In a world where using technology at work can be fragmented and distracting, Dropbox makes it easy to focus on the work that matters.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By solving these universal problems, we’ve become invaluable to our users. The popularity of our platform allows us to scale rapidly and efficiently.</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We’ve built a thriving global business with 17.37 million paying users.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Subscription Plans</w:t>
      </w:r>
    </w:p>
    <w:p>
      <w:pPr>
        <w:spacing w:after="0" w:line="110" w:lineRule="exact"/>
        <w:rPr>
          <w:sz w:val="20"/>
          <w:szCs w:val="20"/>
          <w:color w:val="auto"/>
        </w:rPr>
      </w:pPr>
    </w:p>
    <w:p>
      <w:pPr>
        <w:ind w:right="60" w:firstLine="430"/>
        <w:spacing w:after="0" w:line="230" w:lineRule="auto"/>
        <w:rPr>
          <w:sz w:val="20"/>
          <w:szCs w:val="20"/>
          <w:color w:val="auto"/>
        </w:rPr>
      </w:pPr>
      <w:r>
        <w:rPr>
          <w:rFonts w:ascii="Arial" w:cs="Arial" w:eastAsia="Arial" w:hAnsi="Arial"/>
          <w:sz w:val="17"/>
          <w:szCs w:val="17"/>
          <w:color w:val="auto"/>
        </w:rPr>
        <w:t>We generate revenue from individuals, families, teams, and organizations by selling subscriptions to our platform, which serve the varying needs of our diverse customer base. Subscribers can purchase individual licenses through our Plus and Professional plans, or purchase multiple licenses through our Family plan or our Standard, Advanced, and Enterprise team plans.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plans,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spacing w:after="0" w:line="209" w:lineRule="exact"/>
        <w:rPr>
          <w:sz w:val="20"/>
          <w:szCs w:val="20"/>
          <w:color w:val="auto"/>
        </w:rPr>
      </w:pPr>
    </w:p>
    <w:p>
      <w:pPr>
        <w:ind w:right="40" w:firstLine="430"/>
        <w:spacing w:after="0" w:line="266" w:lineRule="auto"/>
        <w:rPr>
          <w:sz w:val="20"/>
          <w:szCs w:val="20"/>
          <w:color w:val="auto"/>
        </w:rPr>
      </w:pPr>
      <w:r>
        <w:rPr>
          <w:rFonts w:ascii="Arial" w:cs="Arial" w:eastAsia="Arial" w:hAnsi="Arial"/>
          <w:sz w:val="17"/>
          <w:szCs w:val="17"/>
          <w:color w:val="auto"/>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203" w:lineRule="exact"/>
        <w:rPr>
          <w:sz w:val="20"/>
          <w:szCs w:val="20"/>
          <w:color w:val="auto"/>
        </w:rPr>
      </w:pPr>
    </w:p>
    <w:p>
      <w:pPr>
        <w:ind w:right="40" w:firstLine="469"/>
        <w:spacing w:after="0" w:line="263" w:lineRule="auto"/>
        <w:rPr>
          <w:sz w:val="20"/>
          <w:szCs w:val="20"/>
          <w:color w:val="auto"/>
        </w:rPr>
      </w:pPr>
      <w:r>
        <w:rPr>
          <w:rFonts w:ascii="Arial" w:cs="Arial" w:eastAsia="Arial" w:hAnsi="Arial"/>
          <w:sz w:val="17"/>
          <w:szCs w:val="17"/>
          <w:color w:val="auto"/>
        </w:rPr>
        <w:t>We offer DocSend as our secure document sharing and analytics solution. DocSend offers paid subscription plans, including a personal plan designed for individuals and Standard, Advanced, and Enterprise plans designed for business users and teams. Similar to Dropbox plans, pricing of DocSend's plans is based on the number of licenses purchased. Customers can choose between an annual or monthly plan, with a small number of large organizations on multi-year plans. We typically bill DocSend customers at the beginning of their respective terms and recognize revenue ratably over the subscription period. DocSend primarily sells within the United States, and the majority of sales are in U.S. dollars.</w:t>
      </w:r>
    </w:p>
    <w:p>
      <w:pPr>
        <w:spacing w:after="0" w:line="207" w:lineRule="exact"/>
        <w:rPr>
          <w:sz w:val="20"/>
          <w:szCs w:val="20"/>
          <w:color w:val="auto"/>
        </w:rPr>
      </w:pPr>
    </w:p>
    <w:p>
      <w:pPr>
        <w:ind w:right="140" w:firstLine="469"/>
        <w:spacing w:after="0" w:line="262" w:lineRule="auto"/>
        <w:rPr>
          <w:sz w:val="20"/>
          <w:szCs w:val="20"/>
          <w:color w:val="auto"/>
        </w:rPr>
      </w:pPr>
      <w:r>
        <w:rPr>
          <w:rFonts w:ascii="Arial" w:cs="Arial" w:eastAsia="Arial" w:hAnsi="Arial"/>
          <w:sz w:val="17"/>
          <w:szCs w:val="17"/>
          <w:color w:val="auto"/>
        </w:rPr>
        <w:t>We also offer HelloSign, as our e-signature solution. HelloSign has several product lines, and the pricing and revenue generated from each product line varies, with some product lines priced based on the number of licenses purchased (similar to Dropbox plans), while others are priced based on a customer’s transaction volume. Depending on the product purchased, teams must have a minimum number of licenses, but can also have hundreds of users. Customers can choose between an annual or monthly plan, with a small number of large organizations on multi-year plans. We typically bill HelloSign customers at the beginning of their respective terms and recognize revenue ratably over the subscription period. We sell HelloSign products globally and sell primarily in U.S. dollars</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23" w:lineRule="exact"/>
        <w:rPr>
          <w:sz w:val="20"/>
          <w:szCs w:val="20"/>
          <w:color w:val="auto"/>
        </w:rPr>
      </w:pPr>
    </w:p>
    <w:p>
      <w:pPr>
        <w:ind w:firstLine="469"/>
        <w:spacing w:after="0" w:line="288" w:lineRule="auto"/>
        <w:rPr>
          <w:sz w:val="20"/>
          <w:szCs w:val="20"/>
          <w:color w:val="auto"/>
        </w:rPr>
      </w:pPr>
      <w:r>
        <w:rPr>
          <w:rFonts w:ascii="Arial" w:cs="Arial" w:eastAsia="Arial" w:hAnsi="Arial"/>
          <w:sz w:val="16"/>
          <w:szCs w:val="16"/>
          <w:color w:val="auto"/>
        </w:rPr>
        <w:t>Our customer base is highly diversified, and in the period presented,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Model</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Drive new signups</w:t>
      </w:r>
    </w:p>
    <w:p>
      <w:pPr>
        <w:spacing w:after="0" w:line="248" w:lineRule="exact"/>
        <w:rPr>
          <w:sz w:val="20"/>
          <w:szCs w:val="20"/>
          <w:color w:val="auto"/>
        </w:rPr>
      </w:pPr>
    </w:p>
    <w:p>
      <w:pPr>
        <w:ind w:right="240" w:firstLine="430"/>
        <w:spacing w:after="0" w:line="271" w:lineRule="auto"/>
        <w:rPr>
          <w:sz w:val="20"/>
          <w:szCs w:val="20"/>
          <w:color w:val="auto"/>
        </w:rPr>
      </w:pPr>
      <w:r>
        <w:rPr>
          <w:rFonts w:ascii="Arial" w:cs="Arial" w:eastAsia="Arial" w:hAnsi="Arial"/>
          <w:sz w:val="17"/>
          <w:szCs w:val="17"/>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Increase conversion of registered users to our paid subscription plans</w:t>
      </w:r>
    </w:p>
    <w:p>
      <w:pPr>
        <w:spacing w:after="0" w:line="248" w:lineRule="exact"/>
        <w:rPr>
          <w:sz w:val="20"/>
          <w:szCs w:val="20"/>
          <w:color w:val="auto"/>
        </w:rPr>
      </w:pPr>
    </w:p>
    <w:p>
      <w:pPr>
        <w:ind w:right="120" w:firstLine="430"/>
        <w:spacing w:after="0" w:line="266" w:lineRule="auto"/>
        <w:rPr>
          <w:sz w:val="20"/>
          <w:szCs w:val="20"/>
          <w:color w:val="auto"/>
        </w:rPr>
      </w:pPr>
      <w:r>
        <w:rPr>
          <w:rFonts w:ascii="Arial" w:cs="Arial" w:eastAsia="Arial" w:hAnsi="Arial"/>
          <w:sz w:val="17"/>
          <w:szCs w:val="17"/>
          <w:color w:val="auto"/>
        </w:rPr>
        <w:t>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Together, these enable us to generate increased recurring revenues from our existing user base.</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Upgrade and expand existing customers</w:t>
      </w:r>
    </w:p>
    <w:p>
      <w:pPr>
        <w:spacing w:after="0" w:line="248" w:lineRule="exact"/>
        <w:rPr>
          <w:sz w:val="20"/>
          <w:szCs w:val="20"/>
          <w:color w:val="auto"/>
        </w:rPr>
      </w:pPr>
    </w:p>
    <w:p>
      <w:pPr>
        <w:ind w:right="60" w:firstLine="430"/>
        <w:spacing w:after="0" w:line="284" w:lineRule="auto"/>
        <w:rPr>
          <w:sz w:val="20"/>
          <w:szCs w:val="20"/>
          <w:color w:val="auto"/>
        </w:rPr>
      </w:pPr>
      <w:r>
        <w:rPr>
          <w:rFonts w:ascii="Arial" w:cs="Arial" w:eastAsia="Arial" w:hAnsi="Arial"/>
          <w:sz w:val="16"/>
          <w:szCs w:val="16"/>
          <w:color w:val="auto"/>
        </w:rPr>
        <w:t>We offer a range of paid subscription plans, from Plus, Professional, and Family for individuals to Standard, Advanced, and Enterprise for teams. We analyze usage patterns within our network and run hundreds of targeted marketing campaigns to encourage paying users to upgrade their plans. We prompt individual subscribers who collaborate with others on Dropbox to purchase our Standard or Advanced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HelloSign and DocSend.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update</w:t>
      </w:r>
    </w:p>
    <w:p>
      <w:pPr>
        <w:spacing w:after="0" w:line="235" w:lineRule="exact"/>
        <w:rPr>
          <w:sz w:val="20"/>
          <w:szCs w:val="20"/>
          <w:color w:val="auto"/>
        </w:rPr>
      </w:pPr>
    </w:p>
    <w:p>
      <w:pPr>
        <w:ind w:right="40" w:firstLine="391"/>
        <w:spacing w:after="0" w:line="233" w:lineRule="auto"/>
        <w:rPr>
          <w:sz w:val="20"/>
          <w:szCs w:val="20"/>
          <w:color w:val="auto"/>
        </w:rPr>
      </w:pPr>
      <w:r>
        <w:rPr>
          <w:rFonts w:ascii="Arial" w:cs="Arial" w:eastAsia="Arial" w:hAnsi="Arial"/>
          <w:sz w:val="17"/>
          <w:szCs w:val="17"/>
          <w:color w:val="auto"/>
        </w:rPr>
        <w:t>Although we did not experience material impacts to our financial condition and results of operations during the three and six months ended June 30, 2022 as a result of the on-going COVID-19 pandemic, we have seen and may continue to see impacts to certain components of results of operations. The full extent to which the COVID-19 pandemic may impact our business, financial condition or results of operations remains uncertain, but may include, without limitation, impacts to our paying user growth as well as disruptions to our business operations as a result of travel restrictions, shutdown of workplaces and potential impacts to our vendors.</w:t>
      </w:r>
    </w:p>
    <w:p>
      <w:pPr>
        <w:spacing w:after="0" w:line="212" w:lineRule="exact"/>
        <w:rPr>
          <w:sz w:val="20"/>
          <w:szCs w:val="20"/>
          <w:color w:val="auto"/>
        </w:rPr>
      </w:pPr>
    </w:p>
    <w:p>
      <w:pPr>
        <w:ind w:right="100" w:firstLine="391"/>
        <w:spacing w:after="0" w:line="281" w:lineRule="auto"/>
        <w:rPr>
          <w:sz w:val="20"/>
          <w:szCs w:val="20"/>
          <w:color w:val="auto"/>
        </w:rPr>
      </w:pPr>
      <w:r>
        <w:rPr>
          <w:rFonts w:ascii="Arial" w:cs="Arial" w:eastAsia="Arial" w:hAnsi="Arial"/>
          <w:sz w:val="16"/>
          <w:szCs w:val="16"/>
          <w:color w:val="auto"/>
        </w:rPr>
        <w:t>Additionally, our results of operations and cash flows are subject to fluctuations due to changes in foreign currency exchange rates relative to U.S. dollars, our reporting currency, as well as changes in interest rates. Volatile market conditions related to the COVID-19 pandemic have, at times, and may in the future negatively impact our results of operations and cash flows. Conversely, we have seen and may continue to see cost savings from the shift to remote work for all of our employees in areas including events, travel, utilities, and other benefits. Certain of these cost savings may continue beyond the resolution of the COVID-19 pandemic in connection with our Virtual First work model, as described below. Due to our subscription-based business model, the effect of the COVID-19 pandemic may not be fully reflected in our results of operations until future periods, if at all.</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Virtual First</w:t>
      </w:r>
    </w:p>
    <w:p>
      <w:pPr>
        <w:spacing w:after="0" w:line="248" w:lineRule="exact"/>
        <w:rPr>
          <w:sz w:val="20"/>
          <w:szCs w:val="20"/>
          <w:color w:val="auto"/>
        </w:rPr>
      </w:pPr>
    </w:p>
    <w:p>
      <w:pPr>
        <w:ind w:right="60" w:firstLine="391"/>
        <w:spacing w:after="0" w:line="262" w:lineRule="auto"/>
        <w:rPr>
          <w:sz w:val="20"/>
          <w:szCs w:val="20"/>
          <w:color w:val="auto"/>
        </w:rPr>
      </w:pPr>
      <w:r>
        <w:rPr>
          <w:rFonts w:ascii="Arial" w:cs="Arial" w:eastAsia="Arial" w:hAnsi="Arial"/>
          <w:sz w:val="17"/>
          <w:szCs w:val="17"/>
          <w:color w:val="auto"/>
        </w:rPr>
        <w:t>The effects of the COVID-19 pandemic have led us to reimagine the way we work, resulting in our announcement in October 2020 of our shift to a Virtual First work model pursuant to which remote work has become the primary experience for all of our employees. As a result, we expect that our workforce will continue to become more distributed over time, although we are continuing to offer our employees opportunities for in-person collaboration in all locations we currently have offices, either through our existing real-estate, or new on-demand, flexible spaces, which are known as "Dropbox Studios". Consistent with this strategy, we have retained a portion of our office space while the remainder will be subleased. We recorded an impairment charge of $8.7 million during the six months ended June 30, 2022 related to the adoption of Virtual First. We</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recorded an impairment charge of $17.3 million in the six months ended June 30, 2021 related to the adoption of Virtual First, including impairment related to real estate assets acquired as part of our acquisition of DocSend. See Note 9, "Leases" to our condensed consolidated financial statements included elsewhere in this Quarterly Report on Form 10-Q for additional information. We may incur additional charges depending on the continued recovery of the global real estate market. In addition to generating sublease income, we expect that as a result of our shift to Virtual First we will continue to see certain savings that we experienced as a result of the COVID-19 pandemic in areas, including reductions in facilities related costs and depreciation expense due to the impairment charges related to the adoption of Virtual First.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 in Ukraine</w:t>
      </w:r>
    </w:p>
    <w:p>
      <w:pPr>
        <w:spacing w:after="0" w:line="248" w:lineRule="exact"/>
        <w:rPr>
          <w:sz w:val="20"/>
          <w:szCs w:val="20"/>
          <w:color w:val="auto"/>
        </w:rPr>
      </w:pPr>
    </w:p>
    <w:p>
      <w:pPr>
        <w:ind w:right="240" w:firstLine="391"/>
        <w:spacing w:after="0" w:line="296" w:lineRule="auto"/>
        <w:rPr>
          <w:sz w:val="20"/>
          <w:szCs w:val="20"/>
          <w:color w:val="auto"/>
        </w:rPr>
      </w:pPr>
      <w:r>
        <w:rPr>
          <w:rFonts w:ascii="Arial" w:cs="Arial" w:eastAsia="Arial" w:hAnsi="Arial"/>
          <w:sz w:val="16"/>
          <w:szCs w:val="16"/>
          <w:color w:val="auto"/>
        </w:rPr>
        <w:t>In February 2022, the Russian Federation commenced a military action with the country of Ukraine. As a result of this action, various nations, including the United States, have instituted economic sanctions against the Russian Federation. We did not experience material impacts to our financial condition and results of operations during the six months ended June 30, 2022 as a result of the war in Ukraine or the related sanctions.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Business Metrics</w:t>
      </w:r>
    </w:p>
    <w:p>
      <w:pPr>
        <w:spacing w:after="0" w:line="254" w:lineRule="exact"/>
        <w:rPr>
          <w:sz w:val="20"/>
          <w:szCs w:val="20"/>
          <w:color w:val="auto"/>
        </w:rPr>
      </w:pPr>
    </w:p>
    <w:p>
      <w:pPr>
        <w:ind w:right="200" w:firstLine="430"/>
        <w:spacing w:after="0" w:line="287" w:lineRule="auto"/>
        <w:rPr>
          <w:sz w:val="20"/>
          <w:szCs w:val="20"/>
          <w:color w:val="auto"/>
        </w:rPr>
      </w:pPr>
      <w:r>
        <w:rPr>
          <w:rFonts w:ascii="Arial" w:cs="Arial" w:eastAsia="Arial" w:hAnsi="Arial"/>
          <w:sz w:val="17"/>
          <w:szCs w:val="17"/>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Total annual recurring revenue</w:t>
      </w:r>
    </w:p>
    <w:p>
      <w:pPr>
        <w:spacing w:after="0" w:line="117" w:lineRule="exact"/>
        <w:rPr>
          <w:sz w:val="20"/>
          <w:szCs w:val="20"/>
          <w:color w:val="auto"/>
        </w:rPr>
      </w:pPr>
    </w:p>
    <w:p>
      <w:pPr>
        <w:ind w:right="120" w:firstLine="391"/>
        <w:spacing w:after="0" w:line="263" w:lineRule="auto"/>
        <w:rPr>
          <w:sz w:val="20"/>
          <w:szCs w:val="20"/>
          <w:color w:val="auto"/>
        </w:rPr>
      </w:pPr>
      <w:r>
        <w:rPr>
          <w:rFonts w:ascii="Arial" w:cs="Arial" w:eastAsia="Arial" w:hAnsi="Arial"/>
          <w:sz w:val="17"/>
          <w:szCs w:val="17"/>
          <w:color w:val="auto"/>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however the changes in ARR throughout the year could be subject to seasonality. Total ARR is a performance metric and should be viewed independently of revenue and deferred revenue, and is not intended to be a substitute for, or combined with, any of these items.</w:t>
      </w:r>
    </w:p>
    <w:p>
      <w:pPr>
        <w:spacing w:after="0" w:line="207" w:lineRule="exact"/>
        <w:rPr>
          <w:sz w:val="20"/>
          <w:szCs w:val="20"/>
          <w:color w:val="auto"/>
        </w:rPr>
      </w:pPr>
    </w:p>
    <w:p>
      <w:pPr>
        <w:ind w:right="40" w:firstLine="430"/>
        <w:spacing w:after="0" w:line="266" w:lineRule="auto"/>
        <w:rPr>
          <w:sz w:val="20"/>
          <w:szCs w:val="20"/>
          <w:color w:val="auto"/>
        </w:rPr>
      </w:pPr>
      <w:r>
        <w:rPr>
          <w:rFonts w:ascii="Arial" w:cs="Arial" w:eastAsia="Arial" w:hAnsi="Arial"/>
          <w:sz w:val="17"/>
          <w:szCs w:val="17"/>
          <w:color w:val="auto"/>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to our platform. We include ARR related to acquired companies in our total ARR in the period of the acquisition. We adjust the exchange rates used to calculate Total ARR on an annual basis at the beginning of each fiscal year.</w:t>
      </w:r>
    </w:p>
    <w:p>
      <w:pPr>
        <w:spacing w:after="0" w:line="203" w:lineRule="exact"/>
        <w:rPr>
          <w:sz w:val="20"/>
          <w:szCs w:val="20"/>
          <w:color w:val="auto"/>
        </w:rPr>
      </w:pPr>
    </w:p>
    <w:p>
      <w:pPr>
        <w:ind w:firstLine="430"/>
        <w:spacing w:after="0" w:line="287" w:lineRule="auto"/>
        <w:rPr>
          <w:sz w:val="20"/>
          <w:szCs w:val="20"/>
          <w:color w:val="auto"/>
        </w:rPr>
      </w:pPr>
      <w:r>
        <w:rPr>
          <w:rFonts w:ascii="Arial" w:cs="Arial" w:eastAsia="Arial" w:hAnsi="Arial"/>
          <w:sz w:val="17"/>
          <w:szCs w:val="17"/>
          <w:color w:val="auto"/>
        </w:rPr>
        <w:t>We experienced an increase in Total ARR for the period ended June 30, 2022, compared to the period ended June 30, 2021, primarily driven by an increase in paying users across our product portfolio, as well as an increased mix of sales from our higher-priced subscription plans.</w:t>
      </w:r>
    </w:p>
    <w:p>
      <w:pPr>
        <w:spacing w:after="0" w:line="184" w:lineRule="exact"/>
        <w:rPr>
          <w:sz w:val="20"/>
          <w:szCs w:val="20"/>
          <w:color w:val="auto"/>
        </w:rPr>
      </w:pPr>
    </w:p>
    <w:p>
      <w:pPr>
        <w:ind w:right="120" w:firstLine="430"/>
        <w:spacing w:after="0" w:line="287" w:lineRule="auto"/>
        <w:rPr>
          <w:sz w:val="20"/>
          <w:szCs w:val="20"/>
          <w:color w:val="auto"/>
        </w:rPr>
      </w:pPr>
      <w:r>
        <w:rPr>
          <w:rFonts w:ascii="Arial" w:cs="Arial" w:eastAsia="Arial" w:hAnsi="Arial"/>
          <w:sz w:val="17"/>
          <w:szCs w:val="17"/>
          <w:color w:val="auto"/>
        </w:rPr>
        <w:t>The below tables set forth our Total ARR using the exchange rates set at the beginning of each year, as well as on a constant currency basis relative to the exchange rates used in 2022.</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5060" w:type="dxa"/>
            <w:vAlign w:val="bottom"/>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center"/>
              <w:ind w:right="273"/>
              <w:spacing w:after="0"/>
              <w:rPr>
                <w:sz w:val="20"/>
                <w:szCs w:val="20"/>
                <w:color w:val="auto"/>
              </w:rPr>
            </w:pPr>
            <w:r>
              <w:rPr>
                <w:rFonts w:ascii="Arial" w:cs="Arial" w:eastAsia="Arial" w:hAnsi="Arial"/>
                <w:sz w:val="17"/>
                <w:szCs w:val="17"/>
                <w:b w:val="1"/>
                <w:bCs w:val="1"/>
                <w:color w:val="auto"/>
                <w:w w:val="89"/>
              </w:rPr>
              <w:t>As of</w:t>
            </w:r>
          </w:p>
        </w:tc>
        <w:tc>
          <w:tcPr>
            <w:tcW w:w="1780" w:type="dxa"/>
            <w:vAlign w:val="bottom"/>
            <w:tcBorders>
              <w:bottom w:val="single" w:sz="8" w:color="auto"/>
            </w:tcBorders>
          </w:tcPr>
          <w:p>
            <w:pPr>
              <w:spacing w:after="0"/>
              <w:rPr>
                <w:sz w:val="19"/>
                <w:szCs w:val="19"/>
                <w:color w:val="auto"/>
              </w:rPr>
            </w:pPr>
          </w:p>
        </w:tc>
      </w:tr>
      <w:tr>
        <w:trPr>
          <w:trHeight w:val="215"/>
        </w:trPr>
        <w:tc>
          <w:tcPr>
            <w:tcW w:w="5060" w:type="dxa"/>
            <w:vAlign w:val="bottom"/>
          </w:tcPr>
          <w:p>
            <w:pPr>
              <w:spacing w:after="0"/>
              <w:rPr>
                <w:sz w:val="18"/>
                <w:szCs w:val="18"/>
                <w:color w:val="auto"/>
              </w:rPr>
            </w:pPr>
          </w:p>
        </w:tc>
        <w:tc>
          <w:tcPr>
            <w:tcW w:w="214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June 30, 2022</w:t>
            </w:r>
          </w:p>
        </w:tc>
        <w:tc>
          <w:tcPr>
            <w:tcW w:w="2180" w:type="dxa"/>
            <w:vAlign w:val="bottom"/>
            <w:tcBorders>
              <w:bottom w:val="single" w:sz="8" w:color="auto"/>
            </w:tcBorders>
          </w:tcPr>
          <w:p>
            <w:pPr>
              <w:jc w:val="center"/>
              <w:ind w:right="293"/>
              <w:spacing w:after="0"/>
              <w:rPr>
                <w:sz w:val="20"/>
                <w:szCs w:val="20"/>
                <w:color w:val="auto"/>
              </w:rPr>
            </w:pPr>
            <w:r>
              <w:rPr>
                <w:rFonts w:ascii="Arial" w:cs="Arial" w:eastAsia="Arial" w:hAnsi="Arial"/>
                <w:sz w:val="17"/>
                <w:szCs w:val="17"/>
                <w:b w:val="1"/>
                <w:bCs w:val="1"/>
                <w:color w:val="auto"/>
                <w:w w:val="91"/>
              </w:rPr>
              <w:t>December 31, 2021</w:t>
            </w:r>
          </w:p>
        </w:tc>
        <w:tc>
          <w:tcPr>
            <w:tcW w:w="178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June 30, 2021</w:t>
            </w:r>
          </w:p>
        </w:tc>
      </w:tr>
      <w:tr>
        <w:trPr>
          <w:trHeight w:val="215"/>
        </w:trPr>
        <w:tc>
          <w:tcPr>
            <w:tcW w:w="50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80" w:type="dxa"/>
            <w:vAlign w:val="bottom"/>
          </w:tcPr>
          <w:p>
            <w:pPr>
              <w:jc w:val="center"/>
              <w:ind w:right="273"/>
              <w:spacing w:after="0"/>
              <w:rPr>
                <w:sz w:val="20"/>
                <w:szCs w:val="20"/>
                <w:color w:val="auto"/>
              </w:rPr>
            </w:pPr>
            <w:r>
              <w:rPr>
                <w:rFonts w:ascii="Arial" w:cs="Arial" w:eastAsia="Arial" w:hAnsi="Arial"/>
                <w:sz w:val="17"/>
                <w:szCs w:val="17"/>
                <w:i w:val="1"/>
                <w:iCs w:val="1"/>
                <w:color w:val="auto"/>
                <w:w w:val="98"/>
              </w:rPr>
              <w:t>(In millions)</w:t>
            </w:r>
          </w:p>
        </w:tc>
        <w:tc>
          <w:tcPr>
            <w:tcW w:w="1780" w:type="dxa"/>
            <w:vAlign w:val="bottom"/>
          </w:tcPr>
          <w:p>
            <w:pPr>
              <w:spacing w:after="0"/>
              <w:rPr>
                <w:sz w:val="18"/>
                <w:szCs w:val="18"/>
                <w:color w:val="auto"/>
              </w:rPr>
            </w:pPr>
          </w:p>
        </w:tc>
      </w:tr>
      <w:tr>
        <w:trPr>
          <w:trHeight w:val="222"/>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ARR</w:t>
            </w:r>
          </w:p>
        </w:tc>
        <w:tc>
          <w:tcPr>
            <w:tcW w:w="21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$2,333</w:t>
            </w:r>
          </w:p>
        </w:tc>
        <w:tc>
          <w:tcPr>
            <w:tcW w:w="218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$2,261</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$2,166</w:t>
            </w:r>
          </w:p>
        </w:tc>
      </w:tr>
      <w:tr>
        <w:trPr>
          <w:trHeight w:val="574"/>
        </w:trPr>
        <w:tc>
          <w:tcPr>
            <w:tcW w:w="5060" w:type="dxa"/>
            <w:vAlign w:val="bottom"/>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center"/>
              <w:ind w:right="273"/>
              <w:spacing w:after="0"/>
              <w:rPr>
                <w:sz w:val="20"/>
                <w:szCs w:val="20"/>
                <w:color w:val="auto"/>
              </w:rPr>
            </w:pPr>
            <w:r>
              <w:rPr>
                <w:rFonts w:ascii="Arial" w:cs="Arial" w:eastAsia="Arial" w:hAnsi="Arial"/>
                <w:sz w:val="17"/>
                <w:szCs w:val="17"/>
                <w:b w:val="1"/>
                <w:bCs w:val="1"/>
                <w:color w:val="auto"/>
                <w:w w:val="89"/>
              </w:rPr>
              <w:t>As of</w:t>
            </w:r>
          </w:p>
        </w:tc>
        <w:tc>
          <w:tcPr>
            <w:tcW w:w="1780" w:type="dxa"/>
            <w:vAlign w:val="bottom"/>
            <w:tcBorders>
              <w:bottom w:val="single" w:sz="8" w:color="auto"/>
            </w:tcBorders>
          </w:tcPr>
          <w:p>
            <w:pPr>
              <w:spacing w:after="0"/>
              <w:rPr>
                <w:sz w:val="24"/>
                <w:szCs w:val="24"/>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Constant Currency</w:t>
            </w:r>
          </w:p>
        </w:tc>
        <w:tc>
          <w:tcPr>
            <w:tcW w:w="214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June 30, 2022</w:t>
            </w:r>
          </w:p>
        </w:tc>
        <w:tc>
          <w:tcPr>
            <w:tcW w:w="2180" w:type="dxa"/>
            <w:vAlign w:val="bottom"/>
            <w:tcBorders>
              <w:bottom w:val="single" w:sz="8" w:color="auto"/>
            </w:tcBorders>
          </w:tcPr>
          <w:p>
            <w:pPr>
              <w:jc w:val="center"/>
              <w:ind w:right="293"/>
              <w:spacing w:after="0"/>
              <w:rPr>
                <w:sz w:val="20"/>
                <w:szCs w:val="20"/>
                <w:color w:val="auto"/>
              </w:rPr>
            </w:pPr>
            <w:r>
              <w:rPr>
                <w:rFonts w:ascii="Arial" w:cs="Arial" w:eastAsia="Arial" w:hAnsi="Arial"/>
                <w:sz w:val="17"/>
                <w:szCs w:val="17"/>
                <w:b w:val="1"/>
                <w:bCs w:val="1"/>
                <w:color w:val="auto"/>
                <w:w w:val="91"/>
              </w:rPr>
              <w:t>December 31, 2021</w:t>
            </w:r>
          </w:p>
        </w:tc>
        <w:tc>
          <w:tcPr>
            <w:tcW w:w="178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June 30, 2021</w:t>
            </w:r>
          </w:p>
        </w:tc>
      </w:tr>
      <w:tr>
        <w:trPr>
          <w:trHeight w:val="215"/>
        </w:trPr>
        <w:tc>
          <w:tcPr>
            <w:tcW w:w="50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80" w:type="dxa"/>
            <w:vAlign w:val="bottom"/>
          </w:tcPr>
          <w:p>
            <w:pPr>
              <w:jc w:val="center"/>
              <w:ind w:right="273"/>
              <w:spacing w:after="0"/>
              <w:rPr>
                <w:sz w:val="20"/>
                <w:szCs w:val="20"/>
                <w:color w:val="auto"/>
              </w:rPr>
            </w:pPr>
            <w:r>
              <w:rPr>
                <w:rFonts w:ascii="Arial" w:cs="Arial" w:eastAsia="Arial" w:hAnsi="Arial"/>
                <w:sz w:val="17"/>
                <w:szCs w:val="17"/>
                <w:i w:val="1"/>
                <w:iCs w:val="1"/>
                <w:color w:val="auto"/>
                <w:w w:val="98"/>
              </w:rPr>
              <w:t>(In millions)</w:t>
            </w:r>
          </w:p>
        </w:tc>
        <w:tc>
          <w:tcPr>
            <w:tcW w:w="1780" w:type="dxa"/>
            <w:vAlign w:val="bottom"/>
          </w:tcPr>
          <w:p>
            <w:pPr>
              <w:spacing w:after="0"/>
              <w:rPr>
                <w:sz w:val="18"/>
                <w:szCs w:val="18"/>
                <w:color w:val="auto"/>
              </w:rPr>
            </w:pPr>
          </w:p>
        </w:tc>
      </w:tr>
      <w:tr>
        <w:trPr>
          <w:trHeight w:val="222"/>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ARR</w:t>
            </w:r>
          </w:p>
        </w:tc>
        <w:tc>
          <w:tcPr>
            <w:tcW w:w="21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$2,333</w:t>
            </w:r>
          </w:p>
        </w:tc>
        <w:tc>
          <w:tcPr>
            <w:tcW w:w="218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$2,250</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$2,155</w:t>
            </w:r>
          </w:p>
        </w:tc>
      </w:tr>
    </w:tbl>
    <w:p>
      <w:pPr>
        <w:spacing w:after="0" w:line="200" w:lineRule="exact"/>
        <w:rPr>
          <w:sz w:val="20"/>
          <w:szCs w:val="20"/>
          <w:color w:val="auto"/>
        </w:rPr>
      </w:pPr>
    </w:p>
    <w:p>
      <w:pPr>
        <w:spacing w:after="0" w:line="23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Paying users</w:t>
      </w:r>
    </w:p>
    <w:p>
      <w:pPr>
        <w:spacing w:after="0" w:line="117" w:lineRule="exact"/>
        <w:rPr>
          <w:sz w:val="20"/>
          <w:szCs w:val="20"/>
          <w:color w:val="auto"/>
        </w:rPr>
      </w:pPr>
    </w:p>
    <w:p>
      <w:pPr>
        <w:ind w:right="400" w:firstLine="430"/>
        <w:spacing w:after="0" w:line="287" w:lineRule="auto"/>
        <w:rPr>
          <w:sz w:val="20"/>
          <w:szCs w:val="20"/>
          <w:color w:val="auto"/>
        </w:rPr>
      </w:pPr>
      <w:r>
        <w:rPr>
          <w:rFonts w:ascii="Arial" w:cs="Arial" w:eastAsia="Arial" w:hAnsi="Arial"/>
          <w:sz w:val="17"/>
          <w:szCs w:val="17"/>
          <w:color w:val="auto"/>
        </w:rPr>
        <w:t>We define paying users as the number of users who have active paid licenses for access to our platform as of the end of the period. One person would count as multiple paying users if the person had more than one active license. For example, a 50-</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184" w:lineRule="exact"/>
        <w:rPr>
          <w:sz w:val="20"/>
          <w:szCs w:val="20"/>
          <w:color w:val="auto"/>
        </w:rPr>
      </w:pPr>
    </w:p>
    <w:p>
      <w:pPr>
        <w:ind w:right="180" w:firstLine="430"/>
        <w:spacing w:after="0" w:line="287" w:lineRule="auto"/>
        <w:rPr>
          <w:sz w:val="20"/>
          <w:szCs w:val="20"/>
          <w:color w:val="auto"/>
        </w:rPr>
      </w:pPr>
      <w:r>
        <w:rPr>
          <w:rFonts w:ascii="Arial" w:cs="Arial" w:eastAsia="Arial" w:hAnsi="Arial"/>
          <w:sz w:val="17"/>
          <w:szCs w:val="17"/>
          <w:color w:val="auto"/>
        </w:rPr>
        <w:t>We have experienced growth in the number of paying users across our products, with the majority of paying users for the periods presented coming from our self-serve channels.</w:t>
      </w:r>
    </w:p>
    <w:p>
      <w:pPr>
        <w:spacing w:after="0" w:line="171" w:lineRule="exact"/>
        <w:rPr>
          <w:sz w:val="20"/>
          <w:szCs w:val="20"/>
          <w:color w:val="auto"/>
        </w:rPr>
      </w:pPr>
    </w:p>
    <w:p>
      <w:pPr>
        <w:ind w:right="380" w:firstLine="430"/>
        <w:spacing w:after="0" w:line="255" w:lineRule="auto"/>
        <w:rPr>
          <w:sz w:val="20"/>
          <w:szCs w:val="20"/>
          <w:color w:val="auto"/>
        </w:rPr>
      </w:pPr>
      <w:r>
        <w:rPr>
          <w:rFonts w:ascii="Arial" w:cs="Arial" w:eastAsia="Arial" w:hAnsi="Arial"/>
          <w:sz w:val="17"/>
          <w:szCs w:val="17"/>
          <w:color w:val="auto"/>
        </w:rPr>
        <w:t>We define DocSend paying users as the number of users who have active paid licenses for access to our platform as of the end of the period. DocSend users have been included as paying users since our acquisition of DocSend in the first quarter of 2021.</w:t>
      </w:r>
    </w:p>
    <w:p>
      <w:pPr>
        <w:spacing w:after="0" w:line="197" w:lineRule="exact"/>
        <w:rPr>
          <w:sz w:val="20"/>
          <w:szCs w:val="20"/>
          <w:color w:val="auto"/>
        </w:rPr>
      </w:pPr>
    </w:p>
    <w:p>
      <w:pPr>
        <w:ind w:right="60" w:firstLine="430"/>
        <w:spacing w:after="0" w:line="263" w:lineRule="auto"/>
        <w:rPr>
          <w:sz w:val="20"/>
          <w:szCs w:val="20"/>
          <w:color w:val="auto"/>
        </w:rPr>
      </w:pPr>
      <w:r>
        <w:rPr>
          <w:rFonts w:ascii="Arial" w:cs="Arial" w:eastAsia="Arial" w:hAnsi="Arial"/>
          <w:sz w:val="17"/>
          <w:szCs w:val="17"/>
          <w:color w:val="auto"/>
        </w:rPr>
        <w:t>HelloSign has several product lines and the pricing and revenue generated from each product line varies, with some product lines priced based on the number of licenses purchased (similar to Dropbox plans), while others are priced based on a customer’s transaction volume. For purposes of HelloSign, we include as paying users either (i) the number of users who have active paid licenses for access to the HelloSign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below table sets forth the number of paying users as of June 30, 2022, December 31, 2021, and June 30, 2021.</w:t>
      </w:r>
    </w:p>
    <w:p>
      <w:pPr>
        <w:spacing w:after="0" w:line="281" w:lineRule="exact"/>
        <w:rPr>
          <w:sz w:val="20"/>
          <w:szCs w:val="20"/>
          <w:color w:val="auto"/>
        </w:rPr>
      </w:pPr>
    </w:p>
    <w:p>
      <w:pPr>
        <w:ind w:left="7960"/>
        <w:spacing w:after="0"/>
        <w:rPr>
          <w:sz w:val="20"/>
          <w:szCs w:val="20"/>
          <w:color w:val="auto"/>
        </w:rPr>
      </w:pPr>
      <w:r>
        <w:rPr>
          <w:rFonts w:ascii="Arial" w:cs="Arial" w:eastAsia="Arial" w:hAnsi="Arial"/>
          <w:sz w:val="17"/>
          <w:szCs w:val="17"/>
          <w:b w:val="1"/>
          <w:bCs w:val="1"/>
          <w:color w:val="auto"/>
        </w:rPr>
        <w:t>As of</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15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7"/>
                <w:szCs w:val="17"/>
                <w:b w:val="1"/>
                <w:bCs w:val="1"/>
                <w:color w:val="auto"/>
                <w:w w:val="90"/>
              </w:rPr>
              <w:t>June 30, 2022</w:t>
            </w:r>
          </w:p>
        </w:tc>
        <w:tc>
          <w:tcPr>
            <w:tcW w:w="640" w:type="dxa"/>
            <w:vAlign w:val="bottom"/>
            <w:tcBorders>
              <w:top w:val="single" w:sz="8" w:color="auto"/>
              <w:bottom w:val="single" w:sz="8" w:color="auto"/>
            </w:tcBorders>
          </w:tcPr>
          <w:p>
            <w:pPr>
              <w:spacing w:after="0"/>
              <w:rPr>
                <w:sz w:val="18"/>
                <w:szCs w:val="18"/>
                <w:color w:val="auto"/>
              </w:rPr>
            </w:pPr>
          </w:p>
        </w:tc>
        <w:tc>
          <w:tcPr>
            <w:tcW w:w="2160" w:type="dxa"/>
            <w:vAlign w:val="bottom"/>
            <w:tcBorders>
              <w:top w:val="single" w:sz="8" w:color="auto"/>
              <w:bottom w:val="single" w:sz="8" w:color="auto"/>
            </w:tcBorders>
          </w:tcPr>
          <w:p>
            <w:pPr>
              <w:jc w:val="center"/>
              <w:ind w:right="233"/>
              <w:spacing w:after="0"/>
              <w:rPr>
                <w:sz w:val="20"/>
                <w:szCs w:val="20"/>
                <w:color w:val="auto"/>
              </w:rPr>
            </w:pPr>
            <w:r>
              <w:rPr>
                <w:rFonts w:ascii="Arial" w:cs="Arial" w:eastAsia="Arial" w:hAnsi="Arial"/>
                <w:sz w:val="17"/>
                <w:szCs w:val="17"/>
                <w:b w:val="1"/>
                <w:bCs w:val="1"/>
                <w:color w:val="auto"/>
                <w:w w:val="91"/>
              </w:rPr>
              <w:t>December 31, 2021</w:t>
            </w:r>
          </w:p>
        </w:tc>
        <w:tc>
          <w:tcPr>
            <w:tcW w:w="18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June 30, 2021</w:t>
            </w:r>
          </w:p>
        </w:tc>
      </w:tr>
      <w:tr>
        <w:trPr>
          <w:trHeight w:val="215"/>
        </w:trPr>
        <w:tc>
          <w:tcPr>
            <w:tcW w:w="5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tcPr>
          <w:p>
            <w:pPr>
              <w:jc w:val="center"/>
              <w:ind w:right="213"/>
              <w:spacing w:after="0"/>
              <w:rPr>
                <w:sz w:val="20"/>
                <w:szCs w:val="20"/>
                <w:color w:val="auto"/>
              </w:rPr>
            </w:pPr>
            <w:r>
              <w:rPr>
                <w:rFonts w:ascii="Arial" w:cs="Arial" w:eastAsia="Arial" w:hAnsi="Arial"/>
                <w:sz w:val="17"/>
                <w:szCs w:val="17"/>
                <w:i w:val="1"/>
                <w:iCs w:val="1"/>
                <w:color w:val="auto"/>
                <w:w w:val="98"/>
              </w:rPr>
              <w:t>(In millions)</w:t>
            </w:r>
          </w:p>
        </w:tc>
        <w:tc>
          <w:tcPr>
            <w:tcW w:w="1820" w:type="dxa"/>
            <w:vAlign w:val="bottom"/>
          </w:tcPr>
          <w:p>
            <w:pPr>
              <w:spacing w:after="0"/>
              <w:rPr>
                <w:sz w:val="18"/>
                <w:szCs w:val="18"/>
                <w:color w:val="auto"/>
              </w:rPr>
            </w:pPr>
          </w:p>
        </w:tc>
      </w:tr>
      <w:tr>
        <w:trPr>
          <w:trHeight w:val="222"/>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Paying users</w:t>
            </w:r>
          </w:p>
        </w:tc>
        <w:tc>
          <w:tcPr>
            <w:tcW w:w="6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9"/>
              </w:rPr>
              <w:t>17.37</w:t>
            </w:r>
          </w:p>
        </w:tc>
        <w:tc>
          <w:tcPr>
            <w:tcW w:w="216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16.79</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16.14</w:t>
            </w:r>
          </w:p>
        </w:tc>
      </w:tr>
    </w:tbl>
    <w:p>
      <w:pPr>
        <w:spacing w:after="0" w:line="3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Average revenue per paying user</w:t>
      </w:r>
    </w:p>
    <w:p>
      <w:pPr>
        <w:spacing w:after="0" w:line="117" w:lineRule="exact"/>
        <w:rPr>
          <w:sz w:val="20"/>
          <w:szCs w:val="20"/>
          <w:color w:val="auto"/>
        </w:rPr>
      </w:pPr>
    </w:p>
    <w:p>
      <w:pPr>
        <w:ind w:right="60" w:firstLine="430"/>
        <w:spacing w:after="0" w:line="266" w:lineRule="auto"/>
        <w:rPr>
          <w:sz w:val="20"/>
          <w:szCs w:val="20"/>
          <w:color w:val="auto"/>
        </w:rPr>
      </w:pPr>
      <w:r>
        <w:rPr>
          <w:rFonts w:ascii="Arial" w:cs="Arial" w:eastAsia="Arial" w:hAnsi="Arial"/>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203" w:lineRule="exact"/>
        <w:rPr>
          <w:sz w:val="20"/>
          <w:szCs w:val="20"/>
          <w:color w:val="auto"/>
        </w:rPr>
      </w:pPr>
    </w:p>
    <w:p>
      <w:pPr>
        <w:ind w:right="20" w:firstLine="430"/>
        <w:spacing w:after="0" w:line="287" w:lineRule="auto"/>
        <w:rPr>
          <w:sz w:val="20"/>
          <w:szCs w:val="20"/>
          <w:color w:val="auto"/>
        </w:rPr>
      </w:pPr>
      <w:r>
        <w:rPr>
          <w:rFonts w:ascii="Arial" w:cs="Arial" w:eastAsia="Arial" w:hAnsi="Arial"/>
          <w:sz w:val="17"/>
          <w:szCs w:val="17"/>
          <w:color w:val="auto"/>
        </w:rPr>
        <w:t>We experienced an increase in our average revenue per paying user for the three and six months ended June 30, 2022 compared to the three and six months ended June 30, 2021 primarily due to an increased mix of sales toward our higher-priced subscription plans.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below table sets forth our ARPU for the three and six months ended June 30, 2022 and 2021.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gridSpan w:val="5"/>
          </w:tcPr>
          <w:p>
            <w:pPr>
              <w:jc w:val="center"/>
              <w:ind w:right="480"/>
              <w:spacing w:after="0"/>
              <w:rPr>
                <w:sz w:val="20"/>
                <w:szCs w:val="20"/>
                <w:color w:val="auto"/>
              </w:rPr>
            </w:pPr>
            <w:r>
              <w:rPr>
                <w:rFonts w:ascii="Arial" w:cs="Arial" w:eastAsia="Arial" w:hAnsi="Arial"/>
                <w:sz w:val="17"/>
                <w:szCs w:val="17"/>
                <w:b w:val="1"/>
                <w:bCs w:val="1"/>
                <w:color w:val="auto"/>
                <w:w w:val="93"/>
              </w:rPr>
              <w:t>Three Months Ended</w:t>
            </w:r>
          </w:p>
        </w:tc>
        <w:tc>
          <w:tcPr>
            <w:tcW w:w="400" w:type="dxa"/>
            <w:vAlign w:val="bottom"/>
          </w:tcPr>
          <w:p>
            <w:pPr>
              <w:spacing w:after="0"/>
              <w:rPr>
                <w:sz w:val="16"/>
                <w:szCs w:val="16"/>
                <w:color w:val="auto"/>
              </w:rPr>
            </w:pPr>
          </w:p>
        </w:tc>
        <w:tc>
          <w:tcPr>
            <w:tcW w:w="2120" w:type="dxa"/>
            <w:vAlign w:val="bottom"/>
            <w:gridSpan w:val="3"/>
          </w:tcPr>
          <w:p>
            <w:pPr>
              <w:jc w:val="center"/>
              <w:ind w:left="593"/>
              <w:spacing w:after="0"/>
              <w:rPr>
                <w:sz w:val="20"/>
                <w:szCs w:val="20"/>
                <w:color w:val="auto"/>
              </w:rPr>
            </w:pPr>
            <w:r>
              <w:rPr>
                <w:rFonts w:ascii="Arial" w:cs="Arial" w:eastAsia="Arial" w:hAnsi="Arial"/>
                <w:sz w:val="17"/>
                <w:szCs w:val="17"/>
                <w:b w:val="1"/>
                <w:bCs w:val="1"/>
                <w:color w:val="auto"/>
                <w:w w:val="92"/>
              </w:rPr>
              <w:t>Six Months Ended</w:t>
            </w:r>
          </w:p>
        </w:tc>
        <w:tc>
          <w:tcPr>
            <w:tcW w:w="1080" w:type="dxa"/>
            <w:vAlign w:val="bottom"/>
          </w:tcPr>
          <w:p>
            <w:pPr>
              <w:spacing w:after="0"/>
              <w:rPr>
                <w:sz w:val="16"/>
                <w:szCs w:val="16"/>
                <w:color w:val="auto"/>
              </w:rPr>
            </w:pPr>
          </w:p>
        </w:tc>
      </w:tr>
      <w:tr>
        <w:trPr>
          <w:trHeight w:val="222"/>
        </w:trPr>
        <w:tc>
          <w:tcPr>
            <w:tcW w:w="39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center"/>
              <w:ind w:left="793"/>
              <w:spacing w:after="0"/>
              <w:rPr>
                <w:sz w:val="20"/>
                <w:szCs w:val="20"/>
                <w:color w:val="auto"/>
              </w:rPr>
            </w:pPr>
            <w:r>
              <w:rPr>
                <w:rFonts w:ascii="Arial" w:cs="Arial" w:eastAsia="Arial" w:hAnsi="Arial"/>
                <w:sz w:val="17"/>
                <w:szCs w:val="17"/>
                <w:b w:val="1"/>
                <w:bCs w:val="1"/>
                <w:color w:val="auto"/>
                <w:w w:val="91"/>
              </w:rPr>
              <w:t>June 30,</w:t>
            </w: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7"/>
                <w:szCs w:val="17"/>
                <w:b w:val="1"/>
                <w:bCs w:val="1"/>
                <w:color w:val="auto"/>
                <w:w w:val="91"/>
              </w:rPr>
              <w:t>June 30,</w:t>
            </w:r>
          </w:p>
        </w:tc>
        <w:tc>
          <w:tcPr>
            <w:tcW w:w="1080" w:type="dxa"/>
            <w:vAlign w:val="bottom"/>
            <w:tcBorders>
              <w:bottom w:val="single" w:sz="8" w:color="auto"/>
            </w:tcBorders>
          </w:tcPr>
          <w:p>
            <w:pPr>
              <w:spacing w:after="0"/>
              <w:rPr>
                <w:sz w:val="19"/>
                <w:szCs w:val="19"/>
                <w:color w:val="auto"/>
              </w:rPr>
            </w:pPr>
          </w:p>
        </w:tc>
      </w:tr>
      <w:tr>
        <w:trPr>
          <w:trHeight w:val="215"/>
        </w:trPr>
        <w:tc>
          <w:tcPr>
            <w:tcW w:w="39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95"/>
              </w:rPr>
              <w:t>2021</w:t>
            </w:r>
          </w:p>
        </w:tc>
      </w:tr>
      <w:tr>
        <w:trPr>
          <w:trHeight w:val="215"/>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ARPU</w:t>
            </w: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134.02</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132.94</w:t>
            </w:r>
          </w:p>
        </w:tc>
      </w:tr>
      <w:tr>
        <w:trPr>
          <w:trHeight w:val="821"/>
        </w:trPr>
        <w:tc>
          <w:tcPr>
            <w:tcW w:w="3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44</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1"/>
        </w:trPr>
        <w:tc>
          <w:tcPr>
            <w:tcW w:w="39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w:t>
      </w:r>
    </w:p>
    <w:p>
      <w:pPr>
        <w:spacing w:after="0" w:line="254" w:lineRule="exact"/>
        <w:rPr>
          <w:sz w:val="20"/>
          <w:szCs w:val="20"/>
          <w:color w:val="auto"/>
        </w:rPr>
      </w:pPr>
    </w:p>
    <w:p>
      <w:pPr>
        <w:ind w:right="60" w:firstLine="430"/>
        <w:spacing w:after="0" w:line="287" w:lineRule="auto"/>
        <w:rPr>
          <w:sz w:val="20"/>
          <w:szCs w:val="20"/>
          <w:color w:val="auto"/>
        </w:rPr>
      </w:pPr>
      <w:r>
        <w:rPr>
          <w:rFonts w:ascii="Arial" w:cs="Arial" w:eastAsia="Arial" w:hAnsi="Arial"/>
          <w:sz w:val="17"/>
          <w:szCs w:val="17"/>
          <w:color w:val="auto"/>
        </w:rPr>
        <w:t>In addition to our results determined in accordance with U.S. generally accepted accounting principles, or GAAP, we believe that free cash flow, or FCF, a non-GAAP financial measure, is useful in evaluating our liquidity.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Free cash flow</w:t>
      </w:r>
    </w:p>
    <w:p>
      <w:pPr>
        <w:spacing w:after="0" w:line="117" w:lineRule="exact"/>
        <w:rPr>
          <w:sz w:val="20"/>
          <w:szCs w:val="20"/>
          <w:color w:val="auto"/>
        </w:rPr>
      </w:pPr>
    </w:p>
    <w:p>
      <w:pPr>
        <w:ind w:right="20" w:firstLine="430"/>
        <w:spacing w:after="0" w:line="261" w:lineRule="auto"/>
        <w:rPr>
          <w:sz w:val="20"/>
          <w:szCs w:val="20"/>
          <w:color w:val="auto"/>
        </w:rPr>
      </w:pPr>
      <w:r>
        <w:rPr>
          <w:rFonts w:ascii="Arial" w:cs="Arial" w:eastAsia="Arial" w:hAnsi="Arial"/>
          <w:sz w:val="17"/>
          <w:szCs w:val="17"/>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207" w:lineRule="exact"/>
        <w:rPr>
          <w:sz w:val="20"/>
          <w:szCs w:val="20"/>
          <w:color w:val="auto"/>
        </w:rPr>
      </w:pPr>
    </w:p>
    <w:p>
      <w:pPr>
        <w:ind w:firstLine="430"/>
        <w:spacing w:after="0" w:line="357" w:lineRule="auto"/>
        <w:rPr>
          <w:sz w:val="20"/>
          <w:szCs w:val="20"/>
          <w:color w:val="auto"/>
        </w:rPr>
      </w:pPr>
      <w:r>
        <w:rPr>
          <w:rFonts w:ascii="Arial" w:cs="Arial" w:eastAsia="Arial" w:hAnsi="Arial"/>
          <w:sz w:val="15"/>
          <w:szCs w:val="15"/>
          <w:color w:val="auto"/>
        </w:rPr>
        <w:t>Our FCF increased for the six months ended June 30, 2022, compared to the six months ended June 30, 2021, primarily due to an increase in cash provided by operating activities, which was driven by increased subscription sales, as a majority of our paying users are invoiced in advance, and operating efficiencies.</w:t>
      </w:r>
    </w:p>
    <w:p>
      <w:pPr>
        <w:spacing w:after="0" w:line="139" w:lineRule="exact"/>
        <w:rPr>
          <w:sz w:val="20"/>
          <w:szCs w:val="20"/>
          <w:color w:val="auto"/>
        </w:rPr>
      </w:pPr>
    </w:p>
    <w:p>
      <w:pPr>
        <w:ind w:right="120" w:firstLine="430"/>
        <w:spacing w:after="0" w:line="266" w:lineRule="auto"/>
        <w:rPr>
          <w:sz w:val="20"/>
          <w:szCs w:val="20"/>
          <w:color w:val="auto"/>
        </w:rPr>
      </w:pPr>
      <w:r>
        <w:rPr>
          <w:rFonts w:ascii="Arial" w:cs="Arial" w:eastAsia="Arial" w:hAnsi="Arial"/>
          <w:sz w:val="17"/>
          <w:szCs w:val="17"/>
          <w:color w:val="auto"/>
        </w:rPr>
        <w:t>We expect our FCF to generally increase in future periods as we increase subscription sales and drive operating efficiencies. We expect to continue to purchase infrastructure equipment to support our user base and anticipate that our capital expenditures will remain approximately consistent in future periods as we operate in a Virtual First environment. The timing of our operating expenses as described below, may result in FCF to vary from period to period as a percentage of revenue.</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reconciliation of FCF to the most comparable GAAP measure, net cash provided by operating activities:</w:t>
      </w:r>
    </w:p>
    <w:p>
      <w:pPr>
        <w:spacing w:after="0" w:line="366" w:lineRule="exact"/>
        <w:rPr>
          <w:sz w:val="20"/>
          <w:szCs w:val="20"/>
          <w:color w:val="auto"/>
        </w:rPr>
      </w:pPr>
    </w:p>
    <w:p>
      <w:pPr>
        <w:jc w:val="center"/>
        <w:ind w:left="7400"/>
        <w:spacing w:after="0"/>
        <w:rPr>
          <w:sz w:val="20"/>
          <w:szCs w:val="20"/>
          <w:color w:val="auto"/>
        </w:rPr>
      </w:pPr>
      <w:r>
        <w:rPr>
          <w:rFonts w:ascii="Arial" w:cs="Arial" w:eastAsia="Arial" w:hAnsi="Arial"/>
          <w:sz w:val="17"/>
          <w:szCs w:val="17"/>
          <w:b w:val="1"/>
          <w:bCs w:val="1"/>
          <w:color w:val="auto"/>
        </w:rPr>
        <w:t>Six Months Ended</w:t>
      </w:r>
    </w:p>
    <w:p>
      <w:pPr>
        <w:jc w:val="center"/>
        <w:ind w:left="7400"/>
        <w:spacing w:after="0"/>
        <w:rPr>
          <w:sz w:val="20"/>
          <w:szCs w:val="20"/>
          <w:color w:val="auto"/>
        </w:rPr>
      </w:pPr>
      <w:r>
        <w:rPr>
          <w:rFonts w:ascii="Arial" w:cs="Arial" w:eastAsia="Arial" w:hAnsi="Arial"/>
          <w:sz w:val="17"/>
          <w:szCs w:val="17"/>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gridSpan w:val="3"/>
          </w:tcPr>
          <w:p>
            <w:pPr>
              <w:ind w:left="200"/>
              <w:spacing w:after="0"/>
              <w:rPr>
                <w:sz w:val="20"/>
                <w:szCs w:val="20"/>
                <w:color w:val="auto"/>
              </w:rPr>
            </w:pPr>
            <w:r>
              <w:rPr>
                <w:rFonts w:ascii="Arial" w:cs="Arial" w:eastAsia="Arial" w:hAnsi="Arial"/>
                <w:sz w:val="17"/>
                <w:szCs w:val="17"/>
                <w:i w:val="1"/>
                <w:iCs w:val="1"/>
                <w:color w:val="auto"/>
              </w:rPr>
              <w:t>(In millions)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351.3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335.6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 expenditures</w:t>
            </w:r>
          </w:p>
        </w:tc>
        <w:tc>
          <w:tcPr>
            <w:tcW w:w="33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w w:val="98"/>
              </w:rPr>
              <w:t>(14.7)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w w:val="94"/>
              </w:rPr>
              <w:t>(10.8)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Free cash flow</w:t>
            </w:r>
          </w:p>
        </w:tc>
        <w:tc>
          <w:tcPr>
            <w:tcW w:w="4500" w:type="dxa"/>
            <w:vAlign w:val="bottom"/>
            <w:gridSpan w:val="2"/>
            <w:shd w:val="clear" w:color="auto" w:fill="CCEEFF"/>
          </w:tcPr>
          <w:p>
            <w:pPr>
              <w:jc w:val="right"/>
              <w:ind w:right="993"/>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336.6</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324.8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jc w:val="right"/>
              <w:ind w:right="1713"/>
              <w:spacing w:after="0"/>
              <w:rPr>
                <w:sz w:val="20"/>
                <w:szCs w:val="20"/>
                <w:color w:val="auto"/>
              </w:rPr>
            </w:pPr>
            <w:r>
              <w:rPr>
                <w:rFonts w:ascii="Arial" w:cs="Arial" w:eastAsia="Arial" w:hAnsi="Arial"/>
                <w:sz w:val="17"/>
                <w:szCs w:val="17"/>
                <w:color w:val="auto"/>
              </w:rPr>
              <w:t>45</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420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00" w:type="dxa"/>
            <w:vAlign w:val="bottom"/>
            <w:tcBorders>
              <w:bottom w:val="single" w:sz="8" w:color="9A9A9A"/>
            </w:tcBorders>
          </w:tcPr>
          <w:p>
            <w:pPr>
              <w:spacing w:after="0"/>
              <w:rPr>
                <w:sz w:val="9"/>
                <w:szCs w:val="9"/>
                <w:color w:val="auto"/>
              </w:rPr>
            </w:pPr>
          </w:p>
        </w:tc>
        <w:tc>
          <w:tcPr>
            <w:tcW w:w="33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generate revenue from sales of subscriptions to our platform.</w:t>
      </w:r>
    </w:p>
    <w:p>
      <w:pPr>
        <w:spacing w:after="0" w:line="248" w:lineRule="exact"/>
        <w:rPr>
          <w:sz w:val="20"/>
          <w:szCs w:val="20"/>
          <w:color w:val="auto"/>
        </w:rPr>
      </w:pPr>
    </w:p>
    <w:p>
      <w:pPr>
        <w:ind w:right="20" w:firstLine="430"/>
        <w:spacing w:after="0" w:line="266" w:lineRule="auto"/>
        <w:rPr>
          <w:sz w:val="20"/>
          <w:szCs w:val="20"/>
          <w:color w:val="auto"/>
        </w:rPr>
      </w:pPr>
      <w:r>
        <w:rPr>
          <w:rFonts w:ascii="Arial" w:cs="Arial" w:eastAsia="Arial" w:hAnsi="Arial"/>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203" w:lineRule="exact"/>
        <w:rPr>
          <w:sz w:val="20"/>
          <w:szCs w:val="20"/>
          <w:color w:val="auto"/>
        </w:rPr>
      </w:pPr>
    </w:p>
    <w:p>
      <w:pPr>
        <w:ind w:firstLine="430"/>
        <w:spacing w:after="0" w:line="271" w:lineRule="auto"/>
        <w:rPr>
          <w:sz w:val="20"/>
          <w:szCs w:val="20"/>
          <w:color w:val="auto"/>
        </w:rPr>
      </w:pPr>
      <w:r>
        <w:rPr>
          <w:rFonts w:ascii="Arial" w:cs="Arial" w:eastAsia="Arial" w:hAnsi="Arial"/>
          <w:sz w:val="17"/>
          <w:szCs w:val="17"/>
          <w:color w:val="auto"/>
        </w:rPr>
        <w:t>Our revenue is driven primarily by conversions and upsells to our paid plans. We also generate revenue from transaction-based products and fees from the referral of users to our partners. We generate over 90% of our revenue from self-serve channels. No customer represented more than 1% of our revenue in the periods presented.</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Cost of revenue and gross margin</w:t>
      </w:r>
    </w:p>
    <w:p>
      <w:pPr>
        <w:spacing w:after="0" w:line="117" w:lineRule="exact"/>
        <w:rPr>
          <w:sz w:val="20"/>
          <w:szCs w:val="20"/>
          <w:color w:val="auto"/>
        </w:rPr>
      </w:pPr>
    </w:p>
    <w:p>
      <w:pPr>
        <w:ind w:right="20" w:firstLine="430"/>
        <w:spacing w:after="0" w:line="278"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cost of revenue consists primarily of expenses associated with the storage, delivery, and distribution of our platform for both paying</w:t>
      </w:r>
      <w:r>
        <w:rPr>
          <w:rFonts w:ascii="Arial" w:cs="Arial" w:eastAsia="Arial" w:hAnsi="Arial"/>
          <w:sz w:val="16"/>
          <w:szCs w:val="16"/>
          <w:i w:val="1"/>
          <w:iCs w:val="1"/>
          <w:color w:val="auto"/>
        </w:rPr>
        <w:t xml:space="preserve"> </w:t>
      </w:r>
      <w:r>
        <w:rPr>
          <w:rFonts w:ascii="Arial" w:cs="Arial" w:eastAsia="Arial" w:hAnsi="Arial"/>
          <w:sz w:val="16"/>
          <w:szCs w:val="16"/>
          <w:color w:val="auto"/>
        </w:rPr>
        <w:t>users and free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94" w:lineRule="exact"/>
        <w:rPr>
          <w:sz w:val="20"/>
          <w:szCs w:val="20"/>
          <w:color w:val="auto"/>
        </w:rPr>
      </w:pPr>
    </w:p>
    <w:p>
      <w:pPr>
        <w:ind w:right="140" w:firstLine="430"/>
        <w:spacing w:after="0" w:line="287" w:lineRule="auto"/>
        <w:rPr>
          <w:sz w:val="20"/>
          <w:szCs w:val="20"/>
          <w:color w:val="auto"/>
        </w:rPr>
      </w:pPr>
      <w:r>
        <w:rPr>
          <w:rFonts w:ascii="Arial" w:cs="Arial" w:eastAsia="Arial" w:hAnsi="Arial"/>
          <w:sz w:val="17"/>
          <w:szCs w:val="17"/>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184" w:lineRule="exact"/>
        <w:rPr>
          <w:sz w:val="20"/>
          <w:szCs w:val="20"/>
          <w:color w:val="auto"/>
        </w:rPr>
      </w:pPr>
    </w:p>
    <w:p>
      <w:pPr>
        <w:ind w:right="100" w:firstLine="430"/>
        <w:spacing w:after="0" w:line="271"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is gross profit expressed as a percentage of revenue. Our gross margin may fluctuate from period to period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timing of additional capital expenditures and the related depreciation expense, or other increases in our infrastructure costs, as well as revenue fluctuations. We generally expect our gross margin to remain relatively constant in both the near term and the long term.</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7" w:lineRule="exact"/>
        <w:rPr>
          <w:sz w:val="20"/>
          <w:szCs w:val="20"/>
          <w:color w:val="auto"/>
        </w:rPr>
      </w:pPr>
    </w:p>
    <w:p>
      <w:pPr>
        <w:ind w:firstLine="430"/>
        <w:spacing w:after="0" w:line="284"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Our research and development expenses consist primarily of employee-related costs for our engineering, product, and design</w:t>
      </w:r>
      <w:r>
        <w:rPr>
          <w:rFonts w:ascii="Arial" w:cs="Arial" w:eastAsia="Arial" w:hAnsi="Arial"/>
          <w:sz w:val="16"/>
          <w:szCs w:val="16"/>
          <w:i w:val="1"/>
          <w:iCs w:val="1"/>
          <w:color w:val="auto"/>
        </w:rPr>
        <w:t xml:space="preserve"> </w:t>
      </w:r>
      <w:r>
        <w:rPr>
          <w:rFonts w:ascii="Arial" w:cs="Arial" w:eastAsia="Arial" w:hAnsi="Arial"/>
          <w:sz w:val="16"/>
          <w:szCs w:val="16"/>
          <w:color w:val="auto"/>
        </w:rPr>
        <w:t>teams, compensation expenses related to key personnel from acquisitions and allocated overhead. These groups are responsible for the design, development, testing, delivery of new technologies and features, and support of our self-serve platform. We continue to focus our product development efforts on adding new features and enhancing the functionality and ease of use of our offerings. Additionally, research and development expenses include internal development-related third-party hosting fees. We have expensed almost all of our research and development costs as they were incurred.</w:t>
      </w:r>
    </w:p>
    <w:p>
      <w:pPr>
        <w:spacing w:after="0" w:line="189" w:lineRule="exact"/>
        <w:rPr>
          <w:sz w:val="20"/>
          <w:szCs w:val="20"/>
          <w:color w:val="auto"/>
        </w:rPr>
      </w:pPr>
    </w:p>
    <w:p>
      <w:pPr>
        <w:ind w:right="320" w:firstLine="430"/>
        <w:spacing w:after="0" w:line="320" w:lineRule="auto"/>
        <w:rPr>
          <w:sz w:val="20"/>
          <w:szCs w:val="20"/>
          <w:color w:val="auto"/>
        </w:rPr>
      </w:pPr>
      <w:r>
        <w:rPr>
          <w:rFonts w:ascii="Arial" w:cs="Arial" w:eastAsia="Arial" w:hAnsi="Arial"/>
          <w:sz w:val="16"/>
          <w:szCs w:val="16"/>
          <w:color w:val="auto"/>
        </w:rPr>
        <w:t>We plan to continue hiring employees for our engineering, product, and design teams to support our research and development efforts. We expect that research and development costs will increase in absolute dollars in future periods and fluctuate from period to period as a percentage of revenue.</w:t>
      </w:r>
    </w:p>
    <w:p>
      <w:pPr>
        <w:spacing w:after="0" w:line="161" w:lineRule="exact"/>
        <w:rPr>
          <w:sz w:val="20"/>
          <w:szCs w:val="20"/>
          <w:color w:val="auto"/>
        </w:rPr>
      </w:pPr>
    </w:p>
    <w:p>
      <w:pPr>
        <w:ind w:right="80" w:firstLine="430"/>
        <w:spacing w:after="0" w:line="307" w:lineRule="auto"/>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Our sales and marketing expenses relate to both self-serve and outbound sales activities, and consist primarily of employee-related</w:t>
      </w:r>
      <w:r>
        <w:rPr>
          <w:rFonts w:ascii="Arial" w:cs="Arial" w:eastAsia="Arial" w:hAnsi="Arial"/>
          <w:sz w:val="15"/>
          <w:szCs w:val="15"/>
          <w:i w:val="1"/>
          <w:iCs w:val="1"/>
          <w:color w:val="auto"/>
        </w:rPr>
        <w:t xml:space="preserve"> </w:t>
      </w:r>
      <w:r>
        <w:rPr>
          <w:rFonts w:ascii="Arial" w:cs="Arial" w:eastAsia="Arial" w:hAnsi="Arial"/>
          <w:sz w:val="15"/>
          <w:szCs w:val="15"/>
          <w:color w:val="auto"/>
        </w:rPr>
        <w:t>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6" w:name="page47"/>
    <w:bookmarkEnd w:id="4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100" w:firstLine="430"/>
        <w:spacing w:after="0" w:line="323" w:lineRule="auto"/>
        <w:rPr>
          <w:sz w:val="20"/>
          <w:szCs w:val="20"/>
          <w:color w:val="auto"/>
        </w:rPr>
      </w:pPr>
      <w:r>
        <w:rPr>
          <w:rFonts w:ascii="Arial" w:cs="Arial" w:eastAsia="Arial" w:hAnsi="Arial"/>
          <w:sz w:val="15"/>
          <w:szCs w:val="15"/>
          <w:color w:val="auto"/>
        </w:rPr>
        <w:t>We plan to continue to invest in sales and marketing to grow our user base and increase our brand awareness, including marketing efforts to continue to drive our self-serve business model. We expect that sales and marketing expenses will generally increase in absolute dollars in future periods and fluctuate from period to period as a percentage of revenue. The trend and timing of sales and marketing expenses will depend in part on the timing of marketing campaigns.</w:t>
      </w:r>
    </w:p>
    <w:p>
      <w:pPr>
        <w:spacing w:after="0" w:line="164" w:lineRule="exact"/>
        <w:rPr>
          <w:sz w:val="20"/>
          <w:szCs w:val="20"/>
          <w:color w:val="auto"/>
        </w:rPr>
      </w:pPr>
    </w:p>
    <w:p>
      <w:pPr>
        <w:ind w:right="100" w:firstLine="430"/>
        <w:spacing w:after="0" w:line="271"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employee-related costs for our legal, finance, human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administrative teams, as well as certain executives. In addition, general and administrative expenses include allocated overhead, outside legal, accounting and other professional fees, and non income-based taxes.</w:t>
      </w:r>
    </w:p>
    <w:p>
      <w:pPr>
        <w:spacing w:after="0" w:line="198" w:lineRule="exact"/>
        <w:rPr>
          <w:sz w:val="20"/>
          <w:szCs w:val="20"/>
          <w:color w:val="auto"/>
        </w:rPr>
      </w:pPr>
    </w:p>
    <w:p>
      <w:pPr>
        <w:ind w:right="40" w:firstLine="430"/>
        <w:spacing w:after="0" w:line="323" w:lineRule="auto"/>
        <w:rPr>
          <w:sz w:val="20"/>
          <w:szCs w:val="20"/>
          <w:color w:val="auto"/>
        </w:rPr>
      </w:pPr>
      <w:r>
        <w:rPr>
          <w:rFonts w:ascii="Arial" w:cs="Arial" w:eastAsia="Arial" w:hAnsi="Arial"/>
          <w:sz w:val="15"/>
          <w:szCs w:val="15"/>
          <w:color w:val="auto"/>
        </w:rPr>
        <w:t>We expect to incur additional general and administrative expenses to support the growth of the Company. General and administrative expenses include the recognition of stock-based compensation expense related to the grant of restricted stock made to our co-founder. We expect that general and administrative expenses will fluctuate in absolute dollars in future periods and remain relatively constant in both the near term and the long term as a percentage of revenue.</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Interest expense, net</w:t>
      </w:r>
    </w:p>
    <w:p>
      <w:pPr>
        <w:spacing w:after="0" w:line="117" w:lineRule="exact"/>
        <w:rPr>
          <w:sz w:val="20"/>
          <w:szCs w:val="20"/>
          <w:color w:val="auto"/>
        </w:rPr>
      </w:pPr>
    </w:p>
    <w:p>
      <w:pPr>
        <w:ind w:firstLine="430"/>
        <w:spacing w:after="0" w:line="320" w:lineRule="auto"/>
        <w:rPr>
          <w:sz w:val="20"/>
          <w:szCs w:val="20"/>
          <w:color w:val="auto"/>
        </w:rPr>
      </w:pPr>
      <w:r>
        <w:rPr>
          <w:rFonts w:ascii="Arial" w:cs="Arial" w:eastAsia="Arial" w:hAnsi="Arial"/>
          <w:sz w:val="16"/>
          <w:szCs w:val="16"/>
          <w:color w:val="auto"/>
        </w:rPr>
        <w:t>Interest expense, net consists primarily of interest expense related to our finance lease obligations for infrastructure and amortization of debt issuance costs partially offset by interest income earned on our money market funds classified as cash and cash equivalents and short-term investments.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Other (expense) income, net</w:t>
      </w:r>
    </w:p>
    <w:p>
      <w:pPr>
        <w:spacing w:after="0" w:line="117" w:lineRule="exact"/>
        <w:rPr>
          <w:sz w:val="20"/>
          <w:szCs w:val="20"/>
          <w:color w:val="auto"/>
        </w:rPr>
      </w:pPr>
    </w:p>
    <w:p>
      <w:pPr>
        <w:ind w:right="240" w:firstLine="430"/>
        <w:spacing w:after="0" w:line="357" w:lineRule="auto"/>
        <w:rPr>
          <w:sz w:val="20"/>
          <w:szCs w:val="20"/>
          <w:color w:val="auto"/>
        </w:rPr>
      </w:pPr>
      <w:r>
        <w:rPr>
          <w:rFonts w:ascii="Arial" w:cs="Arial" w:eastAsia="Arial" w:hAnsi="Arial"/>
          <w:sz w:val="15"/>
          <w:szCs w:val="15"/>
          <w:color w:val="auto"/>
        </w:rPr>
        <w:t>Other (expense) income, net consists of other non-operating gains or losses, including those related to gains or losses on sale of assets, foreign currency transaction gains and losses, lease arrangements, which include sublease income, and realized gains and losses related to our short-term investments.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117" w:lineRule="exact"/>
        <w:rPr>
          <w:sz w:val="20"/>
          <w:szCs w:val="20"/>
          <w:color w:val="auto"/>
        </w:rPr>
      </w:pPr>
    </w:p>
    <w:p>
      <w:pPr>
        <w:ind w:right="80" w:firstLine="430"/>
        <w:spacing w:after="0" w:line="281" w:lineRule="auto"/>
        <w:rPr>
          <w:sz w:val="20"/>
          <w:szCs w:val="20"/>
          <w:color w:val="auto"/>
        </w:rPr>
      </w:pPr>
      <w:r>
        <w:rPr>
          <w:rFonts w:ascii="Arial" w:cs="Arial" w:eastAsia="Arial" w:hAnsi="Arial"/>
          <w:sz w:val="16"/>
          <w:szCs w:val="16"/>
          <w:color w:val="auto"/>
        </w:rPr>
        <w:t>Provision for income taxes consists primarily of U.S. federal and state income taxes and income taxes in certain foreign jurisdictions in which we conduct business. For 2022, the difference between the U.S. statutory rate and our effective tax rate is primarily due to the impact of capitalization of research and experimental expenditures and the valuation allowance on deferred tax assets. For 2021,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and state as we have concluded that it is not more likely than not that the deferred assets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5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set forth our results of operations for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00" w:type="dxa"/>
            <w:vAlign w:val="bottom"/>
            <w:gridSpan w:val="4"/>
          </w:tcPr>
          <w:p>
            <w:pPr>
              <w:jc w:val="right"/>
              <w:ind w:right="333"/>
              <w:spacing w:after="0"/>
              <w:rPr>
                <w:sz w:val="20"/>
                <w:szCs w:val="20"/>
                <w:color w:val="auto"/>
              </w:rPr>
            </w:pPr>
            <w:r>
              <w:rPr>
                <w:rFonts w:ascii="Arial" w:cs="Arial" w:eastAsia="Arial" w:hAnsi="Arial"/>
                <w:sz w:val="17"/>
                <w:szCs w:val="17"/>
                <w:b w:val="1"/>
                <w:bCs w:val="1"/>
                <w:color w:val="auto"/>
              </w:rPr>
              <w:t>Three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7"/>
                <w:szCs w:val="17"/>
                <w:b w:val="1"/>
                <w:bCs w:val="1"/>
                <w:color w:val="auto"/>
              </w:rPr>
              <w:t>Six Months Ended</w:t>
            </w:r>
          </w:p>
        </w:tc>
        <w:tc>
          <w:tcPr>
            <w:tcW w:w="1080" w:type="dxa"/>
            <w:vAlign w:val="bottom"/>
          </w:tcPr>
          <w:p>
            <w:pPr>
              <w:spacing w:after="0"/>
              <w:rPr>
                <w:sz w:val="16"/>
                <w:szCs w:val="16"/>
                <w:color w:val="auto"/>
              </w:rPr>
            </w:pPr>
          </w:p>
        </w:tc>
      </w:tr>
      <w:tr>
        <w:trPr>
          <w:trHeight w:val="222"/>
        </w:trPr>
        <w:tc>
          <w:tcPr>
            <w:tcW w:w="39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813"/>
              <w:spacing w:after="0"/>
              <w:rPr>
                <w:sz w:val="20"/>
                <w:szCs w:val="20"/>
                <w:color w:val="auto"/>
              </w:rPr>
            </w:pPr>
            <w:r>
              <w:rPr>
                <w:rFonts w:ascii="Arial" w:cs="Arial" w:eastAsia="Arial" w:hAnsi="Arial"/>
                <w:sz w:val="17"/>
                <w:szCs w:val="17"/>
                <w:b w:val="1"/>
                <w:bCs w:val="1"/>
                <w:color w:val="auto"/>
              </w:rPr>
              <w:t>June 30,</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19"/>
                <w:szCs w:val="19"/>
                <w:color w:val="auto"/>
              </w:rPr>
            </w:pPr>
          </w:p>
        </w:tc>
      </w:tr>
      <w:tr>
        <w:trPr>
          <w:trHeight w:val="215"/>
        </w:trPr>
        <w:tc>
          <w:tcPr>
            <w:tcW w:w="3960" w:type="dxa"/>
            <w:vAlign w:val="bottom"/>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95"/>
              </w:rPr>
              <w:t>2021</w:t>
            </w:r>
          </w:p>
        </w:tc>
      </w:tr>
      <w:tr>
        <w:trPr>
          <w:trHeight w:val="215"/>
        </w:trPr>
        <w:tc>
          <w:tcPr>
            <w:tcW w:w="3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gridSpan w:val="3"/>
          </w:tcPr>
          <w:p>
            <w:pPr>
              <w:jc w:val="right"/>
              <w:ind w:right="53"/>
              <w:spacing w:after="0"/>
              <w:rPr>
                <w:sz w:val="20"/>
                <w:szCs w:val="20"/>
                <w:color w:val="auto"/>
              </w:rPr>
            </w:pPr>
            <w:r>
              <w:rPr>
                <w:rFonts w:ascii="Arial" w:cs="Arial" w:eastAsia="Arial" w:hAnsi="Arial"/>
                <w:sz w:val="17"/>
                <w:szCs w:val="17"/>
                <w:i w:val="1"/>
                <w:iCs w:val="1"/>
                <w:color w:val="auto"/>
              </w:rPr>
              <w:t>(In millions)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1,042.2</w:t>
            </w:r>
          </w:p>
        </w:tc>
      </w:tr>
      <w:tr>
        <w:trPr>
          <w:trHeight w:val="222"/>
        </w:trPr>
        <w:tc>
          <w:tcPr>
            <w:tcW w:w="3960" w:type="dxa"/>
            <w:vAlign w:val="bottom"/>
            <w:tcBorders>
              <w:bottom w:val="single" w:sz="8" w:color="CCEEFF"/>
            </w:tcBorders>
          </w:tcPr>
          <w:p>
            <w:pPr>
              <w:ind w:left="380"/>
              <w:spacing w:after="0" w:line="222"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105.8</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218.7</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216.4</w:t>
            </w:r>
          </w:p>
        </w:tc>
      </w:tr>
      <w:tr>
        <w:trPr>
          <w:trHeight w:val="215"/>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825.8</w:t>
            </w:r>
          </w:p>
        </w:tc>
      </w:tr>
      <w:tr>
        <w:trPr>
          <w:trHeight w:val="222"/>
        </w:trPr>
        <w:tc>
          <w:tcPr>
            <w:tcW w:w="3960" w:type="dxa"/>
            <w:vAlign w:val="bottom"/>
          </w:tcPr>
          <w:p>
            <w:pPr>
              <w:ind w:left="20"/>
              <w:spacing w:after="0" w:line="222"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2"/>
        </w:trPr>
        <w:tc>
          <w:tcPr>
            <w:tcW w:w="3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366.7</w:t>
            </w:r>
          </w:p>
        </w:tc>
      </w:tr>
      <w:tr>
        <w:trPr>
          <w:trHeight w:val="222"/>
        </w:trPr>
        <w:tc>
          <w:tcPr>
            <w:tcW w:w="396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105.0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100.8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203.5</w:t>
            </w:r>
          </w:p>
        </w:tc>
      </w:tr>
      <w:tr>
        <w:trPr>
          <w:trHeight w:val="222"/>
        </w:trPr>
        <w:tc>
          <w:tcPr>
            <w:tcW w:w="3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w:t>
            </w:r>
          </w:p>
        </w:tc>
      </w:tr>
      <w:tr>
        <w:trPr>
          <w:trHeight w:val="222"/>
        </w:trPr>
        <w:tc>
          <w:tcPr>
            <w:tcW w:w="3960" w:type="dxa"/>
            <w:vAlign w:val="bottom"/>
          </w:tcPr>
          <w:p>
            <w:pPr>
              <w:ind w:left="340"/>
              <w:spacing w:after="0" w:line="222" w:lineRule="exact"/>
              <w:rPr>
                <w:sz w:val="20"/>
                <w:szCs w:val="20"/>
                <w:color w:val="auto"/>
              </w:rPr>
            </w:pPr>
            <w:r>
              <w:rPr>
                <w:rFonts w:ascii="Arial" w:cs="Arial" w:eastAsia="Arial" w:hAnsi="Arial"/>
                <w:sz w:val="17"/>
                <w:szCs w:val="17"/>
                <w:color w:val="auto"/>
              </w:rPr>
              <w:t>Impairment related to real estate assets</w:t>
            </w:r>
            <w:r>
              <w:rPr>
                <w:rFonts w:ascii="Arial" w:cs="Arial" w:eastAsia="Arial" w:hAnsi="Arial"/>
                <w:sz w:val="22"/>
                <w:szCs w:val="22"/>
                <w:color w:val="auto"/>
                <w:vertAlign w:val="superscript"/>
              </w:rPr>
              <w:t>(2)</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17.3</w:t>
            </w:r>
          </w:p>
        </w:tc>
      </w:tr>
      <w:tr>
        <w:trPr>
          <w:trHeight w:val="215"/>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384.0</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339.1</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744.0</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698.9</w:t>
            </w:r>
          </w:p>
        </w:tc>
      </w:tr>
      <w:tr>
        <w:trPr>
          <w:trHeight w:val="222"/>
        </w:trPr>
        <w:tc>
          <w:tcPr>
            <w:tcW w:w="396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82.9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84.4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172.4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126.9</w:t>
            </w:r>
          </w:p>
        </w:tc>
      </w:tr>
      <w:tr>
        <w:trPr>
          <w:trHeight w:val="222"/>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22"/>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(expense) income, net</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w:t>
            </w:r>
          </w:p>
        </w:tc>
      </w:tr>
      <w:tr>
        <w:trPr>
          <w:trHeight w:val="215"/>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137.4</w:t>
            </w:r>
          </w:p>
        </w:tc>
      </w:tr>
      <w:tr>
        <w:trPr>
          <w:trHeight w:val="222"/>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r>
      <w:tr>
        <w:trPr>
          <w:trHeight w:val="24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141.7</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135.6</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140" w:hanging="136"/>
        <w:spacing w:after="0"/>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Includes stock-based compensation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40" w:type="dxa"/>
            <w:vAlign w:val="bottom"/>
            <w:gridSpan w:val="4"/>
          </w:tcPr>
          <w:p>
            <w:pPr>
              <w:jc w:val="right"/>
              <w:ind w:right="373"/>
              <w:spacing w:after="0"/>
              <w:rPr>
                <w:sz w:val="20"/>
                <w:szCs w:val="20"/>
                <w:color w:val="auto"/>
              </w:rPr>
            </w:pPr>
            <w:r>
              <w:rPr>
                <w:rFonts w:ascii="Arial" w:cs="Arial" w:eastAsia="Arial" w:hAnsi="Arial"/>
                <w:sz w:val="17"/>
                <w:szCs w:val="17"/>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7"/>
                <w:szCs w:val="17"/>
                <w:b w:val="1"/>
                <w:bCs w:val="1"/>
                <w:color w:val="auto"/>
                <w:w w:val="93"/>
              </w:rPr>
              <w:t>Six Months Ended</w:t>
            </w:r>
          </w:p>
        </w:tc>
        <w:tc>
          <w:tcPr>
            <w:tcW w:w="1080" w:type="dxa"/>
            <w:vAlign w:val="bottom"/>
          </w:tcPr>
          <w:p>
            <w:pPr>
              <w:spacing w:after="0"/>
              <w:rPr>
                <w:sz w:val="16"/>
                <w:szCs w:val="16"/>
                <w:color w:val="auto"/>
              </w:rPr>
            </w:pPr>
          </w:p>
        </w:tc>
      </w:tr>
      <w:tr>
        <w:trPr>
          <w:trHeight w:val="222"/>
        </w:trPr>
        <w:tc>
          <w:tcPr>
            <w:tcW w:w="396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853"/>
              <w:spacing w:after="0"/>
              <w:rPr>
                <w:sz w:val="20"/>
                <w:szCs w:val="20"/>
                <w:color w:val="auto"/>
              </w:rPr>
            </w:pPr>
            <w:r>
              <w:rPr>
                <w:rFonts w:ascii="Arial" w:cs="Arial" w:eastAsia="Arial" w:hAnsi="Arial"/>
                <w:sz w:val="17"/>
                <w:szCs w:val="17"/>
                <w:b w:val="1"/>
                <w:bCs w:val="1"/>
                <w:color w:val="auto"/>
              </w:rPr>
              <w:t>June 30,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19"/>
                <w:szCs w:val="19"/>
                <w:color w:val="auto"/>
              </w:rPr>
            </w:pPr>
          </w:p>
        </w:tc>
      </w:tr>
      <w:tr>
        <w:trPr>
          <w:trHeight w:val="215"/>
        </w:trPr>
        <w:tc>
          <w:tcPr>
            <w:tcW w:w="3960" w:type="dxa"/>
            <w:vAlign w:val="bottom"/>
          </w:tcPr>
          <w:p>
            <w:pPr>
              <w:spacing w:after="0"/>
              <w:rPr>
                <w:sz w:val="18"/>
                <w:szCs w:val="18"/>
                <w:color w:val="auto"/>
              </w:rPr>
            </w:pP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95"/>
              </w:rPr>
              <w:t>2021</w:t>
            </w:r>
          </w:p>
        </w:tc>
      </w:tr>
      <w:tr>
        <w:trPr>
          <w:trHeight w:val="215"/>
        </w:trPr>
        <w:tc>
          <w:tcPr>
            <w:tcW w:w="3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20" w:type="dxa"/>
            <w:vAlign w:val="bottom"/>
            <w:gridSpan w:val="3"/>
          </w:tcPr>
          <w:p>
            <w:pPr>
              <w:jc w:val="right"/>
              <w:ind w:right="593"/>
              <w:spacing w:after="0"/>
              <w:rPr>
                <w:sz w:val="20"/>
                <w:szCs w:val="20"/>
                <w:color w:val="auto"/>
              </w:rPr>
            </w:pPr>
            <w:r>
              <w:rPr>
                <w:rFonts w:ascii="Arial" w:cs="Arial" w:eastAsia="Arial" w:hAnsi="Arial"/>
                <w:sz w:val="17"/>
                <w:szCs w:val="17"/>
                <w:i w:val="1"/>
                <w:iCs w:val="1"/>
                <w:color w:val="auto"/>
              </w:rPr>
              <w:t>(In millions)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3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revenue</w:t>
            </w:r>
          </w:p>
        </w:tc>
        <w:tc>
          <w:tcPr>
            <w:tcW w:w="120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r>
      <w:tr>
        <w:trPr>
          <w:trHeight w:val="222"/>
        </w:trPr>
        <w:tc>
          <w:tcPr>
            <w:tcW w:w="396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58.5</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49.5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109.0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93.0</w:t>
            </w:r>
          </w:p>
        </w:tc>
      </w:tr>
      <w:tr>
        <w:trPr>
          <w:trHeight w:val="222"/>
        </w:trPr>
        <w:tc>
          <w:tcPr>
            <w:tcW w:w="3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r>
      <w:tr>
        <w:trPr>
          <w:trHeight w:val="222"/>
        </w:trPr>
        <w:tc>
          <w:tcPr>
            <w:tcW w:w="39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General and administrative</w:t>
            </w: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w:t>
            </w:r>
          </w:p>
        </w:tc>
      </w:tr>
      <w:tr>
        <w:trPr>
          <w:trHeight w:val="24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1200" w:type="dxa"/>
            <w:vAlign w:val="bottom"/>
            <w:tcBorders>
              <w:bottom w:val="single" w:sz="8" w:color="auto"/>
            </w:tcBorders>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73.9</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157.3</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141.8</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160" w:hanging="156"/>
        <w:spacing w:after="0"/>
        <w:tabs>
          <w:tab w:leader="none" w:pos="160"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Includes impairment charges related to real estate assets as a result of our decision to shift to a Virtual First work model. See Note 9 "Leases" for further information.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FF"/>
            </w:tcBorders>
          </w:tcPr>
          <w:p>
            <w:pPr>
              <w:spacing w:after="0"/>
              <w:rPr>
                <w:rFonts w:ascii="Arial" w:cs="Arial" w:eastAsia="Arial" w:hAnsi="Arial"/>
                <w:sz w:val="17"/>
                <w:szCs w:val="17"/>
                <w:b w:val="1"/>
                <w:bCs w:val="1"/>
                <w:color w:val="0000FF"/>
                <w:w w:val="90"/>
              </w:rPr>
            </w:pPr>
            <w:hyperlink w:anchor="page4">
              <w:r>
                <w:rPr>
                  <w:rFonts w:ascii="Arial" w:cs="Arial" w:eastAsia="Arial" w:hAnsi="Arial"/>
                  <w:sz w:val="17"/>
                  <w:szCs w:val="17"/>
                  <w:b w:val="1"/>
                  <w:bCs w:val="1"/>
                  <w:color w:val="0000FF"/>
                  <w:w w:val="90"/>
                </w:rPr>
                <w:t>Table of Contents</w:t>
              </w:r>
            </w:hyperlink>
          </w:p>
        </w:tc>
        <w:tc>
          <w:tcPr>
            <w:tcW w:w="3640" w:type="dxa"/>
            <w:vAlign w:val="bottom"/>
            <w:gridSpan w:val="3"/>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762"/>
        </w:trPr>
        <w:tc>
          <w:tcPr>
            <w:tcW w:w="8660" w:type="dxa"/>
            <w:vAlign w:val="bottom"/>
            <w:gridSpan w:val="11"/>
          </w:tcPr>
          <w:p>
            <w:pPr>
              <w:ind w:left="400"/>
              <w:spacing w:after="0"/>
              <w:rPr>
                <w:sz w:val="20"/>
                <w:szCs w:val="20"/>
                <w:color w:val="auto"/>
              </w:rPr>
            </w:pPr>
            <w:r>
              <w:rPr>
                <w:rFonts w:ascii="Arial" w:cs="Arial" w:eastAsia="Arial" w:hAnsi="Arial"/>
                <w:sz w:val="17"/>
                <w:szCs w:val="17"/>
                <w:color w:val="auto"/>
                <w:w w:val="94"/>
              </w:rPr>
              <w:t>The following table sets forth our results of operations for each of the periods presented as a percentage of revenue: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9"/>
        </w:trPr>
        <w:tc>
          <w:tcPr>
            <w:tcW w:w="1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gridSpan w:val="5"/>
          </w:tcPr>
          <w:p>
            <w:pPr>
              <w:jc w:val="center"/>
              <w:ind w:left="593"/>
              <w:spacing w:after="0"/>
              <w:rPr>
                <w:sz w:val="20"/>
                <w:szCs w:val="20"/>
                <w:color w:val="auto"/>
              </w:rPr>
            </w:pPr>
            <w:r>
              <w:rPr>
                <w:rFonts w:ascii="Arial" w:cs="Arial" w:eastAsia="Arial" w:hAnsi="Arial"/>
                <w:sz w:val="17"/>
                <w:szCs w:val="17"/>
                <w:b w:val="1"/>
                <w:bCs w:val="1"/>
                <w:color w:val="auto"/>
                <w:w w:val="93"/>
              </w:rPr>
              <w:t>Three Months Ended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Six Months Ended</w:t>
            </w:r>
          </w:p>
        </w:tc>
        <w:tc>
          <w:tcPr>
            <w:tcW w:w="1120" w:type="dxa"/>
            <w:vAlign w:val="bottom"/>
          </w:tcPr>
          <w:p>
            <w:pPr>
              <w:spacing w:after="0"/>
              <w:rPr>
                <w:sz w:val="24"/>
                <w:szCs w:val="24"/>
                <w:color w:val="auto"/>
              </w:rPr>
            </w:pPr>
          </w:p>
        </w:tc>
      </w:tr>
      <w:tr>
        <w:trPr>
          <w:trHeight w:val="222"/>
        </w:trPr>
        <w:tc>
          <w:tcPr>
            <w:tcW w:w="13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7"/>
                <w:szCs w:val="17"/>
                <w:b w:val="1"/>
                <w:bCs w:val="1"/>
                <w:color w:val="auto"/>
                <w:w w:val="91"/>
              </w:rPr>
              <w:t>June 30,</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1"/>
              </w:rPr>
              <w:t>June 30,</w:t>
            </w:r>
          </w:p>
        </w:tc>
        <w:tc>
          <w:tcPr>
            <w:tcW w:w="1120" w:type="dxa"/>
            <w:vAlign w:val="bottom"/>
            <w:tcBorders>
              <w:bottom w:val="single" w:sz="8" w:color="auto"/>
            </w:tcBorders>
          </w:tcPr>
          <w:p>
            <w:pPr>
              <w:spacing w:after="0"/>
              <w:rPr>
                <w:sz w:val="19"/>
                <w:szCs w:val="19"/>
                <w:color w:val="auto"/>
              </w:rPr>
            </w:pPr>
          </w:p>
        </w:tc>
      </w:tr>
      <w:tr>
        <w:trPr>
          <w:trHeight w:val="215"/>
        </w:trPr>
        <w:tc>
          <w:tcPr>
            <w:tcW w:w="3740" w:type="dxa"/>
            <w:vAlign w:val="bottom"/>
            <w:gridSpan w:val="2"/>
          </w:tcPr>
          <w:p>
            <w:pPr>
              <w:spacing w:after="0"/>
              <w:rPr>
                <w:sz w:val="18"/>
                <w:szCs w:val="18"/>
                <w:color w:val="auto"/>
              </w:rPr>
            </w:pPr>
          </w:p>
        </w:tc>
        <w:tc>
          <w:tcPr>
            <w:tcW w:w="122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7"/>
                <w:szCs w:val="17"/>
                <w:b w:val="1"/>
                <w:bCs w:val="1"/>
                <w:color w:val="auto"/>
              </w:rPr>
              <w:t>2022</w:t>
            </w:r>
          </w:p>
        </w:tc>
        <w:tc>
          <w:tcPr>
            <w:tcW w:w="1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2021</w:t>
            </w:r>
          </w:p>
        </w:tc>
      </w:tr>
      <w:tr>
        <w:trPr>
          <w:trHeight w:val="215"/>
        </w:trPr>
        <w:tc>
          <w:tcPr>
            <w:tcW w:w="1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20" w:type="dxa"/>
            <w:vAlign w:val="bottom"/>
            <w:gridSpan w:val="3"/>
          </w:tcPr>
          <w:p>
            <w:pPr>
              <w:jc w:val="right"/>
              <w:ind w:right="353"/>
              <w:spacing w:after="0"/>
              <w:rPr>
                <w:sz w:val="20"/>
                <w:szCs w:val="20"/>
                <w:color w:val="auto"/>
              </w:rPr>
            </w:pPr>
            <w:r>
              <w:rPr>
                <w:rFonts w:ascii="Arial" w:cs="Arial" w:eastAsia="Arial" w:hAnsi="Arial"/>
                <w:sz w:val="17"/>
                <w:szCs w:val="17"/>
                <w:i w:val="1"/>
                <w:iCs w:val="1"/>
                <w:color w:val="auto"/>
                <w:w w:val="93"/>
              </w:rPr>
              <w:t>(As a % of revenue)*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2"/>
        </w:trPr>
        <w:tc>
          <w:tcPr>
            <w:tcW w:w="49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22"/>
        </w:trPr>
        <w:tc>
          <w:tcPr>
            <w:tcW w:w="4960" w:type="dxa"/>
            <w:vAlign w:val="bottom"/>
            <w:gridSpan w:val="4"/>
          </w:tcPr>
          <w:p>
            <w:pPr>
              <w:ind w:left="380"/>
              <w:spacing w:after="0" w:line="222"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580" w:type="dxa"/>
            <w:vAlign w:val="bottom"/>
          </w:tcPr>
          <w:p>
            <w:pPr>
              <w:jc w:val="right"/>
              <w:ind w:right="113"/>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21</w:t>
            </w:r>
          </w:p>
        </w:tc>
      </w:tr>
      <w:tr>
        <w:trPr>
          <w:trHeight w:val="215"/>
        </w:trPr>
        <w:tc>
          <w:tcPr>
            <w:tcW w:w="3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82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81</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79</w:t>
            </w:r>
          </w:p>
        </w:tc>
      </w:tr>
      <w:tr>
        <w:trPr>
          <w:trHeight w:val="222"/>
        </w:trPr>
        <w:tc>
          <w:tcPr>
            <w:tcW w:w="4960" w:type="dxa"/>
            <w:vAlign w:val="bottom"/>
            <w:gridSpan w:val="4"/>
          </w:tcPr>
          <w:p>
            <w:pPr>
              <w:ind w:left="20"/>
              <w:spacing w:after="0" w:line="222"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2"/>
        </w:trPr>
        <w:tc>
          <w:tcPr>
            <w:tcW w:w="49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5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35</w:t>
            </w:r>
          </w:p>
        </w:tc>
      </w:tr>
      <w:tr>
        <w:trPr>
          <w:trHeight w:val="222"/>
        </w:trPr>
        <w:tc>
          <w:tcPr>
            <w:tcW w:w="4960" w:type="dxa"/>
            <w:vAlign w:val="bottom"/>
            <w:gridSpan w:val="4"/>
          </w:tcPr>
          <w:p>
            <w:pPr>
              <w:ind w:left="340"/>
              <w:spacing w:after="0"/>
              <w:rPr>
                <w:sz w:val="20"/>
                <w:szCs w:val="20"/>
                <w:color w:val="auto"/>
              </w:rPr>
            </w:pPr>
            <w:r>
              <w:rPr>
                <w:rFonts w:ascii="Arial" w:cs="Arial" w:eastAsia="Arial" w:hAnsi="Arial"/>
                <w:sz w:val="17"/>
                <w:szCs w:val="17"/>
                <w:color w:val="auto"/>
              </w:rPr>
              <w:t>Sales and marketing</w:t>
            </w:r>
          </w:p>
        </w:tc>
        <w:tc>
          <w:tcPr>
            <w:tcW w:w="580" w:type="dxa"/>
            <w:vAlign w:val="bottom"/>
          </w:tcPr>
          <w:p>
            <w:pPr>
              <w:jc w:val="right"/>
              <w:ind w:right="113"/>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20</w:t>
            </w:r>
          </w:p>
        </w:tc>
      </w:tr>
      <w:tr>
        <w:trPr>
          <w:trHeight w:val="222"/>
        </w:trPr>
        <w:tc>
          <w:tcPr>
            <w:tcW w:w="49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5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11</w:t>
            </w:r>
          </w:p>
        </w:tc>
      </w:tr>
      <w:tr>
        <w:trPr>
          <w:trHeight w:val="222"/>
        </w:trPr>
        <w:tc>
          <w:tcPr>
            <w:tcW w:w="4960" w:type="dxa"/>
            <w:vAlign w:val="bottom"/>
            <w:gridSpan w:val="4"/>
          </w:tcPr>
          <w:p>
            <w:pPr>
              <w:ind w:left="340"/>
              <w:spacing w:after="0"/>
              <w:rPr>
                <w:sz w:val="20"/>
                <w:szCs w:val="20"/>
                <w:color w:val="auto"/>
              </w:rPr>
            </w:pPr>
            <w:r>
              <w:rPr>
                <w:rFonts w:ascii="Arial" w:cs="Arial" w:eastAsia="Arial" w:hAnsi="Arial"/>
                <w:sz w:val="17"/>
                <w:szCs w:val="17"/>
                <w:color w:val="auto"/>
              </w:rPr>
              <w:t>Impairment related to real estate assets</w:t>
            </w:r>
          </w:p>
        </w:tc>
        <w:tc>
          <w:tcPr>
            <w:tcW w:w="580" w:type="dxa"/>
            <w:vAlign w:val="bottom"/>
          </w:tcPr>
          <w:p>
            <w:pPr>
              <w:jc w:val="right"/>
              <w:ind w:right="113"/>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20" w:type="dxa"/>
            <w:vAlign w:val="bottom"/>
            <w:gridSpan w:val="3"/>
          </w:tcPr>
          <w:p>
            <w:pPr>
              <w:jc w:val="right"/>
              <w:ind w:right="1333"/>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2</w:t>
            </w:r>
          </w:p>
        </w:tc>
      </w:tr>
      <w:tr>
        <w:trPr>
          <w:trHeight w:val="215"/>
        </w:trPr>
        <w:tc>
          <w:tcPr>
            <w:tcW w:w="3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67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67</w:t>
            </w:r>
          </w:p>
        </w:tc>
      </w:tr>
      <w:tr>
        <w:trPr>
          <w:trHeight w:val="222"/>
        </w:trPr>
        <w:tc>
          <w:tcPr>
            <w:tcW w:w="4960" w:type="dxa"/>
            <w:vAlign w:val="bottom"/>
            <w:gridSpan w:val="4"/>
          </w:tcPr>
          <w:p>
            <w:pPr>
              <w:ind w:left="20"/>
              <w:spacing w:after="0"/>
              <w:rPr>
                <w:sz w:val="20"/>
                <w:szCs w:val="20"/>
                <w:color w:val="auto"/>
              </w:rPr>
            </w:pPr>
            <w:r>
              <w:rPr>
                <w:rFonts w:ascii="Arial" w:cs="Arial" w:eastAsia="Arial" w:hAnsi="Arial"/>
                <w:sz w:val="17"/>
                <w:szCs w:val="17"/>
                <w:color w:val="auto"/>
              </w:rPr>
              <w:t>Income from operations</w:t>
            </w:r>
          </w:p>
        </w:tc>
        <w:tc>
          <w:tcPr>
            <w:tcW w:w="580" w:type="dxa"/>
            <w:vAlign w:val="bottom"/>
          </w:tcPr>
          <w:p>
            <w:pPr>
              <w:jc w:val="right"/>
              <w:ind w:right="113"/>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12</w:t>
            </w:r>
          </w:p>
        </w:tc>
      </w:tr>
      <w:tr>
        <w:trPr>
          <w:trHeight w:val="222"/>
        </w:trPr>
        <w:tc>
          <w:tcPr>
            <w:tcW w:w="49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1780" w:type="dxa"/>
            <w:vAlign w:val="bottom"/>
            <w:gridSpan w:val="4"/>
            <w:shd w:val="clear" w:color="auto" w:fill="CCEEFF"/>
          </w:tcPr>
          <w:p>
            <w:pPr>
              <w:jc w:val="right"/>
              <w:ind w:right="1400"/>
              <w:spacing w:after="0"/>
              <w:rPr>
                <w:sz w:val="20"/>
                <w:szCs w:val="20"/>
                <w:color w:val="auto"/>
              </w:rPr>
            </w:pPr>
            <w:r>
              <w:rPr>
                <w:rFonts w:ascii="Arial" w:cs="Arial" w:eastAsia="Arial" w:hAnsi="Arial"/>
                <w:sz w:val="17"/>
                <w:szCs w:val="17"/>
                <w:color w:val="auto"/>
              </w:rPr>
              <w:t>—</w:t>
            </w:r>
          </w:p>
        </w:tc>
        <w:tc>
          <w:tcPr>
            <w:tcW w:w="1920" w:type="dxa"/>
            <w:vAlign w:val="bottom"/>
            <w:gridSpan w:val="3"/>
            <w:shd w:val="clear" w:color="auto" w:fill="CCEEFF"/>
          </w:tcPr>
          <w:p>
            <w:pPr>
              <w:jc w:val="right"/>
              <w:ind w:right="1333"/>
              <w:spacing w:after="0"/>
              <w:rPr>
                <w:sz w:val="20"/>
                <w:szCs w:val="20"/>
                <w:color w:val="auto"/>
              </w:rPr>
            </w:pPr>
            <w:r>
              <w:rPr>
                <w:rFonts w:ascii="Arial" w:cs="Arial" w:eastAsia="Arial" w:hAnsi="Arial"/>
                <w:sz w:val="17"/>
                <w:szCs w:val="17"/>
                <w:color w:val="auto"/>
              </w:rPr>
              <w:t>—</w:t>
            </w:r>
          </w:p>
        </w:tc>
        <w:tc>
          <w:tcPr>
            <w:tcW w:w="1460" w:type="dxa"/>
            <w:vAlign w:val="bottom"/>
            <w:gridSpan w:val="3"/>
            <w:shd w:val="clear" w:color="auto" w:fill="CCEEFF"/>
          </w:tcPr>
          <w:p>
            <w:pPr>
              <w:jc w:val="right"/>
              <w:ind w:right="10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r>
      <w:tr>
        <w:trPr>
          <w:trHeight w:val="222"/>
        </w:trPr>
        <w:tc>
          <w:tcPr>
            <w:tcW w:w="4960" w:type="dxa"/>
            <w:vAlign w:val="bottom"/>
            <w:gridSpan w:val="4"/>
          </w:tcPr>
          <w:p>
            <w:pPr>
              <w:ind w:left="20"/>
              <w:spacing w:after="0"/>
              <w:rPr>
                <w:sz w:val="20"/>
                <w:szCs w:val="20"/>
                <w:color w:val="auto"/>
              </w:rPr>
            </w:pPr>
            <w:r>
              <w:rPr>
                <w:rFonts w:ascii="Arial" w:cs="Arial" w:eastAsia="Arial" w:hAnsi="Arial"/>
                <w:sz w:val="17"/>
                <w:szCs w:val="17"/>
                <w:color w:val="auto"/>
              </w:rPr>
              <w:t>Other (expense) income, net</w:t>
            </w:r>
          </w:p>
        </w:tc>
        <w:tc>
          <w:tcPr>
            <w:tcW w:w="580" w:type="dxa"/>
            <w:vAlign w:val="bottom"/>
          </w:tcPr>
          <w:p>
            <w:pPr>
              <w:jc w:val="right"/>
              <w:ind w:right="73"/>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60" w:type="dxa"/>
            <w:vAlign w:val="bottom"/>
            <w:gridSpan w:val="3"/>
          </w:tcPr>
          <w:p>
            <w:pPr>
              <w:jc w:val="right"/>
              <w:ind w:right="100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1</w:t>
            </w:r>
          </w:p>
        </w:tc>
      </w:tr>
      <w:tr>
        <w:trPr>
          <w:trHeight w:val="215"/>
        </w:trPr>
        <w:tc>
          <w:tcPr>
            <w:tcW w:w="3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14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13</w:t>
            </w:r>
          </w:p>
        </w:tc>
      </w:tr>
      <w:tr>
        <w:trPr>
          <w:trHeight w:val="222"/>
        </w:trPr>
        <w:tc>
          <w:tcPr>
            <w:tcW w:w="4960" w:type="dxa"/>
            <w:vAlign w:val="bottom"/>
            <w:gridSpan w:val="4"/>
          </w:tcPr>
          <w:p>
            <w:pPr>
              <w:ind w:left="20"/>
              <w:spacing w:after="0"/>
              <w:rPr>
                <w:sz w:val="20"/>
                <w:szCs w:val="20"/>
                <w:color w:val="auto"/>
              </w:rPr>
            </w:pPr>
            <w:r>
              <w:rPr>
                <w:rFonts w:ascii="Arial" w:cs="Arial" w:eastAsia="Arial" w:hAnsi="Arial"/>
                <w:sz w:val="17"/>
                <w:szCs w:val="17"/>
                <w:color w:val="auto"/>
              </w:rPr>
              <w:t>Provision for from income taxes</w:t>
            </w:r>
          </w:p>
        </w:tc>
        <w:tc>
          <w:tcPr>
            <w:tcW w:w="580" w:type="dxa"/>
            <w:vAlign w:val="bottom"/>
          </w:tcPr>
          <w:p>
            <w:pPr>
              <w:jc w:val="right"/>
              <w:ind w:right="73"/>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7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73"/>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w:t>
            </w:r>
          </w:p>
        </w:tc>
      </w:tr>
      <w:tr>
        <w:trPr>
          <w:trHeight w:val="240"/>
        </w:trPr>
        <w:tc>
          <w:tcPr>
            <w:tcW w:w="3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13 %</w:t>
            </w:r>
          </w:p>
        </w:tc>
      </w:tr>
      <w:tr>
        <w:trPr>
          <w:trHeight w:val="20"/>
        </w:trPr>
        <w:tc>
          <w:tcPr>
            <w:tcW w:w="37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542"/>
        </w:trPr>
        <w:tc>
          <w:tcPr>
            <w:tcW w:w="4960" w:type="dxa"/>
            <w:vAlign w:val="bottom"/>
            <w:gridSpan w:val="4"/>
          </w:tcPr>
          <w:p>
            <w:pPr>
              <w:spacing w:after="0"/>
              <w:rPr>
                <w:sz w:val="20"/>
                <w:szCs w:val="20"/>
                <w:color w:val="auto"/>
              </w:rPr>
            </w:pPr>
            <w:r>
              <w:rPr>
                <w:rFonts w:ascii="Arial" w:cs="Arial" w:eastAsia="Arial" w:hAnsi="Arial"/>
                <w:sz w:val="20"/>
                <w:szCs w:val="20"/>
                <w:color w:val="auto"/>
                <w:w w:val="89"/>
                <w:vertAlign w:val="superscript"/>
              </w:rPr>
              <w:t>(1)</w:t>
            </w:r>
            <w:r>
              <w:rPr>
                <w:rFonts w:ascii="Arial" w:cs="Arial" w:eastAsia="Arial" w:hAnsi="Arial"/>
                <w:sz w:val="16"/>
                <w:szCs w:val="16"/>
                <w:color w:val="auto"/>
                <w:w w:val="89"/>
              </w:rPr>
              <w:t xml:space="preserve"> Includes stock-based compensation as a percentage of revenue as follows: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6"/>
        </w:trPr>
        <w:tc>
          <w:tcPr>
            <w:tcW w:w="1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gridSpan w:val="5"/>
          </w:tcPr>
          <w:p>
            <w:pPr>
              <w:jc w:val="center"/>
              <w:ind w:left="633"/>
              <w:spacing w:after="0"/>
              <w:rPr>
                <w:sz w:val="20"/>
                <w:szCs w:val="20"/>
                <w:color w:val="auto"/>
              </w:rPr>
            </w:pPr>
            <w:r>
              <w:rPr>
                <w:rFonts w:ascii="Arial" w:cs="Arial" w:eastAsia="Arial" w:hAnsi="Arial"/>
                <w:sz w:val="17"/>
                <w:szCs w:val="17"/>
                <w:b w:val="1"/>
                <w:bCs w:val="1"/>
                <w:color w:val="auto"/>
                <w:w w:val="93"/>
              </w:rPr>
              <w:t>Three Months Ended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Six Months Ended</w:t>
            </w:r>
          </w:p>
        </w:tc>
        <w:tc>
          <w:tcPr>
            <w:tcW w:w="1120" w:type="dxa"/>
            <w:vAlign w:val="bottom"/>
          </w:tcPr>
          <w:p>
            <w:pPr>
              <w:spacing w:after="0"/>
              <w:rPr>
                <w:sz w:val="24"/>
                <w:szCs w:val="24"/>
                <w:color w:val="auto"/>
              </w:rPr>
            </w:pPr>
          </w:p>
        </w:tc>
      </w:tr>
      <w:tr>
        <w:trPr>
          <w:trHeight w:val="222"/>
        </w:trPr>
        <w:tc>
          <w:tcPr>
            <w:tcW w:w="13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7"/>
                <w:szCs w:val="17"/>
                <w:b w:val="1"/>
                <w:bCs w:val="1"/>
                <w:color w:val="auto"/>
                <w:w w:val="91"/>
              </w:rPr>
              <w:t>June 30,</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1"/>
              </w:rPr>
              <w:t>June 30,</w:t>
            </w:r>
          </w:p>
        </w:tc>
        <w:tc>
          <w:tcPr>
            <w:tcW w:w="1120" w:type="dxa"/>
            <w:vAlign w:val="bottom"/>
            <w:tcBorders>
              <w:bottom w:val="single" w:sz="8" w:color="auto"/>
            </w:tcBorders>
          </w:tcPr>
          <w:p>
            <w:pPr>
              <w:spacing w:after="0"/>
              <w:rPr>
                <w:sz w:val="19"/>
                <w:szCs w:val="19"/>
                <w:color w:val="auto"/>
              </w:rPr>
            </w:pPr>
          </w:p>
        </w:tc>
      </w:tr>
      <w:tr>
        <w:trPr>
          <w:trHeight w:val="215"/>
        </w:trPr>
        <w:tc>
          <w:tcPr>
            <w:tcW w:w="3760" w:type="dxa"/>
            <w:vAlign w:val="bottom"/>
            <w:gridSpan w:val="3"/>
          </w:tcPr>
          <w:p>
            <w:pPr>
              <w:spacing w:after="0"/>
              <w:rPr>
                <w:sz w:val="18"/>
                <w:szCs w:val="18"/>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1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2021</w:t>
            </w:r>
          </w:p>
        </w:tc>
      </w:tr>
      <w:tr>
        <w:trPr>
          <w:trHeight w:val="215"/>
        </w:trPr>
        <w:tc>
          <w:tcPr>
            <w:tcW w:w="1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20" w:type="dxa"/>
            <w:vAlign w:val="bottom"/>
            <w:gridSpan w:val="3"/>
          </w:tcPr>
          <w:p>
            <w:pPr>
              <w:jc w:val="right"/>
              <w:ind w:right="333"/>
              <w:spacing w:after="0"/>
              <w:rPr>
                <w:sz w:val="20"/>
                <w:szCs w:val="20"/>
                <w:color w:val="auto"/>
              </w:rPr>
            </w:pPr>
            <w:r>
              <w:rPr>
                <w:rFonts w:ascii="Arial" w:cs="Arial" w:eastAsia="Arial" w:hAnsi="Arial"/>
                <w:sz w:val="17"/>
                <w:szCs w:val="17"/>
                <w:i w:val="1"/>
                <w:iCs w:val="1"/>
                <w:color w:val="auto"/>
                <w:w w:val="94"/>
              </w:rPr>
              <w:t>(As a % of revenue)*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2"/>
        </w:trPr>
        <w:tc>
          <w:tcPr>
            <w:tcW w:w="49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Cost of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r>
      <w:tr>
        <w:trPr>
          <w:trHeight w:val="222"/>
        </w:trPr>
        <w:tc>
          <w:tcPr>
            <w:tcW w:w="4960" w:type="dxa"/>
            <w:vAlign w:val="bottom"/>
            <w:gridSpan w:val="4"/>
          </w:tcPr>
          <w:p>
            <w:pPr>
              <w:ind w:left="340"/>
              <w:spacing w:after="0"/>
              <w:rPr>
                <w:sz w:val="20"/>
                <w:szCs w:val="20"/>
                <w:color w:val="auto"/>
              </w:rPr>
            </w:pPr>
            <w:r>
              <w:rPr>
                <w:rFonts w:ascii="Arial" w:cs="Arial" w:eastAsia="Arial" w:hAnsi="Arial"/>
                <w:sz w:val="17"/>
                <w:szCs w:val="17"/>
                <w:color w:val="auto"/>
              </w:rPr>
              <w:t>Research and development</w:t>
            </w:r>
          </w:p>
        </w:tc>
        <w:tc>
          <w:tcPr>
            <w:tcW w:w="580" w:type="dxa"/>
            <w:vAlign w:val="bottom"/>
          </w:tcPr>
          <w:p>
            <w:pPr>
              <w:jc w:val="right"/>
              <w:ind w:right="113"/>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9</w:t>
            </w:r>
          </w:p>
        </w:tc>
      </w:tr>
      <w:tr>
        <w:trPr>
          <w:trHeight w:val="222"/>
        </w:trPr>
        <w:tc>
          <w:tcPr>
            <w:tcW w:w="49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5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w:t>
            </w:r>
          </w:p>
        </w:tc>
      </w:tr>
      <w:tr>
        <w:trPr>
          <w:trHeight w:val="222"/>
        </w:trPr>
        <w:tc>
          <w:tcPr>
            <w:tcW w:w="4960" w:type="dxa"/>
            <w:vAlign w:val="bottom"/>
            <w:gridSpan w:val="4"/>
          </w:tcPr>
          <w:p>
            <w:pPr>
              <w:ind w:left="340"/>
              <w:spacing w:after="0"/>
              <w:rPr>
                <w:sz w:val="20"/>
                <w:szCs w:val="20"/>
                <w:color w:val="auto"/>
              </w:rPr>
            </w:pPr>
            <w:r>
              <w:rPr>
                <w:rFonts w:ascii="Arial" w:cs="Arial" w:eastAsia="Arial" w:hAnsi="Arial"/>
                <w:sz w:val="17"/>
                <w:szCs w:val="17"/>
                <w:color w:val="auto"/>
              </w:rPr>
              <w:t>General and administrative</w:t>
            </w:r>
          </w:p>
        </w:tc>
        <w:tc>
          <w:tcPr>
            <w:tcW w:w="580" w:type="dxa"/>
            <w:vAlign w:val="bottom"/>
          </w:tcPr>
          <w:p>
            <w:pPr>
              <w:jc w:val="right"/>
              <w:ind w:right="113"/>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2</w:t>
            </w:r>
          </w:p>
        </w:tc>
      </w:tr>
      <w:tr>
        <w:trPr>
          <w:trHeight w:val="240"/>
        </w:trPr>
        <w:tc>
          <w:tcPr>
            <w:tcW w:w="37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120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14 %</w:t>
            </w: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 Percentages may not foot due to rounding.</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Comparison of the three months ended June 30, 2022 and 2021</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Revenue</w:t>
      </w:r>
    </w:p>
    <w:p>
      <w:pPr>
        <w:spacing w:after="0" w:line="171" w:lineRule="exact"/>
        <w:rPr>
          <w:sz w:val="20"/>
          <w:szCs w:val="20"/>
          <w:color w:val="auto"/>
        </w:rPr>
      </w:pPr>
    </w:p>
    <w:p>
      <w:pPr>
        <w:jc w:val="center"/>
        <w:ind w:left="1860"/>
        <w:spacing w:after="0"/>
        <w:rPr>
          <w:sz w:val="20"/>
          <w:szCs w:val="20"/>
          <w:color w:val="auto"/>
        </w:rPr>
      </w:pPr>
      <w:r>
        <w:rPr>
          <w:rFonts w:ascii="Arial" w:cs="Arial" w:eastAsia="Arial" w:hAnsi="Arial"/>
          <w:sz w:val="17"/>
          <w:szCs w:val="17"/>
          <w:b w:val="1"/>
          <w:bCs w:val="1"/>
          <w:color w:val="auto"/>
        </w:rPr>
        <w:t>Three Months Ended</w:t>
      </w:r>
    </w:p>
    <w:p>
      <w:pPr>
        <w:jc w:val="center"/>
        <w:ind w:left="1860"/>
        <w:spacing w:after="0"/>
        <w:rPr>
          <w:sz w:val="20"/>
          <w:szCs w:val="20"/>
          <w:color w:val="auto"/>
        </w:rPr>
      </w:pPr>
      <w:r>
        <w:rPr>
          <w:rFonts w:ascii="Arial" w:cs="Arial" w:eastAsia="Arial" w:hAnsi="Arial"/>
          <w:sz w:val="17"/>
          <w:szCs w:val="17"/>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5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i w:val="1"/>
                <w:iCs w:val="1"/>
                <w:color w:val="auto"/>
              </w:rPr>
              <w:t>(In millions)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572.7</w:t>
            </w:r>
          </w:p>
        </w:tc>
        <w:tc>
          <w:tcPr>
            <w:tcW w:w="54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7.9 %</w:t>
            </w:r>
          </w:p>
        </w:tc>
      </w:tr>
    </w:tbl>
    <w:p>
      <w:pPr>
        <w:spacing w:after="0" w:line="314" w:lineRule="exact"/>
        <w:rPr>
          <w:sz w:val="20"/>
          <w:szCs w:val="20"/>
          <w:color w:val="auto"/>
        </w:rPr>
      </w:pPr>
    </w:p>
    <w:p>
      <w:pPr>
        <w:jc w:val="both"/>
        <w:ind w:firstLine="391"/>
        <w:spacing w:after="0" w:line="271" w:lineRule="auto"/>
        <w:rPr>
          <w:sz w:val="20"/>
          <w:szCs w:val="20"/>
          <w:color w:val="auto"/>
        </w:rPr>
      </w:pPr>
      <w:r>
        <w:rPr>
          <w:rFonts w:ascii="Arial" w:cs="Arial" w:eastAsia="Arial" w:hAnsi="Arial"/>
          <w:sz w:val="17"/>
          <w:szCs w:val="17"/>
          <w:color w:val="auto"/>
        </w:rPr>
        <w:t>Revenue increased $42.1 million or 7.9% during the three months ended June 30, 2022, as compared to the three months ended June 30, 2021. The increase in revenue was driven primarily by an increase in paying users and an increased mix of sales towards our higher-priced subscription plans offset by the impact of unfavorable foreign exchange rates across multiple currencies.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00" w:type="dxa"/>
            <w:vAlign w:val="bottom"/>
          </w:tcPr>
          <w:p>
            <w:pPr>
              <w:ind w:left="400"/>
              <w:spacing w:after="0"/>
              <w:rPr>
                <w:sz w:val="20"/>
                <w:szCs w:val="20"/>
                <w:color w:val="auto"/>
              </w:rPr>
            </w:pPr>
            <w:r>
              <w:rPr>
                <w:rFonts w:ascii="Arial" w:cs="Arial" w:eastAsia="Arial" w:hAnsi="Arial"/>
                <w:sz w:val="17"/>
                <w:szCs w:val="17"/>
                <w:i w:val="1"/>
                <w:iCs w:val="1"/>
                <w:color w:val="auto"/>
              </w:rPr>
              <w:t>Cost of revenue, gross profit, and gross margin</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4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4"/>
          </w:tcPr>
          <w:p>
            <w:pPr>
              <w:jc w:val="center"/>
              <w:ind w:right="440"/>
              <w:spacing w:after="0"/>
              <w:rPr>
                <w:sz w:val="20"/>
                <w:szCs w:val="20"/>
                <w:color w:val="auto"/>
              </w:rPr>
            </w:pPr>
            <w:r>
              <w:rPr>
                <w:rFonts w:ascii="Arial" w:cs="Arial" w:eastAsia="Arial" w:hAnsi="Arial"/>
                <w:sz w:val="17"/>
                <w:szCs w:val="17"/>
                <w:b w:val="1"/>
                <w:bCs w:val="1"/>
                <w:color w:val="auto"/>
                <w:w w:val="93"/>
              </w:rPr>
              <w:t>Three Months Ended</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2"/>
        </w:trPr>
        <w:tc>
          <w:tcPr>
            <w:tcW w:w="49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left="613"/>
              <w:spacing w:after="0"/>
              <w:rPr>
                <w:sz w:val="20"/>
                <w:szCs w:val="20"/>
                <w:color w:val="auto"/>
              </w:rPr>
            </w:pPr>
            <w:r>
              <w:rPr>
                <w:rFonts w:ascii="Arial" w:cs="Arial" w:eastAsia="Arial" w:hAnsi="Arial"/>
                <w:sz w:val="17"/>
                <w:szCs w:val="17"/>
                <w:b w:val="1"/>
                <w:bCs w:val="1"/>
                <w:color w:val="auto"/>
                <w:w w:val="91"/>
              </w:rPr>
              <w:t>June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5"/>
        </w:trPr>
        <w:tc>
          <w:tcPr>
            <w:tcW w:w="4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3"/>
              <w:spacing w:after="0"/>
              <w:rPr>
                <w:sz w:val="20"/>
                <w:szCs w:val="20"/>
                <w:color w:val="auto"/>
              </w:rPr>
            </w:pPr>
            <w:r>
              <w:rPr>
                <w:rFonts w:ascii="Arial" w:cs="Arial" w:eastAsia="Arial" w:hAnsi="Arial"/>
                <w:sz w:val="17"/>
                <w:szCs w:val="17"/>
                <w:b w:val="1"/>
                <w:bCs w:val="1"/>
                <w:color w:val="auto"/>
              </w:rPr>
              <w:t>2022</w:t>
            </w:r>
          </w:p>
        </w:tc>
        <w:tc>
          <w:tcPr>
            <w:tcW w:w="540" w:type="dxa"/>
            <w:vAlign w:val="bottom"/>
          </w:tcPr>
          <w:p>
            <w:pPr>
              <w:spacing w:after="0"/>
              <w:rPr>
                <w:sz w:val="18"/>
                <w:szCs w:val="18"/>
                <w:color w:val="auto"/>
              </w:rPr>
            </w:pPr>
          </w:p>
        </w:tc>
        <w:tc>
          <w:tcPr>
            <w:tcW w:w="1040" w:type="dxa"/>
            <w:vAlign w:val="bottom"/>
          </w:tcPr>
          <w:p>
            <w:pPr>
              <w:jc w:val="right"/>
              <w:ind w:right="49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29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49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jc w:val="center"/>
              <w:ind w:left="613"/>
              <w:spacing w:after="0"/>
              <w:rPr>
                <w:sz w:val="20"/>
                <w:szCs w:val="20"/>
                <w:color w:val="auto"/>
              </w:rPr>
            </w:pPr>
            <w:r>
              <w:rPr>
                <w:rFonts w:ascii="Arial" w:cs="Arial" w:eastAsia="Arial" w:hAnsi="Arial"/>
                <w:sz w:val="17"/>
                <w:szCs w:val="17"/>
                <w:i w:val="1"/>
                <w:iCs w:val="1"/>
                <w:color w:val="auto"/>
                <w:w w:val="98"/>
              </w:rPr>
              <w:t>(In millions)</w:t>
            </w: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105.8</w:t>
            </w:r>
          </w:p>
        </w:tc>
        <w:tc>
          <w:tcPr>
            <w:tcW w:w="54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ind w:left="800"/>
              <w:spacing w:after="0"/>
              <w:rPr>
                <w:sz w:val="20"/>
                <w:szCs w:val="20"/>
                <w:color w:val="auto"/>
              </w:rPr>
            </w:pPr>
            <w:r>
              <w:rPr>
                <w:rFonts w:ascii="Arial" w:cs="Arial" w:eastAsia="Arial" w:hAnsi="Arial"/>
                <w:sz w:val="17"/>
                <w:szCs w:val="17"/>
                <w:color w:val="auto"/>
                <w:w w:val="97"/>
              </w:rPr>
              <w:t>(1.3)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2"/>
        </w:trPr>
        <w:tc>
          <w:tcPr>
            <w:tcW w:w="490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tcPr>
          <w:p>
            <w:pPr>
              <w:spacing w:after="0"/>
              <w:rPr>
                <w:sz w:val="19"/>
                <w:szCs w:val="19"/>
                <w:color w:val="auto"/>
              </w:rPr>
            </w:pPr>
          </w:p>
        </w:tc>
        <w:tc>
          <w:tcPr>
            <w:tcW w:w="1220" w:type="dxa"/>
            <w:vAlign w:val="bottom"/>
          </w:tcPr>
          <w:p>
            <w:pPr>
              <w:jc w:val="right"/>
              <w:ind w:right="173"/>
              <w:spacing w:after="0"/>
              <w:rPr>
                <w:sz w:val="20"/>
                <w:szCs w:val="20"/>
                <w:color w:val="auto"/>
              </w:rPr>
            </w:pPr>
            <w:r>
              <w:rPr>
                <w:rFonts w:ascii="Arial" w:cs="Arial" w:eastAsia="Arial" w:hAnsi="Arial"/>
                <w:sz w:val="17"/>
                <w:szCs w:val="17"/>
                <w:color w:val="auto"/>
              </w:rPr>
              <w:t>466.9</w:t>
            </w:r>
          </w:p>
        </w:tc>
        <w:tc>
          <w:tcPr>
            <w:tcW w:w="54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423.5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ind w:left="780"/>
              <w:spacing w:after="0"/>
              <w:rPr>
                <w:sz w:val="20"/>
                <w:szCs w:val="20"/>
                <w:color w:val="auto"/>
              </w:rPr>
            </w:pPr>
            <w:r>
              <w:rPr>
                <w:rFonts w:ascii="Arial" w:cs="Arial" w:eastAsia="Arial" w:hAnsi="Arial"/>
                <w:sz w:val="17"/>
                <w:szCs w:val="17"/>
                <w:color w:val="auto"/>
              </w:rPr>
              <w:t>43.4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10.2 %</w:t>
            </w:r>
          </w:p>
        </w:tc>
      </w:tr>
      <w:tr>
        <w:trPr>
          <w:trHeight w:val="22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82 %</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bl>
    <w:p>
      <w:pPr>
        <w:spacing w:after="0" w:line="301" w:lineRule="exact"/>
        <w:rPr>
          <w:sz w:val="20"/>
          <w:szCs w:val="20"/>
          <w:color w:val="auto"/>
        </w:rPr>
      </w:pPr>
    </w:p>
    <w:p>
      <w:pPr>
        <w:ind w:right="60" w:firstLine="391"/>
        <w:spacing w:after="0" w:line="266" w:lineRule="auto"/>
        <w:rPr>
          <w:sz w:val="20"/>
          <w:szCs w:val="20"/>
          <w:color w:val="auto"/>
        </w:rPr>
      </w:pPr>
      <w:r>
        <w:rPr>
          <w:rFonts w:ascii="Arial" w:cs="Arial" w:eastAsia="Arial" w:hAnsi="Arial"/>
          <w:sz w:val="17"/>
          <w:szCs w:val="17"/>
          <w:color w:val="auto"/>
        </w:rPr>
        <w:t>Cost of revenue decreased $1.3 million or 1.2% during the three months ended June 30, 2022, as compared to the three months ended June 30, 2021, primarily due to decreases of $3.2 million in facilities expenses, $2.1 million in non-income based taxes and $0.9 million in allocated overhead. These decreases were offset by increases of $3.3 million in infrastructure costs,$0.7 million in credit card transaction fees due to higher sales and $0.6 million in employee-related costs.</w:t>
      </w:r>
    </w:p>
    <w:p>
      <w:pPr>
        <w:spacing w:after="0" w:line="111" w:lineRule="exact"/>
        <w:rPr>
          <w:sz w:val="20"/>
          <w:szCs w:val="20"/>
          <w:color w:val="auto"/>
        </w:rPr>
      </w:pPr>
    </w:p>
    <w:p>
      <w:pPr>
        <w:jc w:val="both"/>
        <w:ind w:right="420" w:firstLine="391"/>
        <w:spacing w:after="0" w:line="287" w:lineRule="auto"/>
        <w:rPr>
          <w:sz w:val="20"/>
          <w:szCs w:val="20"/>
          <w:color w:val="auto"/>
        </w:rPr>
      </w:pPr>
      <w:r>
        <w:rPr>
          <w:rFonts w:ascii="Arial" w:cs="Arial" w:eastAsia="Arial" w:hAnsi="Arial"/>
          <w:sz w:val="17"/>
          <w:szCs w:val="17"/>
          <w:color w:val="auto"/>
        </w:rPr>
        <w:t>Our gross margin increased during the three months ended June 30, 2022 compared to the three months ended June 30, 2021, primarily due to a 7.9% increase in revenue during the period and a decrease in our cost of revenue as described above.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Research and development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4"/>
          </w:tcPr>
          <w:p>
            <w:pPr>
              <w:jc w:val="center"/>
              <w:ind w:right="400"/>
              <w:spacing w:after="0"/>
              <w:rPr>
                <w:sz w:val="20"/>
                <w:szCs w:val="20"/>
                <w:color w:val="auto"/>
              </w:rPr>
            </w:pPr>
            <w:r>
              <w:rPr>
                <w:rFonts w:ascii="Arial" w:cs="Arial" w:eastAsia="Arial" w:hAnsi="Arial"/>
                <w:sz w:val="17"/>
                <w:szCs w:val="17"/>
                <w:b w:val="1"/>
                <w:bCs w:val="1"/>
                <w:color w:val="auto"/>
                <w:w w:val="93"/>
              </w:rPr>
              <w:t>Three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2"/>
        </w:trPr>
        <w:tc>
          <w:tcPr>
            <w:tcW w:w="5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left="553"/>
              <w:spacing w:after="0"/>
              <w:rPr>
                <w:sz w:val="20"/>
                <w:szCs w:val="20"/>
                <w:color w:val="auto"/>
              </w:rPr>
            </w:pPr>
            <w:r>
              <w:rPr>
                <w:rFonts w:ascii="Arial" w:cs="Arial" w:eastAsia="Arial" w:hAnsi="Arial"/>
                <w:sz w:val="17"/>
                <w:szCs w:val="17"/>
                <w:b w:val="1"/>
                <w:bCs w:val="1"/>
                <w:color w:val="auto"/>
                <w:w w:val="91"/>
              </w:rPr>
              <w:t>June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5"/>
        </w:trPr>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3"/>
              <w:spacing w:after="0"/>
              <w:rPr>
                <w:sz w:val="20"/>
                <w:szCs w:val="20"/>
                <w:color w:val="auto"/>
              </w:rPr>
            </w:pPr>
            <w:r>
              <w:rPr>
                <w:rFonts w:ascii="Arial" w:cs="Arial" w:eastAsia="Arial" w:hAnsi="Arial"/>
                <w:sz w:val="17"/>
                <w:szCs w:val="17"/>
                <w:b w:val="1"/>
                <w:bCs w:val="1"/>
                <w:color w:val="auto"/>
              </w:rPr>
              <w:t>2022</w:t>
            </w:r>
          </w:p>
        </w:tc>
        <w:tc>
          <w:tcPr>
            <w:tcW w:w="540" w:type="dxa"/>
            <w:vAlign w:val="bottom"/>
          </w:tcPr>
          <w:p>
            <w:pPr>
              <w:spacing w:after="0"/>
              <w:rPr>
                <w:sz w:val="18"/>
                <w:szCs w:val="18"/>
                <w:color w:val="auto"/>
              </w:rPr>
            </w:pPr>
          </w:p>
        </w:tc>
        <w:tc>
          <w:tcPr>
            <w:tcW w:w="940" w:type="dxa"/>
            <w:vAlign w:val="bottom"/>
          </w:tcPr>
          <w:p>
            <w:pPr>
              <w:jc w:val="right"/>
              <w:ind w:right="43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5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jc w:val="center"/>
              <w:ind w:left="553"/>
              <w:spacing w:after="0"/>
              <w:rPr>
                <w:sz w:val="20"/>
                <w:szCs w:val="20"/>
                <w:color w:val="auto"/>
              </w:rPr>
            </w:pPr>
            <w:r>
              <w:rPr>
                <w:rFonts w:ascii="Arial" w:cs="Arial" w:eastAsia="Arial" w:hAnsi="Arial"/>
                <w:sz w:val="17"/>
                <w:szCs w:val="17"/>
                <w:i w:val="1"/>
                <w:iCs w:val="1"/>
                <w:color w:val="auto"/>
                <w:w w:val="98"/>
              </w:rPr>
              <w:t>(In millions)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215.0</w:t>
            </w:r>
          </w:p>
        </w:tc>
        <w:tc>
          <w:tcPr>
            <w:tcW w:w="54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15.9 %</w:t>
            </w:r>
          </w:p>
        </w:tc>
      </w:tr>
    </w:tbl>
    <w:p>
      <w:pPr>
        <w:spacing w:after="0" w:line="301" w:lineRule="exact"/>
        <w:rPr>
          <w:sz w:val="20"/>
          <w:szCs w:val="20"/>
          <w:color w:val="auto"/>
        </w:rPr>
      </w:pPr>
    </w:p>
    <w:p>
      <w:pPr>
        <w:jc w:val="both"/>
        <w:ind w:right="400" w:firstLine="391"/>
        <w:spacing w:after="0" w:line="271" w:lineRule="auto"/>
        <w:rPr>
          <w:sz w:val="20"/>
          <w:szCs w:val="20"/>
          <w:color w:val="auto"/>
        </w:rPr>
      </w:pPr>
      <w:r>
        <w:rPr>
          <w:rFonts w:ascii="Arial" w:cs="Arial" w:eastAsia="Arial" w:hAnsi="Arial"/>
          <w:sz w:val="17"/>
          <w:szCs w:val="17"/>
          <w:color w:val="auto"/>
        </w:rPr>
        <w:t>Research and development expenses increased $29.5 million or 15.9% during the three months ended June 30, 2022, as compared to the three months ended June 30, 2021, primarily due to increases of $25.4 million in employee-related costs driven by an increase in headcount and $2.1 million in allocated overhead.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Sales and marketing</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4"/>
          </w:tcPr>
          <w:p>
            <w:pPr>
              <w:jc w:val="center"/>
              <w:ind w:right="400"/>
              <w:spacing w:after="0"/>
              <w:rPr>
                <w:sz w:val="20"/>
                <w:szCs w:val="20"/>
                <w:color w:val="auto"/>
              </w:rPr>
            </w:pPr>
            <w:r>
              <w:rPr>
                <w:rFonts w:ascii="Arial" w:cs="Arial" w:eastAsia="Arial" w:hAnsi="Arial"/>
                <w:sz w:val="17"/>
                <w:szCs w:val="17"/>
                <w:b w:val="1"/>
                <w:bCs w:val="1"/>
                <w:color w:val="auto"/>
                <w:w w:val="93"/>
              </w:rPr>
              <w:t>Three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2"/>
        </w:trPr>
        <w:tc>
          <w:tcPr>
            <w:tcW w:w="5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left="553"/>
              <w:spacing w:after="0"/>
              <w:rPr>
                <w:sz w:val="20"/>
                <w:szCs w:val="20"/>
                <w:color w:val="auto"/>
              </w:rPr>
            </w:pPr>
            <w:r>
              <w:rPr>
                <w:rFonts w:ascii="Arial" w:cs="Arial" w:eastAsia="Arial" w:hAnsi="Arial"/>
                <w:sz w:val="17"/>
                <w:szCs w:val="17"/>
                <w:b w:val="1"/>
                <w:bCs w:val="1"/>
                <w:color w:val="auto"/>
                <w:w w:val="91"/>
              </w:rPr>
              <w:t>June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5"/>
        </w:trPr>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3"/>
              <w:spacing w:after="0"/>
              <w:rPr>
                <w:sz w:val="20"/>
                <w:szCs w:val="20"/>
                <w:color w:val="auto"/>
              </w:rPr>
            </w:pPr>
            <w:r>
              <w:rPr>
                <w:rFonts w:ascii="Arial" w:cs="Arial" w:eastAsia="Arial" w:hAnsi="Arial"/>
                <w:sz w:val="17"/>
                <w:szCs w:val="17"/>
                <w:b w:val="1"/>
                <w:bCs w:val="1"/>
                <w:color w:val="auto"/>
              </w:rPr>
              <w:t>2022</w:t>
            </w:r>
          </w:p>
        </w:tc>
        <w:tc>
          <w:tcPr>
            <w:tcW w:w="540" w:type="dxa"/>
            <w:vAlign w:val="bottom"/>
          </w:tcPr>
          <w:p>
            <w:pPr>
              <w:spacing w:after="0"/>
              <w:rPr>
                <w:sz w:val="18"/>
                <w:szCs w:val="18"/>
                <w:color w:val="auto"/>
              </w:rPr>
            </w:pPr>
          </w:p>
        </w:tc>
        <w:tc>
          <w:tcPr>
            <w:tcW w:w="940" w:type="dxa"/>
            <w:vAlign w:val="bottom"/>
          </w:tcPr>
          <w:p>
            <w:pPr>
              <w:jc w:val="right"/>
              <w:ind w:right="43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5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jc w:val="center"/>
              <w:ind w:left="553"/>
              <w:spacing w:after="0"/>
              <w:rPr>
                <w:sz w:val="20"/>
                <w:szCs w:val="20"/>
                <w:color w:val="auto"/>
              </w:rPr>
            </w:pPr>
            <w:r>
              <w:rPr>
                <w:rFonts w:ascii="Arial" w:cs="Arial" w:eastAsia="Arial" w:hAnsi="Arial"/>
                <w:sz w:val="17"/>
                <w:szCs w:val="17"/>
                <w:i w:val="1"/>
                <w:iCs w:val="1"/>
                <w:color w:val="auto"/>
                <w:w w:val="98"/>
              </w:rPr>
              <w:t>(In millions)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105.0</w:t>
            </w:r>
          </w:p>
        </w:tc>
        <w:tc>
          <w:tcPr>
            <w:tcW w:w="54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4.2 %</w:t>
            </w:r>
          </w:p>
        </w:tc>
      </w:tr>
    </w:tbl>
    <w:p>
      <w:pPr>
        <w:spacing w:after="0" w:line="314" w:lineRule="exact"/>
        <w:rPr>
          <w:sz w:val="20"/>
          <w:szCs w:val="20"/>
          <w:color w:val="auto"/>
        </w:rPr>
      </w:pPr>
    </w:p>
    <w:p>
      <w:pPr>
        <w:jc w:val="both"/>
        <w:ind w:right="140" w:firstLine="391"/>
        <w:spacing w:after="0" w:line="271" w:lineRule="auto"/>
        <w:rPr>
          <w:sz w:val="20"/>
          <w:szCs w:val="20"/>
          <w:color w:val="auto"/>
        </w:rPr>
      </w:pPr>
      <w:r>
        <w:rPr>
          <w:rFonts w:ascii="Arial" w:cs="Arial" w:eastAsia="Arial" w:hAnsi="Arial"/>
          <w:sz w:val="17"/>
          <w:szCs w:val="17"/>
          <w:color w:val="auto"/>
        </w:rPr>
        <w:t>Sales and marketing expenses increased $4.2 million or 4.2% during the three months ended June 30, 2022, as compared to the three months ended June 30, 2021, primarily due to an increase of $6.3 million related to brand and other marketing campaigns. This increase was offset by a decrease of $1.4 million in allocated overhead.</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General and administrative</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2480" w:type="dxa"/>
            <w:vAlign w:val="bottom"/>
            <w:gridSpan w:val="3"/>
          </w:tcPr>
          <w:p>
            <w:pPr>
              <w:jc w:val="center"/>
              <w:ind w:left="373"/>
              <w:spacing w:after="0"/>
              <w:rPr>
                <w:sz w:val="20"/>
                <w:szCs w:val="20"/>
                <w:color w:val="auto"/>
              </w:rPr>
            </w:pPr>
            <w:r>
              <w:rPr>
                <w:rFonts w:ascii="Arial" w:cs="Arial" w:eastAsia="Arial" w:hAnsi="Arial"/>
                <w:sz w:val="17"/>
                <w:szCs w:val="17"/>
                <w:b w:val="1"/>
                <w:bCs w:val="1"/>
                <w:color w:val="auto"/>
                <w:w w:val="93"/>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2"/>
        </w:trPr>
        <w:tc>
          <w:tcPr>
            <w:tcW w:w="5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413"/>
              <w:spacing w:after="0"/>
              <w:rPr>
                <w:sz w:val="20"/>
                <w:szCs w:val="20"/>
                <w:color w:val="auto"/>
              </w:rPr>
            </w:pPr>
            <w:r>
              <w:rPr>
                <w:rFonts w:ascii="Arial" w:cs="Arial" w:eastAsia="Arial" w:hAnsi="Arial"/>
                <w:sz w:val="17"/>
                <w:szCs w:val="17"/>
                <w:b w:val="1"/>
                <w:bCs w:val="1"/>
                <w:color w:val="auto"/>
                <w:w w:val="91"/>
              </w:rPr>
              <w:t>June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5"/>
        </w:trPr>
        <w:tc>
          <w:tcPr>
            <w:tcW w:w="5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5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413"/>
              <w:spacing w:after="0"/>
              <w:rPr>
                <w:sz w:val="20"/>
                <w:szCs w:val="20"/>
                <w:color w:val="auto"/>
              </w:rPr>
            </w:pPr>
            <w:r>
              <w:rPr>
                <w:rFonts w:ascii="Arial" w:cs="Arial" w:eastAsia="Arial" w:hAnsi="Arial"/>
                <w:sz w:val="17"/>
                <w:szCs w:val="17"/>
                <w:i w:val="1"/>
                <w:iCs w:val="1"/>
                <w:color w:val="auto"/>
                <w:w w:val="98"/>
              </w:rPr>
              <w:t>(In millions)</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55.3</w:t>
            </w:r>
          </w:p>
        </w:tc>
        <w:tc>
          <w:tcPr>
            <w:tcW w:w="104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4.7 %</w:t>
            </w:r>
          </w:p>
        </w:tc>
      </w:tr>
    </w:tbl>
    <w:p>
      <w:pPr>
        <w:spacing w:after="0" w:line="200" w:lineRule="exact"/>
        <w:rPr>
          <w:sz w:val="20"/>
          <w:szCs w:val="20"/>
          <w:color w:val="auto"/>
        </w:rPr>
      </w:pPr>
    </w:p>
    <w:p>
      <w:pPr>
        <w:spacing w:after="0" w:line="244" w:lineRule="exact"/>
        <w:rPr>
          <w:sz w:val="20"/>
          <w:szCs w:val="20"/>
          <w:color w:val="auto"/>
        </w:rPr>
      </w:pPr>
    </w:p>
    <w:p>
      <w:pPr>
        <w:jc w:val="both"/>
        <w:ind w:right="40" w:firstLine="391"/>
        <w:spacing w:after="0" w:line="271" w:lineRule="auto"/>
        <w:rPr>
          <w:sz w:val="20"/>
          <w:szCs w:val="20"/>
          <w:color w:val="auto"/>
        </w:rPr>
      </w:pPr>
      <w:r>
        <w:rPr>
          <w:rFonts w:ascii="Arial" w:cs="Arial" w:eastAsia="Arial" w:hAnsi="Arial"/>
          <w:sz w:val="17"/>
          <w:szCs w:val="17"/>
          <w:color w:val="auto"/>
        </w:rPr>
        <w:t>General and administrative expenses increased $2.5 million or 4.7% during the three months ended June 30, 2022, as compared to the three months ended June 30, 2021, primarily due to increases of $2.9 million in employee-related costs and $0.9 million in non-income based taxes. These increases were offset by a decrease of $1.4 million in allocated overhead.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Impairment related to real estate assets</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30"/>
        </w:trPr>
        <w:tc>
          <w:tcPr>
            <w:tcW w:w="5100" w:type="dxa"/>
            <w:vAlign w:val="bottom"/>
          </w:tcPr>
          <w:p>
            <w:pPr>
              <w:spacing w:after="0"/>
              <w:rPr>
                <w:sz w:val="24"/>
                <w:szCs w:val="24"/>
                <w:color w:val="auto"/>
              </w:rPr>
            </w:pPr>
          </w:p>
        </w:tc>
        <w:tc>
          <w:tcPr>
            <w:tcW w:w="2540" w:type="dxa"/>
            <w:vAlign w:val="bottom"/>
            <w:gridSpan w:val="3"/>
          </w:tcPr>
          <w:p>
            <w:pPr>
              <w:jc w:val="center"/>
              <w:ind w:left="313"/>
              <w:spacing w:after="0"/>
              <w:rPr>
                <w:sz w:val="20"/>
                <w:szCs w:val="20"/>
                <w:color w:val="auto"/>
              </w:rPr>
            </w:pPr>
            <w:r>
              <w:rPr>
                <w:rFonts w:ascii="Arial" w:cs="Arial" w:eastAsia="Arial" w:hAnsi="Arial"/>
                <w:sz w:val="17"/>
                <w:szCs w:val="17"/>
                <w:b w:val="1"/>
                <w:bCs w:val="1"/>
                <w:color w:val="auto"/>
                <w:w w:val="93"/>
              </w:rPr>
              <w:t>Three Months Ended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2"/>
        </w:trPr>
        <w:tc>
          <w:tcPr>
            <w:tcW w:w="5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473"/>
              <w:spacing w:after="0"/>
              <w:rPr>
                <w:sz w:val="20"/>
                <w:szCs w:val="20"/>
                <w:color w:val="auto"/>
              </w:rPr>
            </w:pPr>
            <w:r>
              <w:rPr>
                <w:rFonts w:ascii="Arial" w:cs="Arial" w:eastAsia="Arial" w:hAnsi="Arial"/>
                <w:sz w:val="17"/>
                <w:szCs w:val="17"/>
                <w:b w:val="1"/>
                <w:bCs w:val="1"/>
                <w:color w:val="auto"/>
                <w:w w:val="91"/>
              </w:rPr>
              <w:t>June 30,</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5"/>
        </w:trPr>
        <w:tc>
          <w:tcPr>
            <w:tcW w:w="5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4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7"/>
                <w:szCs w:val="17"/>
                <w:b w:val="1"/>
                <w:bCs w:val="1"/>
                <w:color w:val="auto"/>
              </w:rPr>
              <w:t>2021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5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center"/>
              <w:ind w:right="473"/>
              <w:spacing w:after="0"/>
              <w:rPr>
                <w:sz w:val="20"/>
                <w:szCs w:val="20"/>
                <w:color w:val="auto"/>
              </w:rPr>
            </w:pPr>
            <w:r>
              <w:rPr>
                <w:rFonts w:ascii="Arial" w:cs="Arial" w:eastAsia="Arial" w:hAnsi="Arial"/>
                <w:sz w:val="17"/>
                <w:szCs w:val="17"/>
                <w:i w:val="1"/>
                <w:iCs w:val="1"/>
                <w:color w:val="auto"/>
                <w:w w:val="98"/>
              </w:rPr>
              <w:t>(In millions)</w:t>
            </w: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 related to real estate assets</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8.7</w:t>
            </w:r>
          </w:p>
        </w:tc>
        <w:tc>
          <w:tcPr>
            <w:tcW w:w="1100" w:type="dxa"/>
            <w:vAlign w:val="bottom"/>
            <w:shd w:val="clear" w:color="auto" w:fill="CCEEFF"/>
          </w:tcPr>
          <w:p>
            <w:pPr>
              <w:jc w:val="right"/>
              <w:ind w:right="833"/>
              <w:spacing w:after="0"/>
              <w:rPr>
                <w:sz w:val="20"/>
                <w:szCs w:val="20"/>
                <w:color w:val="auto"/>
              </w:rPr>
            </w:pPr>
            <w:r>
              <w:rPr>
                <w:rFonts w:ascii="Arial" w:cs="Arial" w:eastAsia="Arial" w:hAnsi="Arial"/>
                <w:sz w:val="17"/>
                <w:szCs w:val="17"/>
                <w:color w:val="auto"/>
              </w:rPr>
              <w:t>$</w:t>
            </w:r>
          </w:p>
        </w:tc>
        <w:tc>
          <w:tcPr>
            <w:tcW w:w="7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r>
    </w:tbl>
    <w:p>
      <w:pPr>
        <w:spacing w:after="0" w:line="314" w:lineRule="exact"/>
        <w:rPr>
          <w:sz w:val="20"/>
          <w:szCs w:val="20"/>
          <w:color w:val="auto"/>
        </w:rPr>
      </w:pPr>
    </w:p>
    <w:p>
      <w:pPr>
        <w:ind w:right="80" w:firstLine="391"/>
        <w:spacing w:after="0" w:line="271" w:lineRule="auto"/>
        <w:rPr>
          <w:sz w:val="20"/>
          <w:szCs w:val="20"/>
          <w:color w:val="auto"/>
        </w:rPr>
      </w:pPr>
      <w:r>
        <w:rPr>
          <w:rFonts w:ascii="Arial" w:cs="Arial" w:eastAsia="Arial" w:hAnsi="Arial"/>
          <w:sz w:val="17"/>
          <w:szCs w:val="17"/>
          <w:color w:val="auto"/>
        </w:rPr>
        <w:t>Impairment related to real estate assets was $8.7 million during the three months ended June 30, 2022, due to an impairment charge related to the adoption of our Virtual First strategy and the impact of updated assumptions as we continue to monitor the global real estate market. We did not incur any impairment related to real estate assets during the three months ended June 30, 2021.</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Interest expense, net</w:t>
      </w:r>
    </w:p>
    <w:p>
      <w:pPr>
        <w:spacing w:after="0" w:line="248" w:lineRule="exact"/>
        <w:rPr>
          <w:sz w:val="20"/>
          <w:szCs w:val="20"/>
          <w:color w:val="auto"/>
        </w:rPr>
      </w:pPr>
    </w:p>
    <w:p>
      <w:pPr>
        <w:jc w:val="both"/>
        <w:ind w:right="20" w:firstLine="391"/>
        <w:spacing w:after="0" w:line="271" w:lineRule="auto"/>
        <w:rPr>
          <w:sz w:val="20"/>
          <w:szCs w:val="20"/>
          <w:color w:val="auto"/>
        </w:rPr>
      </w:pPr>
      <w:r>
        <w:rPr>
          <w:rFonts w:ascii="Arial" w:cs="Arial" w:eastAsia="Arial" w:hAnsi="Arial"/>
          <w:sz w:val="17"/>
          <w:szCs w:val="17"/>
          <w:color w:val="auto"/>
        </w:rPr>
        <w:t>Interest expense, net decreased $0.4 million during the three months ended June 30, 2022, as compared to the three months ended June 30, 2021, primarily due to higher interest income as a result of interest rate increases offset by an increase in interest expense due to the amortization of debt issuance costs related to our convertible debt offering during the three months ended June 30, 2022.</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Other (expense) income, net</w:t>
      </w:r>
    </w:p>
    <w:p>
      <w:pPr>
        <w:spacing w:after="0" w:line="248" w:lineRule="exact"/>
        <w:rPr>
          <w:sz w:val="20"/>
          <w:szCs w:val="20"/>
          <w:color w:val="auto"/>
        </w:rPr>
      </w:pPr>
    </w:p>
    <w:p>
      <w:pPr>
        <w:ind w:right="120" w:firstLine="391"/>
        <w:spacing w:after="0" w:line="296" w:lineRule="auto"/>
        <w:rPr>
          <w:sz w:val="20"/>
          <w:szCs w:val="20"/>
          <w:color w:val="auto"/>
        </w:rPr>
      </w:pPr>
      <w:r>
        <w:rPr>
          <w:rFonts w:ascii="Arial" w:cs="Arial" w:eastAsia="Arial" w:hAnsi="Arial"/>
          <w:sz w:val="16"/>
          <w:szCs w:val="16"/>
          <w:color w:val="auto"/>
        </w:rPr>
        <w:t>Other (expense) income, net decreased $10.8 million during the three months ended June 30, 2022, as compared to the three months ended June 30, 2021, primarily due to $6.2 million in losses related to the termination of a datacenter lease, a $5.4 million decrease in sales of retired infrastructure assets and $4.3 million in foreign currency transaction losses. These decreases were offset by an increase of $5.0 million in gains related to equity investments.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Provision for income taxes</w:t>
      </w:r>
    </w:p>
    <w:p>
      <w:pPr>
        <w:spacing w:after="0" w:line="248" w:lineRule="exact"/>
        <w:rPr>
          <w:sz w:val="20"/>
          <w:szCs w:val="20"/>
          <w:color w:val="auto"/>
        </w:rPr>
      </w:pPr>
    </w:p>
    <w:p>
      <w:pPr>
        <w:jc w:val="both"/>
        <w:ind w:right="260" w:firstLine="391"/>
        <w:spacing w:after="0" w:line="271" w:lineRule="auto"/>
        <w:rPr>
          <w:sz w:val="20"/>
          <w:szCs w:val="20"/>
          <w:color w:val="auto"/>
        </w:rPr>
      </w:pPr>
      <w:r>
        <w:rPr>
          <w:rFonts w:ascii="Arial" w:cs="Arial" w:eastAsia="Arial" w:hAnsi="Arial"/>
          <w:sz w:val="17"/>
          <w:szCs w:val="17"/>
          <w:color w:val="auto"/>
        </w:rPr>
        <w:t>Provision for income taxes increased $14.1 million during the three months ended June 30, 2022, as compared to the three months ended June 30, 2021, primarily due to the impact of capitalization of research and experimental expenditures, and tax expense for our Irish subsidiary, which no longer maintains a valuation allowance on deferred tax assets.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FF"/>
            </w:tcBorders>
          </w:tcPr>
          <w:p>
            <w:pPr>
              <w:spacing w:after="0"/>
              <w:rPr>
                <w:rFonts w:ascii="Arial" w:cs="Arial" w:eastAsia="Arial" w:hAnsi="Arial"/>
                <w:sz w:val="17"/>
                <w:szCs w:val="17"/>
                <w:b w:val="1"/>
                <w:bCs w:val="1"/>
                <w:color w:val="0000FF"/>
                <w:w w:val="90"/>
              </w:rPr>
            </w:pPr>
            <w:hyperlink w:anchor="page4">
              <w:r>
                <w:rPr>
                  <w:rFonts w:ascii="Arial" w:cs="Arial" w:eastAsia="Arial" w:hAnsi="Arial"/>
                  <w:sz w:val="17"/>
                  <w:szCs w:val="17"/>
                  <w:b w:val="1"/>
                  <w:bCs w:val="1"/>
                  <w:color w:val="0000FF"/>
                  <w:w w:val="90"/>
                </w:rPr>
                <w:t>Table of Contents</w:t>
              </w:r>
            </w:hyperlink>
          </w:p>
        </w:tc>
        <w:tc>
          <w:tcPr>
            <w:tcW w:w="3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762"/>
        </w:trPr>
        <w:tc>
          <w:tcPr>
            <w:tcW w:w="5080" w:type="dxa"/>
            <w:vAlign w:val="bottom"/>
            <w:gridSpan w:val="2"/>
          </w:tcPr>
          <w:p>
            <w:pPr>
              <w:ind w:left="400"/>
              <w:spacing w:after="0"/>
              <w:rPr>
                <w:sz w:val="20"/>
                <w:szCs w:val="20"/>
                <w:color w:val="auto"/>
              </w:rPr>
            </w:pPr>
            <w:r>
              <w:rPr>
                <w:rFonts w:ascii="Arial" w:cs="Arial" w:eastAsia="Arial" w:hAnsi="Arial"/>
                <w:sz w:val="17"/>
                <w:szCs w:val="17"/>
                <w:b w:val="1"/>
                <w:bCs w:val="1"/>
                <w:i w:val="1"/>
                <w:iCs w:val="1"/>
                <w:color w:val="auto"/>
                <w:w w:val="94"/>
              </w:rPr>
              <w:t>Comparison of the six months ended June 30, 2022 and 2021</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43"/>
        </w:trPr>
        <w:tc>
          <w:tcPr>
            <w:tcW w:w="5080" w:type="dxa"/>
            <w:vAlign w:val="bottom"/>
            <w:gridSpan w:val="2"/>
          </w:tcPr>
          <w:p>
            <w:pPr>
              <w:ind w:left="400"/>
              <w:spacing w:after="0"/>
              <w:rPr>
                <w:sz w:val="20"/>
                <w:szCs w:val="20"/>
                <w:color w:val="auto"/>
              </w:rPr>
            </w:pPr>
            <w:r>
              <w:rPr>
                <w:rFonts w:ascii="Arial" w:cs="Arial" w:eastAsia="Arial" w:hAnsi="Arial"/>
                <w:sz w:val="17"/>
                <w:szCs w:val="17"/>
                <w:i w:val="1"/>
                <w:iCs w:val="1"/>
                <w:color w:val="auto"/>
              </w:rPr>
              <w:t>Revenue</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9"/>
        </w:trPr>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7"/>
                <w:szCs w:val="17"/>
                <w:b w:val="1"/>
                <w:bCs w:val="1"/>
                <w:color w:val="auto"/>
                <w:w w:val="92"/>
              </w:rPr>
              <w:t>Six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2"/>
        </w:trPr>
        <w:tc>
          <w:tcPr>
            <w:tcW w:w="13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left="553"/>
              <w:spacing w:after="0"/>
              <w:rPr>
                <w:sz w:val="20"/>
                <w:szCs w:val="20"/>
                <w:color w:val="auto"/>
              </w:rPr>
            </w:pPr>
            <w:r>
              <w:rPr>
                <w:rFonts w:ascii="Arial" w:cs="Arial" w:eastAsia="Arial" w:hAnsi="Arial"/>
                <w:sz w:val="17"/>
                <w:szCs w:val="17"/>
                <w:b w:val="1"/>
                <w:bCs w:val="1"/>
                <w:color w:val="auto"/>
                <w:w w:val="91"/>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5"/>
        </w:trPr>
        <w:tc>
          <w:tcPr>
            <w:tcW w:w="13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3"/>
              <w:spacing w:after="0"/>
              <w:rPr>
                <w:sz w:val="20"/>
                <w:szCs w:val="20"/>
                <w:color w:val="auto"/>
              </w:rPr>
            </w:pPr>
            <w:r>
              <w:rPr>
                <w:rFonts w:ascii="Arial" w:cs="Arial" w:eastAsia="Arial" w:hAnsi="Arial"/>
                <w:sz w:val="17"/>
                <w:szCs w:val="17"/>
                <w:b w:val="1"/>
                <w:bCs w:val="1"/>
                <w:color w:val="auto"/>
              </w:rPr>
              <w:t>2022</w:t>
            </w:r>
          </w:p>
        </w:tc>
        <w:tc>
          <w:tcPr>
            <w:tcW w:w="540" w:type="dxa"/>
            <w:vAlign w:val="bottom"/>
          </w:tcPr>
          <w:p>
            <w:pPr>
              <w:spacing w:after="0"/>
              <w:rPr>
                <w:sz w:val="18"/>
                <w:szCs w:val="18"/>
                <w:color w:val="auto"/>
              </w:rPr>
            </w:pPr>
          </w:p>
        </w:tc>
        <w:tc>
          <w:tcPr>
            <w:tcW w:w="960" w:type="dxa"/>
            <w:vAlign w:val="bottom"/>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13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jc w:val="center"/>
              <w:ind w:left="553"/>
              <w:spacing w:after="0"/>
              <w:rPr>
                <w:sz w:val="20"/>
                <w:szCs w:val="20"/>
                <w:color w:val="auto"/>
              </w:rPr>
            </w:pPr>
            <w:r>
              <w:rPr>
                <w:rFonts w:ascii="Arial" w:cs="Arial" w:eastAsia="Arial" w:hAnsi="Arial"/>
                <w:sz w:val="17"/>
                <w:szCs w:val="17"/>
                <w:i w:val="1"/>
                <w:iCs w:val="1"/>
                <w:color w:val="auto"/>
                <w:w w:val="98"/>
              </w:rPr>
              <w:t>(In millions)</w:t>
            </w: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1,135.1</w:t>
            </w:r>
          </w:p>
        </w:tc>
        <w:tc>
          <w:tcPr>
            <w:tcW w:w="54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8.9 %</w:t>
            </w:r>
          </w:p>
        </w:tc>
      </w:tr>
    </w:tbl>
    <w:p>
      <w:pPr>
        <w:spacing w:after="0" w:line="301" w:lineRule="exact"/>
        <w:rPr>
          <w:sz w:val="20"/>
          <w:szCs w:val="20"/>
          <w:color w:val="auto"/>
        </w:rPr>
      </w:pPr>
    </w:p>
    <w:p>
      <w:pPr>
        <w:ind w:right="100" w:firstLine="391"/>
        <w:spacing w:after="0" w:line="271" w:lineRule="auto"/>
        <w:rPr>
          <w:sz w:val="20"/>
          <w:szCs w:val="20"/>
          <w:color w:val="auto"/>
        </w:rPr>
      </w:pPr>
      <w:r>
        <w:rPr>
          <w:rFonts w:ascii="Arial" w:cs="Arial" w:eastAsia="Arial" w:hAnsi="Arial"/>
          <w:sz w:val="17"/>
          <w:szCs w:val="17"/>
          <w:color w:val="auto"/>
        </w:rPr>
        <w:t>Revenue increased $92.9 million or 8.9% during the six months ended June 30, 2022, as compared to the six months ended June 30, 2021. The increase in revenue was driven primarily by an increase in paying users and an increased mix of sales towards our higher-priced subscription plans offset by the impact of unfavorable foreign exchange rates across multiple currencies.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00" w:type="dxa"/>
            <w:vAlign w:val="bottom"/>
          </w:tcPr>
          <w:p>
            <w:pPr>
              <w:ind w:left="400"/>
              <w:spacing w:after="0"/>
              <w:rPr>
                <w:sz w:val="20"/>
                <w:szCs w:val="20"/>
                <w:color w:val="auto"/>
              </w:rPr>
            </w:pPr>
            <w:r>
              <w:rPr>
                <w:rFonts w:ascii="Arial" w:cs="Arial" w:eastAsia="Arial" w:hAnsi="Arial"/>
                <w:sz w:val="17"/>
                <w:szCs w:val="17"/>
                <w:i w:val="1"/>
                <w:iCs w:val="1"/>
                <w:color w:val="auto"/>
              </w:rPr>
              <w:t>Cost of revenue, gross profit, and gross margin</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4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4"/>
          </w:tcPr>
          <w:p>
            <w:pPr>
              <w:jc w:val="center"/>
              <w:ind w:right="440"/>
              <w:spacing w:after="0"/>
              <w:rPr>
                <w:sz w:val="20"/>
                <w:szCs w:val="20"/>
                <w:color w:val="auto"/>
              </w:rPr>
            </w:pPr>
            <w:r>
              <w:rPr>
                <w:rFonts w:ascii="Arial" w:cs="Arial" w:eastAsia="Arial" w:hAnsi="Arial"/>
                <w:sz w:val="17"/>
                <w:szCs w:val="17"/>
                <w:b w:val="1"/>
                <w:bCs w:val="1"/>
                <w:color w:val="auto"/>
                <w:w w:val="93"/>
              </w:rPr>
              <w:t>Six Months Ended</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6"/>
        </w:trPr>
        <w:tc>
          <w:tcPr>
            <w:tcW w:w="4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jc w:val="center"/>
              <w:ind w:left="613"/>
              <w:spacing w:after="0"/>
              <w:rPr>
                <w:sz w:val="20"/>
                <w:szCs w:val="20"/>
                <w:color w:val="auto"/>
              </w:rPr>
            </w:pPr>
            <w:r>
              <w:rPr>
                <w:rFonts w:ascii="Arial" w:cs="Arial" w:eastAsia="Arial" w:hAnsi="Arial"/>
                <w:sz w:val="17"/>
                <w:szCs w:val="17"/>
                <w:b w:val="1"/>
                <w:bCs w:val="1"/>
                <w:color w:val="auto"/>
                <w:w w:val="91"/>
              </w:rPr>
              <w:t>June 30,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7"/>
        </w:trPr>
        <w:tc>
          <w:tcPr>
            <w:tcW w:w="4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53"/>
              <w:spacing w:after="0"/>
              <w:rPr>
                <w:sz w:val="20"/>
                <w:szCs w:val="20"/>
                <w:color w:val="auto"/>
              </w:rPr>
            </w:pPr>
            <w:r>
              <w:rPr>
                <w:rFonts w:ascii="Arial" w:cs="Arial" w:eastAsia="Arial" w:hAnsi="Arial"/>
                <w:sz w:val="17"/>
                <w:szCs w:val="17"/>
                <w:b w:val="1"/>
                <w:bCs w:val="1"/>
                <w:color w:val="auto"/>
              </w:rPr>
              <w:t>2022</w:t>
            </w:r>
          </w:p>
        </w:tc>
        <w:tc>
          <w:tcPr>
            <w:tcW w:w="540" w:type="dxa"/>
            <w:vAlign w:val="bottom"/>
          </w:tcPr>
          <w:p>
            <w:pPr>
              <w:spacing w:after="0"/>
              <w:rPr>
                <w:sz w:val="19"/>
                <w:szCs w:val="19"/>
                <w:color w:val="auto"/>
              </w:rPr>
            </w:pPr>
          </w:p>
        </w:tc>
        <w:tc>
          <w:tcPr>
            <w:tcW w:w="1040" w:type="dxa"/>
            <w:vAlign w:val="bottom"/>
          </w:tcPr>
          <w:p>
            <w:pPr>
              <w:jc w:val="right"/>
              <w:ind w:right="49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29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49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jc w:val="center"/>
              <w:ind w:left="613"/>
              <w:spacing w:after="0"/>
              <w:rPr>
                <w:sz w:val="20"/>
                <w:szCs w:val="20"/>
                <w:color w:val="auto"/>
              </w:rPr>
            </w:pPr>
            <w:r>
              <w:rPr>
                <w:rFonts w:ascii="Arial" w:cs="Arial" w:eastAsia="Arial" w:hAnsi="Arial"/>
                <w:sz w:val="17"/>
                <w:szCs w:val="17"/>
                <w:i w:val="1"/>
                <w:iCs w:val="1"/>
                <w:color w:val="auto"/>
                <w:w w:val="98"/>
              </w:rPr>
              <w:t>(In millions)</w:t>
            </w: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218.7</w:t>
            </w:r>
          </w:p>
        </w:tc>
        <w:tc>
          <w:tcPr>
            <w:tcW w:w="54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216.4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r>
      <w:tr>
        <w:trPr>
          <w:trHeight w:val="222"/>
        </w:trPr>
        <w:tc>
          <w:tcPr>
            <w:tcW w:w="490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tcPr>
          <w:p>
            <w:pPr>
              <w:spacing w:after="0"/>
              <w:rPr>
                <w:sz w:val="19"/>
                <w:szCs w:val="19"/>
                <w:color w:val="auto"/>
              </w:rPr>
            </w:pPr>
          </w:p>
        </w:tc>
        <w:tc>
          <w:tcPr>
            <w:tcW w:w="1220" w:type="dxa"/>
            <w:vAlign w:val="bottom"/>
          </w:tcPr>
          <w:p>
            <w:pPr>
              <w:jc w:val="right"/>
              <w:ind w:right="173"/>
              <w:spacing w:after="0"/>
              <w:rPr>
                <w:sz w:val="20"/>
                <w:szCs w:val="20"/>
                <w:color w:val="auto"/>
              </w:rPr>
            </w:pPr>
            <w:r>
              <w:rPr>
                <w:rFonts w:ascii="Arial" w:cs="Arial" w:eastAsia="Arial" w:hAnsi="Arial"/>
                <w:sz w:val="17"/>
                <w:szCs w:val="17"/>
                <w:color w:val="auto"/>
              </w:rPr>
              <w:t>916.4</w:t>
            </w:r>
          </w:p>
        </w:tc>
        <w:tc>
          <w:tcPr>
            <w:tcW w:w="54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825.8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90.6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11.0 %</w:t>
            </w:r>
          </w:p>
        </w:tc>
      </w:tr>
      <w:tr>
        <w:trPr>
          <w:trHeight w:val="22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81 %</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bl>
    <w:p>
      <w:pPr>
        <w:spacing w:after="0" w:line="314" w:lineRule="exact"/>
        <w:rPr>
          <w:sz w:val="20"/>
          <w:szCs w:val="20"/>
          <w:color w:val="auto"/>
        </w:rPr>
      </w:pPr>
    </w:p>
    <w:p>
      <w:pPr>
        <w:jc w:val="both"/>
        <w:ind w:right="100" w:firstLine="391"/>
        <w:spacing w:after="0" w:line="323" w:lineRule="auto"/>
        <w:rPr>
          <w:sz w:val="20"/>
          <w:szCs w:val="20"/>
          <w:color w:val="auto"/>
        </w:rPr>
      </w:pPr>
      <w:r>
        <w:rPr>
          <w:rFonts w:ascii="Arial" w:cs="Arial" w:eastAsia="Arial" w:hAnsi="Arial"/>
          <w:sz w:val="15"/>
          <w:szCs w:val="15"/>
          <w:color w:val="auto"/>
        </w:rPr>
        <w:t>Cost of revenue increased $2.3 million or 1.1% during the six months ended June 30, 2022, as compared to the six months ended June 30, 2021, primarily due to increases of $9.3 million in infrastructure costs, $2.3 million in credit card transaction fees due to higher sales and $1.0 million in outside services. These increases were offset by decreases of $6.9 million in facilities expenses, $1.2 million in employee-related costs and $1.3 million in allocated overhead.</w:t>
      </w:r>
    </w:p>
    <w:p>
      <w:pPr>
        <w:spacing w:after="0" w:line="60" w:lineRule="exact"/>
        <w:rPr>
          <w:sz w:val="20"/>
          <w:szCs w:val="20"/>
          <w:color w:val="auto"/>
        </w:rPr>
      </w:pPr>
    </w:p>
    <w:p>
      <w:pPr>
        <w:ind w:right="20" w:firstLine="391"/>
        <w:spacing w:after="0" w:line="287" w:lineRule="auto"/>
        <w:rPr>
          <w:sz w:val="20"/>
          <w:szCs w:val="20"/>
          <w:color w:val="auto"/>
        </w:rPr>
      </w:pPr>
      <w:r>
        <w:rPr>
          <w:rFonts w:ascii="Arial" w:cs="Arial" w:eastAsia="Arial" w:hAnsi="Arial"/>
          <w:sz w:val="17"/>
          <w:szCs w:val="17"/>
          <w:color w:val="auto"/>
        </w:rPr>
        <w:t>Our gross margin increased during the six months ended June 30, 2022 compared to the six months ended June 30, 2021, primarily due to an 8.9% increase in revenue during the period and a lower percentage increase in our cost of revenue described above.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Research and development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4"/>
          </w:tcPr>
          <w:p>
            <w:pPr>
              <w:jc w:val="center"/>
              <w:ind w:right="420"/>
              <w:spacing w:after="0"/>
              <w:rPr>
                <w:sz w:val="20"/>
                <w:szCs w:val="20"/>
                <w:color w:val="auto"/>
              </w:rPr>
            </w:pPr>
            <w:r>
              <w:rPr>
                <w:rFonts w:ascii="Arial" w:cs="Arial" w:eastAsia="Arial" w:hAnsi="Arial"/>
                <w:sz w:val="17"/>
                <w:szCs w:val="17"/>
                <w:b w:val="1"/>
                <w:bCs w:val="1"/>
                <w:color w:val="auto"/>
                <w:w w:val="92"/>
              </w:rPr>
              <w:t>Six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2"/>
        </w:trPr>
        <w:tc>
          <w:tcPr>
            <w:tcW w:w="5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left="553"/>
              <w:spacing w:after="0"/>
              <w:rPr>
                <w:sz w:val="20"/>
                <w:szCs w:val="20"/>
                <w:color w:val="auto"/>
              </w:rPr>
            </w:pPr>
            <w:r>
              <w:rPr>
                <w:rFonts w:ascii="Arial" w:cs="Arial" w:eastAsia="Arial" w:hAnsi="Arial"/>
                <w:sz w:val="17"/>
                <w:szCs w:val="17"/>
                <w:b w:val="1"/>
                <w:bCs w:val="1"/>
                <w:color w:val="auto"/>
                <w:w w:val="91"/>
              </w:rPr>
              <w:t>June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5"/>
        </w:trPr>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3"/>
              <w:spacing w:after="0"/>
              <w:rPr>
                <w:sz w:val="20"/>
                <w:szCs w:val="20"/>
                <w:color w:val="auto"/>
              </w:rPr>
            </w:pPr>
            <w:r>
              <w:rPr>
                <w:rFonts w:ascii="Arial" w:cs="Arial" w:eastAsia="Arial" w:hAnsi="Arial"/>
                <w:sz w:val="17"/>
                <w:szCs w:val="17"/>
                <w:b w:val="1"/>
                <w:bCs w:val="1"/>
                <w:color w:val="auto"/>
              </w:rPr>
              <w:t>2022</w:t>
            </w:r>
          </w:p>
        </w:tc>
        <w:tc>
          <w:tcPr>
            <w:tcW w:w="540" w:type="dxa"/>
            <w:vAlign w:val="bottom"/>
          </w:tcPr>
          <w:p>
            <w:pPr>
              <w:spacing w:after="0"/>
              <w:rPr>
                <w:sz w:val="18"/>
                <w:szCs w:val="18"/>
                <w:color w:val="auto"/>
              </w:rPr>
            </w:pPr>
          </w:p>
        </w:tc>
        <w:tc>
          <w:tcPr>
            <w:tcW w:w="940" w:type="dxa"/>
            <w:vAlign w:val="bottom"/>
          </w:tcPr>
          <w:p>
            <w:pPr>
              <w:jc w:val="right"/>
              <w:ind w:right="43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5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jc w:val="center"/>
              <w:ind w:left="553"/>
              <w:spacing w:after="0"/>
              <w:rPr>
                <w:sz w:val="20"/>
                <w:szCs w:val="20"/>
                <w:color w:val="auto"/>
              </w:rPr>
            </w:pPr>
            <w:r>
              <w:rPr>
                <w:rFonts w:ascii="Arial" w:cs="Arial" w:eastAsia="Arial" w:hAnsi="Arial"/>
                <w:sz w:val="17"/>
                <w:szCs w:val="17"/>
                <w:i w:val="1"/>
                <w:iCs w:val="1"/>
                <w:color w:val="auto"/>
                <w:w w:val="98"/>
              </w:rPr>
              <w:t>(In millions)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425.8</w:t>
            </w:r>
          </w:p>
        </w:tc>
        <w:tc>
          <w:tcPr>
            <w:tcW w:w="54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16.1 %</w:t>
            </w:r>
          </w:p>
        </w:tc>
      </w:tr>
    </w:tbl>
    <w:p>
      <w:pPr>
        <w:spacing w:after="0" w:line="314" w:lineRule="exact"/>
        <w:rPr>
          <w:sz w:val="20"/>
          <w:szCs w:val="20"/>
          <w:color w:val="auto"/>
        </w:rPr>
      </w:pPr>
    </w:p>
    <w:p>
      <w:pPr>
        <w:ind w:right="120" w:firstLine="391"/>
        <w:spacing w:after="0" w:line="271" w:lineRule="auto"/>
        <w:rPr>
          <w:sz w:val="20"/>
          <w:szCs w:val="20"/>
          <w:color w:val="auto"/>
        </w:rPr>
      </w:pPr>
      <w:r>
        <w:rPr>
          <w:rFonts w:ascii="Arial" w:cs="Arial" w:eastAsia="Arial" w:hAnsi="Arial"/>
          <w:sz w:val="17"/>
          <w:szCs w:val="17"/>
          <w:color w:val="auto"/>
        </w:rPr>
        <w:t>Research and development expenses increased $59.1 million or 16.1% during the six months ended June 30, 2022, as compared to the six months ended June 30, 2021, primarily due to increases of $51.5 million in employee-related costs driven by an increase in headcount, $2.8 million related to software license subscriptions, and $2.4 million in allocated overhead.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Sales and marketing</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74"/>
        </w:trPr>
        <w:tc>
          <w:tcPr>
            <w:tcW w:w="5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700" w:type="dxa"/>
            <w:vAlign w:val="bottom"/>
            <w:gridSpan w:val="4"/>
          </w:tcPr>
          <w:p>
            <w:pPr>
              <w:jc w:val="center"/>
              <w:ind w:right="420"/>
              <w:spacing w:after="0"/>
              <w:rPr>
                <w:sz w:val="20"/>
                <w:szCs w:val="20"/>
                <w:color w:val="auto"/>
              </w:rPr>
            </w:pPr>
            <w:r>
              <w:rPr>
                <w:rFonts w:ascii="Arial" w:cs="Arial" w:eastAsia="Arial" w:hAnsi="Arial"/>
                <w:sz w:val="17"/>
                <w:szCs w:val="17"/>
                <w:b w:val="1"/>
                <w:bCs w:val="1"/>
                <w:color w:val="auto"/>
                <w:w w:val="92"/>
              </w:rPr>
              <w:t>Six Months Ended</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2"/>
        </w:trPr>
        <w:tc>
          <w:tcPr>
            <w:tcW w:w="5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left="553"/>
              <w:spacing w:after="0"/>
              <w:rPr>
                <w:sz w:val="20"/>
                <w:szCs w:val="20"/>
                <w:color w:val="auto"/>
              </w:rPr>
            </w:pPr>
            <w:r>
              <w:rPr>
                <w:rFonts w:ascii="Arial" w:cs="Arial" w:eastAsia="Arial" w:hAnsi="Arial"/>
                <w:sz w:val="17"/>
                <w:szCs w:val="17"/>
                <w:b w:val="1"/>
                <w:bCs w:val="1"/>
                <w:color w:val="auto"/>
                <w:w w:val="91"/>
              </w:rPr>
              <w:t>June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5"/>
        </w:trPr>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3"/>
              <w:spacing w:after="0"/>
              <w:rPr>
                <w:sz w:val="20"/>
                <w:szCs w:val="20"/>
                <w:color w:val="auto"/>
              </w:rPr>
            </w:pPr>
            <w:r>
              <w:rPr>
                <w:rFonts w:ascii="Arial" w:cs="Arial" w:eastAsia="Arial" w:hAnsi="Arial"/>
                <w:sz w:val="17"/>
                <w:szCs w:val="17"/>
                <w:b w:val="1"/>
                <w:bCs w:val="1"/>
                <w:color w:val="auto"/>
              </w:rPr>
              <w:t>2022</w:t>
            </w:r>
          </w:p>
        </w:tc>
        <w:tc>
          <w:tcPr>
            <w:tcW w:w="540" w:type="dxa"/>
            <w:vAlign w:val="bottom"/>
          </w:tcPr>
          <w:p>
            <w:pPr>
              <w:spacing w:after="0"/>
              <w:rPr>
                <w:sz w:val="18"/>
                <w:szCs w:val="18"/>
                <w:color w:val="auto"/>
              </w:rPr>
            </w:pPr>
          </w:p>
        </w:tc>
        <w:tc>
          <w:tcPr>
            <w:tcW w:w="940" w:type="dxa"/>
            <w:vAlign w:val="bottom"/>
          </w:tcPr>
          <w:p>
            <w:pPr>
              <w:jc w:val="right"/>
              <w:ind w:right="43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5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jc w:val="center"/>
              <w:ind w:left="553"/>
              <w:spacing w:after="0"/>
              <w:rPr>
                <w:sz w:val="20"/>
                <w:szCs w:val="20"/>
                <w:color w:val="auto"/>
              </w:rPr>
            </w:pPr>
            <w:r>
              <w:rPr>
                <w:rFonts w:ascii="Arial" w:cs="Arial" w:eastAsia="Arial" w:hAnsi="Arial"/>
                <w:sz w:val="17"/>
                <w:szCs w:val="17"/>
                <w:i w:val="1"/>
                <w:iCs w:val="1"/>
                <w:color w:val="auto"/>
                <w:w w:val="98"/>
              </w:rPr>
              <w:t>(In millions)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200.7</w:t>
            </w:r>
          </w:p>
        </w:tc>
        <w:tc>
          <w:tcPr>
            <w:tcW w:w="54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bl>
    <w:p>
      <w:pPr>
        <w:spacing w:after="0" w:line="314" w:lineRule="exact"/>
        <w:rPr>
          <w:sz w:val="20"/>
          <w:szCs w:val="20"/>
          <w:color w:val="auto"/>
        </w:rPr>
      </w:pPr>
    </w:p>
    <w:p>
      <w:pPr>
        <w:ind w:right="220" w:firstLine="391"/>
        <w:spacing w:after="0" w:line="287" w:lineRule="auto"/>
        <w:rPr>
          <w:sz w:val="20"/>
          <w:szCs w:val="20"/>
          <w:color w:val="auto"/>
        </w:rPr>
      </w:pPr>
      <w:r>
        <w:rPr>
          <w:rFonts w:ascii="Arial" w:cs="Arial" w:eastAsia="Arial" w:hAnsi="Arial"/>
          <w:sz w:val="17"/>
          <w:szCs w:val="17"/>
          <w:color w:val="auto"/>
        </w:rPr>
        <w:t>Sales and marketing expenses decreased $2.8 million or 1.4% during the six months ended June 30, 2022, as compared to the six months ended June 30, 2021, primarily due to decreases of $11.0 million in employee-related costs and $2.3 million in</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2" w:name="page53"/>
    <w:bookmarkEnd w:id="5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allocated overhead. These decreases were offset by an increase of $10.2 million related to brand and other marketing campaigns.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General and administrative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4"/>
          </w:tcPr>
          <w:p>
            <w:pPr>
              <w:jc w:val="center"/>
              <w:ind w:right="420"/>
              <w:spacing w:after="0"/>
              <w:rPr>
                <w:sz w:val="20"/>
                <w:szCs w:val="20"/>
                <w:color w:val="auto"/>
              </w:rPr>
            </w:pPr>
            <w:r>
              <w:rPr>
                <w:rFonts w:ascii="Arial" w:cs="Arial" w:eastAsia="Arial" w:hAnsi="Arial"/>
                <w:sz w:val="17"/>
                <w:szCs w:val="17"/>
                <w:b w:val="1"/>
                <w:bCs w:val="1"/>
                <w:color w:val="auto"/>
                <w:w w:val="92"/>
              </w:rPr>
              <w:t>Six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2"/>
        </w:trPr>
        <w:tc>
          <w:tcPr>
            <w:tcW w:w="5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left="553"/>
              <w:spacing w:after="0"/>
              <w:rPr>
                <w:sz w:val="20"/>
                <w:szCs w:val="20"/>
                <w:color w:val="auto"/>
              </w:rPr>
            </w:pPr>
            <w:r>
              <w:rPr>
                <w:rFonts w:ascii="Arial" w:cs="Arial" w:eastAsia="Arial" w:hAnsi="Arial"/>
                <w:sz w:val="17"/>
                <w:szCs w:val="17"/>
                <w:b w:val="1"/>
                <w:bCs w:val="1"/>
                <w:color w:val="auto"/>
                <w:w w:val="91"/>
              </w:rPr>
              <w:t>June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5"/>
        </w:trPr>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3"/>
              <w:spacing w:after="0"/>
              <w:rPr>
                <w:sz w:val="20"/>
                <w:szCs w:val="20"/>
                <w:color w:val="auto"/>
              </w:rPr>
            </w:pPr>
            <w:r>
              <w:rPr>
                <w:rFonts w:ascii="Arial" w:cs="Arial" w:eastAsia="Arial" w:hAnsi="Arial"/>
                <w:sz w:val="17"/>
                <w:szCs w:val="17"/>
                <w:b w:val="1"/>
                <w:bCs w:val="1"/>
                <w:color w:val="auto"/>
              </w:rPr>
              <w:t>2022</w:t>
            </w:r>
          </w:p>
        </w:tc>
        <w:tc>
          <w:tcPr>
            <w:tcW w:w="540" w:type="dxa"/>
            <w:vAlign w:val="bottom"/>
          </w:tcPr>
          <w:p>
            <w:pPr>
              <w:spacing w:after="0"/>
              <w:rPr>
                <w:sz w:val="18"/>
                <w:szCs w:val="18"/>
                <w:color w:val="auto"/>
              </w:rPr>
            </w:pPr>
          </w:p>
        </w:tc>
        <w:tc>
          <w:tcPr>
            <w:tcW w:w="940" w:type="dxa"/>
            <w:vAlign w:val="bottom"/>
          </w:tcPr>
          <w:p>
            <w:pPr>
              <w:jc w:val="right"/>
              <w:ind w:right="43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5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jc w:val="center"/>
              <w:ind w:left="553"/>
              <w:spacing w:after="0"/>
              <w:rPr>
                <w:sz w:val="20"/>
                <w:szCs w:val="20"/>
                <w:color w:val="auto"/>
              </w:rPr>
            </w:pPr>
            <w:r>
              <w:rPr>
                <w:rFonts w:ascii="Arial" w:cs="Arial" w:eastAsia="Arial" w:hAnsi="Arial"/>
                <w:sz w:val="17"/>
                <w:szCs w:val="17"/>
                <w:i w:val="1"/>
                <w:iCs w:val="1"/>
                <w:color w:val="auto"/>
                <w:w w:val="98"/>
              </w:rPr>
              <w:t>(In millions)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108.8</w:t>
            </w:r>
          </w:p>
        </w:tc>
        <w:tc>
          <w:tcPr>
            <w:tcW w:w="54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bl>
    <w:p>
      <w:pPr>
        <w:spacing w:after="0" w:line="200" w:lineRule="exact"/>
        <w:rPr>
          <w:sz w:val="20"/>
          <w:szCs w:val="20"/>
          <w:color w:val="auto"/>
        </w:rPr>
      </w:pPr>
    </w:p>
    <w:p>
      <w:pPr>
        <w:spacing w:after="0" w:line="244" w:lineRule="exact"/>
        <w:rPr>
          <w:sz w:val="20"/>
          <w:szCs w:val="20"/>
          <w:color w:val="auto"/>
        </w:rPr>
      </w:pPr>
    </w:p>
    <w:p>
      <w:pPr>
        <w:ind w:right="20" w:firstLine="391"/>
        <w:spacing w:after="0" w:line="271" w:lineRule="auto"/>
        <w:rPr>
          <w:sz w:val="20"/>
          <w:szCs w:val="20"/>
          <w:color w:val="auto"/>
        </w:rPr>
      </w:pPr>
      <w:r>
        <w:rPr>
          <w:rFonts w:ascii="Arial" w:cs="Arial" w:eastAsia="Arial" w:hAnsi="Arial"/>
          <w:sz w:val="17"/>
          <w:szCs w:val="17"/>
          <w:color w:val="auto"/>
        </w:rPr>
        <w:t>General and administrative expenses decreased $2.6 million or 2.3% during the six months ended June 30, 2022, as compared to the six months ended June 30, 2021, primarily due to decreases of $3.5 million in allocated overhead and $1.2 million in outside services. These decreases were offset by an increase of $2.0 million in employee-related costs.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Impairment related to real estate assets</w:t>
      </w:r>
    </w:p>
    <w:p>
      <w:pPr>
        <w:spacing w:after="0" w:line="275" w:lineRule="exact"/>
        <w:rPr>
          <w:sz w:val="20"/>
          <w:szCs w:val="20"/>
          <w:color w:val="auto"/>
        </w:rPr>
      </w:pPr>
    </w:p>
    <w:p>
      <w:pPr>
        <w:jc w:val="center"/>
        <w:ind w:left="1860"/>
        <w:spacing w:after="0"/>
        <w:rPr>
          <w:sz w:val="20"/>
          <w:szCs w:val="20"/>
          <w:color w:val="auto"/>
        </w:rPr>
      </w:pPr>
      <w:r>
        <w:rPr>
          <w:rFonts w:ascii="Arial" w:cs="Arial" w:eastAsia="Arial" w:hAnsi="Arial"/>
          <w:sz w:val="17"/>
          <w:szCs w:val="17"/>
          <w:b w:val="1"/>
          <w:bCs w:val="1"/>
          <w:color w:val="auto"/>
        </w:rPr>
        <w:t>Six Months Ended</w:t>
      </w:r>
    </w:p>
    <w:p>
      <w:pPr>
        <w:jc w:val="center"/>
        <w:ind w:left="1860"/>
        <w:spacing w:after="0"/>
        <w:rPr>
          <w:sz w:val="20"/>
          <w:szCs w:val="20"/>
          <w:color w:val="auto"/>
        </w:rPr>
      </w:pPr>
      <w:r>
        <w:rPr>
          <w:rFonts w:ascii="Arial" w:cs="Arial" w:eastAsia="Arial" w:hAnsi="Arial"/>
          <w:sz w:val="17"/>
          <w:szCs w:val="17"/>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4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5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i w:val="1"/>
                <w:iCs w:val="1"/>
                <w:color w:val="auto"/>
              </w:rPr>
              <w:t>(In millions)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 related to real estate assets</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8.7</w:t>
            </w:r>
          </w:p>
        </w:tc>
        <w:tc>
          <w:tcPr>
            <w:tcW w:w="54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r>
    </w:tbl>
    <w:p>
      <w:pPr>
        <w:spacing w:after="0" w:line="314" w:lineRule="exact"/>
        <w:rPr>
          <w:sz w:val="20"/>
          <w:szCs w:val="20"/>
          <w:color w:val="auto"/>
        </w:rPr>
      </w:pPr>
    </w:p>
    <w:p>
      <w:pPr>
        <w:ind w:right="240" w:firstLine="391"/>
        <w:spacing w:after="0" w:line="320" w:lineRule="auto"/>
        <w:rPr>
          <w:sz w:val="20"/>
          <w:szCs w:val="20"/>
          <w:color w:val="auto"/>
        </w:rPr>
      </w:pPr>
      <w:r>
        <w:rPr>
          <w:rFonts w:ascii="Arial" w:cs="Arial" w:eastAsia="Arial" w:hAnsi="Arial"/>
          <w:sz w:val="16"/>
          <w:szCs w:val="16"/>
          <w:color w:val="auto"/>
        </w:rPr>
        <w:t>Impairment related to real estate assets was $8.7 million and $17.3 million during the six months ended June 30, 2022 and 2021, respectively, due to the adoption of our Virtual First strategy and the impact of updated assumptions as we continue to monitor the global real estate market.</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Interest expense, net</w:t>
      </w:r>
    </w:p>
    <w:p>
      <w:pPr>
        <w:spacing w:after="0" w:line="248" w:lineRule="exact"/>
        <w:rPr>
          <w:sz w:val="20"/>
          <w:szCs w:val="20"/>
          <w:color w:val="auto"/>
        </w:rPr>
      </w:pPr>
    </w:p>
    <w:p>
      <w:pPr>
        <w:jc w:val="both"/>
        <w:ind w:right="40" w:firstLine="391"/>
        <w:spacing w:after="0" w:line="271" w:lineRule="auto"/>
        <w:rPr>
          <w:sz w:val="20"/>
          <w:szCs w:val="20"/>
          <w:color w:val="auto"/>
        </w:rPr>
      </w:pPr>
      <w:r>
        <w:rPr>
          <w:rFonts w:ascii="Arial" w:cs="Arial" w:eastAsia="Arial" w:hAnsi="Arial"/>
          <w:sz w:val="17"/>
          <w:szCs w:val="17"/>
          <w:color w:val="auto"/>
        </w:rPr>
        <w:t>Interest expense, net decreased $0.2 million during the six months ended June 30, 2022, as compared to the six months ended June 30, 2021, primarily due to higher interest income as a result of interest rate increases offset by an increase in interest expense due to the amortization of debt issuance costs related to our convertible debt offering during the three months ended March 31, 2021.</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Other income, net</w:t>
      </w:r>
    </w:p>
    <w:p>
      <w:pPr>
        <w:spacing w:after="0" w:line="248" w:lineRule="exact"/>
        <w:rPr>
          <w:sz w:val="20"/>
          <w:szCs w:val="20"/>
          <w:color w:val="auto"/>
        </w:rPr>
      </w:pPr>
    </w:p>
    <w:p>
      <w:pPr>
        <w:ind w:right="20" w:firstLine="391"/>
        <w:spacing w:after="0" w:line="296" w:lineRule="auto"/>
        <w:rPr>
          <w:sz w:val="20"/>
          <w:szCs w:val="20"/>
          <w:color w:val="auto"/>
        </w:rPr>
      </w:pPr>
      <w:r>
        <w:rPr>
          <w:rFonts w:ascii="Arial" w:cs="Arial" w:eastAsia="Arial" w:hAnsi="Arial"/>
          <w:sz w:val="16"/>
          <w:szCs w:val="16"/>
          <w:color w:val="auto"/>
        </w:rPr>
        <w:t>Other income, net decreased $10.2 million during the six months ended June 30, 2022, as compared to the six months ended June 30, 2021, primarily due to $6.4 million in losses related to the termination of a datacenter lease, a $6.4 million decrease in sales of retired infrastructure assets and $1.7 million in foreign currency transaction losses. These decreases were offset by an increase of $5.0 million in gains related to equity investments.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Provision for income taxes</w:t>
      </w:r>
    </w:p>
    <w:p>
      <w:pPr>
        <w:spacing w:after="0" w:line="248" w:lineRule="exact"/>
        <w:rPr>
          <w:sz w:val="20"/>
          <w:szCs w:val="20"/>
          <w:color w:val="auto"/>
        </w:rPr>
      </w:pPr>
    </w:p>
    <w:p>
      <w:pPr>
        <w:ind w:firstLine="391"/>
        <w:spacing w:after="0" w:line="323" w:lineRule="auto"/>
        <w:rPr>
          <w:sz w:val="20"/>
          <w:szCs w:val="20"/>
          <w:color w:val="auto"/>
        </w:rPr>
      </w:pPr>
      <w:r>
        <w:rPr>
          <w:rFonts w:ascii="Arial" w:cs="Arial" w:eastAsia="Arial" w:hAnsi="Arial"/>
          <w:sz w:val="15"/>
          <w:szCs w:val="15"/>
          <w:color w:val="auto"/>
        </w:rPr>
        <w:t>Provision for income taxes increased $29.4 million during the six months ended June 30, 2022, as compared to the six months ended June 30, 2021, primarily due to the impact of capitalization of research and experimental expenditures, tax expense for our Irish subsidiary, which no longer maintains a valuation allowance on deferred tax assets, and a $1.9 million benefit recorded during the six months ended June 30, 2021 as a result of the DocSend acquisition.</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4" w:lineRule="exact"/>
        <w:rPr>
          <w:sz w:val="20"/>
          <w:szCs w:val="20"/>
          <w:color w:val="auto"/>
        </w:rPr>
      </w:pPr>
    </w:p>
    <w:p>
      <w:pPr>
        <w:ind w:right="260" w:firstLine="391"/>
        <w:spacing w:after="0" w:line="263" w:lineRule="auto"/>
        <w:rPr>
          <w:sz w:val="20"/>
          <w:szCs w:val="20"/>
          <w:color w:val="auto"/>
        </w:rPr>
      </w:pPr>
      <w:r>
        <w:rPr>
          <w:rFonts w:ascii="Arial" w:cs="Arial" w:eastAsia="Arial" w:hAnsi="Arial"/>
          <w:sz w:val="17"/>
          <w:szCs w:val="17"/>
          <w:color w:val="auto"/>
        </w:rPr>
        <w:t>As of June 30, 2022, we had cash and cash equivalents of $352.1 million and short-term investments of $1,094.2 million, which were held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As of June 30, 2022, we had $117.6 million of our cash and cash equivalents held by our foreign subsidiaries. We do not expect to incur material taxes in the event we repatriate any of these amounts.</w:t>
      </w:r>
    </w:p>
    <w:p>
      <w:pPr>
        <w:spacing w:after="0" w:line="115" w:lineRule="exact"/>
        <w:rPr>
          <w:sz w:val="20"/>
          <w:szCs w:val="20"/>
          <w:color w:val="auto"/>
        </w:rPr>
      </w:pPr>
    </w:p>
    <w:p>
      <w:pPr>
        <w:ind w:right="20" w:firstLine="391"/>
        <w:spacing w:after="0" w:line="312" w:lineRule="auto"/>
        <w:rPr>
          <w:sz w:val="20"/>
          <w:szCs w:val="20"/>
          <w:color w:val="auto"/>
        </w:rPr>
      </w:pPr>
      <w:r>
        <w:rPr>
          <w:rFonts w:ascii="Arial" w:cs="Arial" w:eastAsia="Arial" w:hAnsi="Arial"/>
          <w:sz w:val="15"/>
          <w:szCs w:val="15"/>
          <w:color w:val="auto"/>
        </w:rPr>
        <w:t>We have historically financed our operations primarily through cash generated from our operations, the issuance of the Notes, equity issuances,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68" w:lineRule="exact"/>
        <w:rPr>
          <w:sz w:val="20"/>
          <w:szCs w:val="20"/>
          <w:color w:val="auto"/>
        </w:rPr>
      </w:pPr>
    </w:p>
    <w:p>
      <w:pPr>
        <w:ind w:firstLine="391"/>
        <w:spacing w:after="0" w:line="262" w:lineRule="auto"/>
        <w:rPr>
          <w:sz w:val="20"/>
          <w:szCs w:val="20"/>
          <w:color w:val="auto"/>
        </w:rPr>
      </w:pPr>
      <w:r>
        <w:rPr>
          <w:rFonts w:ascii="Arial" w:cs="Arial" w:eastAsia="Arial" w:hAnsi="Arial"/>
          <w:sz w:val="17"/>
          <w:szCs w:val="17"/>
          <w:color w:val="auto"/>
        </w:rPr>
        <w:t>In February 2021, we issued approximately $1.4 billion in aggregate principal amount of convertible senior notes, comprised of $695.8 million in aggregate principal amount of 2026 Notes and $693.3 million in aggregate principal amount of 2028 Notes. The net proceeds from the issuance of the 2026 Notes and 2028 Notes were $684.8 million, net of debt issuance costs, and $682.3 million, net of debt issuance costs, respectively. The 2026 Notes mature on March 1, 2026 and the 2028 Notes mature on March 1, 2028. The Notes of each series will not bear regular interest and the principal will not accrete. The Notes of each series may bear special interest as the remedy relating to the Company’s failure to comply with certain of its reporting obligations. These Notes can be converted or repurchased prior to maturity if certain conditions are met.</w:t>
      </w:r>
    </w:p>
    <w:p>
      <w:pPr>
        <w:spacing w:after="0" w:line="115" w:lineRule="exact"/>
        <w:rPr>
          <w:sz w:val="20"/>
          <w:szCs w:val="20"/>
          <w:color w:val="auto"/>
        </w:rPr>
      </w:pPr>
    </w:p>
    <w:p>
      <w:pPr>
        <w:ind w:right="20" w:firstLine="391"/>
        <w:spacing w:after="0" w:line="276" w:lineRule="auto"/>
        <w:rPr>
          <w:sz w:val="20"/>
          <w:szCs w:val="20"/>
          <w:color w:val="auto"/>
        </w:rPr>
      </w:pPr>
      <w:r>
        <w:rPr>
          <w:rFonts w:ascii="Arial" w:cs="Arial" w:eastAsia="Arial" w:hAnsi="Arial"/>
          <w:sz w:val="16"/>
          <w:szCs w:val="16"/>
          <w:color w:val="auto"/>
        </w:rPr>
        <w:t>Our principal uses of cash in recent periods have been funding our operations, repurchases of our Class A common stock, purchases of short-term investments, the satisfaction of tax withholding obligations in connection with the settlement of restricted stock units and awards, making principal payments on our finance lease obligations, and capital expenditures. In February 2020, our Board of Directors approved a stock repurchase program for the repurchase of up to $600 million of the outstanding shares of our Class A common stock. In February 2021, our Board of Directors authorized the repurchase of up to an additional $1 billion of the outstanding shares of our Class A common stock. In February 2022, our Board of Directors authorized the repurchase of up to an additional $1.2 billion of the outstanding shares of our Class A common stock. Share repurchases will be made from time to time in private transactions or open market purchases as permitted by securities laws and other legal requirements and will be subject to a review of the circumstances in place at that time, including prevailing market prices. The program does not obligate us to repurchase any specific number of shares and has no specified time limit; it may be discontinued at any time. During the three and six months ended June 30, 2022, we repurchased and subsequently retired 8.9 million and 19.9 million shares, respectively, of our Class A common stock for an aggregate amount of $189.8 million and $449.7 million, respectively. The pace of our share repurchases may vary due to various circumstances, including market conditions and our stock price.</w:t>
      </w:r>
    </w:p>
    <w:p>
      <w:pPr>
        <w:spacing w:after="0" w:line="202" w:lineRule="exact"/>
        <w:rPr>
          <w:sz w:val="20"/>
          <w:szCs w:val="20"/>
          <w:color w:val="auto"/>
        </w:rPr>
      </w:pPr>
    </w:p>
    <w:p>
      <w:pPr>
        <w:ind w:right="40" w:firstLine="391"/>
        <w:spacing w:after="0" w:line="260" w:lineRule="auto"/>
        <w:rPr>
          <w:sz w:val="20"/>
          <w:szCs w:val="20"/>
          <w:color w:val="auto"/>
        </w:rPr>
      </w:pPr>
      <w:r>
        <w:rPr>
          <w:rFonts w:ascii="Arial" w:cs="Arial" w:eastAsia="Arial" w:hAnsi="Arial"/>
          <w:sz w:val="17"/>
          <w:szCs w:val="17"/>
          <w:color w:val="auto"/>
        </w:rPr>
        <w:t>In April 2017, we entered into a $600.0 million credit facility with a syndicate of financial institutions, which we subsequently amended in February 2018 and February 2021. Pursuant to the terms of the revolving credit facility, we may issue letters of credit under the revolving credit facility, which reduce the total amount available for borrowing under such facility.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In February 2021, we amended our revolving credit facility to decrease our borrowing capacity from $725.0 million to $500.0 million. We may from time to time request increases in the borrowing capacity under the revolving credit facility of up to $250.0 million, provided no event of default has occurred or is continuing or would result from such increase. The revolving credit facility terminates on February 23, 2026.</w:t>
      </w:r>
    </w:p>
    <w:p>
      <w:pPr>
        <w:spacing w:after="0" w:line="118" w:lineRule="exact"/>
        <w:rPr>
          <w:sz w:val="20"/>
          <w:szCs w:val="20"/>
          <w:color w:val="auto"/>
        </w:rPr>
      </w:pPr>
    </w:p>
    <w:p>
      <w:pPr>
        <w:ind w:right="400" w:firstLine="391"/>
        <w:spacing w:after="0" w:line="298" w:lineRule="auto"/>
        <w:rPr>
          <w:sz w:val="20"/>
          <w:szCs w:val="20"/>
          <w:color w:val="auto"/>
        </w:rPr>
      </w:pPr>
      <w:r>
        <w:rPr>
          <w:rFonts w:ascii="Arial" w:cs="Arial" w:eastAsia="Arial" w:hAnsi="Arial"/>
          <w:sz w:val="15"/>
          <w:szCs w:val="15"/>
          <w:color w:val="auto"/>
        </w:rPr>
        <w:t>Interest on borrowings under the revolving credit facility accrues at a variable rate tied to LIBOR or an alternative base rate, at our election. Interest is payable quarterly in arrears. Pursuant to the terms of the revolving credit facility, we are required to pay an annual commitment fee that accrues at a rate of</w:t>
      </w:r>
    </w:p>
    <w:p>
      <w:pPr>
        <w:spacing w:after="0" w:line="1" w:lineRule="exact"/>
        <w:rPr>
          <w:sz w:val="20"/>
          <w:szCs w:val="20"/>
          <w:color w:val="auto"/>
        </w:rPr>
      </w:pPr>
    </w:p>
    <w:p>
      <w:pPr>
        <w:ind w:right="40"/>
        <w:spacing w:after="0" w:line="315" w:lineRule="auto"/>
        <w:rPr>
          <w:sz w:val="20"/>
          <w:szCs w:val="20"/>
          <w:color w:val="auto"/>
        </w:rPr>
      </w:pPr>
      <w:r>
        <w:rPr>
          <w:rFonts w:ascii="Arial" w:cs="Arial" w:eastAsia="Arial" w:hAnsi="Arial"/>
          <w:sz w:val="15"/>
          <w:szCs w:val="15"/>
          <w:color w:val="auto"/>
        </w:rPr>
        <w:t>0.20% per annum on the unused portion of the borrowing commitments under the revolving credit facility. In addition, we are required to pay a fee in connection with letters of credit issued under the revolving credit facility that accrues at a rate of 1.375% per annum on the amount of such letters of credit outstanding. There is an additional fronting fee of 0.125% per annum multiplied by the average aggregate daily maximum amount available under all letters of credit.</w:t>
      </w:r>
    </w:p>
    <w:p>
      <w:pPr>
        <w:spacing w:after="0" w:line="65" w:lineRule="exact"/>
        <w:rPr>
          <w:sz w:val="20"/>
          <w:szCs w:val="20"/>
          <w:color w:val="auto"/>
        </w:rPr>
      </w:pPr>
    </w:p>
    <w:p>
      <w:pPr>
        <w:ind w:right="220" w:firstLine="391"/>
        <w:spacing w:after="0" w:line="287"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our ability to incur indebtedness, grant liens, make distributions to our holders or our subsidiaries’ equity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interests, make investments, or engage in transactions with our affiliates. In addition, the revolving credit facility contains financial covenants, including a consolidated leverage ratio incurrence covenant and a minimum liquidity balance. We were in compliance with all covenants under the revolving credit facility as of June 30, 2022.</w:t>
      </w:r>
    </w:p>
    <w:p>
      <w:pPr>
        <w:spacing w:after="0" w:line="107" w:lineRule="exact"/>
        <w:rPr>
          <w:sz w:val="20"/>
          <w:szCs w:val="20"/>
          <w:color w:val="auto"/>
        </w:rPr>
      </w:pPr>
    </w:p>
    <w:p>
      <w:pPr>
        <w:ind w:right="160" w:firstLine="391"/>
        <w:spacing w:after="0" w:line="320" w:lineRule="auto"/>
        <w:rPr>
          <w:sz w:val="20"/>
          <w:szCs w:val="20"/>
          <w:color w:val="auto"/>
        </w:rPr>
      </w:pPr>
      <w:r>
        <w:rPr>
          <w:rFonts w:ascii="Arial" w:cs="Arial" w:eastAsia="Arial" w:hAnsi="Arial"/>
          <w:sz w:val="16"/>
          <w:szCs w:val="16"/>
          <w:color w:val="auto"/>
        </w:rPr>
        <w:t>As of June 30, 2022, we had no amounts outstanding under the revolving credit facility and an aggregate of $40.9 million in letters of credit issued under the revolving credit facility. Our total available borrowing capacity under the revolving credit facility was $459.1 million as of June 30, 2022.</w:t>
      </w:r>
    </w:p>
    <w:p>
      <w:pPr>
        <w:spacing w:after="0" w:line="44" w:lineRule="exact"/>
        <w:rPr>
          <w:sz w:val="20"/>
          <w:szCs w:val="20"/>
          <w:color w:val="auto"/>
        </w:rPr>
      </w:pPr>
    </w:p>
    <w:p>
      <w:pPr>
        <w:ind w:firstLine="391"/>
        <w:spacing w:after="0" w:line="247" w:lineRule="auto"/>
        <w:rPr>
          <w:sz w:val="20"/>
          <w:szCs w:val="20"/>
          <w:color w:val="auto"/>
        </w:rPr>
      </w:pPr>
      <w:r>
        <w:rPr>
          <w:rFonts w:ascii="Arial" w:cs="Arial" w:eastAsia="Arial" w:hAnsi="Arial"/>
          <w:sz w:val="16"/>
          <w:szCs w:val="16"/>
          <w:color w:val="auto"/>
        </w:rPr>
        <w:t>We believe our existing cash and cash equivalents, together with our short-term investments, cash provided by operations and amounts available under the revolving credit facility, will be sufficient to meet our needs for the foreseeable future. Our principal commitments consist of obligations under the Notes, operating leases for office space and datacenter operations, and finance leases for datacenter and office equipment. For additional information on the Notes, operating leases for office space and datacenter operations, and finance leases for datacenter and office equipment, see Note 8 "Debt" and Note 9 "Leases" to our condensed consolidated financial statements included elsewhere in this Quarterly Report on Form 10-Q for further information. There have been no material changes in our contractual obligations and commitments, as disclosed in our Annual Report on Form 10-K for the year ended December 31, 2021.</w:t>
      </w:r>
    </w:p>
    <w:p>
      <w:pPr>
        <w:spacing w:after="0" w:line="194" w:lineRule="exact"/>
        <w:rPr>
          <w:sz w:val="20"/>
          <w:szCs w:val="20"/>
          <w:color w:val="auto"/>
        </w:rPr>
      </w:pPr>
    </w:p>
    <w:p>
      <w:pPr>
        <w:ind w:right="40" w:firstLine="391"/>
        <w:spacing w:after="0" w:line="229" w:lineRule="auto"/>
        <w:rPr>
          <w:sz w:val="20"/>
          <w:szCs w:val="20"/>
          <w:color w:val="auto"/>
        </w:rPr>
      </w:pPr>
      <w:r>
        <w:rPr>
          <w:rFonts w:ascii="Arial" w:cs="Arial" w:eastAsia="Arial" w:hAnsi="Arial"/>
          <w:sz w:val="17"/>
          <w:szCs w:val="17"/>
          <w:color w:val="auto"/>
        </w:rPr>
        <w:t>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collaboration spaces, our ability to sublease space at office locations where we have unused spaces, the satisfaction of tax withholding obligations for the release of restricted stock units and awards, the expansion of sales and marketing and international operation activities, the introduction of new product capabilities and enhancement of our platform, the continuing market acceptance of our platform, and the volume and timing of our share repurchases. We have and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could be materially and adversely affected.</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cash flow activities were as follows for the periods presented:</w:t>
      </w:r>
    </w:p>
    <w:p>
      <w:pPr>
        <w:spacing w:after="0" w:line="184" w:lineRule="exact"/>
        <w:rPr>
          <w:sz w:val="20"/>
          <w:szCs w:val="20"/>
          <w:color w:val="auto"/>
        </w:rPr>
      </w:pPr>
    </w:p>
    <w:p>
      <w:pPr>
        <w:jc w:val="center"/>
        <w:ind w:left="7400"/>
        <w:spacing w:after="0"/>
        <w:rPr>
          <w:sz w:val="20"/>
          <w:szCs w:val="20"/>
          <w:color w:val="auto"/>
        </w:rPr>
      </w:pPr>
      <w:r>
        <w:rPr>
          <w:rFonts w:ascii="Arial" w:cs="Arial" w:eastAsia="Arial" w:hAnsi="Arial"/>
          <w:sz w:val="17"/>
          <w:szCs w:val="17"/>
          <w:b w:val="1"/>
          <w:bCs w:val="1"/>
          <w:color w:val="auto"/>
        </w:rPr>
        <w:t>Six Months Ended</w:t>
      </w:r>
    </w:p>
    <w:p>
      <w:pPr>
        <w:jc w:val="center"/>
        <w:ind w:left="7400"/>
        <w:spacing w:after="0"/>
        <w:rPr>
          <w:sz w:val="20"/>
          <w:szCs w:val="20"/>
          <w:color w:val="auto"/>
        </w:rPr>
      </w:pPr>
      <w:r>
        <w:rPr>
          <w:rFonts w:ascii="Arial" w:cs="Arial" w:eastAsia="Arial" w:hAnsi="Arial"/>
          <w:sz w:val="17"/>
          <w:szCs w:val="17"/>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2022</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r>
      <w:tr>
        <w:trPr>
          <w:trHeight w:val="215"/>
        </w:trPr>
        <w:tc>
          <w:tcPr>
            <w:tcW w:w="7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gridSpan w:val="3"/>
          </w:tcPr>
          <w:p>
            <w:pPr>
              <w:jc w:val="right"/>
              <w:ind w:right="73"/>
              <w:spacing w:after="0"/>
              <w:rPr>
                <w:sz w:val="20"/>
                <w:szCs w:val="20"/>
                <w:color w:val="auto"/>
              </w:rPr>
            </w:pPr>
            <w:r>
              <w:rPr>
                <w:rFonts w:ascii="Arial" w:cs="Arial" w:eastAsia="Arial" w:hAnsi="Arial"/>
                <w:sz w:val="17"/>
                <w:szCs w:val="17"/>
                <w:i w:val="1"/>
                <w:iCs w:val="1"/>
                <w:color w:val="auto"/>
              </w:rPr>
              <w:t>(In millions)</w:t>
            </w:r>
          </w:p>
        </w:tc>
        <w:tc>
          <w:tcPr>
            <w:tcW w:w="1220" w:type="dxa"/>
            <w:vAlign w:val="bottom"/>
          </w:tcPr>
          <w:p>
            <w:pPr>
              <w:spacing w:after="0"/>
              <w:rPr>
                <w:sz w:val="18"/>
                <w:szCs w:val="18"/>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140" w:type="dxa"/>
            <w:vAlign w:val="bottom"/>
            <w:shd w:val="clear" w:color="auto" w:fill="CCEEFF"/>
          </w:tcPr>
          <w:p>
            <w:pPr>
              <w:jc w:val="right"/>
              <w:ind w:right="95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335.6</w:t>
            </w:r>
          </w:p>
        </w:tc>
      </w:tr>
      <w:tr>
        <w:trPr>
          <w:trHeight w:val="222"/>
        </w:trPr>
        <w:tc>
          <w:tcPr>
            <w:tcW w:w="7520" w:type="dxa"/>
            <w:vAlign w:val="bottom"/>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49.1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(377.2)</w:t>
            </w:r>
          </w:p>
        </w:tc>
      </w:tr>
      <w:tr>
        <w:trPr>
          <w:trHeight w:val="222"/>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612.4</w:t>
            </w:r>
          </w:p>
        </w:tc>
      </w:tr>
      <w:tr>
        <w:trPr>
          <w:trHeight w:val="222"/>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r>
      <w:tr>
        <w:trPr>
          <w:trHeight w:val="24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570.4</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44" w:lineRule="exact"/>
        <w:rPr>
          <w:sz w:val="20"/>
          <w:szCs w:val="20"/>
          <w:color w:val="auto"/>
        </w:rPr>
      </w:pPr>
    </w:p>
    <w:p>
      <w:pPr>
        <w:ind w:right="40" w:firstLine="391"/>
        <w:spacing w:after="0" w:line="266" w:lineRule="auto"/>
        <w:rPr>
          <w:sz w:val="20"/>
          <w:szCs w:val="20"/>
          <w:color w:val="auto"/>
        </w:rPr>
      </w:pPr>
      <w:r>
        <w:rPr>
          <w:rFonts w:ascii="Arial" w:cs="Arial" w:eastAsia="Arial" w:hAnsi="Arial"/>
          <w:sz w:val="17"/>
          <w:szCs w:val="17"/>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depreciation and amortization expenses, stock-based compensation, and impairment related to real estate assets, as well as the effect of changes in operating assets and liabilities.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 the six months ended June 30, 2022, net cash provided by operating activities was $351.3 million, which primarily consisted of our net income of</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$141.7 million, adjusted for stock-based compensation expense of $157.3 million, depreciation and amortization expenses of $78.6 million, impairment related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to real estate assets of $8.7 million, and net cash outflow of $54.1 million from operating assets and liabilities. The outflow from operating assets and liabilities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was primarily due to the payment of our corporate bonus and key employee holdback payments related to acquisitions, offset by an increase in deferred revenue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from increased subscription sales, as a majority of our paying users are invoiced in advance.</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44" w:lineRule="exact"/>
        <w:rPr>
          <w:sz w:val="20"/>
          <w:szCs w:val="20"/>
          <w:color w:val="auto"/>
        </w:rPr>
      </w:pPr>
    </w:p>
    <w:p>
      <w:pPr>
        <w:ind w:right="400" w:firstLine="391"/>
        <w:spacing w:after="0" w:line="287" w:lineRule="auto"/>
        <w:rPr>
          <w:sz w:val="20"/>
          <w:szCs w:val="20"/>
          <w:color w:val="auto"/>
        </w:rPr>
      </w:pPr>
      <w:r>
        <w:rPr>
          <w:rFonts w:ascii="Arial" w:cs="Arial" w:eastAsia="Arial" w:hAnsi="Arial"/>
          <w:sz w:val="17"/>
          <w:szCs w:val="17"/>
          <w:color w:val="auto"/>
        </w:rPr>
        <w:t>Net cash provided by (used in) investing activities is primarily impacted by net investment activity, which includes sales, maturities, and purchases of short-term investments, purchases of property and equipment to make improvements or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5" w:name="page56"/>
    <w:bookmarkEnd w:id="5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modifications to existing and new office spaces, and for purchasing infrastructure equipment in co-location facilities that we directly lease and operate.</w:t>
      </w:r>
    </w:p>
    <w:p>
      <w:pPr>
        <w:spacing w:after="0" w:line="168" w:lineRule="exact"/>
        <w:rPr>
          <w:sz w:val="20"/>
          <w:szCs w:val="20"/>
          <w:color w:val="auto"/>
        </w:rPr>
      </w:pPr>
    </w:p>
    <w:p>
      <w:pPr>
        <w:ind w:right="360" w:firstLine="391"/>
        <w:spacing w:after="0" w:line="271" w:lineRule="auto"/>
        <w:rPr>
          <w:sz w:val="20"/>
          <w:szCs w:val="20"/>
          <w:color w:val="auto"/>
        </w:rPr>
      </w:pPr>
      <w:r>
        <w:rPr>
          <w:rFonts w:ascii="Arial" w:cs="Arial" w:eastAsia="Arial" w:hAnsi="Arial"/>
          <w:sz w:val="17"/>
          <w:szCs w:val="17"/>
          <w:color w:val="auto"/>
        </w:rPr>
        <w:t>For the six months ended June 30, 2022, net cash provided by investing activities was $49.1 million, which primarily related to $54.3 million in net investment activity inflows, driven by the sales and maturities of short-term investments, net of purchases. The increase was partially offset by cash paid for capital expenditures of $14.7 million related to our office build-outs and work required to prepare spaces for sublease.</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57" w:lineRule="exact"/>
        <w:rPr>
          <w:sz w:val="20"/>
          <w:szCs w:val="20"/>
          <w:color w:val="auto"/>
        </w:rPr>
      </w:pPr>
    </w:p>
    <w:p>
      <w:pPr>
        <w:ind w:firstLine="391"/>
        <w:spacing w:after="0" w:line="287" w:lineRule="auto"/>
        <w:rPr>
          <w:sz w:val="20"/>
          <w:szCs w:val="20"/>
          <w:color w:val="auto"/>
        </w:rPr>
      </w:pPr>
      <w:r>
        <w:rPr>
          <w:rFonts w:ascii="Arial" w:cs="Arial" w:eastAsia="Arial" w:hAnsi="Arial"/>
          <w:sz w:val="17"/>
          <w:szCs w:val="17"/>
          <w:color w:val="auto"/>
        </w:rPr>
        <w:t>Net cash (used in) provided by financing activities is primarily impacted by cash used for repurchases of common stock, tax withholding obligations for the release of RSUs and RSAs, and principal payments on finance lease obligations for our infrastructure equipment.</w:t>
      </w:r>
    </w:p>
    <w:p>
      <w:pPr>
        <w:spacing w:after="0" w:line="93" w:lineRule="exact"/>
        <w:rPr>
          <w:sz w:val="20"/>
          <w:szCs w:val="20"/>
          <w:color w:val="auto"/>
        </w:rPr>
      </w:pPr>
    </w:p>
    <w:p>
      <w:pPr>
        <w:ind w:right="140" w:firstLine="391"/>
        <w:spacing w:after="0" w:line="271" w:lineRule="auto"/>
        <w:rPr>
          <w:sz w:val="20"/>
          <w:szCs w:val="20"/>
          <w:color w:val="auto"/>
        </w:rPr>
      </w:pPr>
      <w:r>
        <w:rPr>
          <w:rFonts w:ascii="Arial" w:cs="Arial" w:eastAsia="Arial" w:hAnsi="Arial"/>
          <w:sz w:val="17"/>
          <w:szCs w:val="17"/>
          <w:color w:val="auto"/>
        </w:rPr>
        <w:t>For the six months ended June 30, 2022, net cash used in financing activities was $575.2 million, which primarily consisted of $449.7 million for the repurchase of our common stock, $61.4 million for the satisfaction of tax withholding obligations for the release of restricted stock units and awards, and $64.4 million in principal payments on finance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54" w:lineRule="exact"/>
        <w:rPr>
          <w:sz w:val="20"/>
          <w:szCs w:val="20"/>
          <w:color w:val="auto"/>
        </w:rPr>
      </w:pPr>
    </w:p>
    <w:p>
      <w:pPr>
        <w:ind w:firstLine="313"/>
        <w:spacing w:after="0" w:line="320" w:lineRule="auto"/>
        <w:rPr>
          <w:sz w:val="20"/>
          <w:szCs w:val="20"/>
          <w:color w:val="auto"/>
        </w:rPr>
      </w:pPr>
      <w:r>
        <w:rPr>
          <w:rFonts w:ascii="Arial" w:cs="Arial" w:eastAsia="Arial" w:hAnsi="Arial"/>
          <w:sz w:val="16"/>
          <w:szCs w:val="16"/>
          <w:color w:val="auto"/>
        </w:rPr>
        <w:t>See Part II, Item 7, “Critical Accounting Estimates” in our Annual Report on Form 10-K for the year ended December 31, 2021. There have been no material changes to our critical accounting policies and estimates since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54" w:lineRule="exact"/>
        <w:rPr>
          <w:sz w:val="20"/>
          <w:szCs w:val="20"/>
          <w:color w:val="auto"/>
        </w:rPr>
      </w:pPr>
    </w:p>
    <w:p>
      <w:pPr>
        <w:ind w:firstLine="391"/>
        <w:spacing w:after="0" w:line="357" w:lineRule="auto"/>
        <w:rPr>
          <w:sz w:val="20"/>
          <w:szCs w:val="20"/>
          <w:color w:val="auto"/>
        </w:rPr>
      </w:pPr>
      <w:r>
        <w:rPr>
          <w:rFonts w:ascii="Arial" w:cs="Arial" w:eastAsia="Arial" w:hAnsi="Arial"/>
          <w:sz w:val="15"/>
          <w:szCs w:val="15"/>
          <w:color w:val="auto"/>
        </w:rPr>
        <w:t>See Note 1 “Description of the Business and Summary of Significant Accounting Policies” to our condensed consolidated financial statements included elsewhere in this Quarterly Report on Form 10-Q for recently adopted accounting pronouncements as of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58" w:name="page59"/>
    <w:bookmarkEnd w:id="5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QUANTITATIVE AND QUALITATIVE DISCLOSURES ABOUT MARKET RISK</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57" w:lineRule="exact"/>
        <w:rPr>
          <w:sz w:val="20"/>
          <w:szCs w:val="20"/>
          <w:color w:val="auto"/>
        </w:rPr>
      </w:pPr>
    </w:p>
    <w:p>
      <w:pPr>
        <w:ind w:firstLine="391"/>
        <w:spacing w:after="0" w:line="281" w:lineRule="auto"/>
        <w:rPr>
          <w:sz w:val="20"/>
          <w:szCs w:val="20"/>
          <w:color w:val="auto"/>
        </w:rPr>
      </w:pPr>
      <w:r>
        <w:rPr>
          <w:rFonts w:ascii="Arial" w:cs="Arial" w:eastAsia="Arial" w:hAnsi="Arial"/>
          <w:sz w:val="16"/>
          <w:szCs w:val="16"/>
          <w:color w:val="auto"/>
        </w:rPr>
        <w:t>We had cash and cash equivalents of $352.1 million and short-term investments of $1,094.2 million as of June 30, 2022.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Our cash equivalents and our portfolio of debt securities are subject to market risk due to changes in interest rates.</w:t>
      </w:r>
    </w:p>
    <w:p>
      <w:pPr>
        <w:spacing w:after="0" w:line="90" w:lineRule="exact"/>
        <w:rPr>
          <w:sz w:val="20"/>
          <w:szCs w:val="20"/>
          <w:color w:val="auto"/>
        </w:rPr>
      </w:pPr>
    </w:p>
    <w:p>
      <w:pPr>
        <w:ind w:right="40" w:firstLine="391"/>
        <w:spacing w:after="0" w:line="271" w:lineRule="auto"/>
        <w:rPr>
          <w:sz w:val="20"/>
          <w:szCs w:val="20"/>
          <w:color w:val="auto"/>
        </w:rPr>
      </w:pPr>
      <w:r>
        <w:rPr>
          <w:rFonts w:ascii="Arial" w:cs="Arial" w:eastAsia="Arial" w:hAnsi="Arial"/>
          <w:sz w:val="17"/>
          <w:szCs w:val="17"/>
          <w:color w:val="auto"/>
        </w:rPr>
        <w:t>Any borrowings under the revolving credit facility bear interest at a variable rate tied to LIBOR or an alternative base rate. As of June 30, 2022, we had no amounts outstanding under the revolving credit facility. We do not have any other long-term debt or financial liabilities with floating interest rates that would subject us to interest rate fluctuations.</w:t>
      </w:r>
    </w:p>
    <w:p>
      <w:pPr>
        <w:spacing w:after="0" w:line="107" w:lineRule="exact"/>
        <w:rPr>
          <w:sz w:val="20"/>
          <w:szCs w:val="20"/>
          <w:color w:val="auto"/>
        </w:rPr>
      </w:pPr>
    </w:p>
    <w:p>
      <w:pPr>
        <w:ind w:right="100" w:firstLine="391"/>
        <w:spacing w:after="0" w:line="320" w:lineRule="auto"/>
        <w:rPr>
          <w:sz w:val="20"/>
          <w:szCs w:val="20"/>
          <w:color w:val="auto"/>
        </w:rPr>
      </w:pPr>
      <w:r>
        <w:rPr>
          <w:rFonts w:ascii="Arial" w:cs="Arial" w:eastAsia="Arial" w:hAnsi="Arial"/>
          <w:sz w:val="16"/>
          <w:szCs w:val="16"/>
          <w:color w:val="auto"/>
        </w:rPr>
        <w:t>As of June 30, 2022, a hypothetical increase in interest rates by 100 basis points would have resulted in a $17 million reduction in the market value of our investment portfolio. This estimate is based on a sensitivity model that measures market value changes when changes in interest rates occur.</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44" w:lineRule="exact"/>
        <w:rPr>
          <w:sz w:val="20"/>
          <w:szCs w:val="20"/>
          <w:color w:val="auto"/>
        </w:rPr>
      </w:pPr>
    </w:p>
    <w:p>
      <w:pPr>
        <w:ind w:right="40" w:firstLine="391"/>
        <w:spacing w:after="0" w:line="287"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relative to U.S. dollars, our reporting currency.</w:t>
      </w:r>
    </w:p>
    <w:p>
      <w:pPr>
        <w:spacing w:after="0" w:line="93" w:lineRule="exact"/>
        <w:rPr>
          <w:sz w:val="20"/>
          <w:szCs w:val="20"/>
          <w:color w:val="auto"/>
        </w:rPr>
      </w:pPr>
    </w:p>
    <w:p>
      <w:pPr>
        <w:ind w:right="120" w:firstLine="391"/>
        <w:spacing w:after="0" w:line="287" w:lineRule="auto"/>
        <w:rPr>
          <w:sz w:val="20"/>
          <w:szCs w:val="20"/>
          <w:color w:val="auto"/>
        </w:rPr>
      </w:pPr>
      <w:r>
        <w:rPr>
          <w:rFonts w:ascii="Arial" w:cs="Arial" w:eastAsia="Arial" w:hAnsi="Arial"/>
          <w:sz w:val="17"/>
          <w:szCs w:val="17"/>
          <w:color w:val="auto"/>
        </w:rPr>
        <w:t>Most of our revenue is generated in U.S. dollars, with the remainder generated in Euros, British pounds sterling, Australian dollars, Canadian dollars, and Japanese yen.</w:t>
      </w:r>
    </w:p>
    <w:p>
      <w:pPr>
        <w:spacing w:after="0" w:line="93" w:lineRule="exact"/>
        <w:rPr>
          <w:sz w:val="20"/>
          <w:szCs w:val="20"/>
          <w:color w:val="auto"/>
        </w:rPr>
      </w:pPr>
    </w:p>
    <w:p>
      <w:pPr>
        <w:ind w:right="20" w:firstLine="391"/>
        <w:spacing w:after="0" w:line="266" w:lineRule="auto"/>
        <w:rPr>
          <w:sz w:val="20"/>
          <w:szCs w:val="20"/>
          <w:color w:val="auto"/>
        </w:rPr>
      </w:pPr>
      <w:r>
        <w:rPr>
          <w:rFonts w:ascii="Arial" w:cs="Arial" w:eastAsia="Arial" w:hAnsi="Arial"/>
          <w:sz w:val="17"/>
          <w:szCs w:val="17"/>
          <w:color w:val="auto"/>
        </w:rPr>
        <w:t>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w:t>
      </w:r>
    </w:p>
    <w:p>
      <w:pPr>
        <w:spacing w:after="0" w:line="98" w:lineRule="exact"/>
        <w:rPr>
          <w:sz w:val="20"/>
          <w:szCs w:val="20"/>
          <w:color w:val="auto"/>
        </w:rPr>
      </w:pPr>
    </w:p>
    <w:p>
      <w:pPr>
        <w:ind w:right="40" w:firstLine="391"/>
        <w:spacing w:after="0" w:line="299" w:lineRule="auto"/>
        <w:rPr>
          <w:sz w:val="20"/>
          <w:szCs w:val="20"/>
          <w:color w:val="auto"/>
        </w:rPr>
      </w:pPr>
      <w:r>
        <w:rPr>
          <w:rFonts w:ascii="Arial" w:cs="Arial" w:eastAsia="Arial" w:hAnsi="Arial"/>
          <w:sz w:val="15"/>
          <w:szCs w:val="15"/>
          <w:color w:val="auto"/>
        </w:rPr>
        <w:t>As exchange rates may fluctuate significantly between periods, revenue and operating expenses, when converted into U.S. dollars, may also experience significant fluctuations between periods. Volatile market conditions, including those arising from the COVID-19 pandemic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During the six months ended June 30, 2022, 28%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93" w:lineRule="exact"/>
        <w:rPr>
          <w:sz w:val="20"/>
          <w:szCs w:val="20"/>
          <w:color w:val="auto"/>
        </w:rPr>
      </w:pPr>
    </w:p>
    <w:p>
      <w:pPr>
        <w:jc w:val="both"/>
        <w:ind w:firstLine="391"/>
        <w:spacing w:after="0" w:line="271" w:lineRule="auto"/>
        <w:rPr>
          <w:sz w:val="20"/>
          <w:szCs w:val="20"/>
          <w:color w:val="auto"/>
        </w:rPr>
      </w:pPr>
      <w:r>
        <w:rPr>
          <w:rFonts w:ascii="Arial" w:cs="Arial" w:eastAsia="Arial" w:hAnsi="Arial"/>
          <w:sz w:val="17"/>
          <w:szCs w:val="17"/>
          <w:color w:val="auto"/>
        </w:rPr>
        <w:t>We recorded net foreign currency transaction losses of $1.0 million and net foreign currency transaction gains of $0.6 million during the six months ended June 30, 2022 and 2021, respectively. A hypothetical 10% change in foreign currency rates would not have resulted in material gains or losses for the six months ended June 30, 2022 and 2021.</w:t>
      </w:r>
    </w:p>
    <w:p>
      <w:pPr>
        <w:spacing w:after="0" w:line="107" w:lineRule="exact"/>
        <w:rPr>
          <w:sz w:val="20"/>
          <w:szCs w:val="20"/>
          <w:color w:val="auto"/>
        </w:rPr>
      </w:pPr>
    </w:p>
    <w:p>
      <w:pPr>
        <w:ind w:right="100" w:firstLine="391"/>
        <w:spacing w:after="0" w:line="287" w:lineRule="auto"/>
        <w:rPr>
          <w:sz w:val="20"/>
          <w:szCs w:val="20"/>
          <w:color w:val="auto"/>
        </w:rPr>
      </w:pPr>
      <w:r>
        <w:rPr>
          <w:rFonts w:ascii="Arial" w:cs="Arial" w:eastAsia="Arial" w:hAnsi="Arial"/>
          <w:sz w:val="17"/>
          <w:szCs w:val="17"/>
          <w:color w:val="auto"/>
        </w:rPr>
        <w:t>To date, we have not engaged in any hedging activities. As our international operations grow, we will continue to reassess our approach to managing risks relating to fluctuations in currency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9" w:name="page60"/>
    <w:bookmarkEnd w:id="5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CONTROLS AND PROCEDURES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54" w:lineRule="exact"/>
        <w:rPr>
          <w:sz w:val="20"/>
          <w:szCs w:val="20"/>
          <w:color w:val="auto"/>
        </w:rPr>
      </w:pPr>
    </w:p>
    <w:p>
      <w:pPr>
        <w:jc w:val="both"/>
        <w:ind w:right="80" w:firstLine="391"/>
        <w:spacing w:after="0" w:line="288"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54" w:lineRule="exact"/>
        <w:rPr>
          <w:sz w:val="20"/>
          <w:szCs w:val="20"/>
          <w:color w:val="auto"/>
        </w:rPr>
      </w:pPr>
    </w:p>
    <w:p>
      <w:pPr>
        <w:ind w:right="120" w:firstLine="391"/>
        <w:spacing w:after="0" w:line="271" w:lineRule="auto"/>
        <w:rPr>
          <w:sz w:val="20"/>
          <w:szCs w:val="20"/>
          <w:color w:val="auto"/>
        </w:rPr>
      </w:pPr>
      <w:r>
        <w:rPr>
          <w:rFonts w:ascii="Arial" w:cs="Arial" w:eastAsia="Arial" w:hAnsi="Arial"/>
          <w:sz w:val="17"/>
          <w:szCs w:val="17"/>
          <w:color w:val="auto"/>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Disclosure Controls and Procedures</w:t>
      </w:r>
    </w:p>
    <w:p>
      <w:pPr>
        <w:spacing w:after="0" w:line="254" w:lineRule="exact"/>
        <w:rPr>
          <w:sz w:val="20"/>
          <w:szCs w:val="20"/>
          <w:color w:val="auto"/>
        </w:rPr>
      </w:pPr>
    </w:p>
    <w:p>
      <w:pPr>
        <w:ind w:firstLine="391"/>
        <w:spacing w:after="0" w:line="259" w:lineRule="auto"/>
        <w:rPr>
          <w:sz w:val="20"/>
          <w:szCs w:val="20"/>
          <w:color w:val="auto"/>
        </w:rPr>
      </w:pPr>
      <w:r>
        <w:rPr>
          <w:rFonts w:ascii="Arial" w:cs="Arial" w:eastAsia="Arial" w:hAnsi="Arial"/>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0" w:name="page61"/>
    <w:bookmarkEnd w:id="6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II. OTHER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LEGAL PROCEEDINGS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10" w:lineRule="exact"/>
        <w:rPr>
          <w:sz w:val="20"/>
          <w:szCs w:val="20"/>
          <w:color w:val="auto"/>
        </w:rPr>
      </w:pPr>
    </w:p>
    <w:p>
      <w:pPr>
        <w:ind w:right="420" w:firstLine="391"/>
        <w:spacing w:after="0" w:line="262" w:lineRule="auto"/>
        <w:rPr>
          <w:sz w:val="20"/>
          <w:szCs w:val="20"/>
          <w:color w:val="auto"/>
        </w:rPr>
      </w:pPr>
      <w:r>
        <w:rPr>
          <w:rFonts w:ascii="Arial" w:cs="Arial" w:eastAsia="Arial" w:hAnsi="Arial"/>
          <w:sz w:val="16"/>
          <w:szCs w:val="16"/>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 See Note 10, “Commitments and Contingencies” to our condensed consolidated financial statements included elsewhere in this Quarterly Report on Form 10-Q for further information.</w:t>
      </w:r>
    </w:p>
    <w:p>
      <w:pPr>
        <w:spacing w:after="0" w:line="193" w:lineRule="exact"/>
        <w:rPr>
          <w:sz w:val="20"/>
          <w:szCs w:val="20"/>
          <w:color w:val="auto"/>
        </w:rPr>
      </w:pPr>
    </w:p>
    <w:p>
      <w:pPr>
        <w:ind w:firstLine="391"/>
        <w:spacing w:after="0" w:line="296" w:lineRule="auto"/>
        <w:rPr>
          <w:sz w:val="20"/>
          <w:szCs w:val="20"/>
          <w:color w:val="auto"/>
        </w:rPr>
      </w:pPr>
      <w:r>
        <w:rPr>
          <w:rFonts w:ascii="Arial" w:cs="Arial" w:eastAsia="Arial" w:hAnsi="Arial"/>
          <w:sz w:val="16"/>
          <w:szCs w:val="16"/>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1A. RISK FACTORS</w:t>
      </w:r>
    </w:p>
    <w:p>
      <w:pPr>
        <w:spacing w:after="0" w:line="243" w:lineRule="exact"/>
        <w:rPr>
          <w:sz w:val="20"/>
          <w:szCs w:val="20"/>
          <w:color w:val="auto"/>
        </w:rPr>
      </w:pPr>
    </w:p>
    <w:p>
      <w:pPr>
        <w:ind w:right="100" w:firstLine="391"/>
        <w:spacing w:after="0" w:line="279" w:lineRule="auto"/>
        <w:rPr>
          <w:sz w:val="20"/>
          <w:szCs w:val="20"/>
          <w:color w:val="auto"/>
        </w:rPr>
      </w:pPr>
      <w:r>
        <w:rPr>
          <w:rFonts w:ascii="Arial" w:cs="Arial" w:eastAsia="Arial" w:hAnsi="Arial"/>
          <w:sz w:val="16"/>
          <w:szCs w:val="16"/>
          <w:color w:val="auto"/>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the impacts of COVID-19 and any worsening of the economic environment may exacerbate the risks described below, any of which could have a material impact on us.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Business and Operations</w:t>
      </w:r>
    </w:p>
    <w:p>
      <w:pPr>
        <w:spacing w:after="0" w:line="25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b w:val="1"/>
          <w:bCs w:val="1"/>
          <w:i w:val="1"/>
          <w:iCs w:val="1"/>
          <w:color w:val="auto"/>
        </w:rPr>
        <w:t>Our business depends on our ability to retain and upgrade paying users, and any decline in renewals or upgrades could adversely affect our future results of operations.</w:t>
      </w:r>
    </w:p>
    <w:p>
      <w:pPr>
        <w:spacing w:after="0" w:line="1" w:lineRule="exact"/>
        <w:rPr>
          <w:sz w:val="20"/>
          <w:szCs w:val="20"/>
          <w:color w:val="auto"/>
        </w:rPr>
      </w:pPr>
    </w:p>
    <w:p>
      <w:pPr>
        <w:ind w:firstLine="391"/>
        <w:spacing w:after="0" w:line="258" w:lineRule="auto"/>
        <w:rPr>
          <w:sz w:val="20"/>
          <w:szCs w:val="20"/>
          <w:color w:val="auto"/>
        </w:rPr>
      </w:pPr>
      <w:r>
        <w:rPr>
          <w:rFonts w:ascii="Arial" w:cs="Arial" w:eastAsia="Arial" w:hAnsi="Arial"/>
          <w:sz w:val="17"/>
          <w:szCs w:val="17"/>
          <w:color w:val="auto"/>
        </w:rPr>
        <w:t>Our business depends upon our ability to maintain and expand our relationships with our users. Our business is subscription-based,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support, pricing, or mix of features, a user no longer having a need for our products, the availability of competitive products that are, or are perceived to be, less expensive, shifts in the mix of monthly and annual subscriptions or the impact of macroeconomic trends or catastrophic events, such as the ongoing COVID-19 pandemic, on our paying users. In addition, some paying users downgrade or do not renew their subscriptions.</w:t>
      </w:r>
    </w:p>
    <w:p>
      <w:pPr>
        <w:spacing w:after="0" w:line="212" w:lineRule="exact"/>
        <w:rPr>
          <w:sz w:val="20"/>
          <w:szCs w:val="20"/>
          <w:color w:val="auto"/>
        </w:rPr>
      </w:pPr>
    </w:p>
    <w:p>
      <w:pPr>
        <w:ind w:right="60" w:firstLine="391"/>
        <w:spacing w:after="0" w:line="278" w:lineRule="auto"/>
        <w:rPr>
          <w:sz w:val="20"/>
          <w:szCs w:val="20"/>
          <w:color w:val="auto"/>
        </w:rPr>
      </w:pPr>
      <w:r>
        <w:rPr>
          <w:rFonts w:ascii="Arial" w:cs="Arial" w:eastAsia="Arial" w:hAnsi="Arial"/>
          <w:sz w:val="16"/>
          <w:szCs w:val="16"/>
          <w:color w:val="auto"/>
        </w:rPr>
        <w:t>We encourage both basic and paying users to upgrade to our premium offerings by recommending additional features and through in-product prompts and notifications. We are focused on increasing recurring revenue and we believe that users that subscribe to our premium paid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cancel their subscriptions or fail to renew, or if we fail to upgrade our paying users to premium offerings or expand within organizations, our business, results of operations, and financial condition may be harmed. Furthermore, we have and may continue to see an increase in customers opting for our monthly plans rather than our annual plans, including from users who upgrade to paid plans using mobile devices. As a result, if more of our users subscribe to our paid plans through mobile devices or otherwise opt for monthly plans, subscription renewals may fluctuate or decline.</w:t>
      </w:r>
    </w:p>
    <w:p>
      <w:pPr>
        <w:spacing w:after="0" w:line="194" w:lineRule="exact"/>
        <w:rPr>
          <w:sz w:val="20"/>
          <w:szCs w:val="20"/>
          <w:color w:val="auto"/>
        </w:rPr>
      </w:pPr>
    </w:p>
    <w:p>
      <w:pPr>
        <w:jc w:val="both"/>
        <w:ind w:right="20" w:firstLine="391"/>
        <w:spacing w:after="0" w:line="271" w:lineRule="auto"/>
        <w:rPr>
          <w:sz w:val="20"/>
          <w:szCs w:val="20"/>
          <w:color w:val="auto"/>
        </w:rPr>
      </w:pPr>
      <w:r>
        <w:rPr>
          <w:rFonts w:ascii="Arial" w:cs="Arial" w:eastAsia="Arial" w:hAnsi="Arial"/>
          <w:sz w:val="17"/>
          <w:szCs w:val="17"/>
          <w:color w:val="auto"/>
        </w:rPr>
        <w:t>Although it is important to our business that our users renew their subscriptions after their existing subscriptions expire and that we expand our commercial relationships with our users, given the volume of our users, we may be unable to address any retention issues with specific users in a timely manner, which could harm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growth could be harmed if we fail to attract new users or convert registered users to paying users.</w:t>
      </w:r>
    </w:p>
    <w:p>
      <w:pPr>
        <w:spacing w:after="0" w:line="25" w:lineRule="exact"/>
        <w:rPr>
          <w:sz w:val="20"/>
          <w:szCs w:val="20"/>
          <w:color w:val="auto"/>
        </w:rPr>
      </w:pPr>
    </w:p>
    <w:p>
      <w:pPr>
        <w:jc w:val="both"/>
        <w:ind w:right="20" w:firstLine="391"/>
        <w:spacing w:after="0" w:line="264" w:lineRule="auto"/>
        <w:rPr>
          <w:sz w:val="20"/>
          <w:szCs w:val="20"/>
          <w:color w:val="auto"/>
        </w:rPr>
      </w:pPr>
      <w:r>
        <w:rPr>
          <w:rFonts w:ascii="Arial" w:cs="Arial" w:eastAsia="Arial" w:hAnsi="Arial"/>
          <w:sz w:val="17"/>
          <w:szCs w:val="17"/>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20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Additionally, many of our users initially access our platform free of charge. We strive to demonstrate the value of our platform to our registered users,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thereby encouraging them to convert to paying users through in-product prompts and notifications, and time-limited trials of paid subscription plans. As of</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June 30, 2022, we served over 700 million registered users but only 17.37 million paying users. The actual number of unique users is lower than we report as one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person may register more than once for our platform. As a result, we have fewer unique registered users that we may be able to convert to paying users. A</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majority of our registered users may never convert to a paid subscription to our platform, and failure to convert users to a paid subscription will restrict our</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ability to grow our revenue.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firstLine="391"/>
        <w:spacing w:after="0" w:line="281" w:lineRule="auto"/>
        <w:rPr>
          <w:sz w:val="20"/>
          <w:szCs w:val="20"/>
          <w:color w:val="auto"/>
        </w:rPr>
      </w:pPr>
      <w:r>
        <w:rPr>
          <w:rFonts w:ascii="Arial" w:cs="Arial" w:eastAsia="Arial" w:hAnsi="Arial"/>
          <w:sz w:val="16"/>
          <w:szCs w:val="16"/>
          <w:color w:val="auto"/>
        </w:rPr>
        <w:t>In addition, our user growth rate has and may continue to slow in the future as our market penetration rates increase and we turn our focus to converting registered users to paying users rather than growing the total number of registered users. The availability of less expensive and bundled competitive products also has and may continue to slow our user growth rate and negatively impact our ability to convert registered users to paying users. If we are not able to continue to expand our user base or fail to convert our registered users to paying users, demand for our paid services and our revenue may grow more slowly than expected or decline. Furthermore, catastrophic events that financially impact our registered users and other prospective paying users, may cause these users to delay or reduce technology spending, which may impact our ability to convert registered users or otherwise attract new paying users.</w:t>
      </w:r>
    </w:p>
    <w:p>
      <w:pPr>
        <w:spacing w:after="0" w:line="194"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b w:val="1"/>
          <w:bCs w:val="1"/>
          <w:i w:val="1"/>
          <w:iCs w:val="1"/>
          <w:color w:val="auto"/>
        </w:rPr>
        <w:t>Our business could be damaged, and we could be subject to liability, if there is any unauthorized access to our data or our users’ content, including through privacy and data security breaches or incidents.</w:t>
      </w:r>
    </w:p>
    <w:p>
      <w:pPr>
        <w:spacing w:after="0" w:line="184" w:lineRule="exact"/>
        <w:rPr>
          <w:sz w:val="20"/>
          <w:szCs w:val="20"/>
          <w:color w:val="auto"/>
        </w:rPr>
      </w:pPr>
    </w:p>
    <w:p>
      <w:pPr>
        <w:ind w:firstLine="391"/>
        <w:spacing w:after="0" w:line="276" w:lineRule="auto"/>
        <w:rPr>
          <w:sz w:val="20"/>
          <w:szCs w:val="20"/>
          <w:color w:val="auto"/>
        </w:rPr>
      </w:pPr>
      <w:r>
        <w:rPr>
          <w:rFonts w:ascii="Arial" w:cs="Arial" w:eastAsia="Arial" w:hAnsi="Arial"/>
          <w:sz w:val="16"/>
          <w:szCs w:val="16"/>
          <w:color w:val="auto"/>
        </w:rPr>
        <w:t>The use of our platform involves the transmission, storage, and processing of user content, some of which may be considered personal, confidential, or sensitive information of users or their organizations. We also process, store and transmit our own data as part of our business and operations. This data may include personal, confidential, or sensitive information. We face security threats from malicious third parties that could obtain unauthorized access to our systems, infrastructure, and networks. We anticipate that these threats will continue to grow in scope and complexity over time. For example, in 2016, we learned that an old set of Dropbox user credentials for approximately 68 million accounts was released. These credentials consisted of email addresses and passwords protected by cryptographic techniques known as hashing and salting. Hashing and salting can make it more difficult to obtain the original password, but may not fully protect the original password from being obtained. We believe these Dropbox user credentials were obtained in 2012 and related to a security incident we disclosed to users. In response, we notified all existing users we believed to be affected and completed a password reset for anyone who had not updated their password since mid-2012. We responded to this event by expanding our security team and data monitoring capabilities and continuing to work on features such as two-factor authentication to increase protection of user information. While we believe our corrective actions will reduce the likelihood of similar incidents occurring in the future, third parties might use techniques that we are unable to defend against to compromise and infiltrate our systems, infrastructure, and networks.</w:t>
      </w:r>
    </w:p>
    <w:p>
      <w:pPr>
        <w:spacing w:after="0" w:line="199" w:lineRule="exact"/>
        <w:rPr>
          <w:sz w:val="20"/>
          <w:szCs w:val="20"/>
          <w:color w:val="auto"/>
        </w:rPr>
      </w:pPr>
    </w:p>
    <w:p>
      <w:pPr>
        <w:ind w:right="40" w:firstLine="391"/>
        <w:spacing w:after="0" w:line="294" w:lineRule="auto"/>
        <w:rPr>
          <w:sz w:val="20"/>
          <w:szCs w:val="20"/>
          <w:color w:val="auto"/>
        </w:rPr>
      </w:pPr>
      <w:r>
        <w:rPr>
          <w:rFonts w:ascii="Arial" w:cs="Arial" w:eastAsia="Arial" w:hAnsi="Arial"/>
          <w:sz w:val="15"/>
          <w:szCs w:val="15"/>
          <w:color w:val="auto"/>
        </w:rPr>
        <w:t>Emerging and evolving cybersecurity threats such as the attack on SolarWinds and the Log4j vulnerability reported in December 2021 pose unique challenges and involve sophisticated threat actors. Computer malware, ransomware, cyber viruses, social engineering (phishing attacks), denial of service or other attacks, employee theft or misuse and increasingly sophisticated network attacks have become more prevalent, particularly against cloud services. In this fast-changing threat environment, we are continuously assessing our security posture, including through the use of penetration testing and red team exercises, to identify gaps, threats, and vulnerabilities and we are actively taking additional and ongoing steps that are intended to strengthen our cybersecurity capabilities and mitigate the risk of a breach or incident. If we fail to respond appropriately to any identified gaps, threats or vulnerabilities, including by providing adequate funding and prioritizing strategic initiatives, or if we fail to adequately identify the gaps, threats or vulnerabilities, we face greater risk that an unauthorized party will obtain access to, or disrupt, our systems or networks or obtain access to data or content that we or third parties on which we rely store or otherwise process. Notwithstanding our efforts, we may fail to detect the existence of security breaches or incidents, including breaches or compromise of user content, and be unable to prevent unauthorized access to user content. The techniques used to obtain unauthorized access to, and to disable or degrade service, or sabotage systems change frequently and are often not recognized until launched against a target. They may originate from less regulated or remote areas around the world, or from state-sponsored actors, and the risks could also be elevated in connection with the conflict between Russia and Ukraine. If our security measures are breached or compromised or we, our systems or networks, or those of third parties on which we rely otherwise are subject to a security breach or incident, or our users’ content is otherwise accessed, misused, modified, rendered unavailable, destroyed, or otherwise processed through unauthorized means, or if any such actions are believed to occur, our platform may be perceived as insecure, and we may lose existing users or fail to attract and retain new users. Moreover, public announcements concerning any cybersecurity-related incidents and steps we may take to respond to or remediate any such incidents could be perceived by securities analysts or investors to be negative, and such perception could, among other things, have an adverse effect on the price of our Class A common stock.</w:t>
      </w:r>
    </w:p>
    <w:p>
      <w:pPr>
        <w:spacing w:after="0" w:line="189" w:lineRule="exact"/>
        <w:rPr>
          <w:sz w:val="20"/>
          <w:szCs w:val="20"/>
          <w:color w:val="auto"/>
        </w:rPr>
      </w:pPr>
    </w:p>
    <w:p>
      <w:pPr>
        <w:ind w:right="80" w:firstLine="391"/>
        <w:spacing w:after="0" w:line="271" w:lineRule="auto"/>
        <w:rPr>
          <w:sz w:val="20"/>
          <w:szCs w:val="20"/>
          <w:color w:val="auto"/>
        </w:rPr>
      </w:pPr>
      <w:r>
        <w:rPr>
          <w:rFonts w:ascii="Arial" w:cs="Arial" w:eastAsia="Arial" w:hAnsi="Arial"/>
          <w:sz w:val="17"/>
          <w:szCs w:val="17"/>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This risk may increase when vendors and contractors work remotely, including as part of our shift to Virtual First.</w:t>
      </w:r>
    </w:p>
    <w:p>
      <w:pPr>
        <w:spacing w:after="0" w:line="198" w:lineRule="exact"/>
        <w:rPr>
          <w:sz w:val="20"/>
          <w:szCs w:val="20"/>
          <w:color w:val="auto"/>
        </w:rPr>
      </w:pPr>
    </w:p>
    <w:p>
      <w:pPr>
        <w:ind w:firstLine="391"/>
        <w:spacing w:after="0" w:line="287" w:lineRule="auto"/>
        <w:rPr>
          <w:sz w:val="20"/>
          <w:szCs w:val="20"/>
          <w:color w:val="auto"/>
        </w:rPr>
      </w:pPr>
      <w:r>
        <w:rPr>
          <w:rFonts w:ascii="Arial" w:cs="Arial" w:eastAsia="Arial" w:hAnsi="Arial"/>
          <w:sz w:val="17"/>
          <w:szCs w:val="17"/>
          <w:color w:val="auto"/>
        </w:rPr>
        <w:t>In addition, certain developers or other partners who create applications that integrate with our platform, may receive or store information provided by us or by our users through these applications. If these third parties or developers fail to adopt or</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520"/>
        <w:spacing w:after="0" w:line="287" w:lineRule="auto"/>
        <w:rPr>
          <w:sz w:val="20"/>
          <w:szCs w:val="20"/>
          <w:color w:val="auto"/>
        </w:rPr>
      </w:pPr>
      <w:r>
        <w:rPr>
          <w:rFonts w:ascii="Arial" w:cs="Arial" w:eastAsia="Arial" w:hAnsi="Arial"/>
          <w:sz w:val="17"/>
          <w:szCs w:val="17"/>
          <w:color w:val="auto"/>
        </w:rPr>
        <w:t>adhere to adequate data security practices, or in the event of a breach or other compromise of their networks or systems, our data or our users' data may be improperly accessed, used, or disclosed.</w:t>
      </w:r>
    </w:p>
    <w:p>
      <w:pPr>
        <w:spacing w:after="0" w:line="184" w:lineRule="exact"/>
        <w:rPr>
          <w:sz w:val="20"/>
          <w:szCs w:val="20"/>
          <w:color w:val="auto"/>
        </w:rPr>
      </w:pPr>
    </w:p>
    <w:p>
      <w:pPr>
        <w:ind w:right="80" w:firstLine="391"/>
        <w:spacing w:after="0" w:line="284" w:lineRule="auto"/>
        <w:rPr>
          <w:sz w:val="20"/>
          <w:szCs w:val="20"/>
          <w:color w:val="auto"/>
        </w:rPr>
      </w:pPr>
      <w:r>
        <w:rPr>
          <w:rFonts w:ascii="Arial" w:cs="Arial" w:eastAsia="Arial" w:hAnsi="Arial"/>
          <w:sz w:val="16"/>
          <w:szCs w:val="16"/>
          <w:color w:val="auto"/>
        </w:rPr>
        <w:t>Third parties may attempt to compromise our employees and their privileged access into internal systems to gain access to accounts, our information, our networks, or our systems or those of third parties on which we rely. Employee error, malfeasance, or other errors in the storage, use, transmission, or other processing of personal information could result in an actual or perceived breach of user privacy. These risks may be heightened in connection with our transition to a Virtual First and increasingly distributed workforce. In addition, our users may also disclose or lose control of their passwords, or use the same or similar passwords on third parties’ systems, which could lead to unauthorized access to their accounts on our platform.</w:t>
      </w:r>
    </w:p>
    <w:p>
      <w:pPr>
        <w:spacing w:after="0" w:line="189" w:lineRule="exact"/>
        <w:rPr>
          <w:sz w:val="20"/>
          <w:szCs w:val="20"/>
          <w:color w:val="auto"/>
        </w:rPr>
      </w:pPr>
    </w:p>
    <w:p>
      <w:pPr>
        <w:ind w:right="40" w:firstLine="391"/>
        <w:spacing w:after="0" w:line="276" w:lineRule="auto"/>
        <w:rPr>
          <w:sz w:val="20"/>
          <w:szCs w:val="20"/>
          <w:color w:val="auto"/>
        </w:rPr>
      </w:pPr>
      <w:r>
        <w:rPr>
          <w:rFonts w:ascii="Arial" w:cs="Arial" w:eastAsia="Arial" w:hAnsi="Arial"/>
          <w:sz w:val="16"/>
          <w:szCs w:val="16"/>
          <w:color w:val="auto"/>
        </w:rPr>
        <w:t>Any unauthorized or inadvertent access to, or an actual or perceived security breach of or incident impacting, our systems, infrastructure, or networks or of third parties on which we rely could result in an actual or perceived loss of, or unauthorized access to or disclosure, modification, misuse, loss, corruption, unavailability, or destruction of, our data or our users’ content, regulatory investigations, proceedings, and orders, claims, demands, and litigation, indemnity obligations, damages, penalties, fines, and other costs in connection with actual and alleged contractual breaches, violations of applicable laws and regulations or other actual or asserted obligations, and other liabilities. Any such incident could also materially damage our reputation and market position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or incident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199" w:lineRule="exact"/>
        <w:rPr>
          <w:sz w:val="20"/>
          <w:szCs w:val="20"/>
          <w:color w:val="auto"/>
        </w:rPr>
      </w:pPr>
    </w:p>
    <w:p>
      <w:pPr>
        <w:ind w:right="700"/>
        <w:spacing w:after="0" w:line="287" w:lineRule="auto"/>
        <w:rPr>
          <w:sz w:val="20"/>
          <w:szCs w:val="20"/>
          <w:color w:val="auto"/>
        </w:rPr>
      </w:pPr>
      <w:r>
        <w:rPr>
          <w:rFonts w:ascii="Arial" w:cs="Arial" w:eastAsia="Arial" w:hAnsi="Arial"/>
          <w:sz w:val="17"/>
          <w:szCs w:val="17"/>
          <w:b w:val="1"/>
          <w:bCs w:val="1"/>
          <w:i w:val="1"/>
          <w:iCs w:val="1"/>
          <w:color w:val="auto"/>
        </w:rPr>
        <w:t>We have a limited history of operating with a Virtual First workforce and the long-term impact on our financial results and business operations are uncertain.</w:t>
      </w:r>
    </w:p>
    <w:p>
      <w:pPr>
        <w:spacing w:after="0" w:line="184"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In October 2020, we announced a Virtual First work model pursuant to which remote work has become the primary experience for all of our employees and our intention is for our workforce continue being more distributed over time. However, we have a limited history of operating with a Virtual First workforce and, although we anticipate that our shift to a Virtual First work model will have a long-term positive impact on our financial results and business operations, the impact remains uncertain. Additionally, there is no guarantee that we will realize any anticipated benefits to our business, including any cost savings, operational efficiencies, or productivity.</w:t>
      </w:r>
    </w:p>
    <w:p>
      <w:pPr>
        <w:spacing w:after="0" w:line="207" w:lineRule="exact"/>
        <w:rPr>
          <w:sz w:val="20"/>
          <w:szCs w:val="20"/>
          <w:color w:val="auto"/>
        </w:rPr>
      </w:pPr>
    </w:p>
    <w:p>
      <w:pPr>
        <w:ind w:right="20" w:firstLine="391"/>
        <w:spacing w:after="0" w:line="288" w:lineRule="auto"/>
        <w:rPr>
          <w:sz w:val="20"/>
          <w:szCs w:val="20"/>
          <w:color w:val="auto"/>
        </w:rPr>
      </w:pPr>
      <w:r>
        <w:rPr>
          <w:rFonts w:ascii="Arial" w:cs="Arial" w:eastAsia="Arial" w:hAnsi="Arial"/>
          <w:sz w:val="16"/>
          <w:szCs w:val="16"/>
          <w:color w:val="auto"/>
        </w:rPr>
        <w:t>Our continuing shift to Virtual First could make it increasingly difficult to manage our business and adequately oversee our employees and business functions,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and incidents involving our data or our users’ content. Any of these factors could adversely affect our financial condition and operating results.</w:t>
      </w:r>
    </w:p>
    <w:p>
      <w:pPr>
        <w:spacing w:after="0" w:line="186" w:lineRule="exact"/>
        <w:rPr>
          <w:sz w:val="20"/>
          <w:szCs w:val="20"/>
          <w:color w:val="auto"/>
        </w:rPr>
      </w:pPr>
    </w:p>
    <w:p>
      <w:pPr>
        <w:ind w:right="40" w:firstLine="391"/>
        <w:spacing w:after="0" w:line="279" w:lineRule="auto"/>
        <w:rPr>
          <w:sz w:val="20"/>
          <w:szCs w:val="20"/>
          <w:color w:val="auto"/>
        </w:rPr>
      </w:pPr>
      <w:r>
        <w:rPr>
          <w:rFonts w:ascii="Arial" w:cs="Arial" w:eastAsia="Arial" w:hAnsi="Arial"/>
          <w:sz w:val="16"/>
          <w:szCs w:val="16"/>
          <w:color w:val="auto"/>
        </w:rPr>
        <w:t>In addition, as we continue our shift to Virtual First, we will need less office space than we are currently contractually committed to leasing and as a result, we have recorded and may in the future record impairment charges related to the office spaces we no longer expect to need, which has impacted and may in the future impact our ability to achieve GAAP profitability. Furthermore, any prolonged recessionary period and industry shifts towards remote work, including as a result of the ongoing COVID-19 pandemic, may prevent us from finding subtenants for our unused office space on favorable terms or at all.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competitive markets, and we must continue to compete effectively.</w:t>
      </w:r>
    </w:p>
    <w:p>
      <w:pPr>
        <w:spacing w:after="0" w:line="25" w:lineRule="exact"/>
        <w:rPr>
          <w:sz w:val="20"/>
          <w:szCs w:val="20"/>
          <w:color w:val="auto"/>
        </w:rPr>
      </w:pPr>
    </w:p>
    <w:p>
      <w:pPr>
        <w:jc w:val="both"/>
        <w:ind w:right="80" w:firstLine="469"/>
        <w:spacing w:after="0" w:line="261" w:lineRule="auto"/>
        <w:rPr>
          <w:sz w:val="20"/>
          <w:szCs w:val="20"/>
          <w:color w:val="auto"/>
        </w:rPr>
      </w:pPr>
      <w:r>
        <w:rPr>
          <w:rFonts w:ascii="Arial" w:cs="Arial" w:eastAsia="Arial" w:hAnsi="Arial"/>
          <w:sz w:val="17"/>
          <w:szCs w:val="17"/>
          <w:color w:val="auto"/>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and Google. On a more limited basis, we compete with Box in the cloud storage market for deployments by large enterprises, as well as in the e-signature market along</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color w:val="auto"/>
        </w:rPr>
        <w:t>with Adobe and DocuSign. We also compete with smaller private companies that offer point solutions in the cloud storage market or the content collaboration market. We believe the principal competitive factors in our markets include the following:</w:t>
      </w:r>
    </w:p>
    <w:p>
      <w:pPr>
        <w:spacing w:after="0" w:line="184" w:lineRule="exact"/>
        <w:rPr>
          <w:sz w:val="20"/>
          <w:szCs w:val="20"/>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user-centric design;</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scale of user network;</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brand;</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accessibility across several devices, operating system, and applications;</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third-party integration;</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customer support;</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continued innovation; and</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pricing.</w:t>
      </w:r>
    </w:p>
    <w:p>
      <w:pPr>
        <w:spacing w:after="0" w:line="248" w:lineRule="exact"/>
        <w:rPr>
          <w:sz w:val="20"/>
          <w:szCs w:val="20"/>
          <w:color w:val="auto"/>
        </w:rPr>
      </w:pPr>
    </w:p>
    <w:p>
      <w:pPr>
        <w:ind w:right="20" w:firstLine="391"/>
        <w:spacing w:after="0" w:line="262" w:lineRule="auto"/>
        <w:rPr>
          <w:sz w:val="20"/>
          <w:szCs w:val="20"/>
          <w:color w:val="auto"/>
        </w:rPr>
      </w:pPr>
      <w:r>
        <w:rPr>
          <w:rFonts w:ascii="Arial" w:cs="Arial" w:eastAsia="Arial" w:hAnsi="Arial"/>
          <w:sz w:val="17"/>
          <w:szCs w:val="17"/>
          <w:color w:val="auto"/>
        </w:rPr>
        <w:t>With the introduction of new technologies and market entrants, we expect competition to intensify. Many of our actual and potential competitors or alliances among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206" w:lineRule="exact"/>
        <w:rPr>
          <w:sz w:val="20"/>
          <w:szCs w:val="20"/>
          <w:color w:val="auto"/>
        </w:rPr>
      </w:pPr>
    </w:p>
    <w:p>
      <w:pPr>
        <w:ind w:right="20" w:firstLine="391"/>
        <w:spacing w:after="0" w:line="296" w:lineRule="auto"/>
        <w:rPr>
          <w:sz w:val="20"/>
          <w:szCs w:val="20"/>
          <w:color w:val="auto"/>
        </w:rPr>
      </w:pPr>
      <w:r>
        <w:rPr>
          <w:rFonts w:ascii="Arial" w:cs="Arial" w:eastAsia="Arial" w:hAnsi="Arial"/>
          <w:sz w:val="16"/>
          <w:szCs w:val="16"/>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spacing w:after="0" w:line="180" w:lineRule="exact"/>
        <w:rPr>
          <w:sz w:val="20"/>
          <w:szCs w:val="20"/>
          <w:color w:val="auto"/>
        </w:rPr>
      </w:pPr>
    </w:p>
    <w:p>
      <w:pPr>
        <w:jc w:val="both"/>
        <w:ind w:firstLine="391"/>
        <w:spacing w:after="0" w:line="271" w:lineRule="auto"/>
        <w:rPr>
          <w:sz w:val="20"/>
          <w:szCs w:val="20"/>
          <w:color w:val="auto"/>
        </w:rPr>
      </w:pPr>
      <w:r>
        <w:rPr>
          <w:rFonts w:ascii="Arial" w:cs="Arial" w:eastAsia="Arial" w:hAnsi="Arial"/>
          <w:sz w:val="17"/>
          <w:szCs w:val="17"/>
          <w:color w:val="auto"/>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271" w:lineRule="exact"/>
        <w:rPr>
          <w:sz w:val="20"/>
          <w:szCs w:val="20"/>
          <w:color w:val="auto"/>
        </w:rPr>
      </w:pPr>
    </w:p>
    <w:p>
      <w:pPr>
        <w:ind w:right="240" w:firstLine="391"/>
        <w:spacing w:after="0" w:line="260" w:lineRule="auto"/>
        <w:rPr>
          <w:sz w:val="20"/>
          <w:szCs w:val="20"/>
          <w:color w:val="auto"/>
        </w:rPr>
      </w:pPr>
      <w:r>
        <w:rPr>
          <w:rFonts w:ascii="Arial" w:cs="Arial" w:eastAsia="Arial" w:hAnsi="Arial"/>
          <w:sz w:val="17"/>
          <w:szCs w:val="17"/>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440"/>
        <w:spacing w:after="0" w:line="287" w:lineRule="auto"/>
        <w:rPr>
          <w:sz w:val="20"/>
          <w:szCs w:val="20"/>
          <w:color w:val="auto"/>
        </w:rPr>
      </w:pPr>
      <w:r>
        <w:rPr>
          <w:rFonts w:ascii="Arial" w:cs="Arial" w:eastAsia="Arial" w:hAnsi="Arial"/>
          <w:sz w:val="17"/>
          <w:szCs w:val="17"/>
          <w:color w:val="auto"/>
        </w:rPr>
        <w:t>have inherent advantages developing products and services that more tightly integrate with their software and hardware platforms or those of their business partners.</w:t>
      </w:r>
    </w:p>
    <w:p>
      <w:pPr>
        <w:spacing w:after="0" w:line="184" w:lineRule="exact"/>
        <w:rPr>
          <w:sz w:val="20"/>
          <w:szCs w:val="20"/>
          <w:color w:val="auto"/>
        </w:rPr>
      </w:pPr>
    </w:p>
    <w:p>
      <w:pPr>
        <w:ind w:right="20" w:firstLine="391"/>
        <w:spacing w:after="0" w:line="279" w:lineRule="auto"/>
        <w:rPr>
          <w:sz w:val="20"/>
          <w:szCs w:val="20"/>
          <w:color w:val="auto"/>
        </w:rPr>
      </w:pPr>
      <w:r>
        <w:rPr>
          <w:rFonts w:ascii="Arial" w:cs="Arial" w:eastAsia="Arial" w:hAnsi="Arial"/>
          <w:sz w:val="16"/>
          <w:szCs w:val="16"/>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harmed by any significant disruption of service on our platform or loss of content.</w:t>
      </w:r>
    </w:p>
    <w:p>
      <w:pPr>
        <w:spacing w:after="0" w:line="248" w:lineRule="exact"/>
        <w:rPr>
          <w:sz w:val="20"/>
          <w:szCs w:val="20"/>
          <w:color w:val="auto"/>
        </w:rPr>
      </w:pPr>
    </w:p>
    <w:p>
      <w:pPr>
        <w:ind w:right="160" w:firstLine="391"/>
        <w:spacing w:after="0" w:line="262" w:lineRule="auto"/>
        <w:rPr>
          <w:sz w:val="20"/>
          <w:szCs w:val="20"/>
          <w:color w:val="auto"/>
        </w:rPr>
      </w:pPr>
      <w:r>
        <w:rPr>
          <w:rFonts w:ascii="Arial" w:cs="Arial" w:eastAsia="Arial" w:hAnsi="Arial"/>
          <w:sz w:val="17"/>
          <w:szCs w:val="17"/>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spacing w:after="0" w:line="206" w:lineRule="exact"/>
        <w:rPr>
          <w:sz w:val="20"/>
          <w:szCs w:val="20"/>
          <w:color w:val="auto"/>
        </w:rPr>
      </w:pPr>
    </w:p>
    <w:p>
      <w:pPr>
        <w:ind w:right="40" w:firstLine="391"/>
        <w:spacing w:after="0" w:line="266" w:lineRule="auto"/>
        <w:rPr>
          <w:sz w:val="20"/>
          <w:szCs w:val="20"/>
          <w:color w:val="auto"/>
        </w:rPr>
      </w:pPr>
      <w:r>
        <w:rPr>
          <w:rFonts w:ascii="Arial" w:cs="Arial" w:eastAsia="Arial" w:hAnsi="Arial"/>
          <w:sz w:val="17"/>
          <w:szCs w:val="17"/>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The vast majority of user content is stored at our own custom-built infrastructure in co-location facilities that we directly lease and operate. As we add to our infrastructure, we may move or transfer additional content.</w:t>
      </w:r>
    </w:p>
    <w:p>
      <w:pPr>
        <w:spacing w:after="0" w:line="203" w:lineRule="exact"/>
        <w:rPr>
          <w:sz w:val="20"/>
          <w:szCs w:val="20"/>
          <w:color w:val="auto"/>
        </w:rPr>
      </w:pPr>
    </w:p>
    <w:p>
      <w:pPr>
        <w:ind w:firstLine="391"/>
        <w:spacing w:after="0" w:line="275" w:lineRule="auto"/>
        <w:rPr>
          <w:sz w:val="20"/>
          <w:szCs w:val="20"/>
          <w:color w:val="auto"/>
        </w:rPr>
      </w:pPr>
      <w:r>
        <w:rPr>
          <w:rFonts w:ascii="Arial" w:cs="Arial" w:eastAsia="Arial" w:hAnsi="Arial"/>
          <w:sz w:val="16"/>
          <w:szCs w:val="16"/>
          <w:color w:val="auto"/>
        </w:rPr>
        <w:t>Further, as we continue to grow and scale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Due to the effects of the COVID-19 pandemic, in addition to price increases and competition for a limited supply of such equipment, our global supply chain for datacenter equipment has experienced challenges, and such challenges could adversely impact our infrastructure capacity. Our datacenter equipment is primarily manufactured by third-party manufacturers, some of which utilize certain components for which there are few qualified suppliers. Prolonged disruptions at these suppliers could lead to a disruption in our ability to manufacture datacenter equipment on time to meet demand. Furthermore, our competitors use some of the same suppliers and their demand for hardware components can affect the capacity available to us resulting in inadequate datacenter capacity. Furthermore, our efforts to mitigate such disruptions and compete for such equipment may impact the timing and magnitude of our infrastructure spending, resulting in unexpected increases in shorter-term or longer-term costs than originally projected.</w:t>
      </w:r>
    </w:p>
    <w:p>
      <w:pPr>
        <w:spacing w:after="0" w:line="204" w:lineRule="exact"/>
        <w:rPr>
          <w:sz w:val="20"/>
          <w:szCs w:val="20"/>
          <w:color w:val="auto"/>
        </w:rPr>
      </w:pPr>
    </w:p>
    <w:p>
      <w:pPr>
        <w:ind w:firstLine="391"/>
        <w:spacing w:after="0" w:line="303" w:lineRule="auto"/>
        <w:rPr>
          <w:sz w:val="20"/>
          <w:szCs w:val="20"/>
          <w:color w:val="auto"/>
        </w:rPr>
      </w:pPr>
      <w:r>
        <w:rPr>
          <w:rFonts w:ascii="Arial" w:cs="Arial" w:eastAsia="Arial" w:hAnsi="Arial"/>
          <w:sz w:val="15"/>
          <w:szCs w:val="15"/>
          <w:color w:val="auto"/>
        </w:rPr>
        <w:t>In addition, the datacenters that we use are vulnerable to damage or interruption from human error,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500"/>
        <w:spacing w:after="0" w:line="263" w:lineRule="auto"/>
        <w:rPr>
          <w:sz w:val="20"/>
          <w:szCs w:val="20"/>
          <w:color w:val="auto"/>
        </w:rPr>
      </w:pPr>
      <w:r>
        <w:rPr>
          <w:rFonts w:ascii="Arial" w:cs="Arial" w:eastAsia="Arial" w:hAnsi="Arial"/>
          <w:sz w:val="17"/>
          <w:szCs w:val="17"/>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1" w:lineRule="exact"/>
        <w:rPr>
          <w:sz w:val="20"/>
          <w:szCs w:val="20"/>
          <w:color w:val="auto"/>
        </w:rPr>
      </w:pPr>
    </w:p>
    <w:p>
      <w:pPr>
        <w:ind w:right="140" w:firstLine="391"/>
        <w:spacing w:after="0" w:line="261" w:lineRule="auto"/>
        <w:rPr>
          <w:sz w:val="20"/>
          <w:szCs w:val="20"/>
          <w:color w:val="auto"/>
        </w:rPr>
      </w:pPr>
      <w:r>
        <w:rPr>
          <w:rFonts w:ascii="Arial" w:cs="Arial" w:eastAsia="Arial" w:hAnsi="Arial"/>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 current shift to remote or distributed work does not materialize into a longer-term trend, demand for our platform could be negatively affected.</w:t>
      </w:r>
    </w:p>
    <w:p>
      <w:pPr>
        <w:spacing w:after="0" w:line="207" w:lineRule="exact"/>
        <w:rPr>
          <w:sz w:val="20"/>
          <w:szCs w:val="20"/>
          <w:color w:val="auto"/>
        </w:rPr>
      </w:pPr>
    </w:p>
    <w:p>
      <w:pPr>
        <w:jc w:val="both"/>
        <w:ind w:firstLine="391"/>
        <w:spacing w:after="0" w:line="271" w:lineRule="auto"/>
        <w:rPr>
          <w:sz w:val="20"/>
          <w:szCs w:val="20"/>
          <w:color w:val="auto"/>
        </w:rPr>
      </w:pPr>
      <w:r>
        <w:rPr>
          <w:rFonts w:ascii="Arial" w:cs="Arial" w:eastAsia="Arial" w:hAnsi="Arial"/>
          <w:sz w:val="17"/>
          <w:szCs w:val="17"/>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98" w:lineRule="exact"/>
        <w:rPr>
          <w:sz w:val="20"/>
          <w:szCs w:val="20"/>
          <w:color w:val="auto"/>
        </w:rPr>
      </w:pPr>
    </w:p>
    <w:p>
      <w:pPr>
        <w:ind w:left="620" w:hanging="303"/>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awareness of the content collaboration category generally;</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availability of products and services that compete with ours;</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 scale, and duration, of trends towards or away from remote or distributed work;</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brand;</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customer support; and</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pricing.</w:t>
      </w:r>
    </w:p>
    <w:p>
      <w:pPr>
        <w:spacing w:after="0" w:line="248" w:lineRule="exact"/>
        <w:rPr>
          <w:sz w:val="20"/>
          <w:szCs w:val="20"/>
          <w:color w:val="auto"/>
        </w:rPr>
      </w:pPr>
    </w:p>
    <w:p>
      <w:pPr>
        <w:ind w:right="140" w:firstLine="391"/>
        <w:spacing w:after="0" w:line="271" w:lineRule="auto"/>
        <w:rPr>
          <w:sz w:val="20"/>
          <w:szCs w:val="20"/>
          <w:color w:val="auto"/>
        </w:rPr>
      </w:pPr>
      <w:r>
        <w:rPr>
          <w:rFonts w:ascii="Arial" w:cs="Arial" w:eastAsia="Arial" w:hAnsi="Arial"/>
          <w:sz w:val="17"/>
          <w:szCs w:val="17"/>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98"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b w:val="1"/>
          <w:bCs w:val="1"/>
          <w:i w:val="1"/>
          <w:iCs w:val="1"/>
          <w:color w:val="auto"/>
        </w:rPr>
        <w:t>Failure to respond to rapid technological changes, extend our platform, or develop new features or products may harm our ability to compete effectively which would adversely affect our business.</w:t>
      </w:r>
    </w:p>
    <w:p>
      <w:pPr>
        <w:spacing w:after="0" w:line="1" w:lineRule="exact"/>
        <w:rPr>
          <w:sz w:val="20"/>
          <w:szCs w:val="20"/>
          <w:color w:val="auto"/>
        </w:rPr>
      </w:pPr>
    </w:p>
    <w:p>
      <w:pPr>
        <w:ind w:right="40" w:firstLine="391"/>
        <w:spacing w:after="0" w:line="274" w:lineRule="auto"/>
        <w:rPr>
          <w:sz w:val="20"/>
          <w:szCs w:val="20"/>
          <w:color w:val="auto"/>
        </w:rPr>
      </w:pPr>
      <w:r>
        <w:rPr>
          <w:rFonts w:ascii="Arial" w:cs="Arial" w:eastAsia="Arial" w:hAnsi="Arial"/>
          <w:sz w:val="16"/>
          <w:szCs w:val="16"/>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In addition, while we believe current trends towards remote or distributed work will prove to be significant and long lasting, and that these trends will open up increased market opportunities for us, such trends or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For example, in 2020, we introduced Dropbox Passwords and Vault to provide additional security features for our users to safely store and access content on our platform. More recently, in 2021 we launched Dropbox Transfer as a way for users to safely and securely send large files, Dropbox Shop which allows creators to easily sell content directly to their customers, Dropbox Replay, which allows users to review, approve and collaborate on video workflows, Dropbox Backup, which allows users to securely back up their computer or external hard drives with an automated cloud backup solution, and Dropbox Capture which allows users to visually present their work through easy-to-take screen recordings, GIFs, and screenshots.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color w:val="auto"/>
        </w:rPr>
        <w:t>fail to develop our platform in a manner that satisfies user preferences in a timely and cost-effective manner, we may fail to retain our existing users or increase demand for our platform.</w:t>
      </w:r>
    </w:p>
    <w:p>
      <w:pPr>
        <w:spacing w:after="0" w:line="171" w:lineRule="exact"/>
        <w:rPr>
          <w:sz w:val="20"/>
          <w:szCs w:val="20"/>
          <w:color w:val="auto"/>
        </w:rPr>
      </w:pPr>
    </w:p>
    <w:p>
      <w:pPr>
        <w:ind w:firstLine="391"/>
        <w:spacing w:after="0" w:line="241" w:lineRule="auto"/>
        <w:rPr>
          <w:sz w:val="20"/>
          <w:szCs w:val="20"/>
          <w:color w:val="auto"/>
        </w:rPr>
      </w:pPr>
      <w:r>
        <w:rPr>
          <w:rFonts w:ascii="Arial" w:cs="Arial" w:eastAsia="Arial" w:hAnsi="Arial"/>
          <w:sz w:val="16"/>
          <w:szCs w:val="16"/>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as a result of the ongoing COVID-19 pandemic, we may from time to time temporarily require substantially all of our employees to work remotely, which may lead to disruptions and decreased productivity that could result in delays in our product development process. The risk of such disruptions and decreased productivity may persist as we continue to transition to a Virtual First workforce.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217"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b w:val="1"/>
          <w:bCs w:val="1"/>
          <w:i w:val="1"/>
          <w:iCs w:val="1"/>
          <w:color w:val="auto"/>
        </w:rPr>
        <w:t>The full extent of the impacts of the COVID-19 pandemic on our business is currently unknown, but it may adversely affect our financial results as well as our business operations.</w:t>
      </w:r>
    </w:p>
    <w:p>
      <w:pPr>
        <w:spacing w:after="0" w:line="184" w:lineRule="exact"/>
        <w:rPr>
          <w:sz w:val="20"/>
          <w:szCs w:val="20"/>
          <w:color w:val="auto"/>
        </w:rPr>
      </w:pPr>
    </w:p>
    <w:p>
      <w:pPr>
        <w:ind w:firstLine="391"/>
        <w:spacing w:after="0" w:line="275" w:lineRule="auto"/>
        <w:rPr>
          <w:sz w:val="20"/>
          <w:szCs w:val="20"/>
          <w:color w:val="auto"/>
        </w:rPr>
      </w:pPr>
      <w:r>
        <w:rPr>
          <w:rFonts w:ascii="Arial" w:cs="Arial" w:eastAsia="Arial" w:hAnsi="Arial"/>
          <w:sz w:val="16"/>
          <w:szCs w:val="16"/>
          <w:color w:val="auto"/>
        </w:rPr>
        <w:t>Although we did not experience material impacts to our financial condition and results of operations during the six months ended June 30, 2022, as a result of the on-going COVID-19 pandemic, the full extent of the impacts of the COVID-19 pandemic on our financial results and business operations are currently unknown and cannot be estimated with any degree of certainty. Impacts to our financial results may include, without limitation, (1) negative impacts to our current and prospective users’ purchases or renewals of paid licenses for access to our platform, delays or defaults on payment obligations, which could negatively affect our revenues and cash flows, (2) modifications to net payment terms or invoice frequency, which could negatively affect our cash flows, and (3) fluctuations in foreign currency exchange rates, which have and may in the future negatively impact our results of operations and cash flows. Impacts to our business operations may include, without limitation, (1) disruptions to our sales operations and marketing efforts, (2) negative impacts to the financial condition or operations of our vendors and business partners, as well as disruptions to the supply chain of hardware needed to offer our services, (3) disruptions to our ability to conduct product development and other important business activities, and (4) potential postponement or cancellation of previously planned investments or other initiatives. In addition, economic effects related to the COVID-19 pandemic, such as ongoing supply chain disruption, a competitive labor market and labor shortages have impacted, and may continue to impact, us and our customers and vendors. Accordingly, the COVID-19 pandemic may have a negative impact on our financial results as well as our business operations, the magnitude and duration of which we are currently unable to predict. Additionally, concerns over the economic impact of the COVID-19 pandemic have caused extreme volatility in financial and other capital markets which may adversely impact our stock price.</w:t>
      </w:r>
    </w:p>
    <w:p>
      <w:pPr>
        <w:spacing w:after="0" w:line="204" w:lineRule="exact"/>
        <w:rPr>
          <w:sz w:val="20"/>
          <w:szCs w:val="20"/>
          <w:color w:val="auto"/>
        </w:rPr>
      </w:pPr>
    </w:p>
    <w:p>
      <w:pPr>
        <w:ind w:right="80" w:firstLine="391"/>
        <w:spacing w:after="0" w:line="312" w:lineRule="auto"/>
        <w:rPr>
          <w:sz w:val="20"/>
          <w:szCs w:val="20"/>
          <w:color w:val="auto"/>
        </w:rPr>
      </w:pPr>
      <w:r>
        <w:rPr>
          <w:rFonts w:ascii="Arial" w:cs="Arial" w:eastAsia="Arial" w:hAnsi="Arial"/>
          <w:sz w:val="15"/>
          <w:szCs w:val="15"/>
          <w:color w:val="auto"/>
        </w:rPr>
        <w:t>We have seen, and expect to continue to see, cost savings from the shift to remote work for all of our employees as a result of the COVID-19 pandemic in areas that include events, travel, utilities, and other benefits. Although we anticipate that some of these cost savings will continue beyond the resolution of the COVID-19 pandemic as result of our continuing shift to a Virtual First work model, we expect that some expenses in these areas will increase relative to current levels as we become more able to offer our employees opportunities for in-person collaboration, and this may impact our rate of profitability in future periods.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successfully manage our growth or successfully execute our plan for future growth.</w:t>
      </w:r>
    </w:p>
    <w:p>
      <w:pPr>
        <w:spacing w:after="0" w:line="25" w:lineRule="exact"/>
        <w:rPr>
          <w:sz w:val="20"/>
          <w:szCs w:val="20"/>
          <w:color w:val="auto"/>
        </w:rPr>
      </w:pPr>
    </w:p>
    <w:p>
      <w:pPr>
        <w:ind w:right="40" w:firstLine="391"/>
        <w:spacing w:after="0" w:line="277" w:lineRule="auto"/>
        <w:rPr>
          <w:sz w:val="20"/>
          <w:szCs w:val="20"/>
          <w:color w:val="auto"/>
        </w:rPr>
      </w:pPr>
      <w:r>
        <w:rPr>
          <w:rFonts w:ascii="Arial" w:cs="Arial" w:eastAsia="Arial" w:hAnsi="Arial"/>
          <w:sz w:val="16"/>
          <w:szCs w:val="16"/>
          <w:color w:val="auto"/>
        </w:rPr>
        <w:t>The growth and expansion of our business, including the introduction of new features and products, places a continuous significant strain on our management, operational, and financial resources. As we introduce new products and features, and our user base and third-party relationships expand, our information technology systems, organizational structures, and internal controls and procedures may not be adequate to support our operations. In addition, we face challenges of integrating, developing, and motivating an increasingly distributed employee base in various countries around the world. These challenges may be heightened in connection with our transition to a Virtual First workforce and seek to align our resources in order to create a more nimble and streamlined organization. Certain members of our management do not have prior experience managing a public company, which may affect how they manage our growth. Managing our growth will also require significant expenditures and allocation of valuable management resources.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In addition, the expansion of our business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207"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 w:lineRule="exact"/>
        <w:rPr>
          <w:sz w:val="20"/>
          <w:szCs w:val="20"/>
          <w:color w:val="auto"/>
        </w:rPr>
      </w:pPr>
    </w:p>
    <w:p>
      <w:pPr>
        <w:ind w:right="80" w:firstLine="391"/>
        <w:spacing w:after="0" w:line="280" w:lineRule="auto"/>
        <w:rPr>
          <w:sz w:val="20"/>
          <w:szCs w:val="20"/>
          <w:color w:val="auto"/>
        </w:rPr>
      </w:pPr>
      <w:r>
        <w:rPr>
          <w:rFonts w:ascii="Arial" w:cs="Arial" w:eastAsia="Arial" w:hAnsi="Arial"/>
          <w:sz w:val="16"/>
          <w:szCs w:val="16"/>
          <w:color w:val="auto"/>
        </w:rPr>
        <w:t>We depend on the continued service and performance of our key personnel. In particular, Andrew W. Houston, our Chief Executive Officer and one of our co-founders, is critical to our vision, strategic direction, culture, and offerings. From time to time, there have been changes in our management team resulting from the hiring or departure of our executives, and there may be additional changes in the future.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spacing w:after="0" w:line="192" w:lineRule="exact"/>
        <w:rPr>
          <w:sz w:val="20"/>
          <w:szCs w:val="20"/>
          <w:color w:val="auto"/>
        </w:rPr>
      </w:pPr>
    </w:p>
    <w:p>
      <w:pPr>
        <w:ind w:right="80" w:firstLine="391"/>
        <w:spacing w:after="0" w:line="280" w:lineRule="auto"/>
        <w:rPr>
          <w:sz w:val="20"/>
          <w:szCs w:val="20"/>
          <w:color w:val="auto"/>
        </w:rPr>
      </w:pPr>
      <w:r>
        <w:rPr>
          <w:rFonts w:ascii="Arial" w:cs="Arial" w:eastAsia="Arial" w:hAnsi="Arial"/>
          <w:sz w:val="16"/>
          <w:szCs w:val="16"/>
          <w:color w:val="auto"/>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Virtual First strategy will give us the opportunity to realign our resources in order to create a more nimble and streamlined organization, we can provide no assurance that we will be able to successfully execute on these plans, and failure to successfully manage these transitions may cause disruptions to our business. Additionally, we will need to adapt and respond to frequently changing circumstances that may impact our workforce, such as natural disasters or pandemics (including the ongoing COVID-19 pandemic), or our ability to maintain an effective workforce may be impacted.</w:t>
      </w:r>
    </w:p>
    <w:p>
      <w:pPr>
        <w:spacing w:after="0" w:line="192" w:lineRule="exact"/>
        <w:rPr>
          <w:sz w:val="20"/>
          <w:szCs w:val="20"/>
          <w:color w:val="auto"/>
        </w:rPr>
      </w:pPr>
    </w:p>
    <w:p>
      <w:pPr>
        <w:ind w:right="20" w:firstLine="391"/>
        <w:spacing w:after="0" w:line="259" w:lineRule="auto"/>
        <w:rPr>
          <w:sz w:val="20"/>
          <w:szCs w:val="20"/>
          <w:color w:val="auto"/>
        </w:rPr>
      </w:pPr>
      <w:r>
        <w:rPr>
          <w:rFonts w:ascii="Arial" w:cs="Arial" w:eastAsia="Arial" w:hAnsi="Arial"/>
          <w:sz w:val="17"/>
          <w:szCs w:val="17"/>
          <w:color w:val="auto"/>
        </w:rPr>
        <w:t>To execute our business plan, we must attract and retain highly qualified personnel. Competition for these employees is intense and has recently intensified as a result of industry trends and we may not be successful in attracting and retaining qualified personnel. We have experienced, and we may continue experience, difficulty in hiring and retaining highly skilled employees with appropriate qualifications. As we transition to a Virtual First workforce,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and growth prospects could be harmed.</w:t>
      </w:r>
    </w:p>
    <w:p>
      <w:pPr>
        <w:spacing w:after="0" w:line="211" w:lineRule="exact"/>
        <w:rPr>
          <w:sz w:val="20"/>
          <w:szCs w:val="20"/>
          <w:color w:val="auto"/>
        </w:rPr>
      </w:pPr>
    </w:p>
    <w:p>
      <w:pPr>
        <w:ind w:right="80" w:firstLine="391"/>
        <w:spacing w:after="0" w:line="296" w:lineRule="auto"/>
        <w:rPr>
          <w:sz w:val="20"/>
          <w:szCs w:val="20"/>
          <w:color w:val="auto"/>
        </w:rPr>
      </w:pPr>
      <w:r>
        <w:rPr>
          <w:rFonts w:ascii="Arial" w:cs="Arial" w:eastAsia="Arial" w:hAnsi="Arial"/>
          <w:sz w:val="16"/>
          <w:szCs w:val="16"/>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and higher employee turnover could significantly and adversely impact our culture, as could our transition to a Virtual First workforce.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lack of a significant outbound sales force may limit the potential growth of our business.</w:t>
      </w:r>
    </w:p>
    <w:p>
      <w:pPr>
        <w:spacing w:after="0" w:line="25" w:lineRule="exact"/>
        <w:rPr>
          <w:sz w:val="20"/>
          <w:szCs w:val="20"/>
          <w:color w:val="auto"/>
        </w:rPr>
      </w:pPr>
    </w:p>
    <w:p>
      <w:pPr>
        <w:ind w:firstLine="391"/>
        <w:spacing w:after="0" w:line="276" w:lineRule="auto"/>
        <w:rPr>
          <w:sz w:val="20"/>
          <w:szCs w:val="20"/>
          <w:color w:val="auto"/>
        </w:rPr>
      </w:pPr>
      <w:r>
        <w:rPr>
          <w:rFonts w:ascii="Arial" w:cs="Arial" w:eastAsia="Arial" w:hAnsi="Arial"/>
          <w:sz w:val="16"/>
          <w:szCs w:val="16"/>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Furthermore, as part of our workforce reduction in January 2021 we have reduced the size of our outbound sales force to simplify and drive further efficiencies in our outbound sales operations.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marketing expenses. If our limited outbound sales force and lack of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expand sales to large organizations, which could lengthen sales cycles and result in greater deployment challenges.</w:t>
      </w:r>
    </w:p>
    <w:p>
      <w:pPr>
        <w:spacing w:after="0" w:line="25" w:lineRule="exact"/>
        <w:rPr>
          <w:sz w:val="20"/>
          <w:szCs w:val="20"/>
          <w:color w:val="auto"/>
        </w:rPr>
      </w:pPr>
    </w:p>
    <w:p>
      <w:pPr>
        <w:ind w:right="140" w:firstLine="391"/>
        <w:spacing w:after="0" w:line="258" w:lineRule="auto"/>
        <w:rPr>
          <w:sz w:val="20"/>
          <w:szCs w:val="20"/>
          <w:color w:val="auto"/>
        </w:rPr>
      </w:pPr>
      <w:r>
        <w:rPr>
          <w:rFonts w:ascii="Arial" w:cs="Arial" w:eastAsia="Arial" w:hAnsi="Arial"/>
          <w:sz w:val="17"/>
          <w:szCs w:val="17"/>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catastrophic events, including public health epidemics such as the ongoing COVID-19 pandemic, that limit our ability to travel or meet in person, as well as the reduction in the size of our outbound sales force as part of our workforce reduction in January 2021. As a result, sales to large organizations may lead to greater unpredictability in our business, results of operations, and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failure to offer high-quality customer support may harm our relationships with our users and our financial results.</w:t>
      </w:r>
    </w:p>
    <w:p>
      <w:pPr>
        <w:spacing w:after="0" w:line="248" w:lineRule="exact"/>
        <w:rPr>
          <w:sz w:val="20"/>
          <w:szCs w:val="20"/>
          <w:color w:val="auto"/>
        </w:rPr>
      </w:pPr>
    </w:p>
    <w:p>
      <w:pPr>
        <w:ind w:right="20" w:firstLine="391"/>
        <w:spacing w:after="0" w:line="260" w:lineRule="auto"/>
        <w:rPr>
          <w:sz w:val="20"/>
          <w:szCs w:val="20"/>
          <w:color w:val="auto"/>
        </w:rPr>
      </w:pPr>
      <w:r>
        <w:rPr>
          <w:rFonts w:ascii="Arial" w:cs="Arial" w:eastAsia="Arial" w:hAnsi="Arial"/>
          <w:sz w:val="17"/>
          <w:szCs w:val="17"/>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8.81 million as of December 31, 2016, to 17.37 million as of June 30, 2022.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206"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b w:val="1"/>
          <w:bCs w:val="1"/>
          <w:i w:val="1"/>
          <w:iCs w:val="1"/>
          <w:color w:val="auto"/>
        </w:rPr>
        <w:t>Our business depends on a strong brand, and if we are unable to maintain and enhance our brand, our ability to expand our base of users will be impaired and our business, results of operations, and financial condition will be harmed.</w:t>
      </w:r>
    </w:p>
    <w:p>
      <w:pPr>
        <w:spacing w:after="0" w:line="184" w:lineRule="exact"/>
        <w:rPr>
          <w:sz w:val="20"/>
          <w:szCs w:val="20"/>
          <w:color w:val="auto"/>
        </w:rPr>
      </w:pPr>
    </w:p>
    <w:p>
      <w:pPr>
        <w:ind w:right="20" w:firstLine="391"/>
        <w:spacing w:after="0" w:line="307" w:lineRule="auto"/>
        <w:rPr>
          <w:sz w:val="20"/>
          <w:szCs w:val="20"/>
          <w:color w:val="auto"/>
        </w:rPr>
      </w:pPr>
      <w:r>
        <w:rPr>
          <w:rFonts w:ascii="Arial" w:cs="Arial" w:eastAsia="Arial" w:hAnsi="Arial"/>
          <w:sz w:val="15"/>
          <w:szCs w:val="15"/>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175"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184" w:lineRule="exact"/>
        <w:rPr>
          <w:sz w:val="20"/>
          <w:szCs w:val="20"/>
          <w:color w:val="auto"/>
        </w:rPr>
      </w:pPr>
    </w:p>
    <w:p>
      <w:pPr>
        <w:ind w:firstLine="391"/>
        <w:spacing w:after="0" w:line="278" w:lineRule="auto"/>
        <w:rPr>
          <w:sz w:val="20"/>
          <w:szCs w:val="20"/>
          <w:color w:val="auto"/>
        </w:rPr>
      </w:pPr>
      <w:r>
        <w:rPr>
          <w:rFonts w:ascii="Arial" w:cs="Arial" w:eastAsia="Arial" w:hAnsi="Arial"/>
          <w:sz w:val="16"/>
          <w:szCs w:val="16"/>
          <w:color w:val="auto"/>
        </w:rPr>
        <w:t>We have paying users across approximately 180 countries and approximately half of our revenue in the year ended December 31, 2021 was generated from paying users outside the United States. We expect to continue to expand our international operations, which may include employees working in new jurisdictions and providing our platform in additional languages. Any new markets or countries into which we attempt to sell subscriptions to our platform may not be receptive. For example, we may not be able to expand further in some markets if we are unable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Expanding and operating internationally subjects us to new regulatory, economic, geographic, social, and political risks and may increase risks that we currently face, including risks associated with:</w:t>
      </w:r>
    </w:p>
    <w:p>
      <w:pPr>
        <w:spacing w:after="0" w:line="194" w:lineRule="exact"/>
        <w:rPr>
          <w:sz w:val="20"/>
          <w:szCs w:val="20"/>
          <w:color w:val="auto"/>
        </w:rPr>
      </w:pPr>
    </w:p>
    <w:p>
      <w:pPr>
        <w:ind w:left="1260" w:right="720" w:hanging="317"/>
        <w:spacing w:after="0" w:line="287" w:lineRule="auto"/>
        <w:tabs>
          <w:tab w:leader="none" w:pos="1256"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compliance with applicable international laws, regulations, and standards including laws and regulations with respect to privacy, data protection, cyber security, consumer protection, and unsolicited email, and the risk of</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penalties to our users and individual members of management or employees if our practices are deemed to be out of compliance;</w:t>
      </w:r>
    </w:p>
    <w:p>
      <w:pPr>
        <w:spacing w:after="0" w:line="248" w:lineRule="exact"/>
        <w:rPr>
          <w:sz w:val="20"/>
          <w:szCs w:val="20"/>
          <w:color w:val="auto"/>
        </w:rPr>
      </w:pPr>
    </w:p>
    <w:p>
      <w:pPr>
        <w:ind w:left="1260" w:right="460" w:hanging="317"/>
        <w:spacing w:after="0" w:line="287" w:lineRule="auto"/>
        <w:tabs>
          <w:tab w:leader="none" w:pos="12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recruiting and retaining talented and capable employees outside the United States, and maintaining our company culture across all of our locations, including as we shift to Virtual First and an increasingly distributed workforce;</w:t>
      </w:r>
    </w:p>
    <w:p>
      <w:pPr>
        <w:spacing w:after="0" w:line="184" w:lineRule="exact"/>
        <w:rPr>
          <w:rFonts w:ascii="Arial" w:cs="Arial" w:eastAsia="Arial" w:hAnsi="Arial"/>
          <w:sz w:val="17"/>
          <w:szCs w:val="17"/>
          <w:color w:val="auto"/>
        </w:rPr>
      </w:pPr>
    </w:p>
    <w:p>
      <w:pPr>
        <w:ind w:left="1260" w:right="100" w:hanging="317"/>
        <w:spacing w:after="0" w:line="357" w:lineRule="auto"/>
        <w:tabs>
          <w:tab w:leader="none" w:pos="1256"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38" w:lineRule="exact"/>
        <w:rPr>
          <w:rFonts w:ascii="Arial" w:cs="Arial" w:eastAsia="Arial" w:hAnsi="Arial"/>
          <w:sz w:val="15"/>
          <w:szCs w:val="15"/>
          <w:color w:val="auto"/>
        </w:rPr>
      </w:pPr>
    </w:p>
    <w:p>
      <w:pPr>
        <w:ind w:left="1260" w:hanging="317"/>
        <w:spacing w:after="0"/>
        <w:tabs>
          <w:tab w:leader="none" w:pos="12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management of an employee base in jurisdictions that may not give us the same employment and retention flexibility as does the United States;</w:t>
      </w:r>
    </w:p>
    <w:p>
      <w:pPr>
        <w:spacing w:after="0" w:line="270" w:lineRule="exact"/>
        <w:rPr>
          <w:rFonts w:ascii="Arial" w:cs="Arial" w:eastAsia="Arial" w:hAnsi="Arial"/>
          <w:sz w:val="15"/>
          <w:szCs w:val="15"/>
          <w:color w:val="auto"/>
        </w:rPr>
      </w:pPr>
    </w:p>
    <w:p>
      <w:pPr>
        <w:ind w:left="1260" w:hanging="317"/>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operating in jurisdictions that do not protect intellectual property rights to the same extent as does the United States;</w:t>
      </w:r>
    </w:p>
    <w:p>
      <w:pPr>
        <w:spacing w:after="0" w:line="247" w:lineRule="exact"/>
        <w:rPr>
          <w:rFonts w:ascii="Arial" w:cs="Arial" w:eastAsia="Arial" w:hAnsi="Arial"/>
          <w:sz w:val="17"/>
          <w:szCs w:val="17"/>
          <w:color w:val="auto"/>
        </w:rPr>
      </w:pPr>
    </w:p>
    <w:p>
      <w:pPr>
        <w:ind w:left="1260" w:right="640" w:hanging="317"/>
        <w:spacing w:after="0" w:line="287" w:lineRule="auto"/>
        <w:tabs>
          <w:tab w:leader="none" w:pos="12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84" w:lineRule="exact"/>
        <w:rPr>
          <w:rFonts w:ascii="Arial" w:cs="Arial" w:eastAsia="Arial" w:hAnsi="Arial"/>
          <w:sz w:val="17"/>
          <w:szCs w:val="17"/>
          <w:color w:val="auto"/>
        </w:rPr>
      </w:pPr>
    </w:p>
    <w:p>
      <w:pPr>
        <w:ind w:left="1260" w:hanging="317"/>
        <w:spacing w:after="0" w:line="287" w:lineRule="auto"/>
        <w:tabs>
          <w:tab w:leader="none" w:pos="12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foreign exchange controls that might require significant lead time in setting up operations in certain geographic territories and might prevent us from repatriating cash earned outside the United States;</w:t>
      </w:r>
    </w:p>
    <w:p>
      <w:pPr>
        <w:spacing w:after="0" w:line="184" w:lineRule="exact"/>
        <w:rPr>
          <w:rFonts w:ascii="Arial" w:cs="Arial" w:eastAsia="Arial" w:hAnsi="Arial"/>
          <w:sz w:val="17"/>
          <w:szCs w:val="17"/>
          <w:color w:val="auto"/>
        </w:rPr>
      </w:pPr>
    </w:p>
    <w:p>
      <w:pPr>
        <w:ind w:left="1260" w:right="400" w:hanging="317"/>
        <w:spacing w:after="0" w:line="287" w:lineRule="auto"/>
        <w:tabs>
          <w:tab w:leader="none" w:pos="12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political, social, and economic instability, conflicts, and wars, such as the conflict between Russia and Ukraine and its regional and global ramifications;</w:t>
      </w:r>
    </w:p>
    <w:p>
      <w:pPr>
        <w:spacing w:after="0" w:line="184" w:lineRule="exact"/>
        <w:rPr>
          <w:rFonts w:ascii="Arial" w:cs="Arial" w:eastAsia="Arial" w:hAnsi="Arial"/>
          <w:sz w:val="17"/>
          <w:szCs w:val="17"/>
          <w:color w:val="auto"/>
        </w:rPr>
      </w:pPr>
    </w:p>
    <w:p>
      <w:pPr>
        <w:ind w:left="1260" w:right="220" w:hanging="317"/>
        <w:spacing w:after="0" w:line="287" w:lineRule="auto"/>
        <w:tabs>
          <w:tab w:leader="none" w:pos="12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the imposition of new trade restrictions, trade protection measures, import or export requirements, trade embargoes and other trade barriers;</w:t>
      </w:r>
    </w:p>
    <w:p>
      <w:pPr>
        <w:spacing w:after="0" w:line="184" w:lineRule="exact"/>
        <w:rPr>
          <w:rFonts w:ascii="Arial" w:cs="Arial" w:eastAsia="Arial" w:hAnsi="Arial"/>
          <w:sz w:val="17"/>
          <w:szCs w:val="17"/>
          <w:color w:val="auto"/>
        </w:rPr>
      </w:pPr>
    </w:p>
    <w:p>
      <w:pPr>
        <w:ind w:left="1260" w:right="140" w:hanging="317"/>
        <w:spacing w:after="0" w:line="287" w:lineRule="auto"/>
        <w:tabs>
          <w:tab w:leader="none" w:pos="12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double taxation of our international earnings and potentially adverse tax consequences due to changes in the income and other tax laws of the United States or the international jurisdictions in which we operate;</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 and</w:t>
      </w:r>
    </w:p>
    <w:p>
      <w:pPr>
        <w:spacing w:after="0" w:line="247" w:lineRule="exact"/>
        <w:rPr>
          <w:rFonts w:ascii="Arial" w:cs="Arial" w:eastAsia="Arial" w:hAnsi="Arial"/>
          <w:sz w:val="17"/>
          <w:szCs w:val="17"/>
          <w:color w:val="auto"/>
        </w:rPr>
      </w:pPr>
    </w:p>
    <w:p>
      <w:pPr>
        <w:ind w:left="1260" w:right="620" w:hanging="317"/>
        <w:spacing w:after="0" w:line="287" w:lineRule="auto"/>
        <w:tabs>
          <w:tab w:leader="none" w:pos="12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impact of natural disasters and public health epidemics on employees, travel and the global economy, including the ongoing global COVID-19 pandemic.</w:t>
      </w:r>
    </w:p>
    <w:p>
      <w:pPr>
        <w:spacing w:after="0" w:line="184" w:lineRule="exact"/>
        <w:rPr>
          <w:sz w:val="20"/>
          <w:szCs w:val="20"/>
          <w:color w:val="auto"/>
        </w:rPr>
      </w:pPr>
    </w:p>
    <w:p>
      <w:pPr>
        <w:ind w:firstLine="391"/>
        <w:spacing w:after="0" w:line="261" w:lineRule="auto"/>
        <w:rPr>
          <w:sz w:val="20"/>
          <w:szCs w:val="20"/>
          <w:color w:val="auto"/>
        </w:rPr>
      </w:pPr>
      <w:r>
        <w:rPr>
          <w:rFonts w:ascii="Arial" w:cs="Arial" w:eastAsia="Arial" w:hAnsi="Arial"/>
          <w:sz w:val="17"/>
          <w:szCs w:val="17"/>
          <w:color w:val="auto"/>
        </w:rPr>
        <w:t>Compliance with laws, regulations, and 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Any violations could result in regulatory investigations and enforcement actions, fines, civil and criminal penalties, damages, injunctions, restrictions on our ability to conduct business, or reputational harm. If we are unable to comply with these laws and regulations or manage the complexity of our global operations successfully, our business, results of operations, and financial condition could be adversely affected.</w:t>
      </w:r>
    </w:p>
    <w:p>
      <w:pPr>
        <w:spacing w:after="0" w:line="207"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84" w:lineRule="exact"/>
        <w:rPr>
          <w:sz w:val="20"/>
          <w:szCs w:val="20"/>
          <w:color w:val="auto"/>
        </w:rPr>
      </w:pPr>
    </w:p>
    <w:p>
      <w:pPr>
        <w:ind w:firstLine="391"/>
        <w:spacing w:after="0" w:line="288" w:lineRule="auto"/>
        <w:rPr>
          <w:sz w:val="20"/>
          <w:szCs w:val="20"/>
          <w:color w:val="auto"/>
        </w:rPr>
      </w:pPr>
      <w:r>
        <w:rPr>
          <w:rFonts w:ascii="Arial" w:cs="Arial" w:eastAsia="Arial" w:hAnsi="Arial"/>
          <w:sz w:val="16"/>
          <w:szCs w:val="16"/>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86" w:lineRule="exact"/>
        <w:rPr>
          <w:sz w:val="20"/>
          <w:szCs w:val="20"/>
          <w:color w:val="auto"/>
        </w:rPr>
      </w:pPr>
    </w:p>
    <w:p>
      <w:pPr>
        <w:ind w:right="100" w:firstLine="391"/>
        <w:spacing w:after="0" w:line="287" w:lineRule="auto"/>
        <w:rPr>
          <w:sz w:val="20"/>
          <w:szCs w:val="20"/>
          <w:color w:val="auto"/>
        </w:rPr>
      </w:pPr>
      <w:r>
        <w:rPr>
          <w:rFonts w:ascii="Arial" w:cs="Arial" w:eastAsia="Arial" w:hAnsi="Arial"/>
          <w:sz w:val="17"/>
          <w:szCs w:val="17"/>
          <w:color w:val="auto"/>
        </w:rPr>
        <w:t>Datacenter leases and agreements with the providers of datacenter services expire at various times. The owners of these datacenters and providers of these datacenter services may have no obligation to renew their agreements with us on</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spacing w:after="0" w:line="206" w:lineRule="exact"/>
        <w:rPr>
          <w:sz w:val="20"/>
          <w:szCs w:val="20"/>
          <w:color w:val="auto"/>
        </w:rPr>
      </w:pPr>
    </w:p>
    <w:p>
      <w:pPr>
        <w:ind w:firstLine="391"/>
        <w:spacing w:after="0" w:line="281" w:lineRule="auto"/>
        <w:rPr>
          <w:sz w:val="20"/>
          <w:szCs w:val="20"/>
          <w:color w:val="auto"/>
        </w:rPr>
      </w:pPr>
      <w:r>
        <w:rPr>
          <w:rFonts w:ascii="Arial" w:cs="Arial" w:eastAsia="Arial" w:hAnsi="Arial"/>
          <w:sz w:val="16"/>
          <w:szCs w:val="16"/>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94"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b w:val="1"/>
          <w:bCs w:val="1"/>
          <w:i w:val="1"/>
          <w:iCs w:val="1"/>
          <w:color w:val="auto"/>
        </w:rPr>
        <w:t>We have relationships with third parties to provide, develop, and create applications that integrate with our platform, and our business could be harmed if we are unable to continue these relationships.</w:t>
      </w:r>
    </w:p>
    <w:p>
      <w:pPr>
        <w:spacing w:after="0" w:line="184" w:lineRule="exact"/>
        <w:rPr>
          <w:sz w:val="20"/>
          <w:szCs w:val="20"/>
          <w:color w:val="auto"/>
        </w:rPr>
      </w:pPr>
    </w:p>
    <w:p>
      <w:pPr>
        <w:ind w:right="180" w:firstLine="391"/>
        <w:spacing w:after="0" w:line="262" w:lineRule="auto"/>
        <w:rPr>
          <w:sz w:val="20"/>
          <w:szCs w:val="20"/>
          <w:color w:val="auto"/>
        </w:rPr>
      </w:pPr>
      <w:r>
        <w:rPr>
          <w:rFonts w:ascii="Arial" w:cs="Arial" w:eastAsia="Arial" w:hAnsi="Arial"/>
          <w:sz w:val="17"/>
          <w:szCs w:val="17"/>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206" w:lineRule="exact"/>
        <w:rPr>
          <w:sz w:val="20"/>
          <w:szCs w:val="20"/>
          <w:color w:val="auto"/>
        </w:rPr>
      </w:pPr>
    </w:p>
    <w:p>
      <w:pPr>
        <w:ind w:right="180" w:firstLine="391"/>
        <w:spacing w:after="0" w:line="288" w:lineRule="auto"/>
        <w:rPr>
          <w:sz w:val="20"/>
          <w:szCs w:val="20"/>
          <w:color w:val="auto"/>
        </w:rPr>
      </w:pPr>
      <w:r>
        <w:rPr>
          <w:rFonts w:ascii="Arial" w:cs="Arial" w:eastAsia="Arial" w:hAnsi="Arial"/>
          <w:sz w:val="16"/>
          <w:szCs w:val="16"/>
          <w:color w:val="auto"/>
        </w:rPr>
        <w:t>We also depend on our ecosystem of developers to create applications that will integrate with our platform. As of December 31, 2021, Dropbox was receiving over 75 billion API calls per month, and just under 1,000,000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spacing w:after="0" w:line="186" w:lineRule="exact"/>
        <w:rPr>
          <w:sz w:val="20"/>
          <w:szCs w:val="20"/>
          <w:color w:val="auto"/>
        </w:rPr>
      </w:pPr>
    </w:p>
    <w:p>
      <w:pPr>
        <w:ind w:right="280" w:firstLine="391"/>
        <w:spacing w:after="0" w:line="287" w:lineRule="auto"/>
        <w:rPr>
          <w:sz w:val="20"/>
          <w:szCs w:val="20"/>
          <w:color w:val="auto"/>
        </w:rPr>
      </w:pPr>
      <w:r>
        <w:rPr>
          <w:rFonts w:ascii="Arial" w:cs="Arial" w:eastAsia="Arial" w:hAnsi="Arial"/>
          <w:sz w:val="17"/>
          <w:szCs w:val="17"/>
          <w:color w:val="auto"/>
        </w:rPr>
        <w:t>We may not have the ability to control or prevent these risks. As a result, issues relating to these applications could adversely affect our business, brand, and reputation.</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open source software could negatively affect our ability to offer and sell subscriptions to our platform and subject us to possible litigation.</w:t>
      </w:r>
    </w:p>
    <w:p>
      <w:pPr>
        <w:spacing w:after="0" w:line="271" w:lineRule="exact"/>
        <w:rPr>
          <w:sz w:val="20"/>
          <w:szCs w:val="20"/>
          <w:color w:val="auto"/>
        </w:rPr>
      </w:pPr>
    </w:p>
    <w:p>
      <w:pPr>
        <w:ind w:right="20" w:firstLine="391"/>
        <w:spacing w:after="0" w:line="277" w:lineRule="auto"/>
        <w:rPr>
          <w:sz w:val="20"/>
          <w:szCs w:val="20"/>
          <w:color w:val="auto"/>
        </w:rPr>
      </w:pPr>
      <w:r>
        <w:rPr>
          <w:rFonts w:ascii="Arial" w:cs="Arial" w:eastAsia="Arial" w:hAnsi="Arial"/>
          <w:sz w:val="16"/>
          <w:szCs w:val="16"/>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sell subscriptions to our platform could be harmed by real or perceived material defects or errors in our platform.</w:t>
      </w:r>
    </w:p>
    <w:p>
      <w:pPr>
        <w:spacing w:after="0" w:line="248" w:lineRule="exact"/>
        <w:rPr>
          <w:sz w:val="20"/>
          <w:szCs w:val="20"/>
          <w:color w:val="auto"/>
        </w:rPr>
      </w:pPr>
    </w:p>
    <w:p>
      <w:pPr>
        <w:ind w:right="280" w:firstLine="391"/>
        <w:spacing w:after="0" w:line="271" w:lineRule="auto"/>
        <w:rPr>
          <w:sz w:val="20"/>
          <w:szCs w:val="20"/>
          <w:color w:val="auto"/>
        </w:rPr>
      </w:pPr>
      <w:r>
        <w:rPr>
          <w:rFonts w:ascii="Arial" w:cs="Arial" w:eastAsia="Arial" w:hAnsi="Arial"/>
          <w:sz w:val="17"/>
          <w:szCs w:val="17"/>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207" w:lineRule="exact"/>
        <w:rPr>
          <w:sz w:val="20"/>
          <w:szCs w:val="20"/>
          <w:color w:val="auto"/>
        </w:rPr>
      </w:pPr>
    </w:p>
    <w:p>
      <w:pPr>
        <w:ind w:right="20" w:firstLine="391"/>
        <w:spacing w:after="0" w:line="271" w:lineRule="auto"/>
        <w:rPr>
          <w:sz w:val="20"/>
          <w:szCs w:val="20"/>
          <w:color w:val="auto"/>
        </w:rPr>
      </w:pPr>
      <w:r>
        <w:rPr>
          <w:rFonts w:ascii="Arial" w:cs="Arial" w:eastAsia="Arial" w:hAnsi="Arial"/>
          <w:sz w:val="17"/>
          <w:szCs w:val="17"/>
          <w:color w:val="auto"/>
        </w:rPr>
        <w:t>We also utilize hardware purchased or leased and software and services licensed from third parties on our platform. Any defects in, or unavailability of, our or third-party software, services, or hardware that cause interruptions to the availability of our services, loss of data, or performance issues could, among other things:</w:t>
      </w:r>
    </w:p>
    <w:p>
      <w:pPr>
        <w:spacing w:after="0" w:line="198" w:lineRule="exact"/>
        <w:rPr>
          <w:sz w:val="20"/>
          <w:szCs w:val="20"/>
          <w:color w:val="auto"/>
        </w:rPr>
      </w:pPr>
    </w:p>
    <w:p>
      <w:pPr>
        <w:ind w:left="1260" w:hanging="317"/>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cause a reduction in revenue or delay in market acceptance of our platform;</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require us to issue refunds to our users or expose us to claims for damages;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cause us to lose existing users and make it more difficult to attract new users;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 our technical support costs; 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harm our reputation and brand.</w:t>
      </w:r>
    </w:p>
    <w:p>
      <w:pPr>
        <w:spacing w:after="0" w:line="248" w:lineRule="exact"/>
        <w:rPr>
          <w:sz w:val="20"/>
          <w:szCs w:val="20"/>
          <w:color w:val="auto"/>
        </w:rPr>
      </w:pPr>
    </w:p>
    <w:p>
      <w:pPr>
        <w:ind w:right="300"/>
        <w:spacing w:after="0" w:line="287" w:lineRule="auto"/>
        <w:rPr>
          <w:sz w:val="20"/>
          <w:szCs w:val="20"/>
          <w:color w:val="auto"/>
        </w:rPr>
      </w:pPr>
      <w:r>
        <w:rPr>
          <w:rFonts w:ascii="Arial" w:cs="Arial" w:eastAsia="Arial" w:hAnsi="Arial"/>
          <w:sz w:val="17"/>
          <w:szCs w:val="17"/>
          <w:b w:val="1"/>
          <w:bCs w:val="1"/>
          <w:i w:val="1"/>
          <w:iCs w:val="1"/>
          <w:color w:val="auto"/>
        </w:rPr>
        <w:t>We have acquired, and may in the future acquire, other businesses, and we may also receive offers to be acquired, any of which could require significant management attention, disrupt our business, or dilute stockholder value.</w:t>
      </w:r>
    </w:p>
    <w:p>
      <w:pPr>
        <w:spacing w:after="0" w:line="184" w:lineRule="exact"/>
        <w:rPr>
          <w:sz w:val="20"/>
          <w:szCs w:val="20"/>
          <w:color w:val="auto"/>
        </w:rPr>
      </w:pPr>
    </w:p>
    <w:p>
      <w:pPr>
        <w:ind w:firstLine="391"/>
        <w:spacing w:after="0" w:line="262" w:lineRule="auto"/>
        <w:rPr>
          <w:sz w:val="20"/>
          <w:szCs w:val="20"/>
          <w:color w:val="auto"/>
        </w:rPr>
      </w:pPr>
      <w:r>
        <w:rPr>
          <w:rFonts w:ascii="Arial" w:cs="Arial" w:eastAsia="Arial" w:hAnsi="Arial"/>
          <w:sz w:val="17"/>
          <w:szCs w:val="17"/>
          <w:color w:val="auto"/>
        </w:rPr>
        <w:t>As part of our business strategy, we have acquired, and may in the future acquire, other companies, employee teams, or technologies to complement or expand our products, obtain personnel, or otherwise grow our business. For example, in the first fiscal quarter of 2021, we acquired DocSend, a secure document sharing platform, to expand our content collaboration capabilities to include additional business critical workflows. Additionally, in the fourth fiscal quarter of 2021, we acquired Command E, a universal search and productivity company, to enhance our search capability. The pursuit of acquisitions may divert the attention of management and cause us to incur various expenses in identifying, investigating, and pursuing suitable acquisitions, whether or not they are consummated.</w:t>
      </w:r>
    </w:p>
    <w:p>
      <w:pPr>
        <w:spacing w:after="0" w:line="193" w:lineRule="exact"/>
        <w:rPr>
          <w:sz w:val="20"/>
          <w:szCs w:val="20"/>
          <w:color w:val="auto"/>
        </w:rPr>
      </w:pPr>
    </w:p>
    <w:p>
      <w:pPr>
        <w:ind w:right="300" w:firstLine="391"/>
        <w:spacing w:after="0" w:line="276" w:lineRule="auto"/>
        <w:rPr>
          <w:sz w:val="20"/>
          <w:szCs w:val="20"/>
          <w:color w:val="auto"/>
        </w:rPr>
      </w:pPr>
      <w:r>
        <w:rPr>
          <w:rFonts w:ascii="Arial" w:cs="Arial" w:eastAsia="Arial" w:hAnsi="Arial"/>
          <w:sz w:val="15"/>
          <w:szCs w:val="15"/>
          <w:color w:val="auto"/>
        </w:rPr>
        <w:t>We have limited experience making acquisitions. We may not be able to find suitable acquisition candidates and we may not be able to complete acquisitions on favorable terms, if at all, and even if we are able to identify suitable acquisition candidates, we may not be able to receive approval from the applicable competition authorities, or such target may be acquired by another company, including one of our competitors. If we do complete acquisitions, we may not ultimately strengthen our competitive position or achieve the anticipated benefits from such acquisitions, due to a number of factors, including:</w:t>
      </w:r>
    </w:p>
    <w:p>
      <w:pPr>
        <w:spacing w:after="0" w:line="184" w:lineRule="exact"/>
        <w:rPr>
          <w:sz w:val="20"/>
          <w:szCs w:val="20"/>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acquisition-related costs, liabilities, or tax impacts, some of which may be unanticipated;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difficulty integrating and retaining the personnel, intellectual property, technology infrastructure, and operations of an acquired business;</w:t>
      </w:r>
    </w:p>
    <w:p>
      <w:pPr>
        <w:spacing w:after="0" w:line="259" w:lineRule="exact"/>
        <w:rPr>
          <w:rFonts w:ascii="Arial" w:cs="Arial" w:eastAsia="Arial" w:hAnsi="Arial"/>
          <w:sz w:val="16"/>
          <w:szCs w:val="16"/>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ineffective or inadequate, controls, procedures, or policies at an acquired business;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multiple product lines or services offerings, as a result of our acquisitions, that are offered, priced, and supported differently;</w:t>
      </w:r>
    </w:p>
    <w:p>
      <w:pPr>
        <w:spacing w:after="0" w:line="247" w:lineRule="exact"/>
        <w:rPr>
          <w:rFonts w:ascii="Arial" w:cs="Arial" w:eastAsia="Arial" w:hAnsi="Arial"/>
          <w:sz w:val="17"/>
          <w:szCs w:val="17"/>
          <w:color w:val="auto"/>
        </w:rPr>
      </w:pPr>
    </w:p>
    <w:p>
      <w:pPr>
        <w:ind w:left="1260" w:right="360" w:hanging="317"/>
        <w:spacing w:after="0" w:line="287" w:lineRule="auto"/>
        <w:tabs>
          <w:tab w:leader="none" w:pos="1256" w:val="left"/>
        </w:tabs>
        <w:numPr>
          <w:ilvl w:val="0"/>
          <w:numId w:val="20"/>
        </w:numPr>
        <w:rPr>
          <w:rFonts w:ascii="Arial" w:cs="Arial" w:eastAsia="Arial" w:hAnsi="Arial"/>
          <w:sz w:val="17"/>
          <w:szCs w:val="17"/>
          <w:color w:val="auto"/>
        </w:rPr>
      </w:pPr>
      <w:r>
        <w:rPr>
          <w:rFonts w:ascii="Arial" w:cs="Arial" w:eastAsia="Arial" w:hAnsi="Arial"/>
          <w:sz w:val="17"/>
          <w:szCs w:val="17"/>
          <w:color w:val="auto"/>
        </w:rPr>
        <w:t>potential unknown liabilities or risks associated with an acquired business, including those arising from existing contractual obligations or litigation matters;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inability to maintain relationships with key customers, suppliers, and partners of an acquired business;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lack of experience in new markets, products or technologies;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diversion of management's attention from other business concerns; and</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hanging="317"/>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use of resources that are needed in other parts of our business.</w:t>
      </w:r>
    </w:p>
    <w:p>
      <w:pPr>
        <w:spacing w:after="0" w:line="248" w:lineRule="exact"/>
        <w:rPr>
          <w:sz w:val="20"/>
          <w:szCs w:val="20"/>
          <w:color w:val="auto"/>
        </w:rPr>
      </w:pPr>
    </w:p>
    <w:p>
      <w:pPr>
        <w:jc w:val="both"/>
        <w:ind w:right="120" w:firstLine="313"/>
        <w:spacing w:after="0" w:line="271"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We review goodwill for impairment at least annually. In the future, if our acquisitions do not yield expected returns, we may be required to record impairment charges based this assessment, which could adversely affect our results of operations.</w:t>
      </w:r>
    </w:p>
    <w:p>
      <w:pPr>
        <w:spacing w:after="0" w:line="198" w:lineRule="exact"/>
        <w:rPr>
          <w:sz w:val="20"/>
          <w:szCs w:val="20"/>
          <w:color w:val="auto"/>
        </w:rPr>
      </w:pPr>
    </w:p>
    <w:p>
      <w:pPr>
        <w:ind w:right="120" w:firstLine="313"/>
        <w:spacing w:after="0" w:line="312" w:lineRule="auto"/>
        <w:rPr>
          <w:sz w:val="20"/>
          <w:szCs w:val="20"/>
          <w:color w:val="auto"/>
        </w:rPr>
      </w:pPr>
      <w:r>
        <w:rPr>
          <w:rFonts w:ascii="Arial" w:cs="Arial" w:eastAsia="Arial" w:hAnsi="Arial"/>
          <w:sz w:val="15"/>
          <w:szCs w:val="15"/>
          <w:color w:val="auto"/>
        </w:rPr>
        <w:t>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172" w:lineRule="exact"/>
        <w:rPr>
          <w:sz w:val="20"/>
          <w:szCs w:val="20"/>
          <w:color w:val="auto"/>
        </w:rPr>
      </w:pPr>
    </w:p>
    <w:p>
      <w:pPr>
        <w:ind w:firstLine="313"/>
        <w:spacing w:after="0" w:line="271" w:lineRule="auto"/>
        <w:rPr>
          <w:sz w:val="20"/>
          <w:szCs w:val="20"/>
          <w:color w:val="auto"/>
        </w:rPr>
      </w:pPr>
      <w:r>
        <w:rPr>
          <w:rFonts w:ascii="Arial" w:cs="Arial" w:eastAsia="Arial" w:hAnsi="Arial"/>
          <w:sz w:val="17"/>
          <w:szCs w:val="17"/>
          <w:color w:val="auto"/>
        </w:rPr>
        <w:t>Any acquisition we complete could be viewed negatively by users, developers, partners, or investors, and could have adverse effects on our existing business relationships, financial condition, or the value of our capital stock. In addition, we may not successfully evaluate or utilize acquired technology or accurately forecast the financial impact of an acquisition transaction, including accounting charges.</w:t>
      </w:r>
    </w:p>
    <w:p>
      <w:pPr>
        <w:spacing w:after="0" w:line="198" w:lineRule="exact"/>
        <w:rPr>
          <w:sz w:val="20"/>
          <w:szCs w:val="20"/>
          <w:color w:val="auto"/>
        </w:rPr>
      </w:pPr>
    </w:p>
    <w:p>
      <w:pPr>
        <w:ind w:right="180" w:firstLine="313"/>
        <w:spacing w:after="0" w:line="266" w:lineRule="auto"/>
        <w:rPr>
          <w:sz w:val="20"/>
          <w:szCs w:val="20"/>
          <w:color w:val="auto"/>
        </w:rPr>
      </w:pPr>
      <w:r>
        <w:rPr>
          <w:rFonts w:ascii="Arial" w:cs="Arial" w:eastAsia="Arial" w:hAnsi="Arial"/>
          <w:sz w:val="17"/>
          <w:szCs w:val="17"/>
          <w:color w:val="auto"/>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03"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b w:val="1"/>
          <w:bCs w:val="1"/>
          <w:i w:val="1"/>
          <w:iCs w:val="1"/>
          <w:color w:val="auto"/>
        </w:rPr>
        <w:t>Our business may be significantly impacted by a change in general economic, political, and market conditions, including any resulting effect on consumer or business spending.</w:t>
      </w:r>
    </w:p>
    <w:p>
      <w:pPr>
        <w:spacing w:after="0" w:line="184" w:lineRule="exact"/>
        <w:rPr>
          <w:sz w:val="20"/>
          <w:szCs w:val="20"/>
          <w:color w:val="auto"/>
        </w:rPr>
      </w:pPr>
    </w:p>
    <w:p>
      <w:pPr>
        <w:ind w:firstLine="391"/>
        <w:spacing w:after="0" w:line="280" w:lineRule="auto"/>
        <w:rPr>
          <w:sz w:val="20"/>
          <w:szCs w:val="20"/>
          <w:color w:val="auto"/>
        </w:rPr>
      </w:pPr>
      <w:r>
        <w:rPr>
          <w:rFonts w:ascii="Arial" w:cs="Arial" w:eastAsia="Arial" w:hAnsi="Arial"/>
          <w:sz w:val="16"/>
          <w:szCs w:val="16"/>
          <w:color w:val="auto"/>
        </w:rPr>
        <w:t>Our business may be affected by general economic, political, and market conditions, including any resulting effect on spending by our business and consumer users. Some of our users may view a subscription to our platform as a discretionary purchase, and our paying users may reduce their discretionary spending on our platform during an economic downturn, especially in the event of a prolonged recessionary period. Concerns about inflation, rising interest rates, geopolitical issues, such as the conflict between Russia and Ukraine, the ongoing COVID-19 pandemic or a widespread economic slowdown (in the United States or internationally) have and could continue to lead to increased market volatility and economic uncertainty, which could cause current and prospective paying users to delay, decrease, or cancel purchases of our products and services, or delay or default on their payment obligations. As a result, our business, results of operations, and financial condition may be significantly affected by changes in the economy generally.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and future indebtedness may limit our operating flexibility or otherwise affect our business.</w:t>
      </w:r>
    </w:p>
    <w:p>
      <w:pPr>
        <w:spacing w:after="0" w:line="248" w:lineRule="exact"/>
        <w:rPr>
          <w:sz w:val="20"/>
          <w:szCs w:val="20"/>
          <w:color w:val="auto"/>
        </w:rPr>
      </w:pPr>
    </w:p>
    <w:p>
      <w:pPr>
        <w:ind w:right="220" w:firstLine="391"/>
        <w:spacing w:after="0" w:line="287" w:lineRule="auto"/>
        <w:rPr>
          <w:sz w:val="20"/>
          <w:szCs w:val="20"/>
          <w:color w:val="auto"/>
        </w:rPr>
      </w:pPr>
      <w:r>
        <w:rPr>
          <w:rFonts w:ascii="Arial" w:cs="Arial" w:eastAsia="Arial" w:hAnsi="Arial"/>
          <w:sz w:val="17"/>
          <w:szCs w:val="17"/>
          <w:color w:val="auto"/>
        </w:rPr>
        <w:t>Our current indebtedness, including our 2026 Notes, 2028 Notes and our revolving credit facility, place significant restrictions on our business and could have important consequences to our stockholders and effects on our business, as could any future indebtedness.</w:t>
      </w:r>
    </w:p>
    <w:p>
      <w:pPr>
        <w:spacing w:after="0" w:line="184" w:lineRule="exact"/>
        <w:rPr>
          <w:sz w:val="20"/>
          <w:szCs w:val="20"/>
          <w:color w:val="auto"/>
        </w:rPr>
      </w:pPr>
    </w:p>
    <w:p>
      <w:pPr>
        <w:ind w:right="60" w:firstLine="391"/>
        <w:spacing w:after="0" w:line="288" w:lineRule="auto"/>
        <w:rPr>
          <w:sz w:val="20"/>
          <w:szCs w:val="20"/>
          <w:color w:val="auto"/>
        </w:rPr>
      </w:pPr>
      <w:r>
        <w:rPr>
          <w:rFonts w:ascii="Arial" w:cs="Arial" w:eastAsia="Arial" w:hAnsi="Arial"/>
          <w:sz w:val="16"/>
          <w:szCs w:val="16"/>
          <w:color w:val="auto"/>
        </w:rPr>
        <w:t>For example, the terms of our revolving credit and guarantee agreement, as amended, contain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consolidated leverage ratio incurrence covenant and a minimum liquidity balance.</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addition, such current and future indebtedness could:</w:t>
      </w:r>
    </w:p>
    <w:p>
      <w:pPr>
        <w:spacing w:after="0" w:line="248" w:lineRule="exact"/>
        <w:rPr>
          <w:sz w:val="20"/>
          <w:szCs w:val="20"/>
          <w:color w:val="auto"/>
        </w:rPr>
      </w:pPr>
    </w:p>
    <w:p>
      <w:pPr>
        <w:ind w:left="1260" w:hanging="317"/>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make it more difficult for us to satisfy our debt obligations, including the 2026 Notes and the 2028 Notes;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increase our vulnerability to general adverse economic and industry conditions;</w:t>
      </w:r>
    </w:p>
    <w:p>
      <w:pPr>
        <w:spacing w:after="0" w:line="247" w:lineRule="exact"/>
        <w:rPr>
          <w:rFonts w:ascii="Arial" w:cs="Arial" w:eastAsia="Arial" w:hAnsi="Arial"/>
          <w:sz w:val="17"/>
          <w:szCs w:val="17"/>
          <w:color w:val="auto"/>
        </w:rPr>
      </w:pPr>
    </w:p>
    <w:p>
      <w:pPr>
        <w:ind w:left="1260" w:right="60" w:hanging="317"/>
        <w:spacing w:after="0" w:line="287" w:lineRule="auto"/>
        <w:tabs>
          <w:tab w:leader="none" w:pos="1256"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indebtedness, thereby reducing the availability of our cash flow to fund working capital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the industry in which we operate;</w:t>
      </w:r>
    </w:p>
    <w:p>
      <w:pPr>
        <w:spacing w:after="0" w:line="247" w:lineRule="exact"/>
        <w:rPr>
          <w:rFonts w:ascii="Arial" w:cs="Arial" w:eastAsia="Arial" w:hAnsi="Arial"/>
          <w:sz w:val="17"/>
          <w:szCs w:val="17"/>
          <w:color w:val="auto"/>
        </w:rPr>
      </w:pPr>
    </w:p>
    <w:p>
      <w:pPr>
        <w:ind w:left="1260" w:right="360" w:hanging="317"/>
        <w:spacing w:after="0" w:line="287" w:lineRule="auto"/>
        <w:tabs>
          <w:tab w:leader="none" w:pos="1256"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restrict our current and future operations, make it more difficult to successfully execute our business strategy, or restrict us from exploiting business opportunities;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indebtedness or are not subject to restrictive covenants;</w:t>
      </w:r>
    </w:p>
    <w:p>
      <w:pPr>
        <w:spacing w:after="0" w:line="259" w:lineRule="exact"/>
        <w:rPr>
          <w:rFonts w:ascii="Arial" w:cs="Arial" w:eastAsia="Arial" w:hAnsi="Arial"/>
          <w:sz w:val="16"/>
          <w:szCs w:val="16"/>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restrict or otherwise impact the pace and timing of repurchases under our stock repurchase program; and</w:t>
      </w:r>
    </w:p>
    <w:p>
      <w:pPr>
        <w:spacing w:after="0" w:line="247" w:lineRule="exact"/>
        <w:rPr>
          <w:rFonts w:ascii="Arial" w:cs="Arial" w:eastAsia="Arial" w:hAnsi="Arial"/>
          <w:sz w:val="17"/>
          <w:szCs w:val="17"/>
          <w:color w:val="auto"/>
        </w:rPr>
      </w:pPr>
    </w:p>
    <w:p>
      <w:pPr>
        <w:ind w:left="1260" w:right="80" w:hanging="317"/>
        <w:spacing w:after="0" w:line="287" w:lineRule="auto"/>
        <w:tabs>
          <w:tab w:leader="none" w:pos="1256"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limit our availability to borrow additional funds for working capital, capital expenditures, acquisitions, debt service requirements, execution of our business strategy, or other general purposes.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Any of the foregoing could have a material adverse effect on our business, cash flows, results of operations, and financial condition.</w:t>
      </w:r>
    </w:p>
    <w:p>
      <w:pPr>
        <w:spacing w:after="0" w:line="248"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i w:val="1"/>
          <w:iCs w:val="1"/>
          <w:color w:val="auto"/>
        </w:rPr>
        <w:t>Our operations may be interrupted and our business, results of operations, and financial condition could be adversely affected if we default on our leasing or credit obligations.</w:t>
      </w:r>
    </w:p>
    <w:p>
      <w:pPr>
        <w:spacing w:after="0" w:line="184" w:lineRule="exact"/>
        <w:rPr>
          <w:sz w:val="20"/>
          <w:szCs w:val="20"/>
          <w:color w:val="auto"/>
        </w:rPr>
      </w:pPr>
    </w:p>
    <w:p>
      <w:pPr>
        <w:ind w:right="60" w:firstLine="391"/>
        <w:spacing w:after="0" w:line="288" w:lineRule="auto"/>
        <w:rPr>
          <w:sz w:val="20"/>
          <w:szCs w:val="20"/>
          <w:color w:val="auto"/>
        </w:rPr>
      </w:pPr>
      <w:r>
        <w:rPr>
          <w:rFonts w:ascii="Arial" w:cs="Arial" w:eastAsia="Arial" w:hAnsi="Arial"/>
          <w:sz w:val="16"/>
          <w:szCs w:val="16"/>
          <w:color w:val="auto"/>
        </w:rPr>
        <w:t>We finance a significant portion of our expenditures through leasing arrangements, and we may enter into additional similar arrangements in the future. As of December 31, 2021, we had an aggregate of $1,342.0 million of commitments to settle contractual obligations. In particular, we utilize both finance and operating leases to finance some of our equipment, datacenters and offices. In addition, we may draw upon our revolving credit facility to finance our operations or for other corporate purposes. If we default on these leasing or credit obligations, our leasing partners and lenders may, among other things:</w:t>
      </w:r>
    </w:p>
    <w:p>
      <w:pPr>
        <w:spacing w:after="0" w:line="186" w:lineRule="exact"/>
        <w:rPr>
          <w:sz w:val="20"/>
          <w:szCs w:val="20"/>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require repayment of any outstanding lease obligations;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terminate our leasing arrangements;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terminate our access to the leased datacenters we utilize;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stop delivery of ordered equipment;</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sell or require us to return our leased equipment;</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require repayment of any outstanding amounts drawn on our revolving credit facility;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terminate our revolving credit facility; or</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require us to pay significant fees, penalties, or damages.</w:t>
      </w:r>
    </w:p>
    <w:p>
      <w:pPr>
        <w:spacing w:after="0" w:line="248" w:lineRule="exact"/>
        <w:rPr>
          <w:sz w:val="20"/>
          <w:szCs w:val="20"/>
          <w:color w:val="auto"/>
        </w:rPr>
      </w:pPr>
    </w:p>
    <w:p>
      <w:pPr>
        <w:ind w:right="60" w:firstLine="391"/>
        <w:spacing w:after="0" w:line="263" w:lineRule="auto"/>
        <w:rPr>
          <w:sz w:val="20"/>
          <w:szCs w:val="20"/>
          <w:color w:val="auto"/>
        </w:rPr>
      </w:pPr>
      <w:r>
        <w:rPr>
          <w:rFonts w:ascii="Arial" w:cs="Arial" w:eastAsia="Arial" w:hAnsi="Arial"/>
          <w:sz w:val="17"/>
          <w:szCs w:val="17"/>
          <w:color w:val="auto"/>
        </w:rPr>
        <w:t>If some or all of these events were to occur, our operations may be interrupted and our ability to fund our operations or obligations, as well as our business, results of operations, and financial condition, could be adversely affected. In particular,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200" w:lineRule="exact"/>
        <w:rPr>
          <w:sz w:val="20"/>
          <w:szCs w:val="20"/>
          <w:color w:val="auto"/>
        </w:rPr>
      </w:pPr>
    </w:p>
    <w:p>
      <w:pPr>
        <w:spacing w:after="0" w:line="235"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Risks Related to Our Financial Performance or Results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has declined in recent periods and may continue to slow in the future.</w:t>
      </w:r>
    </w:p>
    <w:p>
      <w:pPr>
        <w:spacing w:after="0" w:line="235" w:lineRule="exact"/>
        <w:rPr>
          <w:sz w:val="20"/>
          <w:szCs w:val="20"/>
          <w:color w:val="auto"/>
        </w:rPr>
      </w:pPr>
    </w:p>
    <w:p>
      <w:pPr>
        <w:ind w:right="160" w:firstLine="391"/>
        <w:spacing w:after="0" w:line="276" w:lineRule="auto"/>
        <w:rPr>
          <w:sz w:val="20"/>
          <w:szCs w:val="20"/>
          <w:color w:val="auto"/>
        </w:rPr>
      </w:pPr>
      <w:r>
        <w:rPr>
          <w:rFonts w:ascii="Arial" w:cs="Arial" w:eastAsia="Arial" w:hAnsi="Arial"/>
          <w:sz w:val="15"/>
          <w:szCs w:val="15"/>
          <w:color w:val="auto"/>
        </w:rPr>
        <w:t>We have experienced significant revenue growth in prior periods. However, 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 decrease in the growth of the overall content collaboration market, a failure by us to continue capitalizing on growth opportunities, the impact of catastrophic events on economic conditions or on our current and</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prospective paying users, fluctuations in foreign currency exchange rates,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we may increase expenses in the future, and we may not be able to achieve or maintain profitability.</w:t>
      </w:r>
    </w:p>
    <w:p>
      <w:pPr>
        <w:spacing w:after="0" w:line="248" w:lineRule="exact"/>
        <w:rPr>
          <w:sz w:val="20"/>
          <w:szCs w:val="20"/>
          <w:color w:val="auto"/>
        </w:rPr>
      </w:pPr>
    </w:p>
    <w:p>
      <w:pPr>
        <w:ind w:firstLine="391"/>
        <w:spacing w:after="0" w:line="274" w:lineRule="auto"/>
        <w:rPr>
          <w:sz w:val="20"/>
          <w:szCs w:val="20"/>
          <w:color w:val="auto"/>
        </w:rPr>
      </w:pPr>
      <w:r>
        <w:rPr>
          <w:rFonts w:ascii="Arial" w:cs="Arial" w:eastAsia="Arial" w:hAnsi="Arial"/>
          <w:sz w:val="16"/>
          <w:szCs w:val="16"/>
          <w:color w:val="auto"/>
        </w:rPr>
        <w:t>While we have been profitable on a GAAP basis in prior fiscal quarters, 2021 was our first profitable full fiscal year. We may, however, not achieve or maintain profitability in future periods. We incurred net losses on an annual basis from our inception until 2020. We incurred net losses of $256.3 million and $52.7 million in the years ended December 31, 2020 and 2019, respectively. We generated net income of $335.8 million in the year ended December 31, 2021 and we had an accumulated deficit of $2,739.4 million as of December 31, 2021. As we strive to grow our business, expenses may increase, particularly as we continue to make investments to scale our business.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although we anticipate that our shift to a Virtual First work model will have a long-term positive impact on our financial results and business operations, the impact remains uncertain.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shift to a Virtual First model. We may also encounter unforeseen or unpredictable factors, including unforeseen operating expenses, complications, or delays, which may result in increased costs, or cause us to generate less sublease income than we have currently estimated. 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206"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i w:val="1"/>
          <w:iCs w:val="1"/>
          <w:color w:val="auto"/>
        </w:rPr>
        <w:t>Servicing our 2026 Notes and 2028 Notes may require a significant amount of cash, and we may not have sufficient cash flow or the ability to raise the funds necessary to satisfy our obligations under the 2026 Notes or 2028 Notes.</w:t>
      </w:r>
    </w:p>
    <w:p>
      <w:pPr>
        <w:spacing w:after="0" w:line="184" w:lineRule="exact"/>
        <w:rPr>
          <w:sz w:val="20"/>
          <w:szCs w:val="20"/>
          <w:color w:val="auto"/>
        </w:rPr>
      </w:pPr>
    </w:p>
    <w:p>
      <w:pPr>
        <w:ind w:firstLine="391"/>
        <w:spacing w:after="0" w:line="299" w:lineRule="auto"/>
        <w:rPr>
          <w:sz w:val="20"/>
          <w:szCs w:val="20"/>
          <w:color w:val="auto"/>
        </w:rPr>
      </w:pPr>
      <w:r>
        <w:rPr>
          <w:rFonts w:ascii="Arial" w:cs="Arial" w:eastAsia="Arial" w:hAnsi="Arial"/>
          <w:sz w:val="15"/>
          <w:szCs w:val="15"/>
          <w:color w:val="auto"/>
        </w:rPr>
        <w:t>Our ability to make scheduled payments of the principal of, to pay interest on or to refinance our indebtedness, including the 2026 Notes and 2028 Notes, or to make cash payments in connection with any conversion of the 2026 Notes, 2028 Notes or upon any fundamental change if holders of the applicable series of notes require us to repurchase their notes for cash, depends on our future performance, which is subject to economic, financial, competitive and other factors beyond our control. Our 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quarterly results may fluctuate significantly and may not fully reflect the underlying performance of our business.</w:t>
      </w:r>
    </w:p>
    <w:p>
      <w:pPr>
        <w:spacing w:after="0" w:line="248" w:lineRule="exact"/>
        <w:rPr>
          <w:sz w:val="20"/>
          <w:szCs w:val="20"/>
          <w:color w:val="auto"/>
        </w:rPr>
      </w:pPr>
    </w:p>
    <w:p>
      <w:pPr>
        <w:ind w:right="60" w:firstLine="391"/>
        <w:spacing w:after="0" w:line="261" w:lineRule="auto"/>
        <w:rPr>
          <w:sz w:val="20"/>
          <w:szCs w:val="20"/>
          <w:color w:val="auto"/>
        </w:rPr>
      </w:pPr>
      <w:r>
        <w:rPr>
          <w:rFonts w:ascii="Arial" w:cs="Arial" w:eastAsia="Arial" w:hAnsi="Arial"/>
          <w:sz w:val="17"/>
          <w:szCs w:val="17"/>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have been profitable on a GAAP basis in prior fiscal quarters, our quarterly operating results have fluctuated in the past and will fluctuate in the future.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retain and upgrade paying users;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attract new paying users and convert registered to paying users;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of expenses and recognition of revenue;</w:t>
      </w:r>
    </w:p>
    <w:p>
      <w:pPr>
        <w:spacing w:after="0" w:line="247" w:lineRule="exact"/>
        <w:rPr>
          <w:rFonts w:ascii="Arial" w:cs="Arial" w:eastAsia="Arial" w:hAnsi="Arial"/>
          <w:sz w:val="17"/>
          <w:szCs w:val="17"/>
          <w:color w:val="auto"/>
        </w:rPr>
      </w:pPr>
    </w:p>
    <w:p>
      <w:pPr>
        <w:ind w:left="1260" w:right="140" w:hanging="317"/>
        <w:spacing w:after="0" w:line="287" w:lineRule="auto"/>
        <w:tabs>
          <w:tab w:leader="none" w:pos="12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amount and timing of operating expenses related to the maintenance and expansion of our business, operations, and infrastructure, as well as entry into operating and finance leases;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of expenses related to acquisitions;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large indemnification payments to our users or other third parties;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our pricing policies or those of our competitors;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and success of new product feature and service introductions by us or our competitors;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network outages or actual or perceived security breaches;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the competitive dynamics of our industry, including consolidation among competitors;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laws and regulations that impact our business;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general economic and market conditions;</w:t>
      </w:r>
    </w:p>
    <w:p>
      <w:pPr>
        <w:spacing w:after="0" w:line="266"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21"/>
          <w:szCs w:val="21"/>
          <w:color w:val="auto"/>
        </w:rPr>
      </w:pPr>
      <w:r>
        <w:rPr>
          <w:rFonts w:ascii="Arial" w:cs="Arial" w:eastAsia="Arial" w:hAnsi="Arial"/>
          <w:sz w:val="17"/>
          <w:szCs w:val="17"/>
          <w:color w:val="auto"/>
        </w:rPr>
        <w:t>fluctuations in foreign currency exchange rates;</w:t>
      </w:r>
    </w:p>
    <w:p>
      <w:pPr>
        <w:spacing w:after="0" w:line="222" w:lineRule="exact"/>
        <w:rPr>
          <w:rFonts w:ascii="Arial" w:cs="Arial" w:eastAsia="Arial" w:hAnsi="Arial"/>
          <w:sz w:val="21"/>
          <w:szCs w:val="21"/>
          <w:color w:val="auto"/>
        </w:rPr>
      </w:pPr>
    </w:p>
    <w:p>
      <w:pPr>
        <w:ind w:left="1260" w:right="140" w:hanging="317"/>
        <w:spacing w:after="0" w:line="320" w:lineRule="auto"/>
        <w:tabs>
          <w:tab w:leader="none" w:pos="1256"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catastrophic events, including earthquakes, fires, floods, tsunamis, or other weather events, power loss, telecommunications failures, software or hardware malfunctions, cyber-attack, war, or terrorist attacks, and pandemics such as the ongoing COVID-19 pandemic;</w:t>
      </w:r>
    </w:p>
    <w:p>
      <w:pPr>
        <w:spacing w:after="0" w:line="161" w:lineRule="exact"/>
        <w:rPr>
          <w:rFonts w:ascii="Arial" w:cs="Arial" w:eastAsia="Arial" w:hAnsi="Arial"/>
          <w:sz w:val="16"/>
          <w:szCs w:val="16"/>
          <w:color w:val="auto"/>
        </w:rPr>
      </w:pPr>
    </w:p>
    <w:p>
      <w:pPr>
        <w:ind w:left="1260" w:right="580" w:hanging="317"/>
        <w:spacing w:after="0" w:line="320" w:lineRule="auto"/>
        <w:tabs>
          <w:tab w:leader="none" w:pos="1256"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reserves or other non-cash credits or charges, such as the impairment charges related to certain of our unused office space in connection with our shift to a Virtual First work model and releases of deferred tax asset valuation allowances; and</w:t>
      </w:r>
    </w:p>
    <w:p>
      <w:pPr>
        <w:spacing w:after="0" w:line="161" w:lineRule="exact"/>
        <w:rPr>
          <w:rFonts w:ascii="Arial" w:cs="Arial" w:eastAsia="Arial" w:hAnsi="Arial"/>
          <w:sz w:val="16"/>
          <w:szCs w:val="16"/>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other impacts of shifting our operations to a Virtual First work model.</w:t>
      </w:r>
    </w:p>
    <w:p>
      <w:pPr>
        <w:spacing w:after="0" w:line="248" w:lineRule="exact"/>
        <w:rPr>
          <w:sz w:val="20"/>
          <w:szCs w:val="20"/>
          <w:color w:val="auto"/>
        </w:rPr>
      </w:pPr>
    </w:p>
    <w:p>
      <w:pPr>
        <w:ind w:right="380"/>
        <w:spacing w:after="0" w:line="287" w:lineRule="auto"/>
        <w:rPr>
          <w:sz w:val="20"/>
          <w:szCs w:val="20"/>
          <w:color w:val="auto"/>
        </w:rPr>
      </w:pPr>
      <w:r>
        <w:rPr>
          <w:rFonts w:ascii="Arial" w:cs="Arial" w:eastAsia="Arial" w:hAnsi="Arial"/>
          <w:sz w:val="17"/>
          <w:szCs w:val="17"/>
          <w:b w:val="1"/>
          <w:bCs w:val="1"/>
          <w:i w:val="1"/>
          <w:iCs w:val="1"/>
          <w:color w:val="auto"/>
        </w:rPr>
        <w:t>Our results of operations may not immediately reflect downturns or upturns in sales because we recognize revenue from our users over the term of their subscriptions with us.</w:t>
      </w:r>
    </w:p>
    <w:p>
      <w:pPr>
        <w:spacing w:after="0" w:line="184" w:lineRule="exact"/>
        <w:rPr>
          <w:sz w:val="20"/>
          <w:szCs w:val="20"/>
          <w:color w:val="auto"/>
        </w:rPr>
      </w:pPr>
    </w:p>
    <w:p>
      <w:pPr>
        <w:ind w:firstLine="391"/>
        <w:spacing w:after="0" w:line="260" w:lineRule="auto"/>
        <w:rPr>
          <w:sz w:val="20"/>
          <w:szCs w:val="20"/>
          <w:color w:val="auto"/>
        </w:rPr>
      </w:pPr>
      <w:r>
        <w:rPr>
          <w:rFonts w:ascii="Arial" w:cs="Arial" w:eastAsia="Arial" w:hAnsi="Arial"/>
          <w:sz w:val="17"/>
          <w:szCs w:val="17"/>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271" w:lineRule="exact"/>
        <w:rPr>
          <w:sz w:val="20"/>
          <w:szCs w:val="20"/>
          <w:color w:val="auto"/>
        </w:rPr>
      </w:pPr>
    </w:p>
    <w:p>
      <w:pPr>
        <w:ind w:right="340" w:firstLine="391"/>
        <w:spacing w:after="0" w:line="287" w:lineRule="auto"/>
        <w:rPr>
          <w:sz w:val="20"/>
          <w:szCs w:val="20"/>
          <w:color w:val="auto"/>
        </w:rPr>
      </w:pPr>
      <w:r>
        <w:rPr>
          <w:rFonts w:ascii="Arial" w:cs="Arial" w:eastAsia="Arial" w:hAnsi="Arial"/>
          <w:sz w:val="17"/>
          <w:szCs w:val="17"/>
          <w:color w:val="auto"/>
        </w:rPr>
        <w:t>We conduct our business across approximately 180 countries around the world. As we continue to expand our international operations, we will become more exposed to the effects of fluctuations in currency exchange rates. This exposure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is the result of selling in multiple currencies and operating in foreign countries where the functional currency is the local currency. In 2021, 30% of our sales were denominated in currencies other than U.S. dollars. Our expenses, by contrast, are primarily denominated in U.S. dollars. As a result, any increase in the value of the U.S. dollar against these foreign currencies, including those resulting from the impact of the COVID-19 pandemic,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 dollars, we also face translation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counterparty risk with respect to the convertible note hedge transactions.</w:t>
      </w:r>
    </w:p>
    <w:p>
      <w:pPr>
        <w:spacing w:after="0" w:line="248" w:lineRule="exact"/>
        <w:rPr>
          <w:sz w:val="20"/>
          <w:szCs w:val="20"/>
          <w:color w:val="auto"/>
        </w:rPr>
      </w:pPr>
    </w:p>
    <w:p>
      <w:pPr>
        <w:ind w:right="80" w:firstLine="391"/>
        <w:spacing w:after="0" w:line="279" w:lineRule="auto"/>
        <w:rPr>
          <w:sz w:val="20"/>
          <w:szCs w:val="20"/>
          <w:color w:val="auto"/>
        </w:rPr>
      </w:pPr>
      <w:r>
        <w:rPr>
          <w:rFonts w:ascii="Arial" w:cs="Arial" w:eastAsia="Arial" w:hAnsi="Arial"/>
          <w:sz w:val="16"/>
          <w:szCs w:val="16"/>
          <w:color w:val="auto"/>
        </w:rPr>
        <w:t>In connection with the pricing of the 2026 Notes and 2028 Notes, we entered into convertible note hedge transactions with certain financial institutions or affiliates of financial institutions, which we refer to as the “option counterparties,” and we will be subject to the risk that one or more of such option counterparties may default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other tax attributes may be limited.</w:t>
      </w:r>
    </w:p>
    <w:p>
      <w:pPr>
        <w:spacing w:after="0" w:line="248" w:lineRule="exact"/>
        <w:rPr>
          <w:sz w:val="20"/>
          <w:szCs w:val="20"/>
          <w:color w:val="auto"/>
        </w:rPr>
      </w:pPr>
    </w:p>
    <w:p>
      <w:pPr>
        <w:ind w:right="20" w:firstLine="391"/>
        <w:spacing w:after="0" w:line="276" w:lineRule="auto"/>
        <w:rPr>
          <w:sz w:val="20"/>
          <w:szCs w:val="20"/>
          <w:color w:val="auto"/>
        </w:rPr>
      </w:pPr>
      <w:r>
        <w:rPr>
          <w:rFonts w:ascii="Arial" w:cs="Arial" w:eastAsia="Arial" w:hAnsi="Arial"/>
          <w:sz w:val="16"/>
          <w:szCs w:val="16"/>
          <w:color w:val="auto"/>
        </w:rPr>
        <w:t>As of December 31, 2021, we had $623.8 million of federal, $352.1 million of state, and $310.1 million of foreign net operating loss carryforwards available to reduce future taxable income. Of our federal net operating loss carryforwards, $5.1 million will begin to expire in 2032 and $618.7 million will carryforward indefinitely, while state net operating losses begin to expire in 2029. As of December 31, 2021, we had research credit carryforwards of $246.1 million and $130.0 million for federal and state income tax purposes. The federal credit carryforwards will begin to expire in 2031. The state research credits have no expiration date. We also had $3.6 million of state enterprise zone credit carryforwards as of December 31, 2021, which will begin to expire in 2023 and $0.6 million of foreign tax credit carryforwards as of December 31, 2021,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p>
    <w:p>
      <w:pPr>
        <w:spacing w:after="0" w:line="196"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184" w:lineRule="exact"/>
        <w:rPr>
          <w:sz w:val="20"/>
          <w:szCs w:val="20"/>
          <w:color w:val="auto"/>
        </w:rPr>
      </w:pPr>
    </w:p>
    <w:p>
      <w:pPr>
        <w:ind w:right="300" w:firstLine="391"/>
        <w:spacing w:after="0" w:line="263" w:lineRule="auto"/>
        <w:rPr>
          <w:sz w:val="20"/>
          <w:szCs w:val="20"/>
          <w:color w:val="auto"/>
        </w:rPr>
      </w:pPr>
      <w:r>
        <w:rPr>
          <w:rFonts w:ascii="Arial" w:cs="Arial" w:eastAsia="Arial" w:hAnsi="Arial"/>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207"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184" w:lineRule="exact"/>
        <w:rPr>
          <w:sz w:val="20"/>
          <w:szCs w:val="20"/>
          <w:color w:val="auto"/>
        </w:rPr>
      </w:pPr>
    </w:p>
    <w:p>
      <w:pPr>
        <w:ind w:firstLine="391"/>
        <w:spacing w:after="0" w:line="271" w:lineRule="auto"/>
        <w:rPr>
          <w:sz w:val="20"/>
          <w:szCs w:val="20"/>
          <w:color w:val="auto"/>
        </w:rPr>
      </w:pPr>
      <w:r>
        <w:rPr>
          <w:rFonts w:ascii="Arial" w:cs="Arial" w:eastAsia="Arial" w:hAnsi="Arial"/>
          <w:sz w:val="17"/>
          <w:szCs w:val="17"/>
          <w:color w:val="auto"/>
        </w:rPr>
        <w:t>Due to the increasing focus by government taxing authorities on multinational companies, the tax laws of certain countries in which we do business could change on a prospective or retroactive basis or there could be changes in taxing jurisdictions' administrative interpretations, decision, policies, and positions with respect to current law. Any such changes could increase our</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8" w:name="page79"/>
    <w:bookmarkEnd w:id="7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liabilities for taxes, interest and penalties, lead to higher effective tax rates, and harm our cash flows, results of operations and financial condition.</w:t>
      </w:r>
    </w:p>
    <w:p>
      <w:pPr>
        <w:spacing w:after="0" w:line="248" w:lineRule="exact"/>
        <w:rPr>
          <w:sz w:val="20"/>
          <w:szCs w:val="20"/>
          <w:color w:val="auto"/>
        </w:rPr>
      </w:pPr>
    </w:p>
    <w:p>
      <w:pPr>
        <w:ind w:firstLine="391"/>
        <w:spacing w:after="0" w:line="261" w:lineRule="auto"/>
        <w:rPr>
          <w:sz w:val="20"/>
          <w:szCs w:val="20"/>
          <w:color w:val="auto"/>
        </w:rPr>
      </w:pPr>
      <w:r>
        <w:rPr>
          <w:rFonts w:ascii="Arial" w:cs="Arial" w:eastAsia="Arial" w:hAnsi="Arial"/>
          <w:sz w:val="17"/>
          <w:szCs w:val="17"/>
          <w:color w:val="auto"/>
        </w:rPr>
        <w:t>For example, many countries and the Organization for Economic Cooperation and Development (“OECD”) have proposed to reallocate some portion of profits of large multinational companies with global revenues exceeding EUR20 billion to markets where sales arise (“Pillar One”), as well as enact a global minimum tax rate of at least 15% for multinationals with global revenue exceeding EUR750 million (“Pillar Two”), and many countries are considering or intend to adopt these proposals. In addition, in March 2022, the Biden Administration proposed a number of federal tax changes, including raising the corporate income tax rate to 28% and, repealing the Base Erosion and Anti-Abuse Tax (“BEAT”) and replacing it with a new undertaxed profits rule (“UTPR”) that is intended to be consistent with the OECD Pillar Two Model Rules. If some or all of these changes are enacted, certain proposed changes could have an adverse impact on our business, results of operations, financial condition and cash flow.</w:t>
      </w:r>
    </w:p>
    <w:p>
      <w:pPr>
        <w:spacing w:after="0" w:line="207" w:lineRule="exact"/>
        <w:rPr>
          <w:sz w:val="20"/>
          <w:szCs w:val="20"/>
          <w:color w:val="auto"/>
        </w:rPr>
      </w:pPr>
    </w:p>
    <w:p>
      <w:pPr>
        <w:ind w:right="200"/>
        <w:spacing w:after="0" w:line="357" w:lineRule="auto"/>
        <w:rPr>
          <w:sz w:val="20"/>
          <w:szCs w:val="20"/>
          <w:color w:val="auto"/>
        </w:rPr>
      </w:pPr>
      <w:r>
        <w:rPr>
          <w:rFonts w:ascii="Arial" w:cs="Arial" w:eastAsia="Arial" w:hAnsi="Arial"/>
          <w:sz w:val="15"/>
          <w:szCs w:val="15"/>
          <w:b w:val="1"/>
          <w:bCs w:val="1"/>
          <w:i w:val="1"/>
          <w:iCs w:val="1"/>
          <w:color w:val="auto"/>
        </w:rPr>
        <w:t>We have publicly disclosed market opportunity estimates, growth forecasts, and key metrics, including the key metrics included in this Quarterly Report on Form 10-Q which could prove to be inaccurate, and any real or perceived inaccuracies may harm our reputation and negatively affect our business.</w:t>
      </w:r>
    </w:p>
    <w:p>
      <w:pPr>
        <w:spacing w:after="0" w:line="139" w:lineRule="exact"/>
        <w:rPr>
          <w:sz w:val="20"/>
          <w:szCs w:val="20"/>
          <w:color w:val="auto"/>
        </w:rPr>
      </w:pPr>
    </w:p>
    <w:p>
      <w:pPr>
        <w:ind w:right="100" w:firstLine="391"/>
        <w:spacing w:after="0" w:line="278" w:lineRule="auto"/>
        <w:rPr>
          <w:sz w:val="20"/>
          <w:szCs w:val="20"/>
          <w:color w:val="auto"/>
        </w:rPr>
      </w:pPr>
      <w:r>
        <w:rPr>
          <w:rFonts w:ascii="Arial" w:cs="Arial" w:eastAsia="Arial" w:hAnsi="Arial"/>
          <w:sz w:val="16"/>
          <w:szCs w:val="16"/>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We have found that aggregate user activity metrics are not leading indicators of revenue or conversion. For that reason, we do not comprehensively track user activity across the Dropbox platform for financial planning and forecasting purposes.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Legal and Regulatory Compliance</w:t>
      </w:r>
    </w:p>
    <w:p>
      <w:pPr>
        <w:spacing w:after="0" w:line="254" w:lineRule="exact"/>
        <w:rPr>
          <w:sz w:val="20"/>
          <w:szCs w:val="20"/>
          <w:color w:val="auto"/>
        </w:rPr>
      </w:pPr>
    </w:p>
    <w:p>
      <w:pPr>
        <w:ind w:right="60"/>
        <w:spacing w:after="0" w:line="357" w:lineRule="auto"/>
        <w:rPr>
          <w:sz w:val="20"/>
          <w:szCs w:val="20"/>
          <w:color w:val="auto"/>
        </w:rPr>
      </w:pPr>
      <w:r>
        <w:rPr>
          <w:rFonts w:ascii="Arial" w:cs="Arial" w:eastAsia="Arial" w:hAnsi="Arial"/>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39" w:lineRule="exact"/>
        <w:rPr>
          <w:sz w:val="20"/>
          <w:szCs w:val="20"/>
          <w:color w:val="auto"/>
        </w:rPr>
      </w:pPr>
    </w:p>
    <w:p>
      <w:pPr>
        <w:ind w:right="160" w:firstLine="391"/>
        <w:spacing w:after="0" w:line="261" w:lineRule="auto"/>
        <w:rPr>
          <w:sz w:val="20"/>
          <w:szCs w:val="20"/>
          <w:color w:val="auto"/>
        </w:rPr>
      </w:pPr>
      <w:r>
        <w:rPr>
          <w:rFonts w:ascii="Arial" w:cs="Arial" w:eastAsia="Arial" w:hAnsi="Arial"/>
          <w:sz w:val="17"/>
          <w:szCs w:val="17"/>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207" w:lineRule="exact"/>
        <w:rPr>
          <w:sz w:val="20"/>
          <w:szCs w:val="20"/>
          <w:color w:val="auto"/>
        </w:rPr>
      </w:pPr>
    </w:p>
    <w:p>
      <w:pPr>
        <w:ind w:right="40" w:firstLine="391"/>
        <w:spacing w:after="0" w:line="261" w:lineRule="auto"/>
        <w:rPr>
          <w:sz w:val="20"/>
          <w:szCs w:val="20"/>
          <w:color w:val="auto"/>
        </w:rPr>
      </w:pPr>
      <w:r>
        <w:rPr>
          <w:rFonts w:ascii="Arial" w:cs="Arial" w:eastAsia="Arial" w:hAnsi="Arial"/>
          <w:sz w:val="17"/>
          <w:szCs w:val="17"/>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 authorities as a result of our business practices, including our policies and practices around subscriptions, billing, auto-renewal, intermediary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207" w:lineRule="exact"/>
        <w:rPr>
          <w:sz w:val="20"/>
          <w:szCs w:val="20"/>
          <w:color w:val="auto"/>
        </w:rPr>
      </w:pPr>
    </w:p>
    <w:p>
      <w:pPr>
        <w:ind w:right="20" w:firstLine="391"/>
        <w:spacing w:after="0" w:line="296" w:lineRule="auto"/>
        <w:rPr>
          <w:sz w:val="20"/>
          <w:szCs w:val="20"/>
          <w:color w:val="auto"/>
        </w:rPr>
      </w:pPr>
      <w:r>
        <w:rPr>
          <w:rFonts w:ascii="Arial" w:cs="Arial" w:eastAsia="Arial" w:hAnsi="Arial"/>
          <w:sz w:val="16"/>
          <w:szCs w:val="16"/>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140" w:firstLine="391"/>
        <w:spacing w:after="0" w:line="284" w:lineRule="auto"/>
        <w:rPr>
          <w:sz w:val="20"/>
          <w:szCs w:val="20"/>
          <w:color w:val="auto"/>
        </w:rPr>
      </w:pPr>
      <w:r>
        <w:rPr>
          <w:rFonts w:ascii="Arial" w:cs="Arial" w:eastAsia="Arial" w:hAnsi="Arial"/>
          <w:sz w:val="16"/>
          <w:szCs w:val="16"/>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89"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84" w:lineRule="exact"/>
        <w:rPr>
          <w:sz w:val="20"/>
          <w:szCs w:val="20"/>
          <w:color w:val="auto"/>
        </w:rPr>
      </w:pPr>
    </w:p>
    <w:p>
      <w:pPr>
        <w:ind w:firstLine="391"/>
        <w:spacing w:after="0" w:line="278" w:lineRule="auto"/>
        <w:rPr>
          <w:sz w:val="20"/>
          <w:szCs w:val="20"/>
          <w:color w:val="auto"/>
        </w:rPr>
      </w:pPr>
      <w:r>
        <w:rPr>
          <w:rFonts w:ascii="Arial" w:cs="Arial" w:eastAsia="Arial" w:hAnsi="Arial"/>
          <w:sz w:val="16"/>
          <w:szCs w:val="16"/>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spacing w:after="0" w:line="194" w:lineRule="exact"/>
        <w:rPr>
          <w:sz w:val="20"/>
          <w:szCs w:val="20"/>
          <w:color w:val="auto"/>
        </w:rPr>
      </w:pPr>
    </w:p>
    <w:p>
      <w:pPr>
        <w:ind w:right="80" w:firstLine="391"/>
        <w:spacing w:after="0" w:line="279" w:lineRule="auto"/>
        <w:rPr>
          <w:sz w:val="20"/>
          <w:szCs w:val="20"/>
          <w:color w:val="auto"/>
        </w:rPr>
      </w:pPr>
      <w:r>
        <w:rPr>
          <w:rFonts w:ascii="Arial" w:cs="Arial" w:eastAsia="Arial" w:hAnsi="Arial"/>
          <w:sz w:val="16"/>
          <w:szCs w:val="16"/>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actual or perceived failure to comply with privacy, data protection, and information security laws, regulations, and obligations could harm our business.</w:t>
      </w:r>
    </w:p>
    <w:p>
      <w:pPr>
        <w:spacing w:after="0" w:line="271" w:lineRule="exact"/>
        <w:rPr>
          <w:sz w:val="20"/>
          <w:szCs w:val="20"/>
          <w:color w:val="auto"/>
        </w:rPr>
      </w:pPr>
    </w:p>
    <w:p>
      <w:pPr>
        <w:ind w:right="100" w:firstLine="391"/>
        <w:spacing w:after="0" w:line="260" w:lineRule="auto"/>
        <w:rPr>
          <w:sz w:val="20"/>
          <w:szCs w:val="20"/>
          <w:color w:val="auto"/>
        </w:rPr>
      </w:pPr>
      <w:r>
        <w:rPr>
          <w:rFonts w:ascii="Arial" w:cs="Arial" w:eastAsia="Arial" w:hAnsi="Arial"/>
          <w:sz w:val="17"/>
          <w:szCs w:val="17"/>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 subject to differing interpretations, and may be inconsistent among countries,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210" w:lineRule="exact"/>
        <w:rPr>
          <w:sz w:val="20"/>
          <w:szCs w:val="20"/>
          <w:color w:val="auto"/>
        </w:rPr>
      </w:pPr>
    </w:p>
    <w:p>
      <w:pPr>
        <w:jc w:val="both"/>
        <w:ind w:right="240" w:firstLine="391"/>
        <w:spacing w:after="0" w:line="296" w:lineRule="auto"/>
        <w:rPr>
          <w:sz w:val="20"/>
          <w:szCs w:val="20"/>
          <w:color w:val="auto"/>
        </w:rPr>
      </w:pPr>
      <w:r>
        <w:rPr>
          <w:rFonts w:ascii="Arial" w:cs="Arial" w:eastAsia="Arial" w:hAnsi="Arial"/>
          <w:sz w:val="16"/>
          <w:szCs w:val="16"/>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or GDPR, went into effect in the EU. The GDPR imposed more stringent data protection requirements and provides greater penalties for noncompliance than previous data protection laws.</w:t>
      </w:r>
    </w:p>
    <w:p>
      <w:pPr>
        <w:spacing w:after="0" w:line="180" w:lineRule="exact"/>
        <w:rPr>
          <w:sz w:val="20"/>
          <w:szCs w:val="20"/>
          <w:color w:val="auto"/>
        </w:rPr>
      </w:pPr>
    </w:p>
    <w:p>
      <w:pPr>
        <w:ind w:right="80" w:firstLine="391"/>
        <w:spacing w:after="0" w:line="262" w:lineRule="auto"/>
        <w:rPr>
          <w:sz w:val="20"/>
          <w:szCs w:val="20"/>
          <w:color w:val="auto"/>
        </w:rPr>
      </w:pPr>
      <w:r>
        <w:rPr>
          <w:rFonts w:ascii="Arial" w:cs="Arial" w:eastAsia="Arial" w:hAnsi="Arial"/>
          <w:sz w:val="17"/>
          <w:szCs w:val="17"/>
          <w:color w:val="auto"/>
        </w:rPr>
        <w:t>Additionally, although we have self-certified under the U.S.-EU and U.S.-Swiss Privacy Shield Frameworks with regard to our transfer of certain personal data from the European Economic Area ("EEA") and Switzerland to the United States, on July 16, 2020, the Court of Justice of the European Union ("CJEU") invalidated Decision 2016/1250 on the adequacy of the protection provided by the U.S.-EU Privacy Shield Framework, and on September 8, 2020, the Swiss Federal Data Protection and Information Commissioner announced that it no longer considers the U.S.-Swiss Privacy Shield adequate for the purposes of transfers of personal data from Switzerland to the U.S. While we rely on additional legal mechanisms to transfer data from the EEA and Switzerland to the United States, there is some regulatory uncertainty surrounding the future of data transfers from</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these locations to the United States, and we are closely monitoring regulatory developments in this area. In its decision invalidating the U.S.-EU Privacy Shield Framework, the CJEU also imposed additional obligations on companies relying on standard contractual clauses approved by the European Commission (“SCCs”) to transfer personal data. The CJEU decision may result in European data protection regulators applying differing standards for, and requiring additional measures in connection with, transfers of personal data from the EEA and Switzerland to the United States. The European Commission issued revised SCCs in June 2021 that are required to be implemented. The revised SCCs and other developments relating to cross-border data transfer may require us to implement additional contractual and technical safeguards for any personal data transferred out of the EEA and Switzerland, which may increase our costs, lead to increased regulatory scrutiny or liability, necessitate additional contractual negotiations, and adversely impact our business, results of operations, and financial results.</w:t>
      </w:r>
    </w:p>
    <w:p>
      <w:pPr>
        <w:spacing w:after="0" w:line="197" w:lineRule="exact"/>
        <w:rPr>
          <w:sz w:val="20"/>
          <w:szCs w:val="20"/>
          <w:color w:val="auto"/>
        </w:rPr>
      </w:pPr>
    </w:p>
    <w:p>
      <w:pPr>
        <w:ind w:right="20" w:firstLine="391"/>
        <w:spacing w:after="0" w:line="242" w:lineRule="auto"/>
        <w:rPr>
          <w:sz w:val="20"/>
          <w:szCs w:val="20"/>
          <w:color w:val="auto"/>
        </w:rPr>
      </w:pPr>
      <w:r>
        <w:rPr>
          <w:rFonts w:ascii="Arial" w:cs="Arial" w:eastAsia="Arial" w:hAnsi="Arial"/>
          <w:sz w:val="16"/>
          <w:szCs w:val="16"/>
          <w:color w:val="auto"/>
        </w:rPr>
        <w:t>Additionally, several states in the U.S. have begun enacting new data privacy laws. For example, the California Consumer Privacy Act of 2018 ("CCPA"), which affords consumers expanded privacy protections, went into effect on January 1, 2020. However, certain aspects of the CCPA and its enforcement remain uncertain. Additionally, a new privacy law, the California Privacy Rights Act ("CPRA"), which will go into effect on January 1, 2023, significantly modified the CCPA, potentially resulting in further uncertainty and requiring us to incur additional costs and expenses. The effects of the CCPA and the CPRA remain far-reaching, and depending on final regulatory guidance and other related developments, potentially may require us to modify our data processing practices and policies and to incur substantial costs and expenses in an effort to comply. The enactment of the CCPA has prompted similar legislative developments in other states, such as Virginia, which in March 2021 enacted a Consumer Data Protection Act that will go into effect January 1, 2023, and Colorado, which in June 2021 enacted a Colorado Privacy Act that will go into effect July 1, 2023. Similar laws are being considered by other state legislatures. These developments create the potential for a patchwork of overlapping but different state laws. Similarly, a number of legislative proposals in the European Union, the United States, at both the federal and state level, as well as other jurisdictions could impose new obligations in areas affecting our business. In addition, some countries are considering or have passed legislation implementing data protection requirements or requiring local storage and processing of data, or similar requirements, that could increase the cost and complexity of delivering our services.</w:t>
      </w:r>
    </w:p>
    <w:p>
      <w:pPr>
        <w:spacing w:after="0" w:line="212" w:lineRule="exact"/>
        <w:rPr>
          <w:sz w:val="20"/>
          <w:szCs w:val="20"/>
          <w:color w:val="auto"/>
        </w:rPr>
      </w:pPr>
    </w:p>
    <w:p>
      <w:pPr>
        <w:ind w:firstLine="391"/>
        <w:spacing w:after="0" w:line="261" w:lineRule="auto"/>
        <w:rPr>
          <w:sz w:val="20"/>
          <w:szCs w:val="20"/>
          <w:color w:val="auto"/>
        </w:rPr>
      </w:pPr>
      <w:r>
        <w:rPr>
          <w:rFonts w:ascii="Arial" w:cs="Arial" w:eastAsia="Arial" w:hAnsi="Arial"/>
          <w:sz w:val="17"/>
          <w:szCs w:val="17"/>
          <w:color w:val="auto"/>
        </w:rPr>
        <w:t>With laws and regulations such as the GDPR in the EU and the California Consumer Privacy Act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w:t>
      </w:r>
    </w:p>
    <w:p>
      <w:pPr>
        <w:spacing w:after="0" w:line="207" w:lineRule="exact"/>
        <w:rPr>
          <w:sz w:val="20"/>
          <w:szCs w:val="20"/>
          <w:color w:val="auto"/>
        </w:rPr>
      </w:pPr>
    </w:p>
    <w:p>
      <w:pPr>
        <w:ind w:right="20" w:firstLine="391"/>
        <w:spacing w:after="0" w:line="260" w:lineRule="auto"/>
        <w:rPr>
          <w:sz w:val="20"/>
          <w:szCs w:val="20"/>
          <w:color w:val="auto"/>
        </w:rPr>
      </w:pPr>
      <w:r>
        <w:rPr>
          <w:rFonts w:ascii="Arial" w:cs="Arial" w:eastAsia="Arial" w:hAnsi="Arial"/>
          <w:sz w:val="17"/>
          <w:szCs w:val="17"/>
          <w:color w:val="auto"/>
        </w:rPr>
        <w:t>Furthermore, the costs of compliance with, and other burdens imposed by, the laws, regulations, and policies that are applicable to the businesses of our users may limit the adoption and use of, and reduce the overall demand for, our services. In addition to government regulation, self-regulatory standards, industry-specific regulations and other industry standards or requirements may legally or contractually apply to us or be argued to apply to us, or we may elect to comply with, or to facilitate our customers’ compliance with, such regulations, standards, requirements, or other actual or asserted obligations. If we are unable or are perceived to be unable to comply with any of these regulations, standards, requirements, or other actual or asserted obligations, if we are unable to maintain certifications or standards relevant to our customers, or if our customers are unable to obtain regulatory approval to use our services where required, our business may be harmed. In addition, an inability to satisfy the standards of certain government agencies that our customers may expect may have an adverse impact on our business and results.</w:t>
      </w:r>
    </w:p>
    <w:p>
      <w:pPr>
        <w:spacing w:after="0" w:line="210" w:lineRule="exact"/>
        <w:rPr>
          <w:sz w:val="20"/>
          <w:szCs w:val="20"/>
          <w:color w:val="auto"/>
        </w:rPr>
      </w:pPr>
    </w:p>
    <w:p>
      <w:pPr>
        <w:ind w:right="60" w:firstLine="391"/>
        <w:spacing w:after="0" w:line="262" w:lineRule="auto"/>
        <w:rPr>
          <w:sz w:val="20"/>
          <w:szCs w:val="20"/>
          <w:color w:val="auto"/>
        </w:rPr>
      </w:pPr>
      <w:r>
        <w:rPr>
          <w:rFonts w:ascii="Arial" w:cs="Arial" w:eastAsia="Arial" w:hAnsi="Arial"/>
          <w:sz w:val="17"/>
          <w:szCs w:val="17"/>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adversely impacted by changes in internet access for our users or laws specifically governing the internet.</w:t>
      </w:r>
    </w:p>
    <w:p>
      <w:pPr>
        <w:spacing w:after="0" w:line="248" w:lineRule="exact"/>
        <w:rPr>
          <w:sz w:val="20"/>
          <w:szCs w:val="20"/>
          <w:color w:val="auto"/>
        </w:rPr>
      </w:pPr>
    </w:p>
    <w:p>
      <w:pPr>
        <w:ind w:right="100" w:firstLine="391"/>
        <w:spacing w:after="0" w:line="271" w:lineRule="auto"/>
        <w:rPr>
          <w:sz w:val="20"/>
          <w:szCs w:val="20"/>
          <w:color w:val="auto"/>
        </w:rPr>
      </w:pPr>
      <w:r>
        <w:rPr>
          <w:rFonts w:ascii="Arial" w:cs="Arial" w:eastAsia="Arial" w:hAnsi="Arial"/>
          <w:sz w:val="17"/>
          <w:szCs w:val="17"/>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520"/>
        <w:spacing w:after="0" w:line="287" w:lineRule="auto"/>
        <w:rPr>
          <w:sz w:val="20"/>
          <w:szCs w:val="20"/>
          <w:color w:val="auto"/>
        </w:rPr>
      </w:pPr>
      <w:r>
        <w:rPr>
          <w:rFonts w:ascii="Arial" w:cs="Arial" w:eastAsia="Arial" w:hAnsi="Arial"/>
          <w:sz w:val="17"/>
          <w:szCs w:val="17"/>
          <w:color w:val="auto"/>
        </w:rPr>
        <w:t>negatively impact our business. We could incur greater operating expenses and our user acquisition and retention could be negatively impacted if network operators:</w:t>
      </w:r>
    </w:p>
    <w:p>
      <w:pPr>
        <w:spacing w:after="0" w:line="184" w:lineRule="exact"/>
        <w:rPr>
          <w:sz w:val="20"/>
          <w:szCs w:val="20"/>
          <w:color w:val="auto"/>
        </w:rPr>
      </w:pPr>
    </w:p>
    <w:p>
      <w:pPr>
        <w:ind w:left="1260" w:hanging="317"/>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implement usage-based pricing;</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discount pricing for competitive products;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otherwise materially change their pricing rates or schemes;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charge us to deliver our traffic at certain levels or at all;</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throttle traffic based on its source or type;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implement bandwidth caps or other usage restrictions; or</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otherwise try to monetize or control access to their networks</w:t>
      </w:r>
    </w:p>
    <w:p>
      <w:pPr>
        <w:spacing w:after="0" w:line="25" w:lineRule="exact"/>
        <w:rPr>
          <w:sz w:val="20"/>
          <w:szCs w:val="20"/>
          <w:color w:val="auto"/>
        </w:rPr>
      </w:pPr>
    </w:p>
    <w:p>
      <w:pPr>
        <w:ind w:right="100" w:firstLine="391"/>
        <w:spacing w:after="0" w:line="276" w:lineRule="auto"/>
        <w:rPr>
          <w:sz w:val="20"/>
          <w:szCs w:val="20"/>
          <w:color w:val="auto"/>
        </w:rPr>
      </w:pPr>
      <w:r>
        <w:rPr>
          <w:rFonts w:ascii="Arial" w:cs="Arial" w:eastAsia="Arial" w:hAnsi="Arial"/>
          <w:sz w:val="16"/>
          <w:szCs w:val="16"/>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99" w:lineRule="exact"/>
        <w:rPr>
          <w:sz w:val="20"/>
          <w:szCs w:val="20"/>
          <w:color w:val="auto"/>
        </w:rPr>
      </w:pPr>
    </w:p>
    <w:p>
      <w:pPr>
        <w:ind w:firstLine="391"/>
        <w:spacing w:after="0" w:line="281" w:lineRule="auto"/>
        <w:rPr>
          <w:sz w:val="20"/>
          <w:szCs w:val="20"/>
          <w:color w:val="auto"/>
        </w:rPr>
      </w:pPr>
      <w:r>
        <w:rPr>
          <w:rFonts w:ascii="Arial" w:cs="Arial" w:eastAsia="Arial" w:hAnsi="Arial"/>
          <w:sz w:val="16"/>
          <w:szCs w:val="16"/>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194"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84" w:lineRule="exact"/>
        <w:rPr>
          <w:sz w:val="20"/>
          <w:szCs w:val="20"/>
          <w:color w:val="auto"/>
        </w:rPr>
      </w:pPr>
    </w:p>
    <w:p>
      <w:pPr>
        <w:ind w:firstLine="391"/>
        <w:spacing w:after="0" w:line="275" w:lineRule="auto"/>
        <w:rPr>
          <w:sz w:val="20"/>
          <w:szCs w:val="20"/>
          <w:color w:val="auto"/>
        </w:rPr>
      </w:pPr>
      <w:r>
        <w:rPr>
          <w:rFonts w:ascii="Arial" w:cs="Arial" w:eastAsia="Arial" w:hAnsi="Arial"/>
          <w:sz w:val="16"/>
          <w:szCs w:val="16"/>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transactions involving our securities and our platform. For example, we were recently subject to a number of putative class action lawsuits in state and federal court alleging federal securities law violations in connection with our IPO. Although the lawsuits in both the federal and state courts have since been dismissed, we may not be successful in an appeal proceeding or in winning dismissal of an amended complaint.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248" w:lineRule="exact"/>
        <w:rPr>
          <w:sz w:val="20"/>
          <w:szCs w:val="20"/>
          <w:color w:val="auto"/>
        </w:rPr>
      </w:pPr>
    </w:p>
    <w:p>
      <w:pPr>
        <w:ind w:firstLine="391"/>
        <w:spacing w:after="0" w:line="295" w:lineRule="auto"/>
        <w:rPr>
          <w:sz w:val="20"/>
          <w:szCs w:val="20"/>
          <w:color w:val="auto"/>
        </w:rPr>
      </w:pPr>
      <w:r>
        <w:rPr>
          <w:rFonts w:ascii="Arial" w:cs="Arial" w:eastAsia="Arial" w:hAnsi="Arial"/>
          <w:sz w:val="15"/>
          <w:szCs w:val="15"/>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1,400 issued patents and more than 350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Ownership of Our Class A Common Stock</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our Class A common stock may be volatile, and you could lose all or part of your investment.</w:t>
      </w:r>
    </w:p>
    <w:p>
      <w:pPr>
        <w:spacing w:after="0" w:line="248" w:lineRule="exact"/>
        <w:rPr>
          <w:sz w:val="20"/>
          <w:szCs w:val="20"/>
          <w:color w:val="auto"/>
        </w:rPr>
      </w:pPr>
    </w:p>
    <w:p>
      <w:pPr>
        <w:ind w:right="440" w:firstLine="391"/>
        <w:spacing w:after="0" w:line="287" w:lineRule="auto"/>
        <w:rPr>
          <w:sz w:val="20"/>
          <w:szCs w:val="20"/>
          <w:color w:val="auto"/>
        </w:rPr>
      </w:pPr>
      <w:r>
        <w:rPr>
          <w:rFonts w:ascii="Arial" w:cs="Arial" w:eastAsia="Arial" w:hAnsi="Arial"/>
          <w:sz w:val="17"/>
          <w:szCs w:val="17"/>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spacing w:after="0" w:line="184" w:lineRule="exact"/>
        <w:rPr>
          <w:sz w:val="20"/>
          <w:szCs w:val="20"/>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volatility in the trading prices and trading volumes of technology stocks;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changes in operating performance and stock market valuations of other technology companies generally, or those in our industry in particular;</w:t>
      </w:r>
    </w:p>
    <w:p>
      <w:pPr>
        <w:spacing w:after="0" w:line="270" w:lineRule="exact"/>
        <w:rPr>
          <w:rFonts w:ascii="Arial" w:cs="Arial" w:eastAsia="Arial" w:hAnsi="Arial"/>
          <w:sz w:val="15"/>
          <w:szCs w:val="15"/>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sales of shares of our Class A common stock by us or our stockholders;</w:t>
      </w:r>
    </w:p>
    <w:p>
      <w:pPr>
        <w:spacing w:after="0" w:line="247" w:lineRule="exact"/>
        <w:rPr>
          <w:rFonts w:ascii="Arial" w:cs="Arial" w:eastAsia="Arial" w:hAnsi="Arial"/>
          <w:sz w:val="17"/>
          <w:szCs w:val="17"/>
          <w:color w:val="auto"/>
        </w:rPr>
      </w:pPr>
    </w:p>
    <w:p>
      <w:pPr>
        <w:ind w:left="1260" w:right="160" w:hanging="317"/>
        <w:spacing w:after="0" w:line="287" w:lineRule="auto"/>
        <w:tabs>
          <w:tab w:leader="none" w:pos="1256" w:val="left"/>
        </w:tabs>
        <w:numPr>
          <w:ilvl w:val="0"/>
          <w:numId w:val="27"/>
        </w:numPr>
        <w:rPr>
          <w:rFonts w:ascii="Arial" w:cs="Arial" w:eastAsia="Arial" w:hAnsi="Arial"/>
          <w:sz w:val="17"/>
          <w:szCs w:val="17"/>
          <w:color w:val="auto"/>
        </w:rPr>
      </w:pPr>
      <w:r>
        <w:rPr>
          <w:rFonts w:ascii="Arial" w:cs="Arial" w:eastAsia="Arial" w:hAnsi="Arial"/>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features, or services;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actual or anticipated changes in our results of operations or fluctuations in our results of operations;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actual or anticipated changes in our key metrics;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our competitors’ businesses or the competitive landscape generally;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actual or perceived breaches of, or failures related to, privacy, data protection or data security;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litigation involving us, our industry, or both, or investigations by regulators into our operations or those of our competitors;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products, services, or technologies by us or our competitors;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significant change in our management; and</w:t>
      </w:r>
    </w:p>
    <w:p>
      <w:pPr>
        <w:spacing w:after="0" w:line="247" w:lineRule="exact"/>
        <w:rPr>
          <w:rFonts w:ascii="Arial" w:cs="Arial" w:eastAsia="Arial" w:hAnsi="Arial"/>
          <w:sz w:val="17"/>
          <w:szCs w:val="17"/>
          <w:color w:val="auto"/>
        </w:rPr>
      </w:pPr>
    </w:p>
    <w:p>
      <w:pPr>
        <w:ind w:left="1260" w:right="80" w:hanging="317"/>
        <w:spacing w:after="0" w:line="296" w:lineRule="auto"/>
        <w:tabs>
          <w:tab w:leader="none" w:pos="1256" w:val="left"/>
        </w:tabs>
        <w:numPr>
          <w:ilvl w:val="0"/>
          <w:numId w:val="28"/>
        </w:numPr>
        <w:rPr>
          <w:rFonts w:ascii="Arial" w:cs="Arial" w:eastAsia="Arial" w:hAnsi="Arial"/>
          <w:sz w:val="16"/>
          <w:szCs w:val="16"/>
          <w:color w:val="auto"/>
        </w:rPr>
      </w:pPr>
      <w:r>
        <w:rPr>
          <w:rFonts w:ascii="Arial" w:cs="Arial" w:eastAsia="Arial" w:hAnsi="Arial"/>
          <w:sz w:val="16"/>
          <w:szCs w:val="16"/>
          <w:color w:val="auto"/>
        </w:rPr>
        <w:t>general economic conditions and slow or negative growth of our markets and catastrophic events, including earthquakes, fires, floods, tsunamis, or other weather events, power loss, telecommunications failures, software or hardware malfunctions, cyber-attack, war, such as the conflict between Russia and Ukraine, or terrorist attacks, and pandemics such as the ongoing COVID-19 pandemic.</w:t>
      </w:r>
    </w:p>
    <w:p>
      <w:pPr>
        <w:spacing w:after="0" w:line="180" w:lineRule="exact"/>
        <w:rPr>
          <w:sz w:val="20"/>
          <w:szCs w:val="20"/>
          <w:color w:val="auto"/>
        </w:rPr>
      </w:pPr>
    </w:p>
    <w:p>
      <w:pPr>
        <w:ind w:firstLine="391"/>
        <w:spacing w:after="0" w:line="307" w:lineRule="auto"/>
        <w:rPr>
          <w:sz w:val="20"/>
          <w:szCs w:val="20"/>
          <w:color w:val="auto"/>
        </w:rPr>
      </w:pPr>
      <w:r>
        <w:rPr>
          <w:rFonts w:ascii="Arial" w:cs="Arial" w:eastAsia="Arial" w:hAnsi="Arial"/>
          <w:sz w:val="15"/>
          <w:szCs w:val="15"/>
          <w:color w:val="auto"/>
        </w:rPr>
        <w:t>In addition, in the past, following periods of volatility in the overall market and the market price of a particular company’s securities, securities class action litigation has often been instituted against these companies. For example, we were recently subject to a number of putative class action lawsuits in state and federal court alleging federal securities law violations in connection with our IPO. Although the lawsuits in both the federal and state courts have since been dismissed, we may not be successful in an appeal proceeding or in winning dismissal of an amended complaint. This recent litigation, and any securities litigation that may be instituted against us in the future, could result in substantial costs and a diversion of our management’s attention and resources.</w:t>
      </w:r>
    </w:p>
    <w:p>
      <w:pPr>
        <w:spacing w:after="0" w:line="175"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184" w:lineRule="exact"/>
        <w:rPr>
          <w:sz w:val="20"/>
          <w:szCs w:val="20"/>
          <w:color w:val="auto"/>
        </w:rPr>
      </w:pPr>
    </w:p>
    <w:p>
      <w:pPr>
        <w:ind w:firstLine="391"/>
        <w:spacing w:after="0" w:line="297" w:lineRule="auto"/>
        <w:rPr>
          <w:sz w:val="20"/>
          <w:szCs w:val="20"/>
          <w:color w:val="auto"/>
        </w:rPr>
      </w:pPr>
      <w:r>
        <w:rPr>
          <w:rFonts w:ascii="Arial" w:cs="Arial" w:eastAsia="Arial" w:hAnsi="Arial"/>
          <w:sz w:val="15"/>
          <w:szCs w:val="15"/>
          <w:color w:val="auto"/>
        </w:rPr>
        <w:t>Our Class A common stock has one vote per share, our Class B common stock has ten votes per share, and our Class C common stock has no voting rights, except as otherwise required by law. As of June 30, 2022, our directors, executive officers and holders of more than 5% of our common stock, and their respective affiliates, held in the aggregate 78.7% of the voting power of our capital stock, with Mr. Houston holding approximately 73.7% of the voting power of our capital stock. We are including Mr. Houston's Co-Founder Grant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spacing w:after="0" w:line="182" w:lineRule="exact"/>
        <w:rPr>
          <w:sz w:val="20"/>
          <w:szCs w:val="20"/>
          <w:color w:val="auto"/>
        </w:rPr>
      </w:pPr>
    </w:p>
    <w:p>
      <w:pPr>
        <w:ind w:right="100" w:firstLine="391"/>
        <w:spacing w:after="0" w:line="276" w:lineRule="auto"/>
        <w:rPr>
          <w:sz w:val="20"/>
          <w:szCs w:val="20"/>
          <w:color w:val="auto"/>
        </w:rPr>
      </w:pPr>
      <w:r>
        <w:rPr>
          <w:rFonts w:ascii="Arial" w:cs="Arial" w:eastAsia="Arial" w:hAnsi="Arial"/>
          <w:sz w:val="16"/>
          <w:szCs w:val="16"/>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4" w:name="page85"/>
    <w:bookmarkEnd w:id="8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440"/>
        <w:spacing w:after="0" w:line="287" w:lineRule="auto"/>
        <w:rPr>
          <w:sz w:val="20"/>
          <w:szCs w:val="20"/>
          <w:color w:val="auto"/>
        </w:rPr>
      </w:pPr>
      <w:r>
        <w:rPr>
          <w:rFonts w:ascii="Arial" w:cs="Arial" w:eastAsia="Arial" w:hAnsi="Arial"/>
          <w:sz w:val="17"/>
          <w:szCs w:val="17"/>
          <w:color w:val="auto"/>
        </w:rPr>
        <w:t>approved by a majority of our independent directors. The conversion of Class B common stock to Class A common stock will have the effect, over time, of increasing the relative voting power of those individual holders of Class B common stock who retain their shares in the long term.</w:t>
      </w:r>
    </w:p>
    <w:p>
      <w:pPr>
        <w:spacing w:after="0" w:line="184" w:lineRule="exact"/>
        <w:rPr>
          <w:sz w:val="20"/>
          <w:szCs w:val="20"/>
          <w:color w:val="auto"/>
        </w:rPr>
      </w:pPr>
    </w:p>
    <w:p>
      <w:pPr>
        <w:jc w:val="both"/>
        <w:ind w:right="300" w:firstLine="391"/>
        <w:spacing w:after="0" w:line="323" w:lineRule="auto"/>
        <w:rPr>
          <w:sz w:val="20"/>
          <w:szCs w:val="20"/>
          <w:color w:val="auto"/>
        </w:rPr>
      </w:pPr>
      <w:r>
        <w:rPr>
          <w:rFonts w:ascii="Arial" w:cs="Arial" w:eastAsia="Arial" w:hAnsi="Arial"/>
          <w:sz w:val="15"/>
          <w:szCs w:val="15"/>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64" w:lineRule="exact"/>
        <w:rPr>
          <w:sz w:val="20"/>
          <w:szCs w:val="20"/>
          <w:color w:val="auto"/>
        </w:rPr>
      </w:pPr>
    </w:p>
    <w:p>
      <w:pPr>
        <w:ind w:firstLine="391"/>
        <w:spacing w:after="0" w:line="280" w:lineRule="auto"/>
        <w:rPr>
          <w:sz w:val="20"/>
          <w:szCs w:val="20"/>
          <w:color w:val="auto"/>
        </w:rPr>
      </w:pPr>
      <w:r>
        <w:rPr>
          <w:rFonts w:ascii="Arial" w:cs="Arial" w:eastAsia="Arial" w:hAnsi="Arial"/>
          <w:sz w:val="16"/>
          <w:szCs w:val="16"/>
          <w:color w:val="auto"/>
        </w:rPr>
        <w:t>Additionally,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Although we have since met the requirements to be included, and are now included, in an FTSE Russell index, our multi-class capital structure still makes us ineligible for inclusion in any of the above listed S&amp;P indices, and as a result, mutual funds, exchange-traded funds, and other investment vehicles that attempt to passively track these S&amp;P indices will not be investing in our stock. It is as of yet unclear what effect, if any, these policies will have on the valuations of publicly traded companies excluded from one or more of these indices, but it is possible that they may depress these valuations compared to those of other similar companies that are included.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Substantial future sales could depress the market price of our Class A common stock.</w:t>
      </w:r>
    </w:p>
    <w:p>
      <w:pPr>
        <w:spacing w:after="0" w:line="248" w:lineRule="exact"/>
        <w:rPr>
          <w:sz w:val="20"/>
          <w:szCs w:val="20"/>
          <w:color w:val="auto"/>
        </w:rPr>
      </w:pPr>
    </w:p>
    <w:p>
      <w:pPr>
        <w:ind w:right="280" w:firstLine="391"/>
        <w:spacing w:after="0" w:line="320" w:lineRule="auto"/>
        <w:rPr>
          <w:sz w:val="20"/>
          <w:szCs w:val="20"/>
          <w:color w:val="auto"/>
        </w:rPr>
      </w:pPr>
      <w:r>
        <w:rPr>
          <w:rFonts w:ascii="Arial" w:cs="Arial" w:eastAsia="Arial" w:hAnsi="Arial"/>
          <w:sz w:val="16"/>
          <w:szCs w:val="16"/>
          <w:color w:val="auto"/>
        </w:rPr>
        <w:t>The market price of our Class A common stock could decline as a result of a large number of sales of shares of such stock, and the perception that these sales could occur may also depress the market price of our Class A common stock, particularly if those sales are by our affiliates.</w:t>
      </w:r>
    </w:p>
    <w:p>
      <w:pPr>
        <w:spacing w:after="0" w:line="161" w:lineRule="exact"/>
        <w:rPr>
          <w:sz w:val="20"/>
          <w:szCs w:val="20"/>
          <w:color w:val="auto"/>
        </w:rPr>
      </w:pPr>
    </w:p>
    <w:p>
      <w:pPr>
        <w:ind w:right="60" w:firstLine="391"/>
        <w:spacing w:after="0" w:line="271" w:lineRule="auto"/>
        <w:rPr>
          <w:sz w:val="20"/>
          <w:szCs w:val="20"/>
          <w:color w:val="auto"/>
        </w:rPr>
      </w:pPr>
      <w:r>
        <w:rPr>
          <w:rFonts w:ascii="Arial" w:cs="Arial" w:eastAsia="Arial" w:hAnsi="Arial"/>
          <w:sz w:val="17"/>
          <w:szCs w:val="17"/>
          <w:color w:val="auto"/>
        </w:rPr>
        <w:t>In addition, we have filed registration statements to register shares reserved for future issuance under our equity compensation plans. As a result, subject to the satisfaction of applicable exercise periods, the shares issued upon exercise of outstanding stock options or upon settlement of outstanding RSU awards are available for immediate resale in the United States in the open market.</w:t>
      </w:r>
    </w:p>
    <w:p>
      <w:pPr>
        <w:spacing w:after="0" w:line="198" w:lineRule="exact"/>
        <w:rPr>
          <w:sz w:val="20"/>
          <w:szCs w:val="20"/>
          <w:color w:val="auto"/>
        </w:rPr>
      </w:pPr>
    </w:p>
    <w:p>
      <w:pPr>
        <w:ind w:right="20" w:firstLine="391"/>
        <w:spacing w:after="0" w:line="320" w:lineRule="auto"/>
        <w:rPr>
          <w:sz w:val="20"/>
          <w:szCs w:val="20"/>
          <w:color w:val="auto"/>
        </w:rPr>
      </w:pPr>
      <w:r>
        <w:rPr>
          <w:rFonts w:ascii="Arial" w:cs="Arial" w:eastAsia="Arial" w:hAnsi="Arial"/>
          <w:sz w:val="16"/>
          <w:szCs w:val="16"/>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61" w:lineRule="exact"/>
        <w:rPr>
          <w:sz w:val="20"/>
          <w:szCs w:val="20"/>
          <w:color w:val="auto"/>
        </w:rPr>
      </w:pPr>
    </w:p>
    <w:p>
      <w:pPr>
        <w:ind w:right="660"/>
        <w:spacing w:after="0" w:line="287" w:lineRule="auto"/>
        <w:rPr>
          <w:sz w:val="20"/>
          <w:szCs w:val="20"/>
          <w:color w:val="auto"/>
        </w:rPr>
      </w:pPr>
      <w:r>
        <w:rPr>
          <w:rFonts w:ascii="Arial" w:cs="Arial" w:eastAsia="Arial" w:hAnsi="Arial"/>
          <w:sz w:val="17"/>
          <w:szCs w:val="17"/>
          <w:b w:val="1"/>
          <w:bCs w:val="1"/>
          <w:i w:val="1"/>
          <w:iCs w:val="1"/>
          <w:color w:val="auto"/>
        </w:rPr>
        <w:t>Transactions relating to our 2026 Notes and 2028 Notes may dilute the ownership interest of stockholders, or may otherwise depress the price of our common stock.</w:t>
      </w:r>
    </w:p>
    <w:p>
      <w:pPr>
        <w:spacing w:after="0" w:line="184" w:lineRule="exact"/>
        <w:rPr>
          <w:sz w:val="20"/>
          <w:szCs w:val="20"/>
          <w:color w:val="auto"/>
        </w:rPr>
      </w:pPr>
    </w:p>
    <w:p>
      <w:pPr>
        <w:ind w:firstLine="391"/>
        <w:spacing w:after="0" w:line="281" w:lineRule="auto"/>
        <w:rPr>
          <w:sz w:val="20"/>
          <w:szCs w:val="20"/>
          <w:color w:val="auto"/>
        </w:rPr>
      </w:pPr>
      <w:r>
        <w:rPr>
          <w:rFonts w:ascii="Arial" w:cs="Arial" w:eastAsia="Arial" w:hAnsi="Arial"/>
          <w:sz w:val="16"/>
          <w:szCs w:val="16"/>
          <w:color w:val="auto"/>
        </w:rPr>
        <w:t>If the 2026 Notes or the 2028 Notes are converted by holders of such series, we have the ability under the applicable indenture to deliver cash, common stock, or any combination of cash or common stock, at our election upon conversion of the applicable series of convertible notes. If we elect to deliver common stock upon conversion of the 2026 Notes or the 2028 Notes, it would dilute the ownership interests of existing stockholders. Any sales in the public market of the Class A common stock issuable upon such conversion could adversely affect prevailing market prices of our Class A common stock. In addition, certain holders of the 2026 Notes or the 2028 Notes may engage in short selling to hedge their position in the convertible notes. Anticipated future conversions of the 2026 Notes or 2028 Notes into shares of our Class A common stock could depress the price of our Class A common stock.</w:t>
      </w:r>
    </w:p>
    <w:p>
      <w:pPr>
        <w:spacing w:after="0" w:line="194" w:lineRule="exact"/>
        <w:rPr>
          <w:sz w:val="20"/>
          <w:szCs w:val="20"/>
          <w:color w:val="auto"/>
        </w:rPr>
      </w:pPr>
    </w:p>
    <w:p>
      <w:pPr>
        <w:ind w:right="300"/>
        <w:spacing w:after="0" w:line="287" w:lineRule="auto"/>
        <w:rPr>
          <w:sz w:val="20"/>
          <w:szCs w:val="20"/>
          <w:color w:val="auto"/>
        </w:rPr>
      </w:pPr>
      <w:r>
        <w:rPr>
          <w:rFonts w:ascii="Arial" w:cs="Arial" w:eastAsia="Arial" w:hAnsi="Arial"/>
          <w:sz w:val="17"/>
          <w:szCs w:val="17"/>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184" w:lineRule="exact"/>
        <w:rPr>
          <w:sz w:val="20"/>
          <w:szCs w:val="20"/>
          <w:color w:val="auto"/>
        </w:rPr>
      </w:pPr>
    </w:p>
    <w:p>
      <w:pPr>
        <w:ind w:right="140" w:firstLine="391"/>
        <w:spacing w:after="0" w:line="288"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86" w:lineRule="exact"/>
        <w:rPr>
          <w:sz w:val="20"/>
          <w:szCs w:val="20"/>
          <w:color w:val="auto"/>
        </w:rPr>
      </w:pPr>
    </w:p>
    <w:p>
      <w:pPr>
        <w:ind w:left="1260" w:right="20" w:hanging="317"/>
        <w:spacing w:after="0" w:line="287" w:lineRule="auto"/>
        <w:tabs>
          <w:tab w:leader="none" w:pos="1256"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transaction that would result in a change in control of our company requires the approval of a majority of our outstanding Class B common stock voting as a separate class;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left="1260" w:right="60" w:hanging="317"/>
        <w:spacing w:after="0" w:line="271"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198" w:lineRule="exact"/>
        <w:rPr>
          <w:rFonts w:ascii="Arial" w:cs="Arial" w:eastAsia="Arial" w:hAnsi="Arial"/>
          <w:sz w:val="17"/>
          <w:szCs w:val="17"/>
          <w:color w:val="auto"/>
        </w:rPr>
      </w:pPr>
    </w:p>
    <w:p>
      <w:pPr>
        <w:jc w:val="both"/>
        <w:ind w:left="1260" w:right="240" w:hanging="317"/>
        <w:spacing w:after="0" w:line="271"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198" w:lineRule="exact"/>
        <w:rPr>
          <w:rFonts w:ascii="Arial" w:cs="Arial" w:eastAsia="Arial" w:hAnsi="Arial"/>
          <w:sz w:val="17"/>
          <w:szCs w:val="17"/>
          <w:color w:val="auto"/>
        </w:rPr>
      </w:pPr>
    </w:p>
    <w:p>
      <w:pPr>
        <w:ind w:left="1260" w:hanging="317"/>
        <w:spacing w:after="0" w:line="288" w:lineRule="auto"/>
        <w:tabs>
          <w:tab w:leader="none" w:pos="12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186" w:lineRule="exact"/>
        <w:rPr>
          <w:rFonts w:ascii="Arial" w:cs="Arial" w:eastAsia="Arial" w:hAnsi="Arial"/>
          <w:sz w:val="16"/>
          <w:szCs w:val="16"/>
          <w:color w:val="auto"/>
        </w:rPr>
      </w:pPr>
    </w:p>
    <w:p>
      <w:pPr>
        <w:ind w:left="1260" w:right="280" w:hanging="317"/>
        <w:spacing w:after="0" w:line="287"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amended and restated bylaws will provide that approval of stockholders holding two-thirds of our outstanding voting power voting as a single class is required for stockholders to amend or adopt any provision of our bylaws;</w:t>
      </w:r>
    </w:p>
    <w:p>
      <w:pPr>
        <w:spacing w:after="0" w:line="184" w:lineRule="exact"/>
        <w:rPr>
          <w:rFonts w:ascii="Arial" w:cs="Arial" w:eastAsia="Arial" w:hAnsi="Arial"/>
          <w:sz w:val="17"/>
          <w:szCs w:val="17"/>
          <w:color w:val="auto"/>
        </w:rPr>
      </w:pPr>
    </w:p>
    <w:p>
      <w:pPr>
        <w:ind w:left="1260" w:right="420" w:hanging="317"/>
        <w:spacing w:after="0" w:line="287"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after the Voting Threshold Date our stockholders will only be able to take action at a meeting of stockholders, and will not be able to take action by written consent for any matter;</w:t>
      </w:r>
    </w:p>
    <w:p>
      <w:pPr>
        <w:spacing w:after="0" w:line="184" w:lineRule="exact"/>
        <w:rPr>
          <w:rFonts w:ascii="Arial" w:cs="Arial" w:eastAsia="Arial" w:hAnsi="Arial"/>
          <w:sz w:val="17"/>
          <w:szCs w:val="17"/>
          <w:color w:val="auto"/>
        </w:rPr>
      </w:pPr>
    </w:p>
    <w:p>
      <w:pPr>
        <w:ind w:left="1260" w:right="100" w:hanging="317"/>
        <w:spacing w:after="0" w:line="287"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until the Voting Threshold Date, our stockholders will be able to act by written consent only if the action is first recommended or approved by the Board of Directors;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vacancies on our Board of Directors will be able to be filled only by our Board of Directors and not by stockholders;</w:t>
      </w:r>
    </w:p>
    <w:p>
      <w:pPr>
        <w:spacing w:after="0" w:line="247" w:lineRule="exact"/>
        <w:rPr>
          <w:rFonts w:ascii="Arial" w:cs="Arial" w:eastAsia="Arial" w:hAnsi="Arial"/>
          <w:sz w:val="17"/>
          <w:szCs w:val="17"/>
          <w:color w:val="auto"/>
        </w:rPr>
      </w:pPr>
    </w:p>
    <w:p>
      <w:pPr>
        <w:jc w:val="both"/>
        <w:ind w:left="1260" w:right="260" w:hanging="317"/>
        <w:spacing w:after="0" w:line="271"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only the chairman of our Board of Directors, our chief executive officer, a majority of our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198" w:lineRule="exact"/>
        <w:rPr>
          <w:rFonts w:ascii="Arial" w:cs="Arial" w:eastAsia="Arial" w:hAnsi="Arial"/>
          <w:sz w:val="17"/>
          <w:szCs w:val="17"/>
          <w:color w:val="auto"/>
        </w:rPr>
      </w:pPr>
    </w:p>
    <w:p>
      <w:pPr>
        <w:ind w:left="1260" w:hanging="317"/>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certain litigation against us may be required to be brought in Delaware;</w:t>
      </w:r>
    </w:p>
    <w:p>
      <w:pPr>
        <w:spacing w:after="0" w:line="247" w:lineRule="exact"/>
        <w:rPr>
          <w:rFonts w:ascii="Arial" w:cs="Arial" w:eastAsia="Arial" w:hAnsi="Arial"/>
          <w:sz w:val="17"/>
          <w:szCs w:val="17"/>
          <w:color w:val="auto"/>
        </w:rPr>
      </w:pPr>
    </w:p>
    <w:p>
      <w:pPr>
        <w:ind w:left="1260" w:right="260" w:hanging="317"/>
        <w:spacing w:after="0" w:line="287"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184" w:lineRule="exact"/>
        <w:rPr>
          <w:rFonts w:ascii="Arial" w:cs="Arial" w:eastAsia="Arial" w:hAnsi="Arial"/>
          <w:sz w:val="17"/>
          <w:szCs w:val="17"/>
          <w:color w:val="auto"/>
        </w:rPr>
      </w:pPr>
    </w:p>
    <w:p>
      <w:pPr>
        <w:ind w:left="1260" w:right="60" w:hanging="317"/>
        <w:spacing w:after="0" w:line="287"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advance notice procedures apply for stockholders to nominate candidates for election as directors or to bring matters before an annual meeting of stockholders.</w:t>
      </w:r>
    </w:p>
    <w:p>
      <w:pPr>
        <w:spacing w:after="0" w:line="184" w:lineRule="exact"/>
        <w:rPr>
          <w:sz w:val="20"/>
          <w:szCs w:val="20"/>
          <w:color w:val="auto"/>
        </w:rPr>
      </w:pPr>
    </w:p>
    <w:p>
      <w:pPr>
        <w:ind w:right="60" w:firstLine="391"/>
        <w:spacing w:after="0" w:line="266"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203"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203" w:lineRule="exact"/>
        <w:rPr>
          <w:sz w:val="20"/>
          <w:szCs w:val="20"/>
          <w:color w:val="auto"/>
        </w:rPr>
      </w:pPr>
    </w:p>
    <w:p>
      <w:pPr>
        <w:ind w:right="20" w:firstLine="391"/>
        <w:spacing w:after="0" w:line="266"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98" w:lineRule="exact"/>
        <w:rPr>
          <w:sz w:val="20"/>
          <w:szCs w:val="20"/>
          <w:color w:val="auto"/>
        </w:rPr>
      </w:pPr>
    </w:p>
    <w:p>
      <w:pPr>
        <w:ind w:right="60" w:firstLine="391"/>
        <w:spacing w:after="0" w:line="287" w:lineRule="auto"/>
        <w:rPr>
          <w:sz w:val="20"/>
          <w:szCs w:val="20"/>
          <w:color w:val="auto"/>
        </w:rPr>
      </w:pPr>
      <w:r>
        <w:rPr>
          <w:rFonts w:ascii="Arial" w:cs="Arial" w:eastAsia="Arial" w:hAnsi="Arial"/>
          <w:sz w:val="17"/>
          <w:szCs w:val="17"/>
          <w:color w:val="auto"/>
        </w:rPr>
        <w:t>Our amended and restated bylaws also provide that the federal district courts of the United States of America will be the exclusive forum for resolving any complaint asserting a cause of action arising under the Securities Act, or a Federal Forum Provision.</w:t>
      </w:r>
    </w:p>
    <w:p>
      <w:pPr>
        <w:spacing w:after="0" w:line="184" w:lineRule="exact"/>
        <w:rPr>
          <w:sz w:val="20"/>
          <w:szCs w:val="20"/>
          <w:color w:val="auto"/>
        </w:rPr>
      </w:pPr>
    </w:p>
    <w:p>
      <w:pPr>
        <w:ind w:right="400" w:firstLine="391"/>
        <w:spacing w:after="0" w:line="296"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80" w:lineRule="exact"/>
        <w:rPr>
          <w:sz w:val="20"/>
          <w:szCs w:val="20"/>
          <w:color w:val="auto"/>
        </w:rPr>
      </w:pPr>
    </w:p>
    <w:p>
      <w:pPr>
        <w:ind w:right="540" w:firstLine="391"/>
        <w:spacing w:after="0" w:line="287" w:lineRule="auto"/>
        <w:rPr>
          <w:sz w:val="20"/>
          <w:szCs w:val="20"/>
          <w:color w:val="auto"/>
        </w:rPr>
      </w:pPr>
      <w:r>
        <w:rPr>
          <w:rFonts w:ascii="Arial" w:cs="Arial" w:eastAsia="Arial" w:hAnsi="Arial"/>
          <w:sz w:val="17"/>
          <w:szCs w:val="17"/>
          <w:color w:val="auto"/>
        </w:rPr>
        <w:t>If we face relevant litigation and are unable to enforce these provisions, we may incur additional costs associated with resolving the dispute in other jurisdictions, which could harm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guarantee that our stock repurchase program will be fully implemented or that it will enhance long-term stockholder value.</w:t>
      </w:r>
    </w:p>
    <w:p>
      <w:pPr>
        <w:spacing w:after="0" w:line="248" w:lineRule="exact"/>
        <w:rPr>
          <w:sz w:val="20"/>
          <w:szCs w:val="20"/>
          <w:color w:val="auto"/>
        </w:rPr>
      </w:pPr>
    </w:p>
    <w:p>
      <w:pPr>
        <w:ind w:right="100" w:firstLine="391"/>
        <w:spacing w:after="0" w:line="277" w:lineRule="auto"/>
        <w:rPr>
          <w:sz w:val="20"/>
          <w:szCs w:val="20"/>
          <w:color w:val="auto"/>
        </w:rPr>
      </w:pPr>
      <w:r>
        <w:rPr>
          <w:rFonts w:ascii="Arial" w:cs="Arial" w:eastAsia="Arial" w:hAnsi="Arial"/>
          <w:sz w:val="16"/>
          <w:szCs w:val="16"/>
          <w:color w:val="auto"/>
        </w:rPr>
        <w:t>In February 2020, our Board of Directors approved a stock repurchase program for the repurchase of up to $600 million of the outstanding shares of our Class A common stock, in February 2021 our Board of Directors authorized the repurchase of up to an additional $1 billion of the outstanding shares of our Class A common stock and in February 2022 our Board of Directors further authorized the repurchase of up to an additional $1.2 billion of the outstanding shares of our Class A common stock. The repurchase program does not have an expiration date and we are not obligated to repurchase a specified number or dollar value of shares. Share repurchases will be made from time to time in private transactions or open market purchases, as permitted by securities laws and other legal requirements. Although we have previously announced an intention to allocate a significant portion of our free cash flow to share repurchases, any share repurchases remain subject to the circumstances in place at that time, including prevailing market prices. As a result, there can be no guarantee around the timing of our share repurchases, or that the volume of such repurchases will increase. The stock repurchase program could affect the price of our Class A common stock, increase volatility and diminish our cash reserves. Our repurchase program may be suspended or terminated at any time and, even if fully implemented, may not enhance long-term stockholder value.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248" w:lineRule="exact"/>
        <w:rPr>
          <w:sz w:val="20"/>
          <w:szCs w:val="20"/>
          <w:color w:val="auto"/>
        </w:rPr>
      </w:pPr>
    </w:p>
    <w:p>
      <w:pPr>
        <w:ind w:right="260" w:firstLine="391"/>
        <w:spacing w:after="0" w:line="266"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fund our stock repurchase program,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General Risk Factors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disrupted by catastrophic events.</w:t>
      </w:r>
    </w:p>
    <w:p>
      <w:pPr>
        <w:spacing w:after="0" w:line="248" w:lineRule="exact"/>
        <w:rPr>
          <w:sz w:val="20"/>
          <w:szCs w:val="20"/>
          <w:color w:val="auto"/>
        </w:rPr>
      </w:pPr>
    </w:p>
    <w:p>
      <w:pPr>
        <w:ind w:firstLine="391"/>
        <w:spacing w:after="0" w:line="262" w:lineRule="auto"/>
        <w:rPr>
          <w:sz w:val="20"/>
          <w:szCs w:val="20"/>
          <w:color w:val="auto"/>
        </w:rPr>
      </w:pPr>
      <w:r>
        <w:rPr>
          <w:rFonts w:ascii="Arial" w:cs="Arial" w:eastAsia="Arial" w:hAnsi="Arial"/>
          <w:sz w:val="17"/>
          <w:szCs w:val="17"/>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or result in unexpected increases in our costs. Further, outbreaks of pandemic diseases, such as COVID-19, or the fear of such events, have resulted in responses, including government-imposed travel restrictions, grounding of flights, and shutdown of workplaces. As a result, we are conducting business with substantial modifications, including modifications to employee travel and employee work locations. These modifications may disrupt important business operations, such as our product development and sales and marketing activities, and the productivity of our employees.</w:t>
      </w:r>
    </w:p>
    <w:p>
      <w:pPr>
        <w:spacing w:after="0" w:line="206" w:lineRule="exact"/>
        <w:rPr>
          <w:sz w:val="20"/>
          <w:szCs w:val="20"/>
          <w:color w:val="auto"/>
        </w:rPr>
      </w:pPr>
    </w:p>
    <w:p>
      <w:pPr>
        <w:ind w:right="20" w:firstLine="391"/>
        <w:spacing w:after="0" w:line="284" w:lineRule="auto"/>
        <w:rPr>
          <w:sz w:val="20"/>
          <w:szCs w:val="20"/>
          <w:color w:val="auto"/>
        </w:rPr>
      </w:pPr>
      <w:r>
        <w:rPr>
          <w:rFonts w:ascii="Arial" w:cs="Arial" w:eastAsia="Arial" w:hAnsi="Arial"/>
          <w:sz w:val="16"/>
          <w:szCs w:val="16"/>
          <w:color w:val="auto"/>
        </w:rPr>
        <w:t>Additionally,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exposure to greater than anticipated tax liabilities, which could adversely impact our results of operations.</w:t>
      </w:r>
    </w:p>
    <w:p>
      <w:pPr>
        <w:spacing w:after="0" w:line="248" w:lineRule="exact"/>
        <w:rPr>
          <w:sz w:val="20"/>
          <w:szCs w:val="20"/>
          <w:color w:val="auto"/>
        </w:rPr>
      </w:pPr>
    </w:p>
    <w:p>
      <w:pPr>
        <w:ind w:right="120" w:firstLine="391"/>
        <w:spacing w:after="0" w:line="312" w:lineRule="auto"/>
        <w:rPr>
          <w:sz w:val="20"/>
          <w:szCs w:val="20"/>
          <w:color w:val="auto"/>
        </w:rPr>
      </w:pPr>
      <w:r>
        <w:rPr>
          <w:rFonts w:ascii="Arial" w:cs="Arial" w:eastAsia="Arial" w:hAnsi="Arial"/>
          <w:sz w:val="15"/>
          <w:szCs w:val="15"/>
          <w:color w:val="auto"/>
        </w:rPr>
        <w:t>While to date we have not incurred significant income taxes in operating our business, 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72" w:lineRule="exact"/>
        <w:rPr>
          <w:sz w:val="20"/>
          <w:szCs w:val="20"/>
          <w:color w:val="auto"/>
        </w:rPr>
      </w:pPr>
    </w:p>
    <w:p>
      <w:pPr>
        <w:ind w:right="20" w:firstLine="391"/>
        <w:spacing w:after="0" w:line="262" w:lineRule="auto"/>
        <w:rPr>
          <w:sz w:val="20"/>
          <w:szCs w:val="20"/>
          <w:color w:val="auto"/>
        </w:rPr>
      </w:pPr>
      <w:r>
        <w:rPr>
          <w:rFonts w:ascii="Arial" w:cs="Arial" w:eastAsia="Arial" w:hAnsi="Arial"/>
          <w:sz w:val="17"/>
          <w:szCs w:val="17"/>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non-income-based taxes resulting from changes in federal, state, or international tax laws, changes in taxing jurisdictions’ administrative interpretations, decisions, policies, and positions, results of tax examinations, settlements or judicial decisions, changes in accounting principles, or changes to our business operations, including acquisitions, as well as the evaluation of new information that results in a change to a tax position taken in a prior period.</w:t>
      </w:r>
    </w:p>
    <w:p>
      <w:pPr>
        <w:spacing w:after="0" w:line="206" w:lineRule="exact"/>
        <w:rPr>
          <w:sz w:val="20"/>
          <w:szCs w:val="20"/>
          <w:color w:val="auto"/>
        </w:rPr>
      </w:pPr>
    </w:p>
    <w:p>
      <w:pPr>
        <w:ind w:right="440"/>
        <w:spacing w:after="0" w:line="287"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4" w:lineRule="exact"/>
        <w:rPr>
          <w:sz w:val="20"/>
          <w:szCs w:val="20"/>
          <w:color w:val="auto"/>
        </w:rPr>
      </w:pPr>
    </w:p>
    <w:p>
      <w:pPr>
        <w:ind w:right="40" w:firstLine="391"/>
        <w:spacing w:after="0" w:line="266" w:lineRule="auto"/>
        <w:rPr>
          <w:sz w:val="20"/>
          <w:szCs w:val="20"/>
          <w:color w:val="auto"/>
        </w:rPr>
      </w:pPr>
      <w:r>
        <w:rPr>
          <w:rFonts w:ascii="Arial" w:cs="Arial" w:eastAsia="Arial" w:hAnsi="Arial"/>
          <w:sz w:val="17"/>
          <w:szCs w:val="17"/>
          <w:color w:val="auto"/>
        </w:rPr>
        <w:t>We are subject to the reporting requirements of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3" w:lineRule="exact"/>
        <w:rPr>
          <w:sz w:val="20"/>
          <w:szCs w:val="20"/>
          <w:color w:val="auto"/>
        </w:rPr>
      </w:pPr>
    </w:p>
    <w:p>
      <w:pPr>
        <w:ind w:firstLine="391"/>
        <w:spacing w:after="0" w:line="276"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spacing w:after="0" w:line="196" w:lineRule="exact"/>
        <w:rPr>
          <w:sz w:val="20"/>
          <w:szCs w:val="20"/>
          <w:color w:val="auto"/>
        </w:rPr>
      </w:pPr>
    </w:p>
    <w:p>
      <w:pPr>
        <w:ind w:right="20" w:firstLine="391"/>
        <w:spacing w:after="0" w:line="277"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results of operations may be adversely affected by changes in accounting principles generally accepted in the United States.</w:t>
      </w:r>
    </w:p>
    <w:p>
      <w:pPr>
        <w:spacing w:after="0" w:line="248"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additional capital, and we cannot be certain that additional financing will be available on favorable terms, or at all.</w:t>
      </w:r>
    </w:p>
    <w:p>
      <w:pPr>
        <w:spacing w:after="0" w:line="248" w:lineRule="exact"/>
        <w:rPr>
          <w:sz w:val="20"/>
          <w:szCs w:val="20"/>
          <w:color w:val="auto"/>
        </w:rPr>
      </w:pPr>
    </w:p>
    <w:p>
      <w:pPr>
        <w:ind w:right="40" w:firstLine="391"/>
        <w:spacing w:after="0" w:line="301" w:lineRule="auto"/>
        <w:rPr>
          <w:sz w:val="20"/>
          <w:szCs w:val="20"/>
          <w:color w:val="auto"/>
        </w:rPr>
      </w:pPr>
      <w:r>
        <w:rPr>
          <w:rFonts w:ascii="Arial" w:cs="Arial" w:eastAsia="Arial" w:hAnsi="Arial"/>
          <w:sz w:val="15"/>
          <w:szCs w:val="15"/>
          <w:color w:val="auto"/>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81"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84" w:lineRule="exact"/>
        <w:rPr>
          <w:sz w:val="20"/>
          <w:szCs w:val="20"/>
          <w:color w:val="auto"/>
        </w:rPr>
      </w:pPr>
    </w:p>
    <w:p>
      <w:pPr>
        <w:ind w:right="20" w:firstLine="391"/>
        <w:spacing w:after="0" w:line="284"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UNREGISTERED SALES OF EQUITY SECURITIES AND USE OF PROCEEDS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54" w:lineRule="exact"/>
        <w:rPr>
          <w:sz w:val="20"/>
          <w:szCs w:val="20"/>
          <w:color w:val="auto"/>
        </w:rPr>
      </w:pPr>
    </w:p>
    <w:p>
      <w:pPr>
        <w:ind w:right="2440" w:firstLine="626"/>
        <w:spacing w:after="0" w:line="281" w:lineRule="auto"/>
        <w:rPr>
          <w:sz w:val="20"/>
          <w:szCs w:val="20"/>
          <w:color w:val="auto"/>
        </w:rPr>
      </w:pPr>
      <w:r>
        <w:rPr>
          <w:rFonts w:ascii="Arial" w:cs="Arial" w:eastAsia="Arial" w:hAnsi="Arial"/>
          <w:sz w:val="17"/>
          <w:szCs w:val="17"/>
          <w:color w:val="auto"/>
        </w:rPr>
        <w:t>The following table presents information with respect to Dropbox's repurchases of Class A common stock during the quarter ended June 30, 2022.</w:t>
      </w:r>
    </w:p>
    <w:tbl>
      <w:tblPr>
        <w:tblLayout w:type="fixed"/>
        <w:tblInd w:w="60" w:type="dxa"/>
        <w:tblCellMar>
          <w:top w:w="0" w:type="dxa"/>
          <w:left w:w="0" w:type="dxa"/>
          <w:bottom w:w="0" w:type="dxa"/>
          <w:right w:w="0" w:type="dxa"/>
        </w:tblCellMar>
      </w:tblPr>
      <w:tr>
        <w:trPr>
          <w:trHeight w:val="158"/>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vMerge w:val="restart"/>
          </w:tcPr>
          <w:p>
            <w:pPr>
              <w:jc w:val="center"/>
              <w:spacing w:after="0"/>
              <w:rPr>
                <w:sz w:val="20"/>
                <w:szCs w:val="20"/>
                <w:color w:val="auto"/>
              </w:rPr>
            </w:pPr>
            <w:r>
              <w:rPr>
                <w:rFonts w:ascii="Arial" w:cs="Arial" w:eastAsia="Arial" w:hAnsi="Arial"/>
                <w:sz w:val="16"/>
                <w:szCs w:val="16"/>
                <w:color w:val="auto"/>
                <w:w w:val="88"/>
              </w:rPr>
              <w:t>Total Number of 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Pr>
          <w:p>
            <w:pPr>
              <w:jc w:val="center"/>
              <w:ind w:right="39"/>
              <w:spacing w:after="0" w:line="158" w:lineRule="exact"/>
              <w:rPr>
                <w:sz w:val="20"/>
                <w:szCs w:val="20"/>
                <w:color w:val="auto"/>
              </w:rPr>
            </w:pPr>
            <w:r>
              <w:rPr>
                <w:rFonts w:ascii="Arial" w:cs="Arial" w:eastAsia="Arial" w:hAnsi="Arial"/>
                <w:sz w:val="16"/>
                <w:szCs w:val="16"/>
                <w:color w:val="auto"/>
                <w:w w:val="92"/>
              </w:rPr>
              <w:t>Approximate Dollar Value of</w:t>
            </w:r>
          </w:p>
        </w:tc>
        <w:tc>
          <w:tcPr>
            <w:tcW w:w="0" w:type="dxa"/>
            <w:vAlign w:val="bottom"/>
          </w:tcPr>
          <w:p>
            <w:pPr>
              <w:spacing w:after="0"/>
              <w:rPr>
                <w:sz w:val="1"/>
                <w:szCs w:val="1"/>
                <w:color w:val="auto"/>
              </w:rPr>
            </w:pPr>
          </w:p>
        </w:tc>
      </w:tr>
      <w:tr>
        <w:trPr>
          <w:trHeight w:val="156"/>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Pr>
          <w:p>
            <w:pPr>
              <w:jc w:val="center"/>
              <w:ind w:right="39"/>
              <w:spacing w:after="0" w:line="157" w:lineRule="exact"/>
              <w:rPr>
                <w:sz w:val="20"/>
                <w:szCs w:val="20"/>
                <w:color w:val="auto"/>
              </w:rPr>
            </w:pPr>
            <w:r>
              <w:rPr>
                <w:rFonts w:ascii="Arial" w:cs="Arial" w:eastAsia="Arial" w:hAnsi="Arial"/>
                <w:sz w:val="16"/>
                <w:szCs w:val="16"/>
                <w:color w:val="auto"/>
                <w:w w:val="87"/>
              </w:rPr>
              <w:t>Shares that May Yet Be</w:t>
            </w:r>
          </w:p>
        </w:tc>
        <w:tc>
          <w:tcPr>
            <w:tcW w:w="0" w:type="dxa"/>
            <w:vAlign w:val="bottom"/>
          </w:tcPr>
          <w:p>
            <w:pPr>
              <w:spacing w:after="0"/>
              <w:rPr>
                <w:sz w:val="1"/>
                <w:szCs w:val="1"/>
                <w:color w:val="auto"/>
              </w:rPr>
            </w:pPr>
          </w:p>
        </w:tc>
      </w:tr>
      <w:tr>
        <w:trPr>
          <w:trHeight w:val="156"/>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vMerge w:val="restart"/>
          </w:tcPr>
          <w:p>
            <w:pPr>
              <w:jc w:val="right"/>
              <w:ind w:right="256"/>
              <w:spacing w:after="0"/>
              <w:rPr>
                <w:sz w:val="20"/>
                <w:szCs w:val="20"/>
                <w:color w:val="auto"/>
              </w:rPr>
            </w:pPr>
            <w:r>
              <w:rPr>
                <w:rFonts w:ascii="Arial" w:cs="Arial" w:eastAsia="Arial" w:hAnsi="Arial"/>
                <w:sz w:val="16"/>
                <w:szCs w:val="16"/>
                <w:color w:val="auto"/>
              </w:rPr>
              <w:t>Total Number of Shares</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center"/>
              <w:spacing w:after="0" w:line="157" w:lineRule="exact"/>
              <w:rPr>
                <w:sz w:val="20"/>
                <w:szCs w:val="20"/>
                <w:color w:val="auto"/>
              </w:rPr>
            </w:pPr>
            <w:r>
              <w:rPr>
                <w:rFonts w:ascii="Arial" w:cs="Arial" w:eastAsia="Arial" w:hAnsi="Arial"/>
                <w:sz w:val="16"/>
                <w:szCs w:val="16"/>
                <w:color w:val="auto"/>
                <w:w w:val="88"/>
              </w:rPr>
              <w:t>Purchased as Part of Publicly</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Pr>
          <w:p>
            <w:pPr>
              <w:jc w:val="center"/>
              <w:ind w:right="39"/>
              <w:spacing w:after="0" w:line="157" w:lineRule="exact"/>
              <w:rPr>
                <w:sz w:val="20"/>
                <w:szCs w:val="20"/>
                <w:color w:val="auto"/>
              </w:rPr>
            </w:pPr>
            <w:r>
              <w:rPr>
                <w:rFonts w:ascii="Arial" w:cs="Arial" w:eastAsia="Arial" w:hAnsi="Arial"/>
                <w:sz w:val="16"/>
                <w:szCs w:val="16"/>
                <w:color w:val="auto"/>
                <w:w w:val="89"/>
              </w:rPr>
              <w:t>Purchased Under Publicly</w:t>
            </w:r>
          </w:p>
        </w:tc>
        <w:tc>
          <w:tcPr>
            <w:tcW w:w="0" w:type="dxa"/>
            <w:vAlign w:val="bottom"/>
          </w:tcPr>
          <w:p>
            <w:pPr>
              <w:spacing w:after="0"/>
              <w:rPr>
                <w:sz w:val="1"/>
                <w:szCs w:val="1"/>
                <w:color w:val="auto"/>
              </w:rPr>
            </w:pPr>
          </w:p>
        </w:tc>
      </w:tr>
      <w:tr>
        <w:trPr>
          <w:trHeight w:val="156"/>
        </w:trPr>
        <w:tc>
          <w:tcPr>
            <w:tcW w:w="2120" w:type="dxa"/>
            <w:vAlign w:val="bottom"/>
            <w:vMerge w:val="restart"/>
          </w:tcPr>
          <w:p>
            <w:pPr>
              <w:ind w:left="840"/>
              <w:spacing w:after="0"/>
              <w:rPr>
                <w:sz w:val="20"/>
                <w:szCs w:val="20"/>
                <w:color w:val="auto"/>
              </w:rPr>
            </w:pPr>
            <w:r>
              <w:rPr>
                <w:rFonts w:ascii="Arial" w:cs="Arial" w:eastAsia="Arial" w:hAnsi="Arial"/>
                <w:sz w:val="16"/>
                <w:szCs w:val="16"/>
                <w:color w:val="auto"/>
              </w:rPr>
              <w:t>Period</w:t>
            </w:r>
          </w:p>
        </w:tc>
        <w:tc>
          <w:tcPr>
            <w:tcW w:w="100" w:type="dxa"/>
            <w:vAlign w:val="bottom"/>
            <w:vMerge w:val="restart"/>
          </w:tcPr>
          <w:p>
            <w:pPr>
              <w:spacing w:after="0"/>
              <w:rPr>
                <w:sz w:val="13"/>
                <w:szCs w:val="13"/>
                <w:color w:val="auto"/>
              </w:rPr>
            </w:pPr>
          </w:p>
        </w:tc>
        <w:tc>
          <w:tcPr>
            <w:tcW w:w="2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2"/>
            <w:vMerge w:val="restart"/>
          </w:tcPr>
          <w:p>
            <w:pPr>
              <w:jc w:val="right"/>
              <w:ind w:right="13"/>
              <w:spacing w:after="0"/>
              <w:rPr>
                <w:sz w:val="20"/>
                <w:szCs w:val="20"/>
                <w:color w:val="auto"/>
              </w:rPr>
            </w:pPr>
            <w:r>
              <w:rPr>
                <w:rFonts w:ascii="Arial" w:cs="Arial" w:eastAsia="Arial" w:hAnsi="Arial"/>
                <w:sz w:val="16"/>
                <w:szCs w:val="16"/>
                <w:color w:val="auto"/>
                <w:w w:val="88"/>
              </w:rPr>
              <w:t>Average Price Paid per Share</w:t>
            </w:r>
            <w:r>
              <w:rPr>
                <w:rFonts w:ascii="Arial" w:cs="Arial" w:eastAsia="Arial" w:hAnsi="Arial"/>
                <w:sz w:val="20"/>
                <w:szCs w:val="20"/>
                <w:color w:val="auto"/>
                <w:w w:val="88"/>
                <w:vertAlign w:val="superscript"/>
              </w:rPr>
              <w:t>(2)</w:t>
            </w:r>
          </w:p>
        </w:tc>
        <w:tc>
          <w:tcPr>
            <w:tcW w:w="100" w:type="dxa"/>
            <w:vAlign w:val="bottom"/>
            <w:vMerge w:val="restart"/>
          </w:tcPr>
          <w:p>
            <w:pPr>
              <w:spacing w:after="0"/>
              <w:rPr>
                <w:sz w:val="13"/>
                <w:szCs w:val="13"/>
                <w:color w:val="auto"/>
              </w:rPr>
            </w:pPr>
          </w:p>
        </w:tc>
        <w:tc>
          <w:tcPr>
            <w:tcW w:w="2160" w:type="dxa"/>
            <w:vAlign w:val="bottom"/>
          </w:tcPr>
          <w:p>
            <w:pPr>
              <w:jc w:val="center"/>
              <w:spacing w:after="0" w:line="157" w:lineRule="exact"/>
              <w:rPr>
                <w:sz w:val="20"/>
                <w:szCs w:val="20"/>
                <w:color w:val="auto"/>
              </w:rPr>
            </w:pPr>
            <w:r>
              <w:rPr>
                <w:rFonts w:ascii="Arial" w:cs="Arial" w:eastAsia="Arial" w:hAnsi="Arial"/>
                <w:sz w:val="16"/>
                <w:szCs w:val="16"/>
                <w:color w:val="auto"/>
                <w:w w:val="87"/>
              </w:rPr>
              <w:t>Announced Programs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Pr>
          <w:p>
            <w:pPr>
              <w:jc w:val="center"/>
              <w:ind w:right="39"/>
              <w:spacing w:after="0" w:line="157" w:lineRule="exact"/>
              <w:rPr>
                <w:sz w:val="20"/>
                <w:szCs w:val="20"/>
                <w:color w:val="auto"/>
              </w:rPr>
            </w:pPr>
            <w:r>
              <w:rPr>
                <w:rFonts w:ascii="Arial" w:cs="Arial" w:eastAsia="Arial" w:hAnsi="Arial"/>
                <w:sz w:val="16"/>
                <w:szCs w:val="16"/>
                <w:color w:val="auto"/>
                <w:w w:val="87"/>
              </w:rPr>
              <w:t>Announced Programs</w:t>
            </w:r>
          </w:p>
        </w:tc>
        <w:tc>
          <w:tcPr>
            <w:tcW w:w="0" w:type="dxa"/>
            <w:vAlign w:val="bottom"/>
          </w:tcPr>
          <w:p>
            <w:pPr>
              <w:spacing w:after="0"/>
              <w:rPr>
                <w:sz w:val="1"/>
                <w:szCs w:val="1"/>
                <w:color w:val="auto"/>
              </w:rPr>
            </w:pPr>
          </w:p>
        </w:tc>
      </w:tr>
      <w:tr>
        <w:trPr>
          <w:trHeight w:val="206"/>
        </w:trPr>
        <w:tc>
          <w:tcPr>
            <w:tcW w:w="2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160" w:type="dxa"/>
            <w:vAlign w:val="bottom"/>
            <w:tcBorders>
              <w:bottom w:val="single" w:sz="8" w:color="auto"/>
            </w:tcBorders>
          </w:tcPr>
          <w:p>
            <w:pPr>
              <w:jc w:val="right"/>
              <w:ind w:right="216"/>
              <w:spacing w:after="0" w:line="206" w:lineRule="exact"/>
              <w:rPr>
                <w:sz w:val="20"/>
                <w:szCs w:val="20"/>
                <w:color w:val="auto"/>
              </w:rPr>
            </w:pPr>
            <w:r>
              <w:rPr>
                <w:rFonts w:ascii="Arial" w:cs="Arial" w:eastAsia="Arial" w:hAnsi="Arial"/>
                <w:sz w:val="16"/>
                <w:szCs w:val="16"/>
                <w:color w:val="auto"/>
              </w:rPr>
              <w:t>Purchased (in millions)</w:t>
            </w:r>
            <w:r>
              <w:rPr>
                <w:rFonts w:ascii="Arial" w:cs="Arial" w:eastAsia="Arial" w:hAnsi="Arial"/>
                <w:sz w:val="20"/>
                <w:szCs w:val="20"/>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214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160" w:type="dxa"/>
            <w:vAlign w:val="bottom"/>
            <w:tcBorders>
              <w:bottom w:val="single" w:sz="8" w:color="auto"/>
            </w:tcBorders>
          </w:tcPr>
          <w:p>
            <w:pPr>
              <w:jc w:val="center"/>
              <w:spacing w:after="0" w:line="206" w:lineRule="exact"/>
              <w:rPr>
                <w:sz w:val="20"/>
                <w:szCs w:val="20"/>
                <w:color w:val="auto"/>
              </w:rPr>
            </w:pPr>
            <w:r>
              <w:rPr>
                <w:rFonts w:ascii="Arial" w:cs="Arial" w:eastAsia="Arial" w:hAnsi="Arial"/>
                <w:sz w:val="16"/>
                <w:szCs w:val="16"/>
                <w:color w:val="auto"/>
                <w:w w:val="92"/>
              </w:rPr>
              <w:t>(in millions)</w:t>
            </w:r>
            <w:r>
              <w:rPr>
                <w:rFonts w:ascii="Arial" w:cs="Arial" w:eastAsia="Arial" w:hAnsi="Arial"/>
                <w:sz w:val="20"/>
                <w:szCs w:val="20"/>
                <w:color w:val="auto"/>
                <w:w w:val="92"/>
                <w:vertAlign w:val="superscript"/>
              </w:rPr>
              <w:t>(1)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center"/>
              <w:ind w:right="59"/>
              <w:spacing w:after="0" w:line="206" w:lineRule="exact"/>
              <w:rPr>
                <w:sz w:val="20"/>
                <w:szCs w:val="20"/>
                <w:color w:val="auto"/>
              </w:rPr>
            </w:pPr>
            <w:r>
              <w:rPr>
                <w:rFonts w:ascii="Arial" w:cs="Arial" w:eastAsia="Arial" w:hAnsi="Arial"/>
                <w:sz w:val="16"/>
                <w:szCs w:val="16"/>
                <w:color w:val="auto"/>
                <w:w w:val="92"/>
              </w:rPr>
              <w:t>(in millions)</w:t>
            </w:r>
            <w:r>
              <w:rPr>
                <w:rFonts w:ascii="Arial" w:cs="Arial" w:eastAsia="Arial" w:hAnsi="Arial"/>
                <w:sz w:val="20"/>
                <w:szCs w:val="20"/>
                <w:color w:val="auto"/>
                <w:w w:val="92"/>
                <w:vertAlign w:val="superscript"/>
              </w:rPr>
              <w:t>(1)</w:t>
            </w:r>
          </w:p>
        </w:tc>
        <w:tc>
          <w:tcPr>
            <w:tcW w:w="0" w:type="dxa"/>
            <w:vAlign w:val="bottom"/>
          </w:tcPr>
          <w:p>
            <w:pPr>
              <w:spacing w:after="0"/>
              <w:rPr>
                <w:sz w:val="1"/>
                <w:szCs w:val="1"/>
                <w:color w:val="auto"/>
              </w:rPr>
            </w:pPr>
          </w:p>
        </w:tc>
      </w:tr>
      <w:tr>
        <w:trPr>
          <w:trHeight w:val="215"/>
        </w:trPr>
        <w:tc>
          <w:tcPr>
            <w:tcW w:w="2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April 1 - 30</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980" w:type="dxa"/>
            <w:vAlign w:val="bottom"/>
            <w:gridSpan w:val="2"/>
            <w:shd w:val="clear" w:color="auto" w:fill="CCEEFF"/>
          </w:tcPr>
          <w:p>
            <w:pPr>
              <w:jc w:val="right"/>
              <w:ind w:right="702"/>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22.73</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1,231.45</w:t>
            </w:r>
          </w:p>
        </w:tc>
        <w:tc>
          <w:tcPr>
            <w:tcW w:w="0" w:type="dxa"/>
            <w:vAlign w:val="bottom"/>
          </w:tcPr>
          <w:p>
            <w:pPr>
              <w:spacing w:after="0"/>
              <w:rPr>
                <w:sz w:val="1"/>
                <w:szCs w:val="1"/>
                <w:color w:val="auto"/>
              </w:rPr>
            </w:pPr>
          </w:p>
        </w:tc>
      </w:tr>
      <w:tr>
        <w:trPr>
          <w:trHeight w:val="222"/>
        </w:trPr>
        <w:tc>
          <w:tcPr>
            <w:tcW w:w="2220" w:type="dxa"/>
            <w:vAlign w:val="bottom"/>
            <w:gridSpan w:val="2"/>
          </w:tcPr>
          <w:p>
            <w:pPr>
              <w:spacing w:after="0"/>
              <w:rPr>
                <w:sz w:val="20"/>
                <w:szCs w:val="20"/>
                <w:color w:val="auto"/>
              </w:rPr>
            </w:pPr>
            <w:r>
              <w:rPr>
                <w:rFonts w:ascii="Arial" w:cs="Arial" w:eastAsia="Arial" w:hAnsi="Arial"/>
                <w:sz w:val="17"/>
                <w:szCs w:val="17"/>
                <w:color w:val="auto"/>
              </w:rPr>
              <w:t>May 1 - 31</w:t>
            </w:r>
          </w:p>
        </w:tc>
        <w:tc>
          <w:tcPr>
            <w:tcW w:w="2160" w:type="dxa"/>
            <w:vAlign w:val="bottom"/>
          </w:tcPr>
          <w:p>
            <w:pPr>
              <w:jc w:val="right"/>
              <w:spacing w:after="0" w:line="222" w:lineRule="exact"/>
              <w:rPr>
                <w:sz w:val="20"/>
                <w:szCs w:val="20"/>
                <w:color w:val="auto"/>
              </w:rPr>
            </w:pPr>
            <w:r>
              <w:rPr>
                <w:rFonts w:ascii="Arial" w:cs="Arial" w:eastAsia="Arial" w:hAnsi="Arial"/>
                <w:sz w:val="17"/>
                <w:szCs w:val="17"/>
                <w:color w:val="auto"/>
              </w:rPr>
              <w:t>3.83</w:t>
            </w:r>
            <w:r>
              <w:rPr>
                <w:rFonts w:ascii="Arial" w:cs="Arial" w:eastAsia="Arial" w:hAnsi="Arial"/>
                <w:sz w:val="22"/>
                <w:szCs w:val="22"/>
                <w:color w:val="auto"/>
                <w:vertAlign w:val="superscript"/>
              </w:rPr>
              <w:t>(3)</w:t>
            </w:r>
          </w:p>
        </w:tc>
        <w:tc>
          <w:tcPr>
            <w:tcW w:w="980" w:type="dxa"/>
            <w:vAlign w:val="bottom"/>
            <w:gridSpan w:val="2"/>
          </w:tcPr>
          <w:p>
            <w:pPr>
              <w:jc w:val="right"/>
              <w:ind w:right="702"/>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20.52</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3.75</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40" w:type="dxa"/>
            <w:vAlign w:val="bottom"/>
          </w:tcPr>
          <w:p>
            <w:pPr>
              <w:jc w:val="right"/>
              <w:spacing w:after="0"/>
              <w:rPr>
                <w:sz w:val="20"/>
                <w:szCs w:val="20"/>
                <w:color w:val="auto"/>
              </w:rPr>
            </w:pPr>
            <w:r>
              <w:rPr>
                <w:rFonts w:ascii="Arial" w:cs="Arial" w:eastAsia="Arial" w:hAnsi="Arial"/>
                <w:sz w:val="17"/>
                <w:szCs w:val="17"/>
                <w:color w:val="auto"/>
              </w:rPr>
              <w:t>1,154.48</w:t>
            </w:r>
          </w:p>
        </w:tc>
        <w:tc>
          <w:tcPr>
            <w:tcW w:w="0" w:type="dxa"/>
            <w:vAlign w:val="bottom"/>
          </w:tcPr>
          <w:p>
            <w:pPr>
              <w:spacing w:after="0"/>
              <w:rPr>
                <w:sz w:val="1"/>
                <w:szCs w:val="1"/>
                <w:color w:val="auto"/>
              </w:rPr>
            </w:pPr>
          </w:p>
        </w:tc>
      </w:tr>
      <w:tr>
        <w:trPr>
          <w:trHeight w:val="222"/>
        </w:trPr>
        <w:tc>
          <w:tcPr>
            <w:tcW w:w="2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1 - 30</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980" w:type="dxa"/>
            <w:vAlign w:val="bottom"/>
            <w:gridSpan w:val="2"/>
            <w:shd w:val="clear" w:color="auto" w:fill="CCEEFF"/>
          </w:tcPr>
          <w:p>
            <w:pPr>
              <w:jc w:val="right"/>
              <w:ind w:right="702"/>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21.52</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1,093.63</w:t>
            </w:r>
          </w:p>
        </w:tc>
        <w:tc>
          <w:tcPr>
            <w:tcW w:w="0" w:type="dxa"/>
            <w:vAlign w:val="bottom"/>
          </w:tcPr>
          <w:p>
            <w:pPr>
              <w:spacing w:after="0"/>
              <w:rPr>
                <w:sz w:val="1"/>
                <w:szCs w:val="1"/>
                <w:color w:val="auto"/>
              </w:rPr>
            </w:pPr>
          </w:p>
        </w:tc>
      </w:tr>
      <w:tr>
        <w:trPr>
          <w:trHeight w:val="215"/>
        </w:trPr>
        <w:tc>
          <w:tcPr>
            <w:tcW w:w="2220" w:type="dxa"/>
            <w:vAlign w:val="bottom"/>
            <w:gridSpan w:val="2"/>
          </w:tcPr>
          <w:p>
            <w:pPr>
              <w:spacing w:after="0"/>
              <w:rPr>
                <w:sz w:val="20"/>
                <w:szCs w:val="20"/>
                <w:color w:val="auto"/>
              </w:rPr>
            </w:pPr>
            <w:r>
              <w:rPr>
                <w:rFonts w:ascii="Arial" w:cs="Arial" w:eastAsia="Arial" w:hAnsi="Arial"/>
                <w:sz w:val="17"/>
                <w:szCs w:val="17"/>
                <w:color w:val="auto"/>
              </w:rPr>
              <w:t>Total</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8.95</w:t>
            </w:r>
          </w:p>
        </w:tc>
        <w:tc>
          <w:tcPr>
            <w:tcW w:w="980" w:type="dxa"/>
            <w:vAlign w:val="bottom"/>
            <w:gridSpan w:val="2"/>
          </w:tcPr>
          <w:p>
            <w:pPr>
              <w:jc w:val="right"/>
              <w:ind w:right="702"/>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21.41</w:t>
            </w:r>
          </w:p>
        </w:tc>
        <w:tc>
          <w:tcPr>
            <w:tcW w:w="10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firstLine="4"/>
        <w:spacing w:after="0" w:line="266" w:lineRule="auto"/>
        <w:tabs>
          <w:tab w:leader="none" w:pos="16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On February 20, 2020, we announced that our Board of Directors approved a stock repurchase program for the repurchase of up to $600 million of the Company's outstanding shares of Class A common stock. We completed the February 2020 authorization of $600 million during the three months ended March 31, 2021. On February 18, 2021, we announced that our Board of Directors authorized the repurchase of an additional $1 billion of the outstanding shares of our Class A common stock. We completed the February 2021 authorization of $1 billion during the three months ended June 30, 2022. On February 17, 2022, we announced that our Board of Directors authorized the repurchase of an additional $1.2 billion of the outstanding shares of our Class A common stock.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12 "Stockholders' Deficit to our condensed consolidated financial statements included elsewhere in this Quarterly Report on Form 10-Q for additional information related to share repurchases.</w:t>
      </w:r>
    </w:p>
    <w:p>
      <w:pPr>
        <w:spacing w:after="0" w:line="184" w:lineRule="exact"/>
        <w:rPr>
          <w:rFonts w:ascii="Arial" w:cs="Arial" w:eastAsia="Arial" w:hAnsi="Arial"/>
          <w:sz w:val="19"/>
          <w:szCs w:val="19"/>
          <w:color w:val="auto"/>
          <w:vertAlign w:val="superscript"/>
        </w:rPr>
      </w:pPr>
    </w:p>
    <w:p>
      <w:pPr>
        <w:ind w:left="160" w:hanging="156"/>
        <w:spacing w:after="0"/>
        <w:tabs>
          <w:tab w:leader="none" w:pos="16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Average price paid per share includes costs associated with the repurchases.</w:t>
      </w:r>
    </w:p>
    <w:p>
      <w:pPr>
        <w:spacing w:after="0" w:line="198" w:lineRule="exact"/>
        <w:rPr>
          <w:rFonts w:ascii="Arial" w:cs="Arial" w:eastAsia="Arial" w:hAnsi="Arial"/>
          <w:sz w:val="19"/>
          <w:szCs w:val="19"/>
          <w:color w:val="auto"/>
          <w:vertAlign w:val="superscript"/>
        </w:rPr>
      </w:pPr>
    </w:p>
    <w:p>
      <w:pPr>
        <w:ind w:left="160" w:hanging="156"/>
        <w:spacing w:after="0"/>
        <w:tabs>
          <w:tab w:leader="none" w:pos="16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Includes 81,594 shares of restricted common stock withheld by the Company upon vesting of restricted stock awards to satisfy tax withholding requirements.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EXHIBITS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We have filed the exhibits listed on the accompanying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0" w:name="page91"/>
    <w:bookmarkEnd w:id="9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EXHIBIT INDEX</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Incorporated by</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4740" w:type="dxa"/>
            <w:vAlign w:val="bottom"/>
            <w:gridSpan w:val="5"/>
            <w:vMerge w:val="restart"/>
          </w:tcPr>
          <w:p>
            <w:pPr>
              <w:ind w:left="1880"/>
              <w:spacing w:after="0"/>
              <w:rPr>
                <w:sz w:val="20"/>
                <w:szCs w:val="20"/>
                <w:color w:val="auto"/>
              </w:rPr>
            </w:pPr>
            <w:r>
              <w:rPr>
                <w:rFonts w:ascii="Arial" w:cs="Arial" w:eastAsia="Arial" w:hAnsi="Arial"/>
                <w:sz w:val="14"/>
                <w:szCs w:val="14"/>
                <w:b w:val="1"/>
                <w:bCs w:val="1"/>
                <w:color w:val="auto"/>
              </w:rPr>
              <w:t>Description</w:t>
            </w:r>
          </w:p>
        </w:tc>
        <w:tc>
          <w:tcPr>
            <w:tcW w:w="8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Form</w:t>
            </w:r>
          </w:p>
        </w:tc>
        <w:tc>
          <w:tcPr>
            <w:tcW w:w="12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File Number</w:t>
            </w:r>
          </w:p>
        </w:tc>
        <w:tc>
          <w:tcPr>
            <w:tcW w:w="15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Reference from</w:t>
            </w:r>
          </w:p>
        </w:tc>
        <w:tc>
          <w:tcPr>
            <w:tcW w:w="120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2"/>
              </w:rPr>
              <w:t>Filed with SEC</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5"/>
                <w:szCs w:val="15"/>
                <w:color w:val="auto"/>
              </w:rPr>
            </w:pPr>
          </w:p>
        </w:tc>
        <w:tc>
          <w:tcPr>
            <w:tcW w:w="4740" w:type="dxa"/>
            <w:vAlign w:val="bottom"/>
            <w:gridSpan w:val="5"/>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Exhibit Number</w:t>
            </w: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1080" w:type="dxa"/>
            <w:vAlign w:val="bottom"/>
          </w:tcPr>
          <w:p>
            <w:pPr>
              <w:spacing w:after="0"/>
              <w:rPr>
                <w:sz w:val="20"/>
                <w:szCs w:val="20"/>
                <w:color w:val="auto"/>
              </w:rPr>
            </w:pPr>
            <w:r>
              <w:rPr>
                <w:rFonts w:ascii="Arial" w:cs="Arial" w:eastAsia="Arial" w:hAnsi="Arial"/>
                <w:sz w:val="14"/>
                <w:szCs w:val="14"/>
                <w:color w:val="auto"/>
              </w:rPr>
              <w:t>31.1</w:t>
            </w:r>
          </w:p>
        </w:tc>
        <w:tc>
          <w:tcPr>
            <w:tcW w:w="5040" w:type="dxa"/>
            <w:vAlign w:val="bottom"/>
            <w:tcBorders>
              <w:bottom w:val="single" w:sz="8" w:color="0000FF"/>
            </w:tcBorders>
            <w:gridSpan w:val="6"/>
          </w:tcPr>
          <w:p>
            <w:pPr>
              <w:spacing w:after="0"/>
              <w:rPr>
                <w:rFonts w:ascii="Arial" w:cs="Arial" w:eastAsia="Arial" w:hAnsi="Arial"/>
                <w:sz w:val="14"/>
                <w:szCs w:val="14"/>
                <w:color w:val="0000FF"/>
                <w:w w:val="90"/>
              </w:rPr>
            </w:pPr>
            <w:hyperlink w:anchor="page93">
              <w:r>
                <w:rPr>
                  <w:rFonts w:ascii="Arial" w:cs="Arial" w:eastAsia="Arial" w:hAnsi="Arial"/>
                  <w:sz w:val="14"/>
                  <w:szCs w:val="14"/>
                  <w:color w:val="0000FF"/>
                  <w:w w:val="90"/>
                </w:rPr>
                <w:t>Certification of Principal Executive Officer pursuant to Exchange Act Rules 13a-14(a) and</w:t>
              </w:r>
            </w:hyperlink>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4560" w:type="dxa"/>
            <w:vAlign w:val="bottom"/>
            <w:tcBorders>
              <w:bottom w:val="single" w:sz="8" w:color="0000FF"/>
            </w:tcBorders>
            <w:gridSpan w:val="2"/>
          </w:tcPr>
          <w:p>
            <w:pPr>
              <w:spacing w:after="0" w:line="110" w:lineRule="exact"/>
              <w:rPr>
                <w:rFonts w:ascii="Arial" w:cs="Arial" w:eastAsia="Arial" w:hAnsi="Arial"/>
                <w:sz w:val="12"/>
                <w:szCs w:val="12"/>
                <w:color w:val="0000FF"/>
              </w:rPr>
            </w:pPr>
            <w:hyperlink w:anchor="page93">
              <w:r>
                <w:rPr>
                  <w:rFonts w:ascii="Arial" w:cs="Arial" w:eastAsia="Arial" w:hAnsi="Arial"/>
                  <w:sz w:val="12"/>
                  <w:szCs w:val="12"/>
                  <w:color w:val="0000FF"/>
                </w:rPr>
                <w:t>15d-14(a), as adopted pursuant to Section 302 of the Sarbanes-Oxley Act of 2002.</w:t>
              </w:r>
            </w:hyperlink>
          </w:p>
        </w:tc>
        <w:tc>
          <w:tcPr>
            <w:tcW w:w="480" w:type="dxa"/>
            <w:vAlign w:val="bottom"/>
            <w:gridSpan w:val="4"/>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3"/>
        </w:trPr>
        <w:tc>
          <w:tcPr>
            <w:tcW w:w="1080" w:type="dxa"/>
            <w:vAlign w:val="bottom"/>
          </w:tcPr>
          <w:p>
            <w:pPr>
              <w:spacing w:after="0"/>
              <w:rPr>
                <w:sz w:val="20"/>
                <w:szCs w:val="20"/>
                <w:color w:val="auto"/>
              </w:rPr>
            </w:pPr>
            <w:r>
              <w:rPr>
                <w:rFonts w:ascii="Arial" w:cs="Arial" w:eastAsia="Arial" w:hAnsi="Arial"/>
                <w:sz w:val="14"/>
                <w:szCs w:val="14"/>
                <w:color w:val="auto"/>
              </w:rPr>
              <w:t>31.2</w:t>
            </w:r>
          </w:p>
        </w:tc>
        <w:tc>
          <w:tcPr>
            <w:tcW w:w="5040" w:type="dxa"/>
            <w:vAlign w:val="bottom"/>
            <w:gridSpan w:val="6"/>
          </w:tcPr>
          <w:p>
            <w:pPr>
              <w:spacing w:after="0"/>
              <w:rPr>
                <w:rFonts w:ascii="Arial" w:cs="Arial" w:eastAsia="Arial" w:hAnsi="Arial"/>
                <w:sz w:val="14"/>
                <w:szCs w:val="14"/>
                <w:color w:val="0000FF"/>
                <w:w w:val="91"/>
              </w:rPr>
            </w:pPr>
            <w:hyperlink w:anchor="page94">
              <w:r>
                <w:rPr>
                  <w:rFonts w:ascii="Arial" w:cs="Arial" w:eastAsia="Arial" w:hAnsi="Arial"/>
                  <w:sz w:val="14"/>
                  <w:szCs w:val="14"/>
                  <w:color w:val="0000FF"/>
                  <w:w w:val="91"/>
                </w:rPr>
                <w:t>Certification of Principal Financial Officer pursuant to Exchange Act Rules 13a-14(a) and</w:t>
              </w:r>
            </w:hyperlink>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4560" w:type="dxa"/>
            <w:vAlign w:val="bottom"/>
            <w:tcBorders>
              <w:top w:val="single" w:sz="8" w:color="0000FF"/>
              <w:bottom w:val="single" w:sz="8" w:color="0000FF"/>
            </w:tcBorders>
            <w:gridSpan w:val="2"/>
          </w:tcPr>
          <w:p>
            <w:pPr>
              <w:spacing w:after="0" w:line="110" w:lineRule="exact"/>
              <w:rPr>
                <w:rFonts w:ascii="Arial" w:cs="Arial" w:eastAsia="Arial" w:hAnsi="Arial"/>
                <w:sz w:val="12"/>
                <w:szCs w:val="12"/>
                <w:color w:val="0000FF"/>
              </w:rPr>
            </w:pPr>
            <w:hyperlink w:anchor="page94">
              <w:r>
                <w:rPr>
                  <w:rFonts w:ascii="Arial" w:cs="Arial" w:eastAsia="Arial" w:hAnsi="Arial"/>
                  <w:sz w:val="12"/>
                  <w:szCs w:val="12"/>
                  <w:color w:val="0000FF"/>
                </w:rPr>
                <w:t>15d-14(a), as adopted pursuant to Section 302 of the Sarbanes-Oxley Act of 2002.</w:t>
              </w:r>
            </w:hyperlink>
          </w:p>
        </w:tc>
        <w:tc>
          <w:tcPr>
            <w:tcW w:w="440" w:type="dxa"/>
            <w:vAlign w:val="bottom"/>
            <w:tcBorders>
              <w:top w:val="single" w:sz="8" w:color="0000FF"/>
            </w:tcBorders>
            <w:gridSpan w:val="3"/>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3"/>
        </w:trPr>
        <w:tc>
          <w:tcPr>
            <w:tcW w:w="1080" w:type="dxa"/>
            <w:vAlign w:val="bottom"/>
          </w:tcPr>
          <w:p>
            <w:pPr>
              <w:spacing w:after="0"/>
              <w:rPr>
                <w:sz w:val="20"/>
                <w:szCs w:val="20"/>
                <w:color w:val="auto"/>
              </w:rPr>
            </w:pPr>
            <w:r>
              <w:rPr>
                <w:rFonts w:ascii="Arial" w:cs="Arial" w:eastAsia="Arial" w:hAnsi="Arial"/>
                <w:sz w:val="14"/>
                <w:szCs w:val="14"/>
                <w:color w:val="auto"/>
              </w:rPr>
              <w:t>32.1†</w:t>
            </w:r>
          </w:p>
        </w:tc>
        <w:tc>
          <w:tcPr>
            <w:tcW w:w="4880" w:type="dxa"/>
            <w:vAlign w:val="bottom"/>
            <w:tcBorders>
              <w:bottom w:val="single" w:sz="8" w:color="0000FF"/>
            </w:tcBorders>
            <w:gridSpan w:val="3"/>
          </w:tcPr>
          <w:p>
            <w:pPr>
              <w:spacing w:after="0"/>
              <w:rPr>
                <w:rFonts w:ascii="Arial" w:cs="Arial" w:eastAsia="Arial" w:hAnsi="Arial"/>
                <w:sz w:val="14"/>
                <w:szCs w:val="14"/>
                <w:color w:val="0000FF"/>
                <w:w w:val="92"/>
              </w:rPr>
            </w:pPr>
            <w:hyperlink w:anchor="page95">
              <w:r>
                <w:rPr>
                  <w:rFonts w:ascii="Arial" w:cs="Arial" w:eastAsia="Arial" w:hAnsi="Arial"/>
                  <w:sz w:val="14"/>
                  <w:szCs w:val="14"/>
                  <w:color w:val="0000FF"/>
                  <w:w w:val="92"/>
                </w:rPr>
                <w:t>Certifications of Principal Executive Officer and Principal Financial Officer pursuant to</w:t>
              </w:r>
            </w:hyperlink>
          </w:p>
        </w:tc>
        <w:tc>
          <w:tcPr>
            <w:tcW w:w="160" w:type="dxa"/>
            <w:vAlign w:val="bottom"/>
            <w:gridSpan w:val="3"/>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5040" w:type="dxa"/>
            <w:vAlign w:val="bottom"/>
            <w:gridSpan w:val="6"/>
          </w:tcPr>
          <w:p>
            <w:pPr>
              <w:spacing w:after="0" w:line="110" w:lineRule="exact"/>
              <w:rPr>
                <w:rFonts w:ascii="Arial" w:cs="Arial" w:eastAsia="Arial" w:hAnsi="Arial"/>
                <w:sz w:val="12"/>
                <w:szCs w:val="12"/>
                <w:color w:val="0000FF"/>
              </w:rPr>
            </w:pPr>
            <w:hyperlink w:anchor="page95">
              <w:r>
                <w:rPr>
                  <w:rFonts w:ascii="Arial" w:cs="Arial" w:eastAsia="Arial" w:hAnsi="Arial"/>
                  <w:sz w:val="12"/>
                  <w:szCs w:val="12"/>
                  <w:color w:val="0000FF"/>
                </w:rPr>
                <w:t>18 U.S.C. Section 1350 as adopted pursuant to Section 906 of the Sarbanes-Oxley Act of</w:t>
              </w:r>
            </w:hyperlink>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300" w:type="dxa"/>
            <w:vAlign w:val="bottom"/>
            <w:tcBorders>
              <w:top w:val="single" w:sz="8" w:color="0000FF"/>
              <w:bottom w:val="single" w:sz="8" w:color="0000FF"/>
            </w:tcBorders>
          </w:tcPr>
          <w:p>
            <w:pPr>
              <w:spacing w:after="0" w:line="110" w:lineRule="exact"/>
              <w:rPr>
                <w:rFonts w:ascii="Arial" w:cs="Arial" w:eastAsia="Arial" w:hAnsi="Arial"/>
                <w:sz w:val="12"/>
                <w:szCs w:val="12"/>
                <w:color w:val="0000FF"/>
                <w:w w:val="93"/>
              </w:rPr>
            </w:pPr>
            <w:hyperlink w:anchor="page95">
              <w:r>
                <w:rPr>
                  <w:rFonts w:ascii="Arial" w:cs="Arial" w:eastAsia="Arial" w:hAnsi="Arial"/>
                  <w:sz w:val="12"/>
                  <w:szCs w:val="12"/>
                  <w:color w:val="0000FF"/>
                  <w:w w:val="93"/>
                </w:rPr>
                <w:t>2002.</w:t>
              </w:r>
            </w:hyperlink>
          </w:p>
        </w:tc>
        <w:tc>
          <w:tcPr>
            <w:tcW w:w="4260" w:type="dxa"/>
            <w:vAlign w:val="bottom"/>
            <w:tcBorders>
              <w:top w:val="single" w:sz="8" w:color="0000FF"/>
            </w:tcBorders>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1100" w:right="5040" w:hanging="1078"/>
        <w:spacing w:after="0" w:line="237" w:lineRule="auto"/>
        <w:tabs>
          <w:tab w:leader="none" w:pos="11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following financial statements from the Company's Quarterly Report on Form 10-Q for the quarter ended June 30, 2022, formatted in Inline XBRL: (i) Condensed Consolidated Balance Sheets, (ii) Condensed Consolidated Statement of Operations, (iii) Condensed Consolidated Statements of Comprehensive Income, (iv) Condensed Consolidated Statements of Cash Flows, (v) Condensed Consolidated Statements of Stockholders' Deficit, and (vi) Notes to Unaudited Condensed Consolidated Financial Statements.</w:t>
      </w:r>
    </w:p>
    <w:p>
      <w:pPr>
        <w:spacing w:after="0" w:line="282" w:lineRule="exact"/>
        <w:rPr>
          <w:sz w:val="20"/>
          <w:szCs w:val="20"/>
          <w:color w:val="auto"/>
        </w:rPr>
      </w:pPr>
    </w:p>
    <w:p>
      <w:pPr>
        <w:ind w:left="1100" w:right="5220" w:hanging="1078"/>
        <w:spacing w:after="0" w:line="228" w:lineRule="auto"/>
        <w:tabs>
          <w:tab w:leader="none" w:pos="1100" w:val="left"/>
        </w:tabs>
        <w:numPr>
          <w:ilvl w:val="1"/>
          <w:numId w:val="33"/>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306" w:lineRule="exact"/>
        <w:rPr>
          <w:rFonts w:ascii="Arial" w:cs="Arial" w:eastAsia="Arial" w:hAnsi="Arial"/>
          <w:sz w:val="14"/>
          <w:szCs w:val="14"/>
          <w:color w:val="auto"/>
        </w:rPr>
      </w:pPr>
    </w:p>
    <w:p>
      <w:pPr>
        <w:ind w:firstLine="4"/>
        <w:spacing w:after="0" w:line="244" w:lineRule="auto"/>
        <w:tabs>
          <w:tab w:leader="none" w:pos="104"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91" w:name="page92"/>
    <w:bookmarkEnd w:id="9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54" w:lineRule="exact"/>
        <w:rPr>
          <w:sz w:val="20"/>
          <w:szCs w:val="20"/>
          <w:color w:val="auto"/>
        </w:rPr>
      </w:pPr>
    </w:p>
    <w:p>
      <w:pPr>
        <w:ind w:right="240" w:firstLine="174"/>
        <w:spacing w:after="0" w:line="28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020" w:type="dxa"/>
            <w:vAlign w:val="bottom"/>
            <w:gridSpan w:val="3"/>
          </w:tcPr>
          <w:p>
            <w:pPr>
              <w:ind w:left="440"/>
              <w:spacing w:after="0"/>
              <w:rPr>
                <w:sz w:val="20"/>
                <w:szCs w:val="20"/>
                <w:color w:val="auto"/>
              </w:rPr>
            </w:pPr>
            <w:r>
              <w:rPr>
                <w:rFonts w:ascii="Arial" w:cs="Arial" w:eastAsia="Arial" w:hAnsi="Arial"/>
                <w:sz w:val="17"/>
                <w:szCs w:val="17"/>
                <w:b w:val="1"/>
                <w:bCs w:val="1"/>
                <w:color w:val="auto"/>
              </w:rPr>
              <w:t>DROPBOX, INC.</w:t>
            </w:r>
          </w:p>
        </w:tc>
        <w:tc>
          <w:tcPr>
            <w:tcW w:w="40" w:type="dxa"/>
            <w:vAlign w:val="bottom"/>
          </w:tcPr>
          <w:p>
            <w:pPr>
              <w:spacing w:after="0"/>
              <w:rPr>
                <w:sz w:val="19"/>
                <w:szCs w:val="19"/>
                <w:color w:val="auto"/>
              </w:rPr>
            </w:pPr>
          </w:p>
        </w:tc>
      </w:tr>
      <w:tr>
        <w:trPr>
          <w:trHeight w:val="483"/>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1640" w:type="dxa"/>
            <w:vAlign w:val="bottom"/>
          </w:tcPr>
          <w:p>
            <w:pPr>
              <w:ind w:left="100"/>
              <w:spacing w:after="0"/>
              <w:rPr>
                <w:sz w:val="20"/>
                <w:szCs w:val="20"/>
                <w:color w:val="auto"/>
              </w:rPr>
            </w:pPr>
            <w:r>
              <w:rPr>
                <w:rFonts w:ascii="Arial" w:cs="Arial" w:eastAsia="Arial" w:hAnsi="Arial"/>
                <w:sz w:val="17"/>
                <w:szCs w:val="17"/>
                <w:color w:val="auto"/>
              </w:rPr>
              <w:t>August 5, 2022</w:t>
            </w:r>
          </w:p>
        </w:tc>
        <w:tc>
          <w:tcPr>
            <w:tcW w:w="1480" w:type="dxa"/>
            <w:vAlign w:val="bottom"/>
          </w:tcPr>
          <w:p>
            <w:pPr>
              <w:ind w:left="440"/>
              <w:spacing w:after="0"/>
              <w:rPr>
                <w:sz w:val="20"/>
                <w:szCs w:val="20"/>
                <w:color w:val="auto"/>
              </w:rPr>
            </w:pPr>
            <w:r>
              <w:rPr>
                <w:rFonts w:ascii="Arial" w:cs="Arial" w:eastAsia="Arial" w:hAnsi="Arial"/>
                <w:sz w:val="17"/>
                <w:szCs w:val="17"/>
                <w:color w:val="auto"/>
              </w:rPr>
              <w:t>By:</w:t>
            </w:r>
          </w:p>
        </w:tc>
        <w:tc>
          <w:tcPr>
            <w:tcW w:w="75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Andrew W. Houston</w:t>
            </w:r>
          </w:p>
        </w:tc>
        <w:tc>
          <w:tcPr>
            <w:tcW w:w="40" w:type="dxa"/>
            <w:vAlign w:val="bottom"/>
          </w:tcPr>
          <w:p>
            <w:pPr>
              <w:spacing w:after="0"/>
              <w:rPr>
                <w:sz w:val="24"/>
                <w:szCs w:val="24"/>
                <w:color w:val="auto"/>
              </w:rPr>
            </w:pPr>
          </w:p>
        </w:tc>
      </w:tr>
      <w:tr>
        <w:trPr>
          <w:trHeight w:val="215"/>
        </w:trPr>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540" w:type="dxa"/>
            <w:vAlign w:val="bottom"/>
            <w:gridSpan w:val="2"/>
          </w:tcPr>
          <w:p>
            <w:pPr>
              <w:ind w:left="20"/>
              <w:spacing w:after="0"/>
              <w:rPr>
                <w:sz w:val="20"/>
                <w:szCs w:val="20"/>
                <w:color w:val="auto"/>
              </w:rPr>
            </w:pPr>
            <w:r>
              <w:rPr>
                <w:rFonts w:ascii="Arial" w:cs="Arial" w:eastAsia="Arial" w:hAnsi="Arial"/>
                <w:sz w:val="17"/>
                <w:szCs w:val="17"/>
                <w:color w:val="auto"/>
              </w:rPr>
              <w:t>Andrew W. Houston</w:t>
            </w:r>
          </w:p>
        </w:tc>
        <w:tc>
          <w:tcPr>
            <w:tcW w:w="4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540" w:type="dxa"/>
            <w:vAlign w:val="bottom"/>
            <w:gridSpan w:val="2"/>
          </w:tcPr>
          <w:p>
            <w:pPr>
              <w:ind w:left="20"/>
              <w:spacing w:after="0"/>
              <w:rPr>
                <w:sz w:val="20"/>
                <w:szCs w:val="20"/>
                <w:color w:val="auto"/>
              </w:rPr>
            </w:pPr>
            <w:r>
              <w:rPr>
                <w:rFonts w:ascii="Arial" w:cs="Arial" w:eastAsia="Arial" w:hAnsi="Arial"/>
                <w:sz w:val="17"/>
                <w:szCs w:val="17"/>
                <w:color w:val="auto"/>
              </w:rPr>
              <w:t>Chief Executive Officer</w:t>
            </w:r>
          </w:p>
        </w:tc>
        <w:tc>
          <w:tcPr>
            <w:tcW w:w="40" w:type="dxa"/>
            <w:vAlign w:val="bottom"/>
          </w:tcPr>
          <w:p>
            <w:pPr>
              <w:spacing w:after="0"/>
              <w:rPr>
                <w:sz w:val="19"/>
                <w:szCs w:val="19"/>
                <w:color w:val="auto"/>
              </w:rPr>
            </w:pPr>
          </w:p>
        </w:tc>
      </w:tr>
      <w:tr>
        <w:trPr>
          <w:trHeight w:val="222"/>
        </w:trPr>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540" w:type="dxa"/>
            <w:vAlign w:val="bottom"/>
            <w:gridSpan w:val="2"/>
          </w:tcPr>
          <w:p>
            <w:pPr>
              <w:ind w:left="20"/>
              <w:spacing w:after="0"/>
              <w:rPr>
                <w:sz w:val="20"/>
                <w:szCs w:val="20"/>
                <w:color w:val="auto"/>
              </w:rPr>
            </w:pPr>
            <w:r>
              <w:rPr>
                <w:rFonts w:ascii="Arial" w:cs="Arial" w:eastAsia="Arial" w:hAnsi="Arial"/>
                <w:sz w:val="17"/>
                <w:szCs w:val="17"/>
                <w:i w:val="1"/>
                <w:iCs w:val="1"/>
                <w:color w:val="auto"/>
              </w:rPr>
              <w:t>(Principal Executive Officer)</w:t>
            </w:r>
          </w:p>
        </w:tc>
        <w:tc>
          <w:tcPr>
            <w:tcW w:w="40" w:type="dxa"/>
            <w:vAlign w:val="bottom"/>
          </w:tcPr>
          <w:p>
            <w:pPr>
              <w:spacing w:after="0"/>
              <w:rPr>
                <w:sz w:val="19"/>
                <w:szCs w:val="19"/>
                <w:color w:val="auto"/>
              </w:rPr>
            </w:pPr>
          </w:p>
        </w:tc>
      </w:tr>
      <w:tr>
        <w:trPr>
          <w:trHeight w:val="691"/>
        </w:trPr>
        <w:tc>
          <w:tcPr>
            <w:tcW w:w="520" w:type="dxa"/>
            <w:vAlign w:val="bottom"/>
          </w:tcPr>
          <w:p>
            <w:pPr>
              <w:ind w:left="20"/>
              <w:spacing w:after="0"/>
              <w:rPr>
                <w:sz w:val="20"/>
                <w:szCs w:val="20"/>
                <w:color w:val="auto"/>
              </w:rPr>
            </w:pPr>
            <w:r>
              <w:rPr>
                <w:rFonts w:ascii="Arial" w:cs="Arial" w:eastAsia="Arial" w:hAnsi="Arial"/>
                <w:sz w:val="17"/>
                <w:szCs w:val="17"/>
                <w:color w:val="auto"/>
              </w:rPr>
              <w:t>Date:</w:t>
            </w:r>
          </w:p>
        </w:tc>
        <w:tc>
          <w:tcPr>
            <w:tcW w:w="1640" w:type="dxa"/>
            <w:vAlign w:val="bottom"/>
          </w:tcPr>
          <w:p>
            <w:pPr>
              <w:ind w:left="120"/>
              <w:spacing w:after="0"/>
              <w:rPr>
                <w:sz w:val="20"/>
                <w:szCs w:val="20"/>
                <w:color w:val="auto"/>
              </w:rPr>
            </w:pPr>
            <w:r>
              <w:rPr>
                <w:rFonts w:ascii="Arial" w:cs="Arial" w:eastAsia="Arial" w:hAnsi="Arial"/>
                <w:sz w:val="17"/>
                <w:szCs w:val="17"/>
                <w:color w:val="auto"/>
              </w:rPr>
              <w:t>August 5, 2022</w:t>
            </w:r>
          </w:p>
        </w:tc>
        <w:tc>
          <w:tcPr>
            <w:tcW w:w="1480" w:type="dxa"/>
            <w:vAlign w:val="bottom"/>
          </w:tcPr>
          <w:p>
            <w:pPr>
              <w:ind w:left="460"/>
              <w:spacing w:after="0"/>
              <w:rPr>
                <w:sz w:val="20"/>
                <w:szCs w:val="20"/>
                <w:color w:val="auto"/>
              </w:rPr>
            </w:pPr>
            <w:r>
              <w:rPr>
                <w:rFonts w:ascii="Arial" w:cs="Arial" w:eastAsia="Arial" w:hAnsi="Arial"/>
                <w:sz w:val="17"/>
                <w:szCs w:val="17"/>
                <w:color w:val="auto"/>
              </w:rPr>
              <w:t>By:</w:t>
            </w:r>
          </w:p>
        </w:tc>
        <w:tc>
          <w:tcPr>
            <w:tcW w:w="20" w:type="dxa"/>
            <w:vAlign w:val="bottom"/>
          </w:tcPr>
          <w:p>
            <w:pPr>
              <w:spacing w:after="0"/>
              <w:rPr>
                <w:sz w:val="24"/>
                <w:szCs w:val="24"/>
                <w:color w:val="auto"/>
              </w:rPr>
            </w:pPr>
          </w:p>
        </w:tc>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Timothy J. Regan</w:t>
            </w:r>
          </w:p>
        </w:tc>
        <w:tc>
          <w:tcPr>
            <w:tcW w:w="40" w:type="dxa"/>
            <w:vAlign w:val="bottom"/>
            <w:tcBorders>
              <w:bottom w:val="single" w:sz="8" w:color="auto"/>
            </w:tcBorders>
          </w:tcPr>
          <w:p>
            <w:pPr>
              <w:spacing w:after="0"/>
              <w:rPr>
                <w:sz w:val="24"/>
                <w:szCs w:val="24"/>
                <w:color w:val="auto"/>
              </w:rPr>
            </w:pPr>
          </w:p>
        </w:tc>
      </w:tr>
      <w:tr>
        <w:trPr>
          <w:trHeight w:val="215"/>
        </w:trPr>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20" w:type="dxa"/>
            <w:vAlign w:val="bottom"/>
          </w:tcPr>
          <w:p>
            <w:pPr>
              <w:ind w:left="20"/>
              <w:spacing w:after="0"/>
              <w:rPr>
                <w:sz w:val="20"/>
                <w:szCs w:val="20"/>
                <w:color w:val="auto"/>
              </w:rPr>
            </w:pPr>
            <w:r>
              <w:rPr>
                <w:rFonts w:ascii="Arial" w:cs="Arial" w:eastAsia="Arial" w:hAnsi="Arial"/>
                <w:sz w:val="17"/>
                <w:szCs w:val="17"/>
                <w:color w:val="auto"/>
              </w:rPr>
              <w:t>Timothy J. Regan</w:t>
            </w:r>
          </w:p>
        </w:tc>
        <w:tc>
          <w:tcPr>
            <w:tcW w:w="4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Arial" w:cs="Arial" w:eastAsia="Arial" w:hAnsi="Arial"/>
                <w:sz w:val="17"/>
                <w:szCs w:val="17"/>
                <w:color w:val="auto"/>
              </w:rPr>
              <w:t>Chief Financial Officer</w:t>
            </w:r>
          </w:p>
        </w:tc>
        <w:tc>
          <w:tcPr>
            <w:tcW w:w="40" w:type="dxa"/>
            <w:vAlign w:val="bottom"/>
          </w:tcPr>
          <w:p>
            <w:pPr>
              <w:spacing w:after="0"/>
              <w:rPr>
                <w:sz w:val="19"/>
                <w:szCs w:val="19"/>
                <w:color w:val="auto"/>
              </w:rPr>
            </w:pPr>
          </w:p>
        </w:tc>
      </w:tr>
      <w:tr>
        <w:trPr>
          <w:trHeight w:val="222"/>
        </w:trPr>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Arial" w:cs="Arial" w:eastAsia="Arial" w:hAnsi="Arial"/>
                <w:sz w:val="17"/>
                <w:szCs w:val="17"/>
                <w:i w:val="1"/>
                <w:iCs w:val="1"/>
                <w:color w:val="auto"/>
              </w:rPr>
              <w:t>(Principal Accounting and Financial Officer)</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7"/>
          <w:szCs w:val="17"/>
          <w:b w:val="1"/>
          <w:bCs w:val="1"/>
          <w:color w:val="auto"/>
        </w:rPr>
        <w:t>Exhibit 31.1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I, Andrew W. Houston, certify that:</w:t>
      </w:r>
    </w:p>
    <w:p>
      <w:pPr>
        <w:spacing w:after="0" w:line="222" w:lineRule="exact"/>
        <w:rPr>
          <w:sz w:val="20"/>
          <w:szCs w:val="20"/>
          <w:color w:val="auto"/>
        </w:rPr>
      </w:pPr>
    </w:p>
    <w:p>
      <w:pPr>
        <w:ind w:left="320" w:hanging="316"/>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Dropbox, Inc.;</w:t>
      </w:r>
    </w:p>
    <w:p>
      <w:pPr>
        <w:spacing w:after="0" w:line="221" w:lineRule="exact"/>
        <w:rPr>
          <w:rFonts w:ascii="Arial" w:cs="Arial" w:eastAsia="Arial" w:hAnsi="Arial"/>
          <w:sz w:val="17"/>
          <w:szCs w:val="17"/>
          <w:color w:val="auto"/>
        </w:rPr>
      </w:pPr>
    </w:p>
    <w:p>
      <w:pPr>
        <w:ind w:left="320" w:right="40" w:hanging="316"/>
        <w:spacing w:after="0" w:line="320" w:lineRule="auto"/>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320" w:right="120" w:hanging="316"/>
        <w:spacing w:after="0" w:line="287" w:lineRule="auto"/>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320" w:right="100" w:hanging="316"/>
        <w:spacing w:after="0" w:line="287" w:lineRule="auto"/>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58" w:lineRule="exact"/>
        <w:rPr>
          <w:rFonts w:ascii="Arial" w:cs="Arial" w:eastAsia="Arial" w:hAnsi="Arial"/>
          <w:sz w:val="17"/>
          <w:szCs w:val="17"/>
          <w:color w:val="auto"/>
        </w:rPr>
      </w:pPr>
    </w:p>
    <w:p>
      <w:pPr>
        <w:ind w:left="640" w:right="260" w:hanging="323"/>
        <w:spacing w:after="0" w:line="271" w:lineRule="auto"/>
        <w:tabs>
          <w:tab w:leader="none" w:pos="637"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640" w:right="120" w:hanging="323"/>
        <w:spacing w:after="0" w:line="287" w:lineRule="auto"/>
        <w:tabs>
          <w:tab w:leader="none" w:pos="634"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ind w:left="640" w:right="180" w:hanging="323"/>
        <w:spacing w:after="0" w:line="271" w:lineRule="auto"/>
        <w:tabs>
          <w:tab w:leader="none" w:pos="637"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320" w:right="540" w:hanging="316"/>
        <w:spacing w:after="0" w:line="320" w:lineRule="auto"/>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640" w:right="40" w:hanging="323"/>
        <w:spacing w:after="0" w:line="287" w:lineRule="auto"/>
        <w:tabs>
          <w:tab w:leader="none" w:pos="637"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640" w:right="280" w:hanging="323"/>
        <w:spacing w:after="0" w:line="287" w:lineRule="auto"/>
        <w:tabs>
          <w:tab w:leader="none" w:pos="634"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August 5, 2022</w:t>
      </w:r>
    </w:p>
    <w:p>
      <w:pPr>
        <w:spacing w:after="0" w:line="144"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DROPBOX, INC.</w:t>
      </w:r>
    </w:p>
    <w:p>
      <w:pPr>
        <w:spacing w:after="0" w:line="274" w:lineRule="exact"/>
        <w:rPr>
          <w:sz w:val="20"/>
          <w:szCs w:val="20"/>
          <w:color w:val="auto"/>
        </w:rPr>
      </w:pPr>
    </w:p>
    <w:tbl>
      <w:tblPr>
        <w:tblLayout w:type="fixed"/>
        <w:tblInd w:w="6680" w:type="dxa"/>
        <w:tblCellMar>
          <w:top w:w="0" w:type="dxa"/>
          <w:left w:w="0" w:type="dxa"/>
          <w:bottom w:w="0" w:type="dxa"/>
          <w:right w:w="0" w:type="dxa"/>
        </w:tblCellMar>
      </w:tblPr>
      <w:tr>
        <w:trPr>
          <w:trHeight w:val="221"/>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Andrew W. Houston</w:t>
            </w:r>
          </w:p>
        </w:tc>
      </w:tr>
      <w:tr>
        <w:trPr>
          <w:trHeight w:val="215"/>
        </w:trPr>
        <w:tc>
          <w:tcPr>
            <w:tcW w:w="720" w:type="dxa"/>
            <w:vAlign w:val="bottom"/>
          </w:tcPr>
          <w:p>
            <w:pPr>
              <w:spacing w:after="0"/>
              <w:rPr>
                <w:sz w:val="20"/>
                <w:szCs w:val="20"/>
                <w:color w:val="auto"/>
              </w:rPr>
            </w:pPr>
            <w:r>
              <w:rPr>
                <w:rFonts w:ascii="Arial" w:cs="Arial" w:eastAsia="Arial" w:hAnsi="Arial"/>
                <w:sz w:val="17"/>
                <w:szCs w:val="17"/>
                <w:color w:val="auto"/>
              </w:rPr>
              <w:t>Name:</w:t>
            </w:r>
          </w:p>
        </w:tc>
        <w:tc>
          <w:tcPr>
            <w:tcW w:w="3840" w:type="dxa"/>
            <w:vAlign w:val="bottom"/>
          </w:tcPr>
          <w:p>
            <w:pPr>
              <w:ind w:left="20"/>
              <w:spacing w:after="0"/>
              <w:rPr>
                <w:sz w:val="20"/>
                <w:szCs w:val="20"/>
                <w:color w:val="auto"/>
              </w:rPr>
            </w:pPr>
            <w:r>
              <w:rPr>
                <w:rFonts w:ascii="Arial" w:cs="Arial" w:eastAsia="Arial" w:hAnsi="Arial"/>
                <w:sz w:val="17"/>
                <w:szCs w:val="17"/>
                <w:color w:val="auto"/>
              </w:rPr>
              <w:t>Andrew W. Houston</w:t>
            </w:r>
          </w:p>
        </w:tc>
      </w:tr>
      <w:tr>
        <w:trPr>
          <w:trHeight w:val="222"/>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384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21"/>
        </w:trPr>
        <w:tc>
          <w:tcPr>
            <w:tcW w:w="7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240"/>
          </w:cols>
          <w:pgMar w:left="320" w:top="1060"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7"/>
          <w:szCs w:val="17"/>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I, Timothy J. Regan, certify that:</w:t>
      </w:r>
    </w:p>
    <w:p>
      <w:pPr>
        <w:spacing w:after="0" w:line="222" w:lineRule="exact"/>
        <w:rPr>
          <w:sz w:val="20"/>
          <w:szCs w:val="20"/>
          <w:color w:val="auto"/>
        </w:rPr>
      </w:pPr>
    </w:p>
    <w:p>
      <w:pPr>
        <w:ind w:left="320" w:hanging="316"/>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Dropbox, Inc.;</w:t>
      </w:r>
    </w:p>
    <w:p>
      <w:pPr>
        <w:spacing w:after="0" w:line="221" w:lineRule="exact"/>
        <w:rPr>
          <w:rFonts w:ascii="Arial" w:cs="Arial" w:eastAsia="Arial" w:hAnsi="Arial"/>
          <w:sz w:val="17"/>
          <w:szCs w:val="17"/>
          <w:color w:val="auto"/>
        </w:rPr>
      </w:pPr>
    </w:p>
    <w:p>
      <w:pPr>
        <w:ind w:left="320" w:right="40" w:hanging="316"/>
        <w:spacing w:after="0" w:line="320" w:lineRule="auto"/>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320" w:right="120" w:hanging="316"/>
        <w:spacing w:after="0" w:line="287"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320" w:right="100" w:hanging="316"/>
        <w:spacing w:after="0" w:line="287"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58" w:lineRule="exact"/>
        <w:rPr>
          <w:rFonts w:ascii="Arial" w:cs="Arial" w:eastAsia="Arial" w:hAnsi="Arial"/>
          <w:sz w:val="17"/>
          <w:szCs w:val="17"/>
          <w:color w:val="auto"/>
        </w:rPr>
      </w:pPr>
    </w:p>
    <w:p>
      <w:pPr>
        <w:ind w:left="640" w:right="260" w:hanging="323"/>
        <w:spacing w:after="0" w:line="271" w:lineRule="auto"/>
        <w:tabs>
          <w:tab w:leader="none" w:pos="637"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640" w:right="120" w:hanging="323"/>
        <w:spacing w:after="0" w:line="287" w:lineRule="auto"/>
        <w:tabs>
          <w:tab w:leader="none" w:pos="634"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ind w:left="640" w:right="180" w:hanging="323"/>
        <w:spacing w:after="0" w:line="271" w:lineRule="auto"/>
        <w:tabs>
          <w:tab w:leader="none" w:pos="637" w:val="left"/>
        </w:tabs>
        <w:numPr>
          <w:ilvl w:val="1"/>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320" w:right="540" w:hanging="316"/>
        <w:spacing w:after="0" w:line="320" w:lineRule="auto"/>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640" w:right="40" w:hanging="323"/>
        <w:spacing w:after="0" w:line="287" w:lineRule="auto"/>
        <w:tabs>
          <w:tab w:leader="none" w:pos="637"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640" w:right="280" w:hanging="323"/>
        <w:spacing w:after="0" w:line="287" w:lineRule="auto"/>
        <w:tabs>
          <w:tab w:leader="none" w:pos="634" w:val="left"/>
        </w:tabs>
        <w:numPr>
          <w:ilvl w:val="1"/>
          <w:numId w:val="3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August 5, 2022</w:t>
      </w:r>
    </w:p>
    <w:p>
      <w:pPr>
        <w:spacing w:after="0" w:line="261"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DROPBOX, INC.</w:t>
      </w:r>
    </w:p>
    <w:p>
      <w:pPr>
        <w:spacing w:after="0" w:line="222" w:lineRule="exact"/>
        <w:rPr>
          <w:sz w:val="20"/>
          <w:szCs w:val="20"/>
          <w:color w:val="auto"/>
        </w:rPr>
      </w:pPr>
    </w:p>
    <w:p>
      <w:pPr>
        <w:ind w:left="4900"/>
        <w:spacing w:after="0"/>
        <w:tabs>
          <w:tab w:leader="none" w:pos="54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16510</wp:posOffset>
            </wp:positionV>
            <wp:extent cx="14243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19"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Name: Timothy J. Regan</w:t>
      </w:r>
    </w:p>
    <w:p>
      <w:pPr>
        <w:spacing w:after="0" w:line="26" w:lineRule="exact"/>
        <w:rPr>
          <w:sz w:val="20"/>
          <w:szCs w:val="20"/>
          <w:color w:val="auto"/>
        </w:rPr>
      </w:pPr>
    </w:p>
    <w:p>
      <w:pPr>
        <w:ind w:left="4900"/>
        <w:spacing w:after="0"/>
        <w:tabs>
          <w:tab w:leader="none" w:pos="54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Chief Financial Officer</w:t>
      </w:r>
    </w:p>
    <w:p>
      <w:pPr>
        <w:spacing w:after="0" w:line="38" w:lineRule="exact"/>
        <w:rPr>
          <w:sz w:val="20"/>
          <w:szCs w:val="20"/>
          <w:color w:val="auto"/>
        </w:rPr>
      </w:pPr>
    </w:p>
    <w:p>
      <w:pPr>
        <w:ind w:left="5420"/>
        <w:spacing w:after="0"/>
        <w:tabs>
          <w:tab w:leader="none" w:pos="6320" w:val="left"/>
          <w:tab w:leader="none" w:pos="7340" w:val="left"/>
        </w:tabs>
        <w:rPr>
          <w:sz w:val="20"/>
          <w:szCs w:val="20"/>
          <w:color w:val="auto"/>
        </w:rPr>
      </w:pPr>
      <w:r>
        <w:rPr>
          <w:rFonts w:ascii="Arial" w:cs="Arial" w:eastAsia="Arial" w:hAnsi="Arial"/>
          <w:sz w:val="17"/>
          <w:szCs w:val="17"/>
          <w:color w:val="auto"/>
        </w:rPr>
        <w:t>(Principal</w:t>
        <w:tab/>
        <w:t>Accounting</w:t>
      </w:r>
      <w:r>
        <w:rPr>
          <w:sz w:val="20"/>
          <w:szCs w:val="20"/>
          <w:color w:val="auto"/>
        </w:rPr>
        <w:tab/>
      </w:r>
      <w:r>
        <w:rPr>
          <w:rFonts w:ascii="Arial" w:cs="Arial" w:eastAsia="Arial" w:hAnsi="Arial"/>
          <w:sz w:val="15"/>
          <w:szCs w:val="15"/>
          <w:color w:val="auto"/>
        </w:rPr>
        <w:t>and</w:t>
      </w:r>
    </w:p>
    <w:p>
      <w:pPr>
        <w:spacing w:after="0" w:line="13"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Financial Officer)</w:t>
      </w:r>
    </w:p>
    <w:p>
      <w:pPr>
        <w:sectPr>
          <w:pgSz w:w="11900" w:h="16838" w:orient="portrait"/>
          <w:cols w:equalWidth="0" w:num="1">
            <w:col w:w="11240"/>
          </w:cols>
          <w:pgMar w:left="320" w:top="1060"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9"/>
          <w:szCs w:val="19"/>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CERTIFICATIONS OF PRINCIPAL EXECUTIVE OFFICER AND PRINCIPAL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 Andrew W. Houston, certify, pursuant to 18 U.S.C. Section 1350, as adopted pursuant to Section 906 of the Sarbanes-Oxley Act of 2002, that the Quarterly Report on Form 10-Q of Dropbox, Inc. for the fiscal quarter ended June, 30 2022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August 5, 2022</w:t>
            </w:r>
          </w:p>
        </w:tc>
        <w:tc>
          <w:tcPr>
            <w:tcW w:w="8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By:</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Andrew W. Houston</w:t>
            </w:r>
          </w:p>
        </w:tc>
      </w:tr>
      <w:tr>
        <w:trPr>
          <w:trHeight w:val="228"/>
        </w:trPr>
        <w:tc>
          <w:tcPr>
            <w:tcW w:w="1120" w:type="dxa"/>
            <w:vAlign w:val="bottom"/>
            <w:shd w:val="clear" w:color="auto" w:fill="FEFEFE"/>
          </w:tcPr>
          <w:p>
            <w:pPr>
              <w:spacing w:after="0"/>
              <w:rPr>
                <w:sz w:val="19"/>
                <w:szCs w:val="19"/>
                <w:color w:val="auto"/>
              </w:rPr>
            </w:pPr>
          </w:p>
        </w:tc>
        <w:tc>
          <w:tcPr>
            <w:tcW w:w="4880" w:type="dxa"/>
            <w:vAlign w:val="bottom"/>
            <w:shd w:val="clear" w:color="auto" w:fill="FEFEFE"/>
          </w:tcPr>
          <w:p>
            <w:pPr>
              <w:spacing w:after="0"/>
              <w:rPr>
                <w:sz w:val="19"/>
                <w:szCs w:val="19"/>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Name: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Andrew W. Houston</w:t>
            </w:r>
          </w:p>
        </w:tc>
      </w:tr>
      <w:tr>
        <w:trPr>
          <w:trHeight w:val="235"/>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Title: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Executive Officer</w:t>
            </w:r>
          </w:p>
        </w:tc>
      </w:tr>
      <w:tr>
        <w:trPr>
          <w:trHeight w:val="265"/>
        </w:trPr>
        <w:tc>
          <w:tcPr>
            <w:tcW w:w="1120" w:type="dxa"/>
            <w:vAlign w:val="bottom"/>
            <w:shd w:val="clear" w:color="auto" w:fill="FEFEFE"/>
          </w:tcPr>
          <w:p>
            <w:pPr>
              <w:spacing w:after="0"/>
              <w:rPr>
                <w:sz w:val="23"/>
                <w:szCs w:val="23"/>
                <w:color w:val="auto"/>
              </w:rPr>
            </w:pPr>
          </w:p>
        </w:tc>
        <w:tc>
          <w:tcPr>
            <w:tcW w:w="4880" w:type="dxa"/>
            <w:vAlign w:val="bottom"/>
            <w:shd w:val="clear" w:color="auto" w:fill="FEFEFE"/>
          </w:tcPr>
          <w:p>
            <w:pPr>
              <w:spacing w:after="0"/>
              <w:rPr>
                <w:sz w:val="23"/>
                <w:szCs w:val="23"/>
                <w:color w:val="auto"/>
              </w:rPr>
            </w:pPr>
          </w:p>
        </w:tc>
        <w:tc>
          <w:tcPr>
            <w:tcW w:w="840" w:type="dxa"/>
            <w:vAlign w:val="bottom"/>
            <w:shd w:val="clear" w:color="auto" w:fill="FEFEFE"/>
          </w:tcPr>
          <w:p>
            <w:pPr>
              <w:spacing w:after="0"/>
              <w:rPr>
                <w:sz w:val="23"/>
                <w:szCs w:val="23"/>
                <w:color w:val="auto"/>
              </w:rPr>
            </w:pP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Executive Officer)</w:t>
            </w:r>
          </w:p>
        </w:tc>
      </w:tr>
      <w:tr>
        <w:trPr>
          <w:trHeight w:val="283"/>
        </w:trPr>
        <w:tc>
          <w:tcPr>
            <w:tcW w:w="1120" w:type="dxa"/>
            <w:vAlign w:val="bottom"/>
            <w:shd w:val="clear" w:color="auto" w:fill="FEFEFE"/>
          </w:tcPr>
          <w:p>
            <w:pPr>
              <w:spacing w:after="0"/>
              <w:rPr>
                <w:sz w:val="24"/>
                <w:szCs w:val="24"/>
                <w:color w:val="auto"/>
              </w:rPr>
            </w:pPr>
          </w:p>
        </w:tc>
        <w:tc>
          <w:tcPr>
            <w:tcW w:w="4880" w:type="dxa"/>
            <w:vAlign w:val="bottom"/>
            <w:shd w:val="clear" w:color="auto" w:fill="FEFEFE"/>
          </w:tcPr>
          <w:p>
            <w:pPr>
              <w:spacing w:after="0"/>
              <w:rPr>
                <w:sz w:val="24"/>
                <w:szCs w:val="24"/>
                <w:color w:val="auto"/>
              </w:rPr>
            </w:pPr>
          </w:p>
        </w:tc>
        <w:tc>
          <w:tcPr>
            <w:tcW w:w="840" w:type="dxa"/>
            <w:vAlign w:val="bottom"/>
            <w:shd w:val="clear" w:color="auto" w:fill="FEFEFE"/>
          </w:tcPr>
          <w:p>
            <w:pPr>
              <w:spacing w:after="0"/>
              <w:rPr>
                <w:sz w:val="24"/>
                <w:szCs w:val="24"/>
                <w:color w:val="auto"/>
              </w:rPr>
            </w:pPr>
          </w:p>
        </w:tc>
        <w:tc>
          <w:tcPr>
            <w:tcW w:w="4400" w:type="dxa"/>
            <w:vAlign w:val="bottom"/>
            <w:shd w:val="clear" w:color="auto" w:fill="FEFEFE"/>
          </w:tcPr>
          <w:p>
            <w:pPr>
              <w:spacing w:after="0"/>
              <w:rPr>
                <w:sz w:val="24"/>
                <w:szCs w:val="24"/>
                <w:color w:val="auto"/>
              </w:rPr>
            </w:pPr>
          </w:p>
        </w:tc>
      </w:tr>
    </w:tbl>
    <w:p>
      <w:pPr>
        <w:spacing w:after="0" w:line="74"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 Timothy J. Regan, certify, pursuant to 18 U.S.C. Section 1350, as adopted pursuant to Section 906 of the Sarbanes-Oxley Act of 2002, that the Quarterly Report on Form 10-Q of Dropbox, Inc. for the fiscal quarter ended June 30, 2022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August 5, 2022</w:t>
            </w:r>
          </w:p>
        </w:tc>
        <w:tc>
          <w:tcPr>
            <w:tcW w:w="8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By:</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Timothy J. Regan</w:t>
            </w:r>
          </w:p>
        </w:tc>
      </w:tr>
      <w:tr>
        <w:trPr>
          <w:trHeight w:val="228"/>
        </w:trPr>
        <w:tc>
          <w:tcPr>
            <w:tcW w:w="1120" w:type="dxa"/>
            <w:vAlign w:val="bottom"/>
            <w:shd w:val="clear" w:color="auto" w:fill="FEFEFE"/>
          </w:tcPr>
          <w:p>
            <w:pPr>
              <w:spacing w:after="0"/>
              <w:rPr>
                <w:sz w:val="19"/>
                <w:szCs w:val="19"/>
                <w:color w:val="auto"/>
              </w:rPr>
            </w:pPr>
          </w:p>
        </w:tc>
        <w:tc>
          <w:tcPr>
            <w:tcW w:w="4880" w:type="dxa"/>
            <w:vAlign w:val="bottom"/>
            <w:shd w:val="clear" w:color="auto" w:fill="FEFEFE"/>
          </w:tcPr>
          <w:p>
            <w:pPr>
              <w:spacing w:after="0"/>
              <w:rPr>
                <w:sz w:val="19"/>
                <w:szCs w:val="19"/>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Name: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Timothy J. Regan</w:t>
            </w:r>
          </w:p>
        </w:tc>
      </w:tr>
      <w:tr>
        <w:trPr>
          <w:trHeight w:val="235"/>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Title: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Financial Officer</w:t>
            </w:r>
          </w:p>
        </w:tc>
      </w:tr>
      <w:tr>
        <w:trPr>
          <w:trHeight w:val="235"/>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40" w:type="dxa"/>
            <w:vAlign w:val="bottom"/>
            <w:shd w:val="clear" w:color="auto" w:fill="FEFEFE"/>
          </w:tcPr>
          <w:p>
            <w:pPr>
              <w:spacing w:after="0"/>
              <w:rPr>
                <w:sz w:val="20"/>
                <w:szCs w:val="20"/>
                <w:color w:val="auto"/>
              </w:rPr>
            </w:pP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Accounting and Financial Officer)</w:t>
            </w:r>
          </w:p>
        </w:tc>
      </w:tr>
    </w:tbl>
    <w:p>
      <w:pPr>
        <w:spacing w:after="0" w:line="1" w:lineRule="exact"/>
        <w:rPr>
          <w:sz w:val="20"/>
          <w:szCs w:val="20"/>
          <w:color w:val="auto"/>
        </w:rPr>
      </w:pPr>
    </w:p>
    <w:sectPr>
      <w:pgSz w:w="11900" w:h="16838" w:orient="portrait"/>
      <w:cols w:equalWidth="0" w:num="1">
        <w:col w:w="11240"/>
      </w:cols>
      <w:pgMar w:left="320" w:top="10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2"/>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2"/>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01"/>
    </w:lvl>
  </w:abstractNum>
  <w:abstractNum w:abstractNumId="32">
    <w:nsid w:val="614FD4A1"/>
    <w:multiLevelType w:val="hybridMultilevel"/>
    <w:lvl w:ilvl="0">
      <w:lvlJc w:val="left"/>
      <w:lvlText w:val="†"/>
      <w:numFmt w:val="bullet"/>
      <w:start w:val="1"/>
    </w:lvl>
    <w:lvl w:ilvl="1">
      <w:lvlJc w:val="left"/>
      <w:lvlText w:val="%2"/>
      <w:numFmt w:val="decimal"/>
      <w:start w:val="104"/>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2022-08-05T15:24:00Z</dcterms:created>
  <dcterms:modified xsi:type="dcterms:W3CDTF">2022-08-05T15:24:00Z</dcterms:modified>
</cp:coreProperties>
</file>