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2698750</wp:posOffset>
            </wp:positionH>
            <wp:positionV relativeFrom="paragraph">
              <wp:posOffset>114935</wp:posOffset>
            </wp:positionV>
            <wp:extent cx="1744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498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2698750</wp:posOffset>
            </wp:positionH>
            <wp:positionV relativeFrom="paragraph">
              <wp:posOffset>128905</wp:posOffset>
            </wp:positionV>
            <wp:extent cx="17449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44980" cy="8255"/>
                    </a:xfrm>
                    <a:prstGeom prst="rect">
                      <a:avLst/>
                    </a:prstGeom>
                    <a:noFill/>
                  </pic:spPr>
                </pic:pic>
              </a:graphicData>
            </a:graphic>
          </wp:anchor>
        </w:drawing>
      </w:r>
    </w:p>
    <w:p>
      <w:pPr>
        <w:spacing w:after="0" w:line="275"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0" w:lineRule="exact"/>
        <w:rPr>
          <w:sz w:val="24"/>
          <w:szCs w:val="24"/>
          <w:color w:val="auto"/>
        </w:rPr>
      </w:pPr>
    </w:p>
    <w:p>
      <w:pPr>
        <w:ind w:left="3860" w:right="2200" w:hanging="3856"/>
        <w:spacing w:after="0" w:line="277" w:lineRule="auto"/>
        <w:tabs>
          <w:tab w:leader="none" w:pos="218"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7"/>
          <w:szCs w:val="17"/>
          <w:color w:val="auto"/>
        </w:rPr>
        <w:t>For the quarterly period ended September 30, 2021</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6" w:lineRule="exact"/>
        <w:rPr>
          <w:sz w:val="24"/>
          <w:szCs w:val="24"/>
          <w:color w:val="auto"/>
        </w:rPr>
      </w:pPr>
    </w:p>
    <w:p>
      <w:pPr>
        <w:ind w:left="3740" w:right="2200" w:hanging="3736"/>
        <w:spacing w:after="0" w:line="277" w:lineRule="auto"/>
        <w:tabs>
          <w:tab w:leader="none" w:pos="213"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from________to________</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2094865</wp:posOffset>
            </wp:positionH>
            <wp:positionV relativeFrom="paragraph">
              <wp:posOffset>69215</wp:posOffset>
            </wp:positionV>
            <wp:extent cx="2961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1005"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Dropbox,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2094865</wp:posOffset>
            </wp:positionH>
            <wp:positionV relativeFrom="paragraph">
              <wp:posOffset>108585</wp:posOffset>
            </wp:positionV>
            <wp:extent cx="2961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1005"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92" w:lineRule="exact"/>
        <w:rPr>
          <w:sz w:val="24"/>
          <w:szCs w:val="24"/>
          <w:color w:val="auto"/>
        </w:rPr>
      </w:pPr>
    </w:p>
    <w:p>
      <w:pPr>
        <w:jc w:val="center"/>
        <w:ind w:right="3020"/>
        <w:spacing w:after="0"/>
        <w:rPr>
          <w:sz w:val="20"/>
          <w:szCs w:val="20"/>
          <w:color w:val="auto"/>
        </w:rPr>
      </w:pPr>
      <w:r>
        <w:rPr>
          <w:rFonts w:ascii="Arial" w:cs="Arial" w:eastAsia="Arial" w:hAnsi="Arial"/>
          <w:sz w:val="14"/>
          <w:szCs w:val="14"/>
          <w:b w:val="1"/>
          <w:bCs w:val="1"/>
          <w:color w:val="auto"/>
        </w:rPr>
        <w:t>Delaware</w:t>
      </w:r>
    </w:p>
    <w:p>
      <w:pPr>
        <w:spacing w:after="0" w:line="21" w:lineRule="exact"/>
        <w:rPr>
          <w:sz w:val="24"/>
          <w:szCs w:val="24"/>
          <w:color w:val="auto"/>
        </w:rPr>
      </w:pPr>
    </w:p>
    <w:p>
      <w:pPr>
        <w:jc w:val="center"/>
        <w:ind w:right="302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2094865</wp:posOffset>
            </wp:positionH>
            <wp:positionV relativeFrom="paragraph">
              <wp:posOffset>133350</wp:posOffset>
            </wp:positionV>
            <wp:extent cx="2961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100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26-0138832</w:t>
      </w:r>
    </w:p>
    <w:p>
      <w:pPr>
        <w:spacing w:after="0" w:line="21" w:lineRule="exact"/>
        <w:rPr>
          <w:sz w:val="24"/>
          <w:szCs w:val="24"/>
          <w:color w:val="auto"/>
        </w:rPr>
      </w:pPr>
    </w:p>
    <w:p>
      <w:pPr>
        <w:jc w:val="center"/>
        <w:ind w:right="420"/>
        <w:spacing w:after="0"/>
        <w:rPr>
          <w:sz w:val="20"/>
          <w:szCs w:val="20"/>
          <w:color w:val="auto"/>
        </w:rPr>
      </w:pPr>
      <w:r>
        <w:rPr>
          <w:rFonts w:ascii="Arial" w:cs="Arial" w:eastAsia="Arial" w:hAnsi="Arial"/>
          <w:sz w:val="13"/>
          <w:szCs w:val="13"/>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7680" w:space="720"/>
            <w:col w:w="2840"/>
          </w:cols>
          <w:pgMar w:left="320" w:top="968" w:right="339" w:bottom="1440" w:gutter="0" w:footer="0" w:header="0"/>
          <w:type w:val="continuous"/>
        </w:sectPr>
      </w:pP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1800 Owens Street</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San Francisco, California 94158</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(415) 857-6800</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2094865</wp:posOffset>
            </wp:positionH>
            <wp:positionV relativeFrom="paragraph">
              <wp:posOffset>115570</wp:posOffset>
            </wp:positionV>
            <wp:extent cx="29610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100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415925</wp:posOffset>
            </wp:positionH>
            <wp:positionV relativeFrom="paragraph">
              <wp:posOffset>25400</wp:posOffset>
            </wp:positionV>
            <wp:extent cx="6252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2210" cy="8255"/>
                    </a:xfrm>
                    <a:prstGeom prst="rect">
                      <a:avLst/>
                    </a:prstGeom>
                    <a:noFill/>
                  </pic:spPr>
                </pic:pic>
              </a:graphicData>
            </a:graphic>
          </wp:anchor>
        </w:drawing>
      </w:r>
    </w:p>
    <w:p>
      <w:pPr>
        <w:spacing w:after="0" w:line="54" w:lineRule="exact"/>
        <w:rPr>
          <w:sz w:val="24"/>
          <w:szCs w:val="24"/>
          <w:color w:val="auto"/>
        </w:rPr>
      </w:pPr>
    </w:p>
    <w:tbl>
      <w:tblPr>
        <w:tblLayout w:type="fixed"/>
        <w:tblInd w:w="80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2640" w:type="dxa"/>
            <w:vAlign w:val="bottom"/>
            <w:gridSpan w:val="2"/>
          </w:tcPr>
          <w:p>
            <w:pPr>
              <w:jc w:val="center"/>
              <w:ind w:right="1600"/>
              <w:spacing w:after="0"/>
              <w:rPr>
                <w:sz w:val="20"/>
                <w:szCs w:val="20"/>
                <w:color w:val="auto"/>
              </w:rPr>
            </w:pPr>
            <w:r>
              <w:rPr>
                <w:rFonts w:ascii="Arial" w:cs="Arial" w:eastAsia="Arial" w:hAnsi="Arial"/>
                <w:sz w:val="14"/>
                <w:szCs w:val="14"/>
                <w:b w:val="1"/>
                <w:bCs w:val="1"/>
                <w:color w:val="auto"/>
                <w:w w:val="86"/>
              </w:rPr>
              <w:t>Title of each class</w:t>
            </w:r>
          </w:p>
        </w:tc>
        <w:tc>
          <w:tcPr>
            <w:tcW w:w="25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Trading Symbol(s)</w:t>
            </w:r>
          </w:p>
        </w:tc>
        <w:tc>
          <w:tcPr>
            <w:tcW w:w="3060" w:type="dxa"/>
            <w:vAlign w:val="bottom"/>
            <w:gridSpan w:val="2"/>
          </w:tcPr>
          <w:p>
            <w:pPr>
              <w:jc w:val="center"/>
              <w:ind w:left="711"/>
              <w:spacing w:after="0"/>
              <w:rPr>
                <w:sz w:val="20"/>
                <w:szCs w:val="20"/>
                <w:color w:val="auto"/>
              </w:rPr>
            </w:pPr>
            <w:r>
              <w:rPr>
                <w:rFonts w:ascii="Arial" w:cs="Arial" w:eastAsia="Arial" w:hAnsi="Arial"/>
                <w:sz w:val="14"/>
                <w:szCs w:val="14"/>
                <w:b w:val="1"/>
                <w:bCs w:val="1"/>
                <w:color w:val="auto"/>
                <w:w w:val="87"/>
              </w:rPr>
              <w:t>Name of exchange on which registered</w:t>
            </w:r>
          </w:p>
        </w:tc>
      </w:tr>
      <w:tr>
        <w:trPr>
          <w:trHeight w:val="20"/>
        </w:trPr>
        <w:tc>
          <w:tcPr>
            <w:tcW w:w="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189"/>
        </w:trPr>
        <w:tc>
          <w:tcPr>
            <w:tcW w:w="3620" w:type="dxa"/>
            <w:vAlign w:val="bottom"/>
            <w:gridSpan w:val="3"/>
          </w:tcPr>
          <w:p>
            <w:pPr>
              <w:jc w:val="center"/>
              <w:ind w:right="600"/>
              <w:spacing w:after="0"/>
              <w:rPr>
                <w:sz w:val="20"/>
                <w:szCs w:val="20"/>
                <w:color w:val="auto"/>
              </w:rPr>
            </w:pPr>
            <w:r>
              <w:rPr>
                <w:rFonts w:ascii="Arial" w:cs="Arial" w:eastAsia="Arial" w:hAnsi="Arial"/>
                <w:sz w:val="14"/>
                <w:szCs w:val="14"/>
                <w:color w:val="auto"/>
                <w:w w:val="89"/>
              </w:rPr>
              <w:t>Class A Common Stock, par value $0.00001 per share</w:t>
            </w:r>
          </w:p>
        </w:tc>
        <w:tc>
          <w:tcPr>
            <w:tcW w:w="620" w:type="dxa"/>
            <w:vAlign w:val="bottom"/>
          </w:tcPr>
          <w:p>
            <w:pPr>
              <w:spacing w:after="0"/>
              <w:rPr>
                <w:sz w:val="16"/>
                <w:szCs w:val="16"/>
                <w:color w:val="auto"/>
              </w:rPr>
            </w:pPr>
          </w:p>
        </w:tc>
        <w:tc>
          <w:tcPr>
            <w:tcW w:w="1900" w:type="dxa"/>
            <w:vAlign w:val="bottom"/>
            <w:gridSpan w:val="2"/>
          </w:tcPr>
          <w:p>
            <w:pPr>
              <w:jc w:val="center"/>
              <w:ind w:right="800"/>
              <w:spacing w:after="0"/>
              <w:rPr>
                <w:sz w:val="20"/>
                <w:szCs w:val="20"/>
                <w:color w:val="auto"/>
              </w:rPr>
            </w:pPr>
            <w:r>
              <w:rPr>
                <w:rFonts w:ascii="Arial" w:cs="Arial" w:eastAsia="Arial" w:hAnsi="Arial"/>
                <w:sz w:val="14"/>
                <w:szCs w:val="14"/>
                <w:color w:val="auto"/>
              </w:rPr>
              <w:t>DBX</w:t>
            </w:r>
          </w:p>
        </w:tc>
        <w:tc>
          <w:tcPr>
            <w:tcW w:w="78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182"/>
        </w:trPr>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89"/>
              </w:rPr>
              <w:t>(Nasdaq Global Select Market)</w:t>
            </w:r>
          </w:p>
        </w:tc>
      </w:tr>
    </w:tbl>
    <w:p>
      <w:pPr>
        <w:spacing w:after="0" w:line="371" w:lineRule="exact"/>
        <w:rPr>
          <w:sz w:val="24"/>
          <w:szCs w:val="24"/>
          <w:color w:val="auto"/>
        </w:rPr>
      </w:pPr>
    </w:p>
    <w:p>
      <w:pPr>
        <w:ind w:firstLine="313"/>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9" w:lineRule="exact"/>
        <w:rPr>
          <w:sz w:val="24"/>
          <w:szCs w:val="24"/>
          <w:color w:val="auto"/>
        </w:rPr>
      </w:pPr>
    </w:p>
    <w:p>
      <w:pPr>
        <w:ind w:right="180" w:firstLine="313"/>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9" w:lineRule="exact"/>
        <w:rPr>
          <w:sz w:val="24"/>
          <w:szCs w:val="24"/>
          <w:color w:val="auto"/>
        </w:rPr>
      </w:pPr>
    </w:p>
    <w:p>
      <w:pPr>
        <w:ind w:right="500" w:firstLine="313"/>
        <w:spacing w:after="0" w:line="29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7"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3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rPr>
              <w:t>☒</w:t>
            </w:r>
          </w:p>
        </w:tc>
        <w:tc>
          <w:tcPr>
            <w:tcW w:w="368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2100" w:type="dxa"/>
            <w:vAlign w:val="bottom"/>
          </w:tcPr>
          <w:p>
            <w:pPr>
              <w:ind w:left="1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7"/>
        </w:trPr>
        <w:tc>
          <w:tcPr>
            <w:tcW w:w="316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rPr>
              <w:t>☐</w:t>
            </w:r>
          </w:p>
        </w:tc>
        <w:tc>
          <w:tcPr>
            <w:tcW w:w="368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2100" w:type="dxa"/>
            <w:vAlign w:val="bottom"/>
          </w:tcPr>
          <w:p>
            <w:pPr>
              <w:ind w:left="1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7"/>
        </w:trPr>
        <w:tc>
          <w:tcPr>
            <w:tcW w:w="3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80" w:type="dxa"/>
            <w:vAlign w:val="bottom"/>
          </w:tcPr>
          <w:p>
            <w:pPr>
              <w:ind w:left="180"/>
              <w:spacing w:after="0"/>
              <w:rPr>
                <w:sz w:val="20"/>
                <w:szCs w:val="20"/>
                <w:color w:val="auto"/>
              </w:rPr>
            </w:pPr>
            <w:r>
              <w:rPr>
                <w:rFonts w:ascii="Arial" w:cs="Arial" w:eastAsia="Arial" w:hAnsi="Arial"/>
                <w:sz w:val="14"/>
                <w:szCs w:val="14"/>
                <w:color w:val="auto"/>
              </w:rPr>
              <w:t>Emerging growth company</w:t>
            </w:r>
          </w:p>
        </w:tc>
        <w:tc>
          <w:tcPr>
            <w:tcW w:w="2100" w:type="dxa"/>
            <w:vAlign w:val="bottom"/>
          </w:tcPr>
          <w:p>
            <w:pPr>
              <w:ind w:left="19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77" w:lineRule="exact"/>
        <w:rPr>
          <w:sz w:val="24"/>
          <w:szCs w:val="24"/>
          <w:color w:val="auto"/>
        </w:rPr>
      </w:pPr>
    </w:p>
    <w:p>
      <w:pPr>
        <w:ind w:right="40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55" w:lineRule="exact"/>
        <w:rPr>
          <w:sz w:val="24"/>
          <w:szCs w:val="24"/>
          <w:color w:val="auto"/>
        </w:rPr>
      </w:pPr>
    </w:p>
    <w:p>
      <w:pPr>
        <w:ind w:right="80"/>
        <w:spacing w:after="0" w:line="264" w:lineRule="auto"/>
        <w:rPr>
          <w:sz w:val="20"/>
          <w:szCs w:val="20"/>
          <w:color w:val="auto"/>
        </w:rPr>
      </w:pPr>
      <w:r>
        <w:rPr>
          <w:rFonts w:ascii="Arial" w:cs="Arial" w:eastAsia="Arial" w:hAnsi="Arial"/>
          <w:sz w:val="13"/>
          <w:szCs w:val="13"/>
          <w:color w:val="auto"/>
        </w:rPr>
        <w:t>As of November 1, 2021, there were 309,895,627 shares of the registrants’ Class A common stock outstanding (which includes 10,333,333 shares of Class A common stock subject to restricted stock awards that were granted pursuant to the Co-Founder Grants, and vest upon the satisfaction of a service condition and achievement of certain stock price goals and 2,451,415 shares of Class A common stock subject to restricted stock awards that were granted to other Dropbox executives and vest upon the satisfaction of a service condition and as applicable, achievement of certain stock price goals), 82,907,722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813435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FORWARD-LOOKING STATEMENTS</w:t>
      </w:r>
    </w:p>
    <w:p>
      <w:pPr>
        <w:spacing w:after="0" w:line="242" w:lineRule="exact"/>
        <w:rPr>
          <w:sz w:val="20"/>
          <w:szCs w:val="20"/>
          <w:color w:val="auto"/>
        </w:rPr>
      </w:pPr>
    </w:p>
    <w:p>
      <w:pPr>
        <w:ind w:right="60" w:firstLine="391"/>
        <w:spacing w:after="0" w:line="261"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05" w:lineRule="exact"/>
        <w:rPr>
          <w:sz w:val="20"/>
          <w:szCs w:val="20"/>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new users or convert registered users to paying users;</w:t>
      </w:r>
    </w:p>
    <w:p>
      <w:pPr>
        <w:spacing w:after="0" w:line="247" w:lineRule="exact"/>
        <w:rPr>
          <w:rFonts w:ascii="Arial" w:cs="Arial" w:eastAsia="Arial" w:hAnsi="Arial"/>
          <w:sz w:val="17"/>
          <w:szCs w:val="17"/>
          <w:color w:val="auto"/>
        </w:rPr>
      </w:pPr>
    </w:p>
    <w:p>
      <w:pPr>
        <w:ind w:left="700" w:right="140" w:hanging="305"/>
        <w:spacing w:after="0" w:line="286"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trends in revenue, costs of revenue, gross profit or gross margin, operating expenses, paying users, annual recurring revenue, average revenue per user, free cash flow, and the assumptions underlying such trends;</w:t>
      </w:r>
    </w:p>
    <w:p>
      <w:pPr>
        <w:spacing w:after="0" w:line="185" w:lineRule="exact"/>
        <w:rPr>
          <w:rFonts w:ascii="Arial" w:cs="Arial" w:eastAsia="Arial" w:hAnsi="Arial"/>
          <w:sz w:val="17"/>
          <w:szCs w:val="17"/>
          <w:color w:val="auto"/>
        </w:rPr>
      </w:pPr>
    </w:p>
    <w:p>
      <w:pPr>
        <w:ind w:left="700" w:right="140" w:hanging="305"/>
        <w:spacing w:after="0" w:line="286"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challenges and anticipated benefits to our business from our shift to a Virtual First work model as well as the impact to our financial results and business operations as a result of this shift;</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successfully in competitive markets;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possible harm caused by significant disruption of service or loss or unauthorized access to users’ content;</w:t>
      </w:r>
    </w:p>
    <w:p>
      <w:pPr>
        <w:spacing w:after="0" w:line="247" w:lineRule="exact"/>
        <w:rPr>
          <w:rFonts w:ascii="Arial" w:cs="Arial" w:eastAsia="Arial" w:hAnsi="Arial"/>
          <w:sz w:val="17"/>
          <w:szCs w:val="17"/>
          <w:color w:val="auto"/>
        </w:rPr>
      </w:pPr>
    </w:p>
    <w:p>
      <w:pPr>
        <w:ind w:left="700" w:hanging="305"/>
        <w:spacing w:after="0" w:line="357" w:lineRule="auto"/>
        <w:tabs>
          <w:tab w:leader="none" w:pos="696"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the potential impacts of the outbreak of the COVID-19 pandemic and related public health measures, as well as the potential for a more permanent global shift to remote work, on our business, the business of our customers, suppliers and partners, and the economy;</w:t>
      </w:r>
    </w:p>
    <w:p>
      <w:pPr>
        <w:spacing w:after="0" w:line="138" w:lineRule="exact"/>
        <w:rPr>
          <w:rFonts w:ascii="Arial" w:cs="Arial" w:eastAsia="Arial" w:hAnsi="Arial"/>
          <w:sz w:val="15"/>
          <w:szCs w:val="15"/>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demand for our platform or for content collaboration solutions in general;</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integrate our platform with others;</w:t>
      </w:r>
    </w:p>
    <w:p>
      <w:pPr>
        <w:spacing w:after="0" w:line="247" w:lineRule="exact"/>
        <w:rPr>
          <w:rFonts w:ascii="Arial" w:cs="Arial" w:eastAsia="Arial" w:hAnsi="Arial"/>
          <w:sz w:val="17"/>
          <w:szCs w:val="17"/>
          <w:color w:val="auto"/>
        </w:rPr>
      </w:pPr>
    </w:p>
    <w:p>
      <w:pPr>
        <w:ind w:left="700" w:right="280" w:hanging="305"/>
        <w:spacing w:after="0" w:line="286"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respond to rapid technological changes, including our ability to take advantage of potential market opportunities arising from what we believe to be a more permanent shift towards remote work;</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or maintain profitability;</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and management of future growth;</w:t>
      </w:r>
    </w:p>
    <w:p>
      <w:pPr>
        <w:spacing w:after="0" w:line="247" w:lineRule="exact"/>
        <w:rPr>
          <w:rFonts w:ascii="Arial" w:cs="Arial" w:eastAsia="Arial" w:hAnsi="Arial"/>
          <w:sz w:val="17"/>
          <w:szCs w:val="17"/>
          <w:color w:val="auto"/>
        </w:rPr>
      </w:pPr>
    </w:p>
    <w:p>
      <w:pPr>
        <w:ind w:left="700" w:right="820" w:hanging="305"/>
        <w:spacing w:after="0" w:line="286"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retain, integrate, and manage key and other highly qualified personnel, as we transition to a Virtual First model with an increasingly distributed workforce;</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grow due to our lack of a significant outbound sales force;</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large organizations as users;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offer high-quality customer support;</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brand;</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our international expansion;</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capital allocation plans, including expected allocations of cash and timing for our share repurchases and other investments;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prevent serious errors or defects in our platform;</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effects of new laws, policies, taxes, and regulations on our business;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 and</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identify, acquire, and integrate companies and assets.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221" w:lineRule="exact"/>
        <w:rPr>
          <w:sz w:val="20"/>
          <w:szCs w:val="20"/>
          <w:color w:val="auto"/>
        </w:rPr>
      </w:pPr>
    </w:p>
    <w:p>
      <w:pPr>
        <w:ind w:right="80" w:firstLine="430"/>
        <w:spacing w:after="0" w:line="278"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1" w:lineRule="exact"/>
        <w:rPr>
          <w:sz w:val="20"/>
          <w:szCs w:val="20"/>
          <w:color w:val="auto"/>
        </w:rPr>
      </w:pPr>
    </w:p>
    <w:p>
      <w:pPr>
        <w:ind w:firstLine="430"/>
        <w:spacing w:after="0" w:line="262"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SUMMARY OF RISK FACTORS</w:t>
      </w:r>
    </w:p>
    <w:p>
      <w:pPr>
        <w:spacing w:after="0" w:line="253" w:lineRule="exact"/>
        <w:rPr>
          <w:sz w:val="20"/>
          <w:szCs w:val="20"/>
          <w:color w:val="auto"/>
        </w:rPr>
      </w:pPr>
    </w:p>
    <w:p>
      <w:pPr>
        <w:ind w:right="220" w:firstLine="391"/>
        <w:spacing w:after="0" w:line="263" w:lineRule="auto"/>
        <w:rPr>
          <w:sz w:val="20"/>
          <w:szCs w:val="20"/>
          <w:color w:val="auto"/>
        </w:rPr>
      </w:pPr>
      <w:r>
        <w:rPr>
          <w:rFonts w:ascii="Arial" w:cs="Arial" w:eastAsia="Arial" w:hAnsi="Arial"/>
          <w:sz w:val="17"/>
          <w:szCs w:val="17"/>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spacing w:after="0" w:line="205" w:lineRule="exact"/>
        <w:rPr>
          <w:sz w:val="20"/>
          <w:szCs w:val="20"/>
          <w:color w:val="auto"/>
        </w:rPr>
      </w:pPr>
    </w:p>
    <w:p>
      <w:pPr>
        <w:ind w:left="700" w:right="400" w:hanging="305"/>
        <w:spacing w:after="0" w:line="286"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depends on our ability to retain and upgrade paying users, and any decline in renewals or upgrades could adversely affect our future results of operations.</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future growth could be harmed if we fail to attract new users or convert registered users to paying users.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revenue growth rate has declined in recent periods and may continue to slow in the future.</w:t>
      </w:r>
    </w:p>
    <w:p>
      <w:pPr>
        <w:spacing w:after="0" w:line="247" w:lineRule="exact"/>
        <w:rPr>
          <w:rFonts w:ascii="Arial" w:cs="Arial" w:eastAsia="Arial" w:hAnsi="Arial"/>
          <w:sz w:val="17"/>
          <w:szCs w:val="17"/>
          <w:color w:val="auto"/>
        </w:rPr>
      </w:pPr>
    </w:p>
    <w:p>
      <w:pPr>
        <w:ind w:left="700" w:right="440" w:hanging="305"/>
        <w:spacing w:after="0" w:line="286"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limited history of operating with a Virtual First workforce and the long-term impact on our financial results and business operations is uncertain.</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operate in competitive markets, and we must continue to compete effectively.</w:t>
      </w:r>
    </w:p>
    <w:p>
      <w:pPr>
        <w:spacing w:after="0" w:line="247" w:lineRule="exact"/>
        <w:rPr>
          <w:rFonts w:ascii="Arial" w:cs="Arial" w:eastAsia="Arial" w:hAnsi="Arial"/>
          <w:sz w:val="17"/>
          <w:szCs w:val="17"/>
          <w:color w:val="auto"/>
        </w:rPr>
      </w:pPr>
    </w:p>
    <w:p>
      <w:pPr>
        <w:ind w:left="700" w:right="360" w:hanging="305"/>
        <w:spacing w:after="0" w:line="286"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could be damaged, and we could be subject to liability if there is any unauthorized access to our data or our users' content, including through privacy and data security breaches.</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could be harmed by any significant disruption of service on our platform or loss of content.</w:t>
      </w:r>
    </w:p>
    <w:p>
      <w:pPr>
        <w:spacing w:after="0" w:line="247" w:lineRule="exact"/>
        <w:rPr>
          <w:rFonts w:ascii="Arial" w:cs="Arial" w:eastAsia="Arial" w:hAnsi="Arial"/>
          <w:sz w:val="17"/>
          <w:szCs w:val="17"/>
          <w:color w:val="auto"/>
        </w:rPr>
      </w:pPr>
    </w:p>
    <w:p>
      <w:pPr>
        <w:ind w:left="700" w:right="280" w:hanging="305"/>
        <w:spacing w:after="0" w:line="286"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full extent of the impacts of the COVID-19 pandemic on our business is currently unknown, but it may adversely affect our financial results as well as our business operations.</w:t>
      </w:r>
    </w:p>
    <w:p>
      <w:pPr>
        <w:spacing w:after="0" w:line="185" w:lineRule="exact"/>
        <w:rPr>
          <w:rFonts w:ascii="Arial" w:cs="Arial" w:eastAsia="Arial" w:hAnsi="Arial"/>
          <w:sz w:val="17"/>
          <w:szCs w:val="17"/>
          <w:color w:val="auto"/>
        </w:rPr>
      </w:pPr>
    </w:p>
    <w:p>
      <w:pPr>
        <w:ind w:left="700" w:right="140" w:hanging="305"/>
        <w:spacing w:after="0" w:line="286"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generate revenue from sales of subscriptions to our platform, and any decline in demand for our platform or for content collaboration solutions in general could negatively impact our business.</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business depends upon the interoperability of our platform across devices, operating systems, and third-party applications that we do not control.</w:t>
      </w:r>
    </w:p>
    <w:p>
      <w:pPr>
        <w:spacing w:after="0" w:line="270" w:lineRule="exact"/>
        <w:rPr>
          <w:rFonts w:ascii="Arial" w:cs="Arial" w:eastAsia="Arial" w:hAnsi="Arial"/>
          <w:sz w:val="15"/>
          <w:szCs w:val="15"/>
          <w:color w:val="auto"/>
        </w:rPr>
      </w:pPr>
    </w:p>
    <w:p>
      <w:pPr>
        <w:ind w:left="700" w:right="720" w:hanging="305"/>
        <w:spacing w:after="0" w:line="286"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to respond to rapid technological changes, extend our platform, or develop new features or products may harm our ability to compete effectively, which would adversely affect our business.</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successfully manage our growth or plan for future growth.</w:t>
      </w:r>
    </w:p>
    <w:p>
      <w:pPr>
        <w:spacing w:after="0" w:line="247" w:lineRule="exact"/>
        <w:rPr>
          <w:rFonts w:ascii="Arial" w:cs="Arial" w:eastAsia="Arial" w:hAnsi="Arial"/>
          <w:sz w:val="17"/>
          <w:szCs w:val="17"/>
          <w:color w:val="auto"/>
        </w:rPr>
      </w:pPr>
    </w:p>
    <w:p>
      <w:pPr>
        <w:ind w:left="700" w:right="280" w:hanging="305"/>
        <w:spacing w:after="0" w:line="286"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depend on our key personnel and other highly qualified personnel, and if we fail to attract, integrate, and retain our personnel, and maintain our unique corporate culture, our business could be harmed.</w:t>
      </w:r>
    </w:p>
    <w:p>
      <w:pPr>
        <w:spacing w:after="0" w:line="185"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history of net losses, we may increase expenses in the future, and we may not be able to achieve or to maintain profitability.</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lack of a significant outbound sales force may limit the potential growth of our business.</w:t>
      </w:r>
    </w:p>
    <w:p>
      <w:pPr>
        <w:spacing w:after="0" w:line="247" w:lineRule="exact"/>
        <w:rPr>
          <w:rFonts w:ascii="Arial" w:cs="Arial" w:eastAsia="Arial" w:hAnsi="Arial"/>
          <w:sz w:val="17"/>
          <w:szCs w:val="17"/>
          <w:color w:val="auto"/>
        </w:rPr>
      </w:pPr>
    </w:p>
    <w:p>
      <w:pPr>
        <w:ind w:left="700" w:hanging="305"/>
        <w:spacing w:after="0" w:line="286"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Servicing our 2026 Notes and 2028 Notes may require a significant amount of cash, and we may not have sufficient cash flow or the ability to raise the funds necessary to satisfy our obligations under the 2026 Notes or 2028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78"/>
              </w:rPr>
              <w:t>Page</w:t>
            </w:r>
          </w:p>
        </w:tc>
      </w:tr>
      <w:tr>
        <w:trPr>
          <w:trHeight w:val="188"/>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520" w:type="dxa"/>
            <w:vAlign w:val="bottom"/>
            <w:tcBorders>
              <w:bottom w:val="single" w:sz="8" w:color="0000FF"/>
            </w:tcBorders>
            <w:gridSpan w:val="9"/>
          </w:tcPr>
          <w:p>
            <w:pPr>
              <w:jc w:val="center"/>
              <w:spacing w:after="0"/>
              <w:rPr>
                <w:rFonts w:ascii="Arial" w:cs="Arial" w:eastAsia="Arial" w:hAnsi="Arial"/>
                <w:sz w:val="16"/>
                <w:szCs w:val="16"/>
                <w:color w:val="0000FF"/>
                <w:w w:val="96"/>
              </w:rPr>
            </w:pPr>
            <w:hyperlink w:anchor="page5">
              <w:r>
                <w:rPr>
                  <w:rFonts w:ascii="Arial" w:cs="Arial" w:eastAsia="Arial" w:hAnsi="Arial"/>
                  <w:sz w:val="16"/>
                  <w:szCs w:val="16"/>
                  <w:color w:val="0000FF"/>
                  <w:w w:val="96"/>
                </w:rPr>
                <w:t>PART I. FINANCIAL INFORMATION</w:t>
              </w:r>
            </w:hyperlink>
          </w:p>
        </w:tc>
        <w:tc>
          <w:tcPr>
            <w:tcW w:w="408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3700" w:type="dxa"/>
            <w:vAlign w:val="bottom"/>
            <w:tcBorders>
              <w:bottom w:val="single" w:sz="8" w:color="0000FF"/>
            </w:tcBorders>
            <w:gridSpan w:val="10"/>
          </w:tcPr>
          <w:p>
            <w:pPr>
              <w:spacing w:after="0"/>
              <w:rPr>
                <w:rFonts w:ascii="Arial" w:cs="Arial" w:eastAsia="Arial" w:hAnsi="Arial"/>
                <w:sz w:val="16"/>
                <w:szCs w:val="16"/>
                <w:color w:val="0000FF"/>
                <w:w w:val="87"/>
              </w:rPr>
            </w:pPr>
            <w:hyperlink w:anchor="page6">
              <w:r>
                <w:rPr>
                  <w:rFonts w:ascii="Arial" w:cs="Arial" w:eastAsia="Arial" w:hAnsi="Arial"/>
                  <w:sz w:val="16"/>
                  <w:szCs w:val="16"/>
                  <w:color w:val="0000FF"/>
                  <w:w w:val="87"/>
                </w:rPr>
                <w:t>Condensed Consolidated Financial Statements (Unaudited)</w:t>
              </w:r>
            </w:hyperlink>
          </w:p>
        </w:tc>
        <w:tc>
          <w:tcPr>
            <w:tcW w:w="6240" w:type="dxa"/>
            <w:vAlign w:val="bottom"/>
            <w:gridSpan w:val="11"/>
          </w:tcPr>
          <w:p>
            <w:pPr>
              <w:spacing w:after="0"/>
              <w:rPr>
                <w:sz w:val="16"/>
                <w:szCs w:val="16"/>
                <w:color w:val="auto"/>
              </w:rPr>
            </w:pPr>
          </w:p>
        </w:tc>
        <w:tc>
          <w:tcPr>
            <w:tcW w:w="24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r>
      <w:tr>
        <w:trPr>
          <w:trHeight w:val="188"/>
        </w:trPr>
        <w:tc>
          <w:tcPr>
            <w:tcW w:w="920" w:type="dxa"/>
            <w:vAlign w:val="bottom"/>
          </w:tcPr>
          <w:p>
            <w:pPr>
              <w:spacing w:after="0"/>
              <w:rPr>
                <w:sz w:val="16"/>
                <w:szCs w:val="16"/>
                <w:color w:val="auto"/>
              </w:rPr>
            </w:pPr>
          </w:p>
        </w:tc>
        <w:tc>
          <w:tcPr>
            <w:tcW w:w="5720" w:type="dxa"/>
            <w:vAlign w:val="bottom"/>
            <w:tcBorders>
              <w:bottom w:val="single" w:sz="8" w:color="0000FF"/>
            </w:tcBorders>
            <w:gridSpan w:val="15"/>
          </w:tcPr>
          <w:p>
            <w:pPr>
              <w:spacing w:after="0"/>
              <w:rPr>
                <w:rFonts w:ascii="Arial" w:cs="Arial" w:eastAsia="Arial" w:hAnsi="Arial"/>
                <w:sz w:val="16"/>
                <w:szCs w:val="16"/>
                <w:color w:val="0000FF"/>
                <w:w w:val="86"/>
              </w:rPr>
            </w:pPr>
            <w:hyperlink w:anchor="page6">
              <w:r>
                <w:rPr>
                  <w:rFonts w:ascii="Arial" w:cs="Arial" w:eastAsia="Arial" w:hAnsi="Arial"/>
                  <w:sz w:val="16"/>
                  <w:szCs w:val="16"/>
                  <w:color w:val="0000FF"/>
                  <w:w w:val="86"/>
                </w:rPr>
                <w:t>Condensed Consolidated Balance Sheets as of September 30, 2021 and December 31, 2020</w:t>
              </w:r>
            </w:hyperlink>
          </w:p>
        </w:tc>
        <w:tc>
          <w:tcPr>
            <w:tcW w:w="4220" w:type="dxa"/>
            <w:vAlign w:val="bottom"/>
            <w:gridSpan w:val="6"/>
          </w:tcPr>
          <w:p>
            <w:pPr>
              <w:spacing w:after="0"/>
              <w:rPr>
                <w:sz w:val="16"/>
                <w:szCs w:val="16"/>
                <w:color w:val="auto"/>
              </w:rPr>
            </w:pPr>
          </w:p>
        </w:tc>
        <w:tc>
          <w:tcPr>
            <w:tcW w:w="24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r>
      <w:tr>
        <w:trPr>
          <w:trHeight w:val="188"/>
        </w:trPr>
        <w:tc>
          <w:tcPr>
            <w:tcW w:w="920" w:type="dxa"/>
            <w:vAlign w:val="bottom"/>
          </w:tcPr>
          <w:p>
            <w:pPr>
              <w:spacing w:after="0"/>
              <w:rPr>
                <w:sz w:val="16"/>
                <w:szCs w:val="16"/>
                <w:color w:val="auto"/>
              </w:rPr>
            </w:pPr>
          </w:p>
        </w:tc>
        <w:tc>
          <w:tcPr>
            <w:tcW w:w="7500" w:type="dxa"/>
            <w:vAlign w:val="bottom"/>
            <w:tcBorders>
              <w:bottom w:val="single" w:sz="8" w:color="0000FF"/>
            </w:tcBorders>
            <w:gridSpan w:val="18"/>
          </w:tcPr>
          <w:p>
            <w:pPr>
              <w:spacing w:after="0"/>
              <w:rPr>
                <w:rFonts w:ascii="Arial" w:cs="Arial" w:eastAsia="Arial" w:hAnsi="Arial"/>
                <w:sz w:val="16"/>
                <w:szCs w:val="16"/>
                <w:color w:val="0000FF"/>
                <w:w w:val="87"/>
              </w:rPr>
            </w:pPr>
            <w:hyperlink w:anchor="page6">
              <w:r>
                <w:rPr>
                  <w:rFonts w:ascii="Arial" w:cs="Arial" w:eastAsia="Arial" w:hAnsi="Arial"/>
                  <w:sz w:val="16"/>
                  <w:szCs w:val="16"/>
                  <w:color w:val="0000FF"/>
                  <w:w w:val="87"/>
                </w:rPr>
                <w:t>Condensed Consolidated Statements of Operations for the Three and Nine Months Ended September 30, 2021 and 2020</w:t>
              </w:r>
            </w:hyperlink>
          </w:p>
        </w:tc>
        <w:tc>
          <w:tcPr>
            <w:tcW w:w="2440" w:type="dxa"/>
            <w:vAlign w:val="bottom"/>
            <w:gridSpan w:val="3"/>
          </w:tcPr>
          <w:p>
            <w:pPr>
              <w:spacing w:after="0"/>
              <w:rPr>
                <w:sz w:val="16"/>
                <w:szCs w:val="16"/>
                <w:color w:val="auto"/>
              </w:rPr>
            </w:pPr>
          </w:p>
        </w:tc>
        <w:tc>
          <w:tcPr>
            <w:tcW w:w="24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8</w:t>
              </w:r>
            </w:hyperlink>
          </w:p>
        </w:tc>
      </w:tr>
      <w:tr>
        <w:trPr>
          <w:trHeight w:val="188"/>
        </w:trPr>
        <w:tc>
          <w:tcPr>
            <w:tcW w:w="920" w:type="dxa"/>
            <w:vAlign w:val="bottom"/>
          </w:tcPr>
          <w:p>
            <w:pPr>
              <w:spacing w:after="0"/>
              <w:rPr>
                <w:sz w:val="16"/>
                <w:szCs w:val="16"/>
                <w:color w:val="auto"/>
              </w:rPr>
            </w:pPr>
          </w:p>
        </w:tc>
        <w:tc>
          <w:tcPr>
            <w:tcW w:w="9940" w:type="dxa"/>
            <w:vAlign w:val="bottom"/>
            <w:gridSpan w:val="21"/>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 xml:space="preserve">Condensed Consolidated Statements of Comprehensive Income for the Three and Nine Months Ended </w:t>
              </w:r>
            </w:hyperlink>
            <w:hyperlink w:anchor="page6">
              <w:r>
                <w:rPr>
                  <w:rFonts w:ascii="Arial" w:cs="Arial" w:eastAsia="Arial" w:hAnsi="Arial"/>
                  <w:sz w:val="16"/>
                  <w:szCs w:val="16"/>
                  <w:color w:val="0000FF"/>
                </w:rPr>
                <w:t xml:space="preserve">September </w:t>
              </w:r>
            </w:hyperlink>
            <w:hyperlink w:anchor="page7">
              <w:r>
                <w:rPr>
                  <w:rFonts w:ascii="Arial" w:cs="Arial" w:eastAsia="Arial" w:hAnsi="Arial"/>
                  <w:sz w:val="16"/>
                  <w:szCs w:val="16"/>
                  <w:color w:val="0000FF"/>
                </w:rPr>
                <w:t>30, 2021 and 2020</w:t>
              </w:r>
            </w:hyperlink>
          </w:p>
        </w:tc>
        <w:tc>
          <w:tcPr>
            <w:tcW w:w="320" w:type="dxa"/>
            <w:vAlign w:val="bottom"/>
            <w:gridSpan w:val="3"/>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9</w:t>
              </w:r>
            </w:hyperlink>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8"/>
        </w:trPr>
        <w:tc>
          <w:tcPr>
            <w:tcW w:w="920" w:type="dxa"/>
            <w:vAlign w:val="bottom"/>
          </w:tcPr>
          <w:p>
            <w:pPr>
              <w:spacing w:after="0"/>
              <w:rPr>
                <w:sz w:val="16"/>
                <w:szCs w:val="16"/>
                <w:color w:val="auto"/>
              </w:rPr>
            </w:pPr>
          </w:p>
        </w:tc>
        <w:tc>
          <w:tcPr>
            <w:tcW w:w="9940" w:type="dxa"/>
            <w:vAlign w:val="bottom"/>
            <w:tcBorders>
              <w:bottom w:val="single" w:sz="8" w:color="0000FF"/>
            </w:tcBorders>
            <w:gridSpan w:val="21"/>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 xml:space="preserve">Condensed Consolidated Statements of Stockholders' (Deficit) Equity for the Three and Nine Months Ended </w:t>
              </w:r>
            </w:hyperlink>
            <w:hyperlink w:anchor="page6">
              <w:r>
                <w:rPr>
                  <w:rFonts w:ascii="Arial" w:cs="Arial" w:eastAsia="Arial" w:hAnsi="Arial"/>
                  <w:sz w:val="16"/>
                  <w:szCs w:val="16"/>
                  <w:color w:val="0000FF"/>
                </w:rPr>
                <w:t xml:space="preserve">September </w:t>
              </w:r>
            </w:hyperlink>
            <w:hyperlink w:anchor="page8">
              <w:r>
                <w:rPr>
                  <w:rFonts w:ascii="Arial" w:cs="Arial" w:eastAsia="Arial" w:hAnsi="Arial"/>
                  <w:sz w:val="16"/>
                  <w:szCs w:val="16"/>
                  <w:color w:val="0000FF"/>
                </w:rPr>
                <w:t>30, 2021 and 2020</w:t>
              </w:r>
            </w:hyperlink>
          </w:p>
        </w:tc>
        <w:tc>
          <w:tcPr>
            <w:tcW w:w="1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8">
              <w:r>
                <w:rPr>
                  <w:rFonts w:ascii="Arial" w:cs="Arial" w:eastAsia="Arial" w:hAnsi="Arial"/>
                  <w:sz w:val="16"/>
                  <w:szCs w:val="16"/>
                  <w:color w:val="0000FF"/>
                  <w:w w:val="78"/>
                </w:rPr>
                <w:t>10</w:t>
              </w:r>
            </w:hyperlink>
          </w:p>
        </w:tc>
      </w:tr>
      <w:tr>
        <w:trPr>
          <w:trHeight w:val="188"/>
        </w:trPr>
        <w:tc>
          <w:tcPr>
            <w:tcW w:w="920" w:type="dxa"/>
            <w:vAlign w:val="bottom"/>
          </w:tcPr>
          <w:p>
            <w:pPr>
              <w:spacing w:after="0"/>
              <w:rPr>
                <w:sz w:val="16"/>
                <w:szCs w:val="16"/>
                <w:color w:val="auto"/>
              </w:rPr>
            </w:pPr>
          </w:p>
        </w:tc>
        <w:tc>
          <w:tcPr>
            <w:tcW w:w="6880" w:type="dxa"/>
            <w:vAlign w:val="bottom"/>
            <w:tcBorders>
              <w:bottom w:val="single" w:sz="8" w:color="0000FF"/>
            </w:tcBorders>
            <w:gridSpan w:val="17"/>
          </w:tcPr>
          <w:p>
            <w:pPr>
              <w:spacing w:after="0"/>
              <w:rPr>
                <w:rFonts w:ascii="Arial" w:cs="Arial" w:eastAsia="Arial" w:hAnsi="Arial"/>
                <w:sz w:val="16"/>
                <w:szCs w:val="16"/>
                <w:color w:val="0000FF"/>
                <w:w w:val="87"/>
              </w:rPr>
            </w:pPr>
            <w:hyperlink w:anchor="page10">
              <w:r>
                <w:rPr>
                  <w:rFonts w:ascii="Arial" w:cs="Arial" w:eastAsia="Arial" w:hAnsi="Arial"/>
                  <w:sz w:val="16"/>
                  <w:szCs w:val="16"/>
                  <w:color w:val="0000FF"/>
                  <w:w w:val="87"/>
                </w:rPr>
                <w:t xml:space="preserve">Condensed Consolidated Statements of Cash Flows for the Nine Months Ended </w:t>
              </w:r>
            </w:hyperlink>
            <w:hyperlink w:anchor="page6">
              <w:r>
                <w:rPr>
                  <w:rFonts w:ascii="Arial" w:cs="Arial" w:eastAsia="Arial" w:hAnsi="Arial"/>
                  <w:sz w:val="16"/>
                  <w:szCs w:val="16"/>
                  <w:color w:val="0000FF"/>
                  <w:w w:val="87"/>
                </w:rPr>
                <w:t xml:space="preserve">September </w:t>
              </w:r>
            </w:hyperlink>
            <w:hyperlink w:anchor="page10">
              <w:r>
                <w:rPr>
                  <w:rFonts w:ascii="Arial" w:cs="Arial" w:eastAsia="Arial" w:hAnsi="Arial"/>
                  <w:sz w:val="16"/>
                  <w:szCs w:val="16"/>
                  <w:color w:val="0000FF"/>
                  <w:w w:val="87"/>
                </w:rPr>
                <w:t>30, 2021 and 2020</w:t>
              </w:r>
            </w:hyperlink>
          </w:p>
        </w:tc>
        <w:tc>
          <w:tcPr>
            <w:tcW w:w="3060" w:type="dxa"/>
            <w:vAlign w:val="bottom"/>
            <w:gridSpan w:val="4"/>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10">
              <w:r>
                <w:rPr>
                  <w:rFonts w:ascii="Arial" w:cs="Arial" w:eastAsia="Arial" w:hAnsi="Arial"/>
                  <w:sz w:val="16"/>
                  <w:szCs w:val="16"/>
                  <w:color w:val="0000FF"/>
                  <w:w w:val="78"/>
                </w:rPr>
                <w:t>12</w:t>
              </w:r>
            </w:hyperlink>
          </w:p>
        </w:tc>
      </w:tr>
      <w:tr>
        <w:trPr>
          <w:trHeight w:val="188"/>
        </w:trPr>
        <w:tc>
          <w:tcPr>
            <w:tcW w:w="920" w:type="dxa"/>
            <w:vAlign w:val="bottom"/>
          </w:tcPr>
          <w:p>
            <w:pPr>
              <w:spacing w:after="0"/>
              <w:rPr>
                <w:sz w:val="16"/>
                <w:szCs w:val="16"/>
                <w:color w:val="auto"/>
              </w:rPr>
            </w:pPr>
          </w:p>
        </w:tc>
        <w:tc>
          <w:tcPr>
            <w:tcW w:w="9940" w:type="dxa"/>
            <w:vAlign w:val="bottom"/>
            <w:gridSpan w:val="21"/>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Notes to Condensed Consolidated Financial Statements</w:t>
              </w:r>
            </w:hyperlink>
          </w:p>
        </w:tc>
        <w:tc>
          <w:tcPr>
            <w:tcW w:w="320" w:type="dxa"/>
            <w:vAlign w:val="bottom"/>
            <w:gridSpan w:val="3"/>
          </w:tcPr>
          <w:p>
            <w:pPr>
              <w:jc w:val="right"/>
              <w:spacing w:after="0"/>
              <w:rPr>
                <w:rFonts w:ascii="Arial" w:cs="Arial" w:eastAsia="Arial" w:hAnsi="Arial"/>
                <w:sz w:val="16"/>
                <w:szCs w:val="16"/>
                <w:color w:val="0000FF"/>
              </w:rPr>
            </w:pPr>
            <w:hyperlink w:anchor="page11">
              <w:r>
                <w:rPr>
                  <w:rFonts w:ascii="Arial" w:cs="Arial" w:eastAsia="Arial" w:hAnsi="Arial"/>
                  <w:sz w:val="16"/>
                  <w:szCs w:val="16"/>
                  <w:color w:val="0000FF"/>
                </w:rPr>
                <w:t>13</w:t>
              </w:r>
            </w:hyperlink>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8"/>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5720" w:type="dxa"/>
            <w:vAlign w:val="bottom"/>
            <w:tcBorders>
              <w:bottom w:val="single" w:sz="8" w:color="0000FF"/>
            </w:tcBorders>
            <w:gridSpan w:val="15"/>
          </w:tcPr>
          <w:p>
            <w:pPr>
              <w:spacing w:after="0"/>
              <w:rPr>
                <w:rFonts w:ascii="Arial" w:cs="Arial" w:eastAsia="Arial" w:hAnsi="Arial"/>
                <w:sz w:val="16"/>
                <w:szCs w:val="16"/>
                <w:color w:val="0000FF"/>
                <w:w w:val="90"/>
              </w:rPr>
            </w:pPr>
            <w:hyperlink w:anchor="page41">
              <w:r>
                <w:rPr>
                  <w:rFonts w:ascii="Arial" w:cs="Arial" w:eastAsia="Arial" w:hAnsi="Arial"/>
                  <w:sz w:val="16"/>
                  <w:szCs w:val="16"/>
                  <w:color w:val="0000FF"/>
                  <w:w w:val="90"/>
                </w:rPr>
                <w:t>Management's Discussion and Analysis of Financial Condition and Results of Operations</w:t>
              </w:r>
            </w:hyperlink>
          </w:p>
        </w:tc>
        <w:tc>
          <w:tcPr>
            <w:tcW w:w="422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1">
              <w:r>
                <w:rPr>
                  <w:rFonts w:ascii="Arial" w:cs="Arial" w:eastAsia="Arial" w:hAnsi="Arial"/>
                  <w:sz w:val="16"/>
                  <w:szCs w:val="16"/>
                  <w:color w:val="0000FF"/>
                  <w:w w:val="78"/>
                </w:rPr>
                <w:t>43</w:t>
              </w:r>
            </w:hyperlink>
          </w:p>
        </w:tc>
      </w:tr>
      <w:tr>
        <w:trPr>
          <w:trHeight w:val="188"/>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3780" w:type="dxa"/>
            <w:vAlign w:val="bottom"/>
            <w:tcBorders>
              <w:bottom w:val="single" w:sz="8" w:color="0000FF"/>
            </w:tcBorders>
            <w:gridSpan w:val="12"/>
          </w:tcPr>
          <w:p>
            <w:pPr>
              <w:spacing w:after="0"/>
              <w:rPr>
                <w:rFonts w:ascii="Arial" w:cs="Arial" w:eastAsia="Arial" w:hAnsi="Arial"/>
                <w:sz w:val="16"/>
                <w:szCs w:val="16"/>
                <w:color w:val="0000FF"/>
                <w:w w:val="89"/>
              </w:rPr>
            </w:pPr>
            <w:hyperlink w:anchor="page64">
              <w:r>
                <w:rPr>
                  <w:rFonts w:ascii="Arial" w:cs="Arial" w:eastAsia="Arial" w:hAnsi="Arial"/>
                  <w:sz w:val="16"/>
                  <w:szCs w:val="16"/>
                  <w:color w:val="0000FF"/>
                  <w:w w:val="89"/>
                </w:rPr>
                <w:t>Quantitative and Qualitative Disclosures About Market Risk</w:t>
              </w:r>
            </w:hyperlink>
          </w:p>
        </w:tc>
        <w:tc>
          <w:tcPr>
            <w:tcW w:w="6160" w:type="dxa"/>
            <w:vAlign w:val="bottom"/>
            <w:gridSpan w:val="9"/>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64">
              <w:r>
                <w:rPr>
                  <w:rFonts w:ascii="Arial" w:cs="Arial" w:eastAsia="Arial" w:hAnsi="Arial"/>
                  <w:sz w:val="16"/>
                  <w:szCs w:val="16"/>
                  <w:color w:val="0000FF"/>
                  <w:w w:val="78"/>
                </w:rPr>
                <w:t>66</w:t>
              </w:r>
            </w:hyperlink>
          </w:p>
        </w:tc>
      </w:tr>
      <w:tr>
        <w:trPr>
          <w:trHeight w:val="188"/>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9940" w:type="dxa"/>
            <w:vAlign w:val="bottom"/>
            <w:gridSpan w:val="21"/>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Controls and Procedures</w:t>
              </w:r>
            </w:hyperlink>
          </w:p>
        </w:tc>
        <w:tc>
          <w:tcPr>
            <w:tcW w:w="320" w:type="dxa"/>
            <w:vAlign w:val="bottom"/>
            <w:gridSpan w:val="3"/>
          </w:tcPr>
          <w:p>
            <w:pPr>
              <w:jc w:val="right"/>
              <w:spacing w:after="0"/>
              <w:rPr>
                <w:rFonts w:ascii="Arial" w:cs="Arial" w:eastAsia="Arial" w:hAnsi="Arial"/>
                <w:sz w:val="16"/>
                <w:szCs w:val="16"/>
                <w:color w:val="0000FF"/>
              </w:rPr>
            </w:pPr>
            <w:hyperlink w:anchor="page65">
              <w:r>
                <w:rPr>
                  <w:rFonts w:ascii="Arial" w:cs="Arial" w:eastAsia="Arial" w:hAnsi="Arial"/>
                  <w:sz w:val="16"/>
                  <w:szCs w:val="16"/>
                  <w:color w:val="0000FF"/>
                </w:rPr>
                <w:t>67</w:t>
              </w:r>
            </w:hyperlink>
          </w:p>
        </w:tc>
      </w:tr>
      <w:tr>
        <w:trPr>
          <w:trHeight w:val="449"/>
        </w:trPr>
        <w:tc>
          <w:tcPr>
            <w:tcW w:w="9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Borders>
              <w:bottom w:val="single" w:sz="8" w:color="0000FF"/>
            </w:tcBorders>
            <w:gridSpan w:val="6"/>
          </w:tcPr>
          <w:p>
            <w:pPr>
              <w:jc w:val="center"/>
              <w:spacing w:after="0"/>
              <w:rPr>
                <w:rFonts w:ascii="Arial" w:cs="Arial" w:eastAsia="Arial" w:hAnsi="Arial"/>
                <w:sz w:val="16"/>
                <w:szCs w:val="16"/>
                <w:color w:val="0000FF"/>
                <w:w w:val="94"/>
              </w:rPr>
            </w:pPr>
            <w:hyperlink w:anchor="page66">
              <w:r>
                <w:rPr>
                  <w:rFonts w:ascii="Arial" w:cs="Arial" w:eastAsia="Arial" w:hAnsi="Arial"/>
                  <w:sz w:val="16"/>
                  <w:szCs w:val="16"/>
                  <w:color w:val="0000FF"/>
                  <w:w w:val="94"/>
                </w:rPr>
                <w:t>PART II. OTHER INFORMATION</w:t>
              </w:r>
            </w:hyperlink>
          </w:p>
        </w:tc>
        <w:tc>
          <w:tcPr>
            <w:tcW w:w="422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88"/>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3760" w:type="dxa"/>
            <w:vAlign w:val="bottom"/>
            <w:tcBorders>
              <w:bottom w:val="single" w:sz="8" w:color="0000FF"/>
            </w:tcBorders>
            <w:gridSpan w:val="11"/>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Legal Proceedings</w:t>
              </w:r>
            </w:hyperlink>
          </w:p>
        </w:tc>
        <w:tc>
          <w:tcPr>
            <w:tcW w:w="6180" w:type="dxa"/>
            <w:vAlign w:val="bottom"/>
            <w:gridSpan w:val="10"/>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67">
              <w:r>
                <w:rPr>
                  <w:rFonts w:ascii="Arial" w:cs="Arial" w:eastAsia="Arial" w:hAnsi="Arial"/>
                  <w:sz w:val="16"/>
                  <w:szCs w:val="16"/>
                  <w:color w:val="0000FF"/>
                  <w:w w:val="78"/>
                </w:rPr>
                <w:t>68</w:t>
              </w:r>
            </w:hyperlink>
          </w:p>
        </w:tc>
      </w:tr>
      <w:tr>
        <w:trPr>
          <w:trHeight w:val="188"/>
        </w:trPr>
        <w:tc>
          <w:tcPr>
            <w:tcW w:w="920" w:type="dxa"/>
            <w:vAlign w:val="bottom"/>
          </w:tcPr>
          <w:p>
            <w:pPr>
              <w:spacing w:after="0"/>
              <w:rPr>
                <w:sz w:val="20"/>
                <w:szCs w:val="20"/>
                <w:color w:val="auto"/>
              </w:rPr>
            </w:pPr>
            <w:r>
              <w:rPr>
                <w:rFonts w:ascii="Arial" w:cs="Arial" w:eastAsia="Arial" w:hAnsi="Arial"/>
                <w:sz w:val="16"/>
                <w:szCs w:val="16"/>
                <w:color w:val="auto"/>
              </w:rPr>
              <w:t>Item 1A.</w:t>
            </w:r>
          </w:p>
        </w:tc>
        <w:tc>
          <w:tcPr>
            <w:tcW w:w="780" w:type="dxa"/>
            <w:vAlign w:val="bottom"/>
            <w:tcBorders>
              <w:bottom w:val="single" w:sz="8" w:color="0000FF"/>
            </w:tcBorders>
            <w:gridSpan w:val="3"/>
          </w:tcPr>
          <w:p>
            <w:pPr>
              <w:spacing w:after="0"/>
              <w:rPr>
                <w:rFonts w:ascii="Arial" w:cs="Arial" w:eastAsia="Arial" w:hAnsi="Arial"/>
                <w:sz w:val="16"/>
                <w:szCs w:val="16"/>
                <w:color w:val="0000FF"/>
                <w:w w:val="85"/>
              </w:rPr>
            </w:pPr>
            <w:hyperlink w:anchor="page67">
              <w:r>
                <w:rPr>
                  <w:rFonts w:ascii="Arial" w:cs="Arial" w:eastAsia="Arial" w:hAnsi="Arial"/>
                  <w:sz w:val="16"/>
                  <w:szCs w:val="16"/>
                  <w:color w:val="0000FF"/>
                  <w:w w:val="85"/>
                </w:rPr>
                <w:t>Risk Factors</w:t>
              </w:r>
            </w:hyperlink>
          </w:p>
        </w:tc>
        <w:tc>
          <w:tcPr>
            <w:tcW w:w="9160" w:type="dxa"/>
            <w:vAlign w:val="bottom"/>
            <w:gridSpan w:val="18"/>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67">
              <w:r>
                <w:rPr>
                  <w:rFonts w:ascii="Arial" w:cs="Arial" w:eastAsia="Arial" w:hAnsi="Arial"/>
                  <w:sz w:val="16"/>
                  <w:szCs w:val="16"/>
                  <w:color w:val="0000FF"/>
                  <w:w w:val="78"/>
                </w:rPr>
                <w:t>69</w:t>
              </w:r>
            </w:hyperlink>
          </w:p>
        </w:tc>
      </w:tr>
      <w:tr>
        <w:trPr>
          <w:trHeight w:val="188"/>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9940" w:type="dxa"/>
            <w:vAlign w:val="bottom"/>
            <w:tcBorders>
              <w:bottom w:val="single" w:sz="8" w:color="0000FF"/>
            </w:tcBorders>
            <w:gridSpan w:val="21"/>
          </w:tcPr>
          <w:p>
            <w:pPr>
              <w:spacing w:after="0"/>
              <w:rPr>
                <w:rFonts w:ascii="Arial" w:cs="Arial" w:eastAsia="Arial" w:hAnsi="Arial"/>
                <w:sz w:val="16"/>
                <w:szCs w:val="16"/>
                <w:color w:val="0000FF"/>
              </w:rPr>
            </w:pPr>
            <w:hyperlink w:anchor="page95">
              <w:r>
                <w:rPr>
                  <w:rFonts w:ascii="Arial" w:cs="Arial" w:eastAsia="Arial" w:hAnsi="Arial"/>
                  <w:sz w:val="16"/>
                  <w:szCs w:val="16"/>
                  <w:color w:val="0000FF"/>
                </w:rPr>
                <w:t>Unregistered Sales of Equity Securities and Use of Proceeds</w:t>
              </w:r>
            </w:hyperlink>
          </w:p>
        </w:tc>
        <w:tc>
          <w:tcPr>
            <w:tcW w:w="1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96">
              <w:r>
                <w:rPr>
                  <w:rFonts w:ascii="Arial" w:cs="Arial" w:eastAsia="Arial" w:hAnsi="Arial"/>
                  <w:sz w:val="16"/>
                  <w:szCs w:val="16"/>
                  <w:color w:val="0000FF"/>
                  <w:w w:val="78"/>
                </w:rPr>
                <w:t>97</w:t>
              </w:r>
            </w:hyperlink>
          </w:p>
        </w:tc>
      </w:tr>
      <w:tr>
        <w:trPr>
          <w:trHeight w:val="188"/>
        </w:trPr>
        <w:tc>
          <w:tcPr>
            <w:tcW w:w="920" w:type="dxa"/>
            <w:vAlign w:val="bottom"/>
          </w:tcPr>
          <w:p>
            <w:pPr>
              <w:spacing w:after="0"/>
              <w:rPr>
                <w:sz w:val="20"/>
                <w:szCs w:val="20"/>
                <w:color w:val="auto"/>
              </w:rPr>
            </w:pPr>
            <w:r>
              <w:rPr>
                <w:rFonts w:ascii="Arial" w:cs="Arial" w:eastAsia="Arial" w:hAnsi="Arial"/>
                <w:sz w:val="16"/>
                <w:szCs w:val="16"/>
                <w:color w:val="auto"/>
              </w:rPr>
              <w:t>Item 6.</w:t>
            </w:r>
          </w:p>
        </w:tc>
        <w:tc>
          <w:tcPr>
            <w:tcW w:w="520" w:type="dxa"/>
            <w:vAlign w:val="bottom"/>
            <w:tcBorders>
              <w:bottom w:val="single" w:sz="8" w:color="0000FF"/>
            </w:tcBorders>
          </w:tcPr>
          <w:p>
            <w:pPr>
              <w:spacing w:after="0"/>
              <w:rPr>
                <w:rFonts w:ascii="Arial" w:cs="Arial" w:eastAsia="Arial" w:hAnsi="Arial"/>
                <w:sz w:val="16"/>
                <w:szCs w:val="16"/>
                <w:color w:val="0000FF"/>
                <w:w w:val="89"/>
              </w:rPr>
            </w:pPr>
            <w:hyperlink w:anchor="page96">
              <w:r>
                <w:rPr>
                  <w:rFonts w:ascii="Arial" w:cs="Arial" w:eastAsia="Arial" w:hAnsi="Arial"/>
                  <w:sz w:val="16"/>
                  <w:szCs w:val="16"/>
                  <w:color w:val="0000FF"/>
                  <w:w w:val="89"/>
                </w:rPr>
                <w:t>Exhibits</w:t>
              </w:r>
            </w:hyperlink>
          </w:p>
        </w:tc>
        <w:tc>
          <w:tcPr>
            <w:tcW w:w="9420" w:type="dxa"/>
            <w:vAlign w:val="bottom"/>
            <w:gridSpan w:val="20"/>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96">
              <w:r>
                <w:rPr>
                  <w:rFonts w:ascii="Arial" w:cs="Arial" w:eastAsia="Arial" w:hAnsi="Arial"/>
                  <w:sz w:val="16"/>
                  <w:szCs w:val="16"/>
                  <w:color w:val="0000FF"/>
                  <w:w w:val="78"/>
                </w:rPr>
                <w:t>97</w:t>
              </w:r>
            </w:hyperlink>
          </w:p>
        </w:tc>
      </w:tr>
      <w:tr>
        <w:trPr>
          <w:trHeight w:val="188"/>
        </w:trPr>
        <w:tc>
          <w:tcPr>
            <w:tcW w:w="920" w:type="dxa"/>
            <w:vAlign w:val="bottom"/>
          </w:tcPr>
          <w:p>
            <w:pPr>
              <w:spacing w:after="0"/>
              <w:rPr>
                <w:sz w:val="16"/>
                <w:szCs w:val="16"/>
                <w:color w:val="auto"/>
              </w:rPr>
            </w:pPr>
          </w:p>
        </w:tc>
        <w:tc>
          <w:tcPr>
            <w:tcW w:w="9940" w:type="dxa"/>
            <w:vAlign w:val="bottom"/>
            <w:gridSpan w:val="21"/>
          </w:tcPr>
          <w:p>
            <w:pPr>
              <w:spacing w:after="0"/>
              <w:rPr>
                <w:rFonts w:ascii="Arial" w:cs="Arial" w:eastAsia="Arial" w:hAnsi="Arial"/>
                <w:sz w:val="16"/>
                <w:szCs w:val="16"/>
                <w:color w:val="0000FF"/>
              </w:rPr>
            </w:pPr>
            <w:hyperlink w:anchor="page96">
              <w:r>
                <w:rPr>
                  <w:rFonts w:ascii="Arial" w:cs="Arial" w:eastAsia="Arial" w:hAnsi="Arial"/>
                  <w:sz w:val="16"/>
                  <w:szCs w:val="16"/>
                  <w:color w:val="0000FF"/>
                </w:rPr>
                <w:t>Exhibit Index</w:t>
              </w:r>
            </w:hyperlink>
          </w:p>
        </w:tc>
        <w:tc>
          <w:tcPr>
            <w:tcW w:w="320" w:type="dxa"/>
            <w:vAlign w:val="bottom"/>
            <w:gridSpan w:val="3"/>
          </w:tcPr>
          <w:p>
            <w:pPr>
              <w:jc w:val="right"/>
              <w:spacing w:after="0"/>
              <w:rPr>
                <w:rFonts w:ascii="Arial" w:cs="Arial" w:eastAsia="Arial" w:hAnsi="Arial"/>
                <w:sz w:val="16"/>
                <w:szCs w:val="16"/>
                <w:color w:val="0000FF"/>
              </w:rPr>
            </w:pPr>
            <w:hyperlink w:anchor="page96">
              <w:r>
                <w:rPr>
                  <w:rFonts w:ascii="Arial" w:cs="Arial" w:eastAsia="Arial" w:hAnsi="Arial"/>
                  <w:sz w:val="16"/>
                  <w:szCs w:val="16"/>
                  <w:color w:val="0000FF"/>
                </w:rPr>
                <w:t>98</w:t>
              </w:r>
            </w:hyperlink>
          </w:p>
        </w:tc>
      </w:tr>
      <w:tr>
        <w:trPr>
          <w:trHeight w:val="188"/>
        </w:trPr>
        <w:tc>
          <w:tcPr>
            <w:tcW w:w="920" w:type="dxa"/>
            <w:vAlign w:val="bottom"/>
          </w:tcPr>
          <w:p>
            <w:pPr>
              <w:spacing w:after="0"/>
              <w:rPr>
                <w:sz w:val="16"/>
                <w:szCs w:val="16"/>
                <w:color w:val="auto"/>
              </w:rPr>
            </w:pPr>
          </w:p>
        </w:tc>
        <w:tc>
          <w:tcPr>
            <w:tcW w:w="66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3"/>
              </w:rPr>
            </w:pPr>
            <w:hyperlink w:anchor="page97">
              <w:r>
                <w:rPr>
                  <w:rFonts w:ascii="Arial" w:cs="Arial" w:eastAsia="Arial" w:hAnsi="Arial"/>
                  <w:sz w:val="16"/>
                  <w:szCs w:val="16"/>
                  <w:color w:val="0000FF"/>
                  <w:w w:val="83"/>
                </w:rPr>
                <w:t>Signatures</w:t>
              </w:r>
            </w:hyperlink>
          </w:p>
        </w:tc>
        <w:tc>
          <w:tcPr>
            <w:tcW w:w="180" w:type="dxa"/>
            <w:vAlign w:val="bottom"/>
            <w:tcBorders>
              <w:top w:val="single" w:sz="8" w:color="0000FF"/>
            </w:tcBorders>
            <w:gridSpan w:val="2"/>
          </w:tcPr>
          <w:p>
            <w:pPr>
              <w:spacing w:after="0"/>
              <w:rPr>
                <w:sz w:val="16"/>
                <w:szCs w:val="16"/>
                <w:color w:val="auto"/>
              </w:rPr>
            </w:pPr>
          </w:p>
        </w:tc>
        <w:tc>
          <w:tcPr>
            <w:tcW w:w="9100" w:type="dxa"/>
            <w:vAlign w:val="bottom"/>
            <w:gridSpan w:val="17"/>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97">
              <w:r>
                <w:rPr>
                  <w:rFonts w:ascii="Arial" w:cs="Arial" w:eastAsia="Arial" w:hAnsi="Arial"/>
                  <w:sz w:val="16"/>
                  <w:szCs w:val="16"/>
                  <w:color w:val="0000FF"/>
                  <w:w w:val="78"/>
                </w:rPr>
                <w:t>99</w:t>
              </w:r>
            </w:hyperlink>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 FINANCIAL INFORMATION</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FINANCIAL STATEMENTS</w:t>
      </w: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w:t>
            </w:r>
          </w:p>
        </w:tc>
        <w:tc>
          <w:tcPr>
            <w:tcW w:w="1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7"/>
                <w:szCs w:val="17"/>
                <w:b w:val="1"/>
                <w:bCs w:val="1"/>
                <w:color w:val="auto"/>
              </w:rPr>
              <w:t>September 30, 2021</w:t>
            </w:r>
          </w:p>
        </w:tc>
        <w:tc>
          <w:tcPr>
            <w:tcW w:w="220" w:type="dxa"/>
            <w:vAlign w:val="bottom"/>
          </w:tcPr>
          <w:p>
            <w:pPr>
              <w:spacing w:after="0"/>
              <w:rPr>
                <w:sz w:val="18"/>
                <w:szCs w:val="18"/>
                <w:color w:val="auto"/>
              </w:rPr>
            </w:pPr>
          </w:p>
        </w:tc>
        <w:tc>
          <w:tcPr>
            <w:tcW w:w="1820" w:type="dxa"/>
            <w:vAlign w:val="bottom"/>
          </w:tcPr>
          <w:p>
            <w:pPr>
              <w:jc w:val="right"/>
              <w:ind w:right="233"/>
              <w:spacing w:after="0"/>
              <w:rPr>
                <w:sz w:val="20"/>
                <w:szCs w:val="20"/>
                <w:color w:val="auto"/>
              </w:rPr>
            </w:pPr>
            <w:r>
              <w:rPr>
                <w:rFonts w:ascii="Arial" w:cs="Arial" w:eastAsia="Arial" w:hAnsi="Arial"/>
                <w:sz w:val="17"/>
                <w:szCs w:val="17"/>
                <w:b w:val="1"/>
                <w:bCs w:val="1"/>
                <w:color w:val="auto"/>
                <w:w w:val="96"/>
              </w:rPr>
              <w:t>December 31, 2020</w:t>
            </w:r>
          </w:p>
        </w:tc>
        <w:tc>
          <w:tcPr>
            <w:tcW w:w="0" w:type="dxa"/>
            <w:vAlign w:val="bottom"/>
          </w:tcPr>
          <w:p>
            <w:pPr>
              <w:spacing w:after="0"/>
              <w:rPr>
                <w:sz w:val="1"/>
                <w:szCs w:val="1"/>
                <w:color w:val="auto"/>
              </w:rPr>
            </w:pPr>
          </w:p>
        </w:tc>
      </w:tr>
      <w:tr>
        <w:trPr>
          <w:trHeight w:val="32"/>
        </w:trPr>
        <w:tc>
          <w:tcPr>
            <w:tcW w:w="67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314.9</w:t>
            </w:r>
          </w:p>
        </w:tc>
        <w:tc>
          <w:tcPr>
            <w:tcW w:w="0" w:type="dxa"/>
            <w:vAlign w:val="bottom"/>
          </w:tcPr>
          <w:p>
            <w:pPr>
              <w:spacing w:after="0"/>
              <w:rPr>
                <w:sz w:val="1"/>
                <w:szCs w:val="1"/>
                <w:color w:val="auto"/>
              </w:rPr>
            </w:pPr>
          </w:p>
        </w:tc>
      </w:tr>
      <w:tr>
        <w:trPr>
          <w:trHeight w:val="221"/>
        </w:trPr>
        <w:tc>
          <w:tcPr>
            <w:tcW w:w="6760" w:type="dxa"/>
            <w:vAlign w:val="bottom"/>
          </w:tcPr>
          <w:p>
            <w:pPr>
              <w:ind w:left="220"/>
              <w:spacing w:after="0"/>
              <w:rPr>
                <w:sz w:val="20"/>
                <w:szCs w:val="20"/>
                <w:color w:val="auto"/>
              </w:rPr>
            </w:pPr>
            <w:r>
              <w:rPr>
                <w:rFonts w:ascii="Arial" w:cs="Arial" w:eastAsia="Arial" w:hAnsi="Arial"/>
                <w:sz w:val="17"/>
                <w:szCs w:val="17"/>
                <w:color w:val="auto"/>
              </w:rPr>
              <w:t>Short-term investments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1,239.8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806.4</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Trade and other receivables, net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0" w:type="dxa"/>
            <w:vAlign w:val="bottom"/>
          </w:tcPr>
          <w:p>
            <w:pPr>
              <w:spacing w:after="0"/>
              <w:rPr>
                <w:sz w:val="1"/>
                <w:szCs w:val="1"/>
                <w:color w:val="auto"/>
              </w:rPr>
            </w:pPr>
          </w:p>
        </w:tc>
      </w:tr>
      <w:tr>
        <w:trPr>
          <w:trHeight w:val="221"/>
        </w:trPr>
        <w:tc>
          <w:tcPr>
            <w:tcW w:w="67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1,227.5</w:t>
            </w:r>
          </w:p>
        </w:tc>
        <w:tc>
          <w:tcPr>
            <w:tcW w:w="0" w:type="dxa"/>
            <w:vAlign w:val="bottom"/>
          </w:tcPr>
          <w:p>
            <w:pPr>
              <w:spacing w:after="0"/>
              <w:rPr>
                <w:sz w:val="1"/>
                <w:szCs w:val="1"/>
                <w:color w:val="auto"/>
              </w:rPr>
            </w:pPr>
          </w:p>
        </w:tc>
      </w:tr>
      <w:tr>
        <w:trPr>
          <w:trHeight w:val="221"/>
        </w:trPr>
        <w:tc>
          <w:tcPr>
            <w:tcW w:w="676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345.8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338.7</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470.5</w:t>
            </w:r>
          </w:p>
        </w:tc>
        <w:tc>
          <w:tcPr>
            <w:tcW w:w="0" w:type="dxa"/>
            <w:vAlign w:val="bottom"/>
          </w:tcPr>
          <w:p>
            <w:pPr>
              <w:spacing w:after="0"/>
              <w:rPr>
                <w:sz w:val="1"/>
                <w:szCs w:val="1"/>
                <w:color w:val="auto"/>
              </w:rPr>
            </w:pPr>
          </w:p>
        </w:tc>
      </w:tr>
      <w:tr>
        <w:trPr>
          <w:trHeight w:val="221"/>
        </w:trPr>
        <w:tc>
          <w:tcPr>
            <w:tcW w:w="676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w:t>
            </w:r>
          </w:p>
        </w:tc>
        <w:tc>
          <w:tcPr>
            <w:tcW w:w="0" w:type="dxa"/>
            <w:vAlign w:val="bottom"/>
          </w:tcPr>
          <w:p>
            <w:pPr>
              <w:spacing w:after="0"/>
              <w:rPr>
                <w:sz w:val="1"/>
                <w:szCs w:val="1"/>
                <w:color w:val="auto"/>
              </w:rPr>
            </w:pPr>
          </w:p>
        </w:tc>
      </w:tr>
      <w:tr>
        <w:trPr>
          <w:trHeight w:val="221"/>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w:t>
            </w:r>
          </w:p>
        </w:tc>
        <w:tc>
          <w:tcPr>
            <w:tcW w:w="0" w:type="dxa"/>
            <w:vAlign w:val="bottom"/>
          </w:tcPr>
          <w:p>
            <w:pPr>
              <w:spacing w:after="0"/>
              <w:rPr>
                <w:sz w:val="1"/>
                <w:szCs w:val="1"/>
                <w:color w:val="auto"/>
              </w:rPr>
            </w:pPr>
          </w:p>
        </w:tc>
      </w:tr>
      <w:tr>
        <w:trPr>
          <w:trHeight w:val="239"/>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2,387.2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(deficit)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and other current liabilities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156.7</w:t>
            </w:r>
          </w:p>
        </w:tc>
        <w:tc>
          <w:tcPr>
            <w:tcW w:w="0" w:type="dxa"/>
            <w:vAlign w:val="bottom"/>
          </w:tcPr>
          <w:p>
            <w:pPr>
              <w:spacing w:after="0"/>
              <w:rPr>
                <w:sz w:val="1"/>
                <w:szCs w:val="1"/>
                <w:color w:val="auto"/>
              </w:rPr>
            </w:pPr>
          </w:p>
        </w:tc>
      </w:tr>
      <w:tr>
        <w:trPr>
          <w:trHeight w:val="221"/>
        </w:trPr>
        <w:tc>
          <w:tcPr>
            <w:tcW w:w="6760" w:type="dxa"/>
            <w:vAlign w:val="bottom"/>
          </w:tcPr>
          <w:p>
            <w:pPr>
              <w:ind w:left="220"/>
              <w:spacing w:after="0"/>
              <w:rPr>
                <w:sz w:val="20"/>
                <w:szCs w:val="20"/>
                <w:color w:val="auto"/>
              </w:rPr>
            </w:pPr>
            <w:r>
              <w:rPr>
                <w:rFonts w:ascii="Arial" w:cs="Arial" w:eastAsia="Arial" w:hAnsi="Arial"/>
                <w:sz w:val="17"/>
                <w:szCs w:val="17"/>
                <w:color w:val="auto"/>
              </w:rPr>
              <w:t>Accrued compensation and benefits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107.1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113.6</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liability</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0" w:type="dxa"/>
            <w:vAlign w:val="bottom"/>
          </w:tcPr>
          <w:p>
            <w:pPr>
              <w:spacing w:after="0"/>
              <w:rPr>
                <w:sz w:val="1"/>
                <w:szCs w:val="1"/>
                <w:color w:val="auto"/>
              </w:rPr>
            </w:pPr>
          </w:p>
        </w:tc>
      </w:tr>
      <w:tr>
        <w:trPr>
          <w:trHeight w:val="221"/>
        </w:trPr>
        <w:tc>
          <w:tcPr>
            <w:tcW w:w="6760" w:type="dxa"/>
            <w:vAlign w:val="bottom"/>
          </w:tcPr>
          <w:p>
            <w:pPr>
              <w:ind w:left="220"/>
              <w:spacing w:after="0"/>
              <w:rPr>
                <w:sz w:val="20"/>
                <w:szCs w:val="20"/>
                <w:color w:val="auto"/>
              </w:rPr>
            </w:pPr>
            <w:r>
              <w:rPr>
                <w:rFonts w:ascii="Arial" w:cs="Arial" w:eastAsia="Arial" w:hAnsi="Arial"/>
                <w:sz w:val="17"/>
                <w:szCs w:val="17"/>
                <w:color w:val="auto"/>
              </w:rPr>
              <w:t>Finance lease obligation</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120.9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99.6</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610.5</w:t>
            </w:r>
          </w:p>
        </w:tc>
        <w:tc>
          <w:tcPr>
            <w:tcW w:w="0" w:type="dxa"/>
            <w:vAlign w:val="bottom"/>
          </w:tcPr>
          <w:p>
            <w:pPr>
              <w:spacing w:after="0"/>
              <w:rPr>
                <w:sz w:val="1"/>
                <w:szCs w:val="1"/>
                <w:color w:val="auto"/>
              </w:rPr>
            </w:pPr>
          </w:p>
        </w:tc>
      </w:tr>
      <w:tr>
        <w:trPr>
          <w:trHeight w:val="214"/>
        </w:trPr>
        <w:tc>
          <w:tcPr>
            <w:tcW w:w="676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1,175.1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1,087.8</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 non-current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759.6</w:t>
            </w:r>
          </w:p>
        </w:tc>
        <w:tc>
          <w:tcPr>
            <w:tcW w:w="0" w:type="dxa"/>
            <w:vAlign w:val="bottom"/>
          </w:tcPr>
          <w:p>
            <w:pPr>
              <w:spacing w:after="0"/>
              <w:rPr>
                <w:sz w:val="1"/>
                <w:szCs w:val="1"/>
                <w:color w:val="auto"/>
              </w:rPr>
            </w:pPr>
          </w:p>
        </w:tc>
      </w:tr>
      <w:tr>
        <w:trPr>
          <w:trHeight w:val="221"/>
        </w:trPr>
        <w:tc>
          <w:tcPr>
            <w:tcW w:w="6760" w:type="dxa"/>
            <w:vAlign w:val="bottom"/>
          </w:tcPr>
          <w:p>
            <w:pPr>
              <w:ind w:left="20"/>
              <w:spacing w:after="0"/>
              <w:rPr>
                <w:sz w:val="20"/>
                <w:szCs w:val="20"/>
                <w:color w:val="auto"/>
              </w:rPr>
            </w:pPr>
            <w:r>
              <w:rPr>
                <w:rFonts w:ascii="Arial" w:cs="Arial" w:eastAsia="Arial" w:hAnsi="Arial"/>
                <w:sz w:val="17"/>
                <w:szCs w:val="17"/>
                <w:color w:val="auto"/>
              </w:rPr>
              <w:t>Finance lease obligation, non-current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182.2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171.6</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 net, non-current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2,053.4</w:t>
            </w:r>
          </w:p>
        </w:tc>
        <w:tc>
          <w:tcPr>
            <w:tcW w:w="0" w:type="dxa"/>
            <w:vAlign w:val="bottom"/>
          </w:tcPr>
          <w:p>
            <w:pPr>
              <w:spacing w:after="0"/>
              <w:rPr>
                <w:sz w:val="1"/>
                <w:szCs w:val="1"/>
                <w:color w:val="auto"/>
              </w:rPr>
            </w:pPr>
          </w:p>
        </w:tc>
      </w:tr>
      <w:tr>
        <w:trPr>
          <w:trHeight w:val="201"/>
        </w:trPr>
        <w:tc>
          <w:tcPr>
            <w:tcW w:w="6760" w:type="dxa"/>
            <w:vAlign w:val="bottom"/>
          </w:tcPr>
          <w:p>
            <w:pPr>
              <w:ind w:left="20"/>
              <w:spacing w:after="0"/>
              <w:rPr>
                <w:sz w:val="20"/>
                <w:szCs w:val="20"/>
                <w:color w:val="auto"/>
              </w:rPr>
            </w:pPr>
            <w:r>
              <w:rPr>
                <w:rFonts w:ascii="Arial" w:cs="Arial" w:eastAsia="Arial" w:hAnsi="Arial"/>
                <w:sz w:val="17"/>
                <w:szCs w:val="17"/>
                <w:color w:val="auto"/>
              </w:rPr>
              <w:t>Commitments and contingencies (Note 10)</w:t>
            </w: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tcPr>
          <w:p>
            <w:pPr>
              <w:ind w:left="220"/>
              <w:spacing w:after="0"/>
              <w:rPr>
                <w:sz w:val="20"/>
                <w:szCs w:val="20"/>
                <w:color w:val="auto"/>
              </w:rPr>
            </w:pPr>
            <w:r>
              <w:rPr>
                <w:rFonts w:ascii="Arial" w:cs="Arial" w:eastAsia="Arial" w:hAnsi="Arial"/>
                <w:sz w:val="17"/>
                <w:szCs w:val="17"/>
                <w:color w:val="auto"/>
              </w:rPr>
              <w:t>Additional paid-in-capital</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2,468.1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2,564.3</w:t>
            </w: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deficit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(2,241.4)</w:t>
            </w:r>
          </w:p>
        </w:tc>
        <w:tc>
          <w:tcPr>
            <w:tcW w:w="0" w:type="dxa"/>
            <w:vAlign w:val="bottom"/>
          </w:tcPr>
          <w:p>
            <w:pPr>
              <w:spacing w:after="0"/>
              <w:rPr>
                <w:sz w:val="1"/>
                <w:szCs w:val="1"/>
                <w:color w:val="auto"/>
              </w:rPr>
            </w:pPr>
          </w:p>
        </w:tc>
      </w:tr>
      <w:tr>
        <w:trPr>
          <w:trHeight w:val="221"/>
        </w:trPr>
        <w:tc>
          <w:tcPr>
            <w:tcW w:w="67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Accumulated other comprehensive income</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stockholders' (deficit) equity</w:t>
            </w: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333.8</w:t>
            </w:r>
          </w:p>
        </w:tc>
        <w:tc>
          <w:tcPr>
            <w:tcW w:w="0" w:type="dxa"/>
            <w:vAlign w:val="bottom"/>
          </w:tcPr>
          <w:p>
            <w:pPr>
              <w:spacing w:after="0"/>
              <w:rPr>
                <w:sz w:val="1"/>
                <w:szCs w:val="1"/>
                <w:color w:val="auto"/>
              </w:rPr>
            </w:pPr>
          </w:p>
        </w:tc>
      </w:tr>
      <w:tr>
        <w:trPr>
          <w:trHeight w:val="214"/>
        </w:trPr>
        <w:tc>
          <w:tcPr>
            <w:tcW w:w="676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stockholders' (deficit) equity</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3,339.1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2,387.2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3000"/>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6" w:name="page7"/>
    <w:bookmarkEnd w:id="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millions, except per share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20" w:type="dxa"/>
            <w:vAlign w:val="bottom"/>
            <w:gridSpan w:val="4"/>
          </w:tcPr>
          <w:p>
            <w:pPr>
              <w:jc w:val="right"/>
              <w:ind w:right="333"/>
              <w:spacing w:after="0"/>
              <w:rPr>
                <w:sz w:val="20"/>
                <w:szCs w:val="20"/>
                <w:color w:val="auto"/>
              </w:rPr>
            </w:pPr>
            <w:r>
              <w:rPr>
                <w:rFonts w:ascii="Arial" w:cs="Arial" w:eastAsia="Arial" w:hAnsi="Arial"/>
                <w:sz w:val="17"/>
                <w:szCs w:val="17"/>
                <w:b w:val="1"/>
                <w:bCs w:val="1"/>
                <w:color w:val="auto"/>
              </w:rPr>
              <w:t>Three Months Ended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Arial" w:cs="Arial" w:eastAsia="Arial" w:hAnsi="Arial"/>
                <w:sz w:val="17"/>
                <w:szCs w:val="17"/>
                <w:b w:val="1"/>
                <w:bCs w:val="1"/>
                <w:color w:val="auto"/>
              </w:rPr>
              <w:t>Nine Months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9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7"/>
                <w:szCs w:val="17"/>
                <w:b w:val="1"/>
                <w:bCs w:val="1"/>
                <w:color w:val="auto"/>
                <w:w w:val="99"/>
              </w:rPr>
              <w:t>September 30,</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7"/>
                <w:szCs w:val="17"/>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84"/>
              </w:rPr>
              <w:t>2020</w:t>
            </w:r>
          </w:p>
        </w:tc>
        <w:tc>
          <w:tcPr>
            <w:tcW w:w="0" w:type="dxa"/>
            <w:vAlign w:val="bottom"/>
          </w:tcPr>
          <w:p>
            <w:pPr>
              <w:spacing w:after="0"/>
              <w:rPr>
                <w:sz w:val="1"/>
                <w:szCs w:val="1"/>
                <w:color w:val="auto"/>
              </w:rPr>
            </w:pPr>
          </w:p>
        </w:tc>
      </w:tr>
      <w:tr>
        <w:trPr>
          <w:trHeight w:val="32"/>
        </w:trPr>
        <w:tc>
          <w:tcPr>
            <w:tcW w:w="3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1,409.8</w:t>
            </w:r>
          </w:p>
        </w:tc>
        <w:tc>
          <w:tcPr>
            <w:tcW w:w="0" w:type="dxa"/>
            <w:vAlign w:val="bottom"/>
          </w:tcPr>
          <w:p>
            <w:pPr>
              <w:spacing w:after="0"/>
              <w:rPr>
                <w:sz w:val="1"/>
                <w:szCs w:val="1"/>
                <w:color w:val="auto"/>
              </w:rPr>
            </w:pPr>
          </w:p>
        </w:tc>
      </w:tr>
      <w:tr>
        <w:trPr>
          <w:trHeight w:val="221"/>
        </w:trPr>
        <w:tc>
          <w:tcPr>
            <w:tcW w:w="3960" w:type="dxa"/>
            <w:vAlign w:val="bottom"/>
            <w:tcBorders>
              <w:bottom w:val="single" w:sz="8" w:color="CCEEFF"/>
            </w:tcBorders>
          </w:tcPr>
          <w:p>
            <w:pPr>
              <w:ind w:left="26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328.4</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308.8</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1,101.0</w:t>
            </w:r>
          </w:p>
        </w:tc>
        <w:tc>
          <w:tcPr>
            <w:tcW w:w="0" w:type="dxa"/>
            <w:vAlign w:val="bottom"/>
          </w:tcPr>
          <w:p>
            <w:pPr>
              <w:spacing w:after="0"/>
              <w:rPr>
                <w:sz w:val="1"/>
                <w:szCs w:val="1"/>
                <w:color w:val="auto"/>
              </w:rPr>
            </w:pPr>
          </w:p>
        </w:tc>
      </w:tr>
      <w:tr>
        <w:trPr>
          <w:trHeight w:val="221"/>
        </w:trPr>
        <w:tc>
          <w:tcPr>
            <w:tcW w:w="3960" w:type="dxa"/>
            <w:vAlign w:val="bottom"/>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550.9</w:t>
            </w:r>
          </w:p>
        </w:tc>
        <w:tc>
          <w:tcPr>
            <w:tcW w:w="0" w:type="dxa"/>
            <w:vAlign w:val="bottom"/>
          </w:tcPr>
          <w:p>
            <w:pPr>
              <w:spacing w:after="0"/>
              <w:rPr>
                <w:sz w:val="1"/>
                <w:szCs w:val="1"/>
                <w:color w:val="auto"/>
              </w:rPr>
            </w:pPr>
          </w:p>
        </w:tc>
      </w:tr>
      <w:tr>
        <w:trPr>
          <w:trHeight w:val="221"/>
        </w:trPr>
        <w:tc>
          <w:tcPr>
            <w:tcW w:w="396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115.7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105.8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319.2</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312.9</w:t>
            </w:r>
          </w:p>
        </w:tc>
        <w:tc>
          <w:tcPr>
            <w:tcW w:w="0" w:type="dxa"/>
            <w:vAlign w:val="bottom"/>
          </w:tcPr>
          <w:p>
            <w:pPr>
              <w:spacing w:after="0"/>
              <w:rPr>
                <w:sz w:val="1"/>
                <w:szCs w:val="1"/>
                <w:color w:val="auto"/>
              </w:rPr>
            </w:pPr>
          </w:p>
        </w:tc>
      </w:tr>
      <w:tr>
        <w:trPr>
          <w:trHeight w:val="221"/>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167.6</w:t>
            </w:r>
          </w:p>
        </w:tc>
        <w:tc>
          <w:tcPr>
            <w:tcW w:w="0" w:type="dxa"/>
            <w:vAlign w:val="bottom"/>
          </w:tcPr>
          <w:p>
            <w:pPr>
              <w:spacing w:after="0"/>
              <w:rPr>
                <w:sz w:val="1"/>
                <w:szCs w:val="1"/>
                <w:color w:val="auto"/>
              </w:rPr>
            </w:pPr>
          </w:p>
        </w:tc>
      </w:tr>
      <w:tr>
        <w:trPr>
          <w:trHeight w:val="221"/>
        </w:trPr>
        <w:tc>
          <w:tcPr>
            <w:tcW w:w="3960" w:type="dxa"/>
            <w:vAlign w:val="bottom"/>
          </w:tcPr>
          <w:p>
            <w:pPr>
              <w:ind w:left="220"/>
              <w:spacing w:after="0"/>
              <w:rPr>
                <w:sz w:val="20"/>
                <w:szCs w:val="20"/>
                <w:color w:val="auto"/>
              </w:rPr>
            </w:pPr>
            <w:r>
              <w:rPr>
                <w:rFonts w:ascii="Arial" w:cs="Arial" w:eastAsia="Arial" w:hAnsi="Arial"/>
                <w:sz w:val="17"/>
                <w:szCs w:val="17"/>
                <w:color w:val="auto"/>
              </w:rPr>
              <w:t>Impairment related to real estate assets</w:t>
            </w:r>
          </w:p>
        </w:tc>
        <w:tc>
          <w:tcPr>
            <w:tcW w:w="11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360.9</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354.2</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1,059.8</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1,031.4</w:t>
            </w:r>
          </w:p>
        </w:tc>
        <w:tc>
          <w:tcPr>
            <w:tcW w:w="0" w:type="dxa"/>
            <w:vAlign w:val="bottom"/>
          </w:tcPr>
          <w:p>
            <w:pPr>
              <w:spacing w:after="0"/>
              <w:rPr>
                <w:sz w:val="1"/>
                <w:szCs w:val="1"/>
                <w:color w:val="auto"/>
              </w:rPr>
            </w:pPr>
          </w:p>
        </w:tc>
      </w:tr>
      <w:tr>
        <w:trPr>
          <w:trHeight w:val="221"/>
        </w:trPr>
        <w:tc>
          <w:tcPr>
            <w:tcW w:w="396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77.3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204.2</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69.6</w:t>
            </w:r>
          </w:p>
        </w:tc>
        <w:tc>
          <w:tcPr>
            <w:tcW w:w="0" w:type="dxa"/>
            <w:vAlign w:val="bottom"/>
          </w:tcPr>
          <w:p>
            <w:pPr>
              <w:spacing w:after="0"/>
              <w:rPr>
                <w:sz w:val="1"/>
                <w:szCs w:val="1"/>
                <w:color w:val="auto"/>
              </w:rPr>
            </w:pPr>
          </w:p>
        </w:tc>
      </w:tr>
      <w:tr>
        <w:trPr>
          <w:trHeight w:val="221"/>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1"/>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221"/>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39"/>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211.2</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per share-basic and diluted: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9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income per share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Diluted net income per share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960" w:type="dxa"/>
            <w:vAlign w:val="bottom"/>
            <w:vMerge w:val="continue"/>
          </w:tcPr>
          <w:p>
            <w:pPr>
              <w:spacing w:after="0"/>
              <w:rPr>
                <w:sz w:val="16"/>
                <w:szCs w:val="16"/>
                <w:color w:val="auto"/>
              </w:rPr>
            </w:pPr>
          </w:p>
        </w:tc>
        <w:tc>
          <w:tcPr>
            <w:tcW w:w="1160" w:type="dxa"/>
            <w:vAlign w:val="bottom"/>
            <w:tcBorders>
              <w:bottom w:val="single" w:sz="8" w:color="auto"/>
            </w:tcBorders>
          </w:tcPr>
          <w:p>
            <w:pPr>
              <w:jc w:val="right"/>
              <w:ind w:right="973"/>
              <w:spacing w:after="0" w:line="194" w:lineRule="exact"/>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0.19</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973"/>
              <w:spacing w:after="0" w:line="194" w:lineRule="exact"/>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0.08</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13"/>
              <w:spacing w:after="0" w:line="194" w:lineRule="exact"/>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0.53</w:t>
            </w:r>
          </w:p>
        </w:tc>
        <w:tc>
          <w:tcPr>
            <w:tcW w:w="80" w:type="dxa"/>
            <w:vAlign w:val="bottom"/>
          </w:tcPr>
          <w:p>
            <w:pPr>
              <w:spacing w:after="0"/>
              <w:rPr>
                <w:sz w:val="16"/>
                <w:szCs w:val="16"/>
                <w:color w:val="auto"/>
              </w:rPr>
            </w:pPr>
          </w:p>
        </w:tc>
        <w:tc>
          <w:tcPr>
            <w:tcW w:w="720" w:type="dxa"/>
            <w:vAlign w:val="bottom"/>
            <w:tcBorders>
              <w:bottom w:val="single" w:sz="8" w:color="auto"/>
            </w:tcBorders>
          </w:tcPr>
          <w:p>
            <w:pPr>
              <w:jc w:val="right"/>
              <w:ind w:right="533"/>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960" w:type="dxa"/>
            <w:vAlign w:val="bottom"/>
            <w:shd w:val="clear" w:color="auto" w:fill="CCEEFF"/>
          </w:tcPr>
          <w:p>
            <w:pPr>
              <w:ind w:left="20"/>
              <w:spacing w:after="0" w:line="136" w:lineRule="exact"/>
              <w:rPr>
                <w:sz w:val="20"/>
                <w:szCs w:val="20"/>
                <w:color w:val="auto"/>
              </w:rPr>
            </w:pPr>
            <w:r>
              <w:rPr>
                <w:rFonts w:ascii="Arial" w:cs="Arial" w:eastAsia="Arial" w:hAnsi="Arial"/>
                <w:sz w:val="15"/>
                <w:szCs w:val="15"/>
                <w:color w:val="auto"/>
              </w:rPr>
              <w:t>Weighted-average shares used in computing net income</w:t>
            </w:r>
          </w:p>
        </w:tc>
        <w:tc>
          <w:tcPr>
            <w:tcW w:w="1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385.5</w:t>
            </w: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414.2</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390.6</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415.2</w:t>
            </w:r>
          </w:p>
        </w:tc>
        <w:tc>
          <w:tcPr>
            <w:tcW w:w="0" w:type="dxa"/>
            <w:vAlign w:val="bottom"/>
          </w:tcPr>
          <w:p>
            <w:pPr>
              <w:spacing w:after="0"/>
              <w:rPr>
                <w:sz w:val="1"/>
                <w:szCs w:val="1"/>
                <w:color w:val="auto"/>
              </w:rPr>
            </w:pPr>
          </w:p>
        </w:tc>
      </w:tr>
      <w:tr>
        <w:trPr>
          <w:trHeight w:val="215"/>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4"/>
              </w:rPr>
              <w:t>per share attributable to common stockholders, basic</w:t>
            </w:r>
          </w:p>
        </w:tc>
        <w:tc>
          <w:tcPr>
            <w:tcW w:w="1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line="156" w:lineRule="exact"/>
              <w:rPr>
                <w:sz w:val="20"/>
                <w:szCs w:val="20"/>
                <w:color w:val="auto"/>
              </w:rPr>
            </w:pPr>
            <w:r>
              <w:rPr>
                <w:rFonts w:ascii="Arial" w:cs="Arial" w:eastAsia="Arial" w:hAnsi="Arial"/>
                <w:sz w:val="17"/>
                <w:szCs w:val="17"/>
                <w:color w:val="auto"/>
                <w:w w:val="92"/>
              </w:rPr>
              <w:t>Weighted-average shares used in computing net income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9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960" w:type="dxa"/>
            <w:vAlign w:val="bottom"/>
          </w:tcPr>
          <w:p>
            <w:pPr>
              <w:ind w:left="180"/>
              <w:spacing w:after="0" w:line="169" w:lineRule="exact"/>
              <w:rPr>
                <w:sz w:val="20"/>
                <w:szCs w:val="20"/>
                <w:color w:val="auto"/>
              </w:rPr>
            </w:pPr>
            <w:r>
              <w:rPr>
                <w:rFonts w:ascii="Arial" w:cs="Arial" w:eastAsia="Arial" w:hAnsi="Arial"/>
                <w:sz w:val="17"/>
                <w:szCs w:val="17"/>
                <w:color w:val="auto"/>
              </w:rPr>
              <w:t>per share attributable to common stockholders,</w:t>
            </w:r>
          </w:p>
        </w:tc>
        <w:tc>
          <w:tcPr>
            <w:tcW w:w="1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398.1</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419.9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400.3</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419.9</w:t>
            </w:r>
          </w:p>
        </w:tc>
        <w:tc>
          <w:tcPr>
            <w:tcW w:w="0" w:type="dxa"/>
            <w:vAlign w:val="bottom"/>
          </w:tcPr>
          <w:p>
            <w:pPr>
              <w:spacing w:after="0"/>
              <w:rPr>
                <w:sz w:val="1"/>
                <w:szCs w:val="1"/>
                <w:color w:val="auto"/>
              </w:rPr>
            </w:pPr>
          </w:p>
        </w:tc>
      </w:tr>
      <w:tr>
        <w:trPr>
          <w:trHeight w:val="221"/>
        </w:trPr>
        <w:tc>
          <w:tcPr>
            <w:tcW w:w="3960" w:type="dxa"/>
            <w:vAlign w:val="bottom"/>
          </w:tcPr>
          <w:p>
            <w:pPr>
              <w:ind w:left="180"/>
              <w:spacing w:after="0"/>
              <w:rPr>
                <w:sz w:val="20"/>
                <w:szCs w:val="20"/>
                <w:color w:val="auto"/>
              </w:rPr>
            </w:pPr>
            <w:r>
              <w:rPr>
                <w:rFonts w:ascii="Arial" w:cs="Arial" w:eastAsia="Arial" w:hAnsi="Arial"/>
                <w:sz w:val="17"/>
                <w:szCs w:val="17"/>
                <w:color w:val="auto"/>
              </w:rPr>
              <w:t>diluted</w:t>
            </w:r>
          </w:p>
        </w:tc>
        <w:tc>
          <w:tcPr>
            <w:tcW w:w="1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0" w:hanging="136"/>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Includes stock-based compensation as follows (in millions):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60" w:type="dxa"/>
            <w:vAlign w:val="bottom"/>
            <w:gridSpan w:val="4"/>
          </w:tcPr>
          <w:p>
            <w:pPr>
              <w:jc w:val="center"/>
              <w:ind w:left="473"/>
              <w:spacing w:after="0"/>
              <w:rPr>
                <w:sz w:val="20"/>
                <w:szCs w:val="20"/>
                <w:color w:val="auto"/>
              </w:rPr>
            </w:pPr>
            <w:r>
              <w:rPr>
                <w:rFonts w:ascii="Arial" w:cs="Arial" w:eastAsia="Arial" w:hAnsi="Arial"/>
                <w:sz w:val="17"/>
                <w:szCs w:val="17"/>
                <w:b w:val="1"/>
                <w:bCs w:val="1"/>
                <w:color w:val="auto"/>
                <w:w w:val="93"/>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Nine Months Ended</w:t>
            </w:r>
          </w:p>
        </w:tc>
        <w:tc>
          <w:tcPr>
            <w:tcW w:w="1040" w:type="dxa"/>
            <w:vAlign w:val="bottom"/>
          </w:tcPr>
          <w:p>
            <w:pPr>
              <w:spacing w:after="0"/>
              <w:rPr>
                <w:sz w:val="16"/>
                <w:szCs w:val="16"/>
                <w:color w:val="auto"/>
              </w:rPr>
            </w:pPr>
          </w:p>
        </w:tc>
      </w:tr>
      <w:tr>
        <w:trPr>
          <w:trHeight w:val="221"/>
        </w:trPr>
        <w:tc>
          <w:tcPr>
            <w:tcW w:w="39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right="513"/>
              <w:spacing w:after="0"/>
              <w:rPr>
                <w:sz w:val="20"/>
                <w:szCs w:val="20"/>
                <w:color w:val="auto"/>
              </w:rPr>
            </w:pPr>
            <w:r>
              <w:rPr>
                <w:rFonts w:ascii="Arial" w:cs="Arial" w:eastAsia="Arial" w:hAnsi="Arial"/>
                <w:sz w:val="17"/>
                <w:szCs w:val="17"/>
                <w:b w:val="1"/>
                <w:bCs w:val="1"/>
                <w:color w:val="auto"/>
                <w:w w:val="91"/>
              </w:rPr>
              <w:t>September 30,</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September 30,</w:t>
            </w:r>
          </w:p>
        </w:tc>
        <w:tc>
          <w:tcPr>
            <w:tcW w:w="1040" w:type="dxa"/>
            <w:vAlign w:val="bottom"/>
            <w:tcBorders>
              <w:bottom w:val="single" w:sz="8" w:color="auto"/>
            </w:tcBorders>
          </w:tcPr>
          <w:p>
            <w:pPr>
              <w:spacing w:after="0"/>
              <w:rPr>
                <w:sz w:val="19"/>
                <w:szCs w:val="19"/>
                <w:color w:val="auto"/>
              </w:rPr>
            </w:pPr>
          </w:p>
        </w:tc>
      </w:tr>
      <w:tr>
        <w:trPr>
          <w:trHeight w:val="214"/>
        </w:trPr>
        <w:tc>
          <w:tcPr>
            <w:tcW w:w="396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84"/>
              </w:rPr>
              <w:t>2020</w:t>
            </w:r>
          </w:p>
        </w:tc>
      </w:tr>
      <w:tr>
        <w:trPr>
          <w:trHeight w:val="32"/>
        </w:trPr>
        <w:tc>
          <w:tcPr>
            <w:tcW w:w="3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revenue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21"/>
        </w:trPr>
        <w:tc>
          <w:tcPr>
            <w:tcW w:w="396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48.7</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46.9</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141.7</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131.1</w:t>
            </w:r>
          </w:p>
        </w:tc>
      </w:tr>
      <w:tr>
        <w:trPr>
          <w:trHeight w:val="221"/>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and marketing</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r>
      <w:tr>
        <w:trPr>
          <w:trHeight w:val="295"/>
        </w:trPr>
        <w:tc>
          <w:tcPr>
            <w:tcW w:w="3960" w:type="dxa"/>
            <w:vAlign w:val="bottom"/>
          </w:tcPr>
          <w:p>
            <w:pPr>
              <w:ind w:left="22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(2)</w:t>
            </w:r>
          </w:p>
        </w:tc>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15.3</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36.6</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23.3</w:t>
            </w:r>
          </w:p>
        </w:tc>
      </w:tr>
    </w:tbl>
    <w:p>
      <w:pPr>
        <w:spacing w:after="0" w:line="242" w:lineRule="exact"/>
        <w:rPr>
          <w:sz w:val="20"/>
          <w:szCs w:val="20"/>
          <w:color w:val="auto"/>
        </w:rPr>
      </w:pPr>
    </w:p>
    <w:p>
      <w:pPr>
        <w:ind w:right="100" w:firstLine="4"/>
        <w:spacing w:after="0" w:line="288" w:lineRule="auto"/>
        <w:tabs>
          <w:tab w:leader="none" w:pos="144"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(Deficit) Equity" for further information.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60" w:type="dxa"/>
            <w:vAlign w:val="bottom"/>
            <w:gridSpan w:val="4"/>
          </w:tcPr>
          <w:p>
            <w:pPr>
              <w:jc w:val="right"/>
              <w:ind w:right="373"/>
              <w:spacing w:after="0"/>
              <w:rPr>
                <w:sz w:val="20"/>
                <w:szCs w:val="20"/>
                <w:color w:val="auto"/>
              </w:rPr>
            </w:pPr>
            <w:r>
              <w:rPr>
                <w:rFonts w:ascii="Arial" w:cs="Arial" w:eastAsia="Arial" w:hAnsi="Arial"/>
                <w:sz w:val="17"/>
                <w:szCs w:val="17"/>
                <w:b w:val="1"/>
                <w:bCs w:val="1"/>
                <w:color w:val="auto"/>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Arial" w:cs="Arial" w:eastAsia="Arial" w:hAnsi="Arial"/>
                <w:sz w:val="17"/>
                <w:szCs w:val="17"/>
                <w:b w:val="1"/>
                <w:bCs w:val="1"/>
                <w:color w:val="auto"/>
              </w:rPr>
              <w:t>Nine Months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9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7"/>
                <w:szCs w:val="17"/>
                <w:b w:val="1"/>
                <w:bCs w:val="1"/>
                <w:color w:val="auto"/>
                <w:w w:val="99"/>
              </w:rPr>
              <w:t>September 30,</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7"/>
                <w:szCs w:val="17"/>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84"/>
              </w:rPr>
              <w:t>2020</w:t>
            </w:r>
          </w:p>
        </w:tc>
        <w:tc>
          <w:tcPr>
            <w:tcW w:w="0" w:type="dxa"/>
            <w:vAlign w:val="bottom"/>
          </w:tcPr>
          <w:p>
            <w:pPr>
              <w:spacing w:after="0"/>
              <w:rPr>
                <w:sz w:val="1"/>
                <w:szCs w:val="1"/>
                <w:color w:val="auto"/>
              </w:rPr>
            </w:pPr>
          </w:p>
        </w:tc>
      </w:tr>
      <w:tr>
        <w:trPr>
          <w:trHeight w:val="32"/>
        </w:trPr>
        <w:tc>
          <w:tcPr>
            <w:tcW w:w="3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211.2</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0" w:type="dxa"/>
            <w:vAlign w:val="bottom"/>
          </w:tcPr>
          <w:p>
            <w:pPr>
              <w:spacing w:after="0"/>
              <w:rPr>
                <w:sz w:val="1"/>
                <w:szCs w:val="1"/>
                <w:color w:val="auto"/>
              </w:rPr>
            </w:pPr>
          </w:p>
        </w:tc>
      </w:tr>
      <w:tr>
        <w:trPr>
          <w:trHeight w:val="221"/>
        </w:trPr>
        <w:tc>
          <w:tcPr>
            <w:tcW w:w="396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6"/>
              </w:rPr>
              <w:t>Change in foreign currency translation adjustments</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0"/>
        </w:trPr>
        <w:tc>
          <w:tcPr>
            <w:tcW w:w="3960" w:type="dxa"/>
            <w:vAlign w:val="bottom"/>
          </w:tcPr>
          <w:p>
            <w:pPr>
              <w:ind w:left="220"/>
              <w:spacing w:after="0" w:line="170" w:lineRule="exact"/>
              <w:rPr>
                <w:sz w:val="20"/>
                <w:szCs w:val="20"/>
                <w:color w:val="auto"/>
              </w:rPr>
            </w:pPr>
            <w:r>
              <w:rPr>
                <w:rFonts w:ascii="Arial" w:cs="Arial" w:eastAsia="Arial" w:hAnsi="Arial"/>
                <w:sz w:val="17"/>
                <w:szCs w:val="17"/>
                <w:color w:val="auto"/>
                <w:w w:val="94"/>
              </w:rPr>
              <w:t>Change in net unrealized gains and losses on short-</w:t>
            </w:r>
          </w:p>
        </w:tc>
        <w:tc>
          <w:tcPr>
            <w:tcW w:w="1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(0.6)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1"/>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term investments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comprehensive income (loss)</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1160" w:type="dxa"/>
            <w:vAlign w:val="bottom"/>
            <w:tcBorders>
              <w:bottom w:val="single" w:sz="8" w:color="auto"/>
            </w:tcBorders>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205.1</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STOCKHOLDERS' (DEFICIT) EQUITY</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200" w:lineRule="exact"/>
        <w:rPr>
          <w:sz w:val="20"/>
          <w:szCs w:val="20"/>
          <w:color w:val="auto"/>
        </w:rPr>
      </w:pPr>
    </w:p>
    <w:p>
      <w:pPr>
        <w:spacing w:after="0" w:line="307" w:lineRule="exact"/>
        <w:rPr>
          <w:sz w:val="20"/>
          <w:szCs w:val="20"/>
          <w:color w:val="auto"/>
        </w:rPr>
      </w:pPr>
    </w:p>
    <w:tbl>
      <w:tblPr>
        <w:tblLayout w:type="fixed"/>
        <w:tblInd w:w="1000" w:type="dxa"/>
        <w:tblCellMar>
          <w:top w:w="0" w:type="dxa"/>
          <w:left w:w="0" w:type="dxa"/>
          <w:bottom w:w="0" w:type="dxa"/>
          <w:right w:w="0" w:type="dxa"/>
        </w:tblCellMar>
      </w:tblPr>
      <w:tr>
        <w:trPr>
          <w:trHeight w:val="206"/>
        </w:trPr>
        <w:tc>
          <w:tcPr>
            <w:tcW w:w="1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center"/>
              <w:ind w:right="122"/>
              <w:spacing w:after="0"/>
              <w:rPr>
                <w:sz w:val="20"/>
                <w:szCs w:val="20"/>
                <w:color w:val="auto"/>
              </w:rPr>
            </w:pPr>
            <w:r>
              <w:rPr>
                <w:rFonts w:ascii="Arial" w:cs="Arial" w:eastAsia="Arial" w:hAnsi="Arial"/>
                <w:sz w:val="16"/>
                <w:szCs w:val="16"/>
                <w:b w:val="1"/>
                <w:bCs w:val="1"/>
                <w:color w:val="auto"/>
                <w:w w:val="88"/>
              </w:rPr>
              <w:t>Three Months Ended September 30, 2021</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4"/>
              </w:rPr>
              <w:t>Three Months Ended September 30, 2020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jc w:val="center"/>
              <w:spacing w:after="0" w:line="152" w:lineRule="exact"/>
              <w:rPr>
                <w:sz w:val="20"/>
                <w:szCs w:val="20"/>
                <w:color w:val="auto"/>
              </w:rPr>
            </w:pPr>
            <w:r>
              <w:rPr>
                <w:rFonts w:ascii="Arial" w:cs="Arial" w:eastAsia="Arial" w:hAnsi="Arial"/>
                <w:sz w:val="16"/>
                <w:szCs w:val="16"/>
                <w:b w:val="1"/>
                <w:bCs w:val="1"/>
                <w:color w:val="auto"/>
                <w:w w:val="8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Accumulated</w:t>
            </w: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6"/>
                <w:szCs w:val="16"/>
                <w:b w:val="1"/>
                <w:bCs w:val="1"/>
                <w:color w:val="auto"/>
                <w:w w:val="88"/>
              </w:rPr>
              <w:t>Total</w:t>
            </w:r>
          </w:p>
        </w:tc>
        <w:tc>
          <w:tcPr>
            <w:tcW w:w="1180" w:type="dxa"/>
            <w:vAlign w:val="bottom"/>
          </w:tcPr>
          <w:p>
            <w:pPr>
              <w:jc w:val="center"/>
              <w:spacing w:after="0" w:line="152" w:lineRule="exact"/>
              <w:rPr>
                <w:sz w:val="20"/>
                <w:szCs w:val="20"/>
                <w:color w:val="auto"/>
              </w:rPr>
            </w:pPr>
            <w:r>
              <w:rPr>
                <w:rFonts w:ascii="Arial" w:cs="Arial" w:eastAsia="Arial" w:hAnsi="Arial"/>
                <w:sz w:val="16"/>
                <w:szCs w:val="16"/>
                <w:b w:val="1"/>
                <w:bCs w:val="1"/>
                <w:color w:val="auto"/>
                <w:w w:val="85"/>
              </w:rPr>
              <w:t>Class A and</w:t>
            </w: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1"/>
              </w:rPr>
              <w:t>Class B</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Additional</w:t>
            </w: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4"/>
              </w:rPr>
              <w:t>Class B common</w:t>
            </w: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Additional</w:t>
            </w:r>
          </w:p>
        </w:tc>
        <w:tc>
          <w:tcPr>
            <w:tcW w:w="10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89"/>
              </w:rPr>
              <w:t>other</w:t>
            </w:r>
          </w:p>
        </w:tc>
        <w:tc>
          <w:tcPr>
            <w:tcW w:w="1040" w:type="dxa"/>
            <w:vAlign w:val="bottom"/>
            <w:gridSpan w:val="2"/>
          </w:tcPr>
          <w:p>
            <w:pPr>
              <w:jc w:val="center"/>
              <w:ind w:right="40"/>
              <w:spacing w:after="0" w:line="156" w:lineRule="exact"/>
              <w:rPr>
                <w:sz w:val="20"/>
                <w:szCs w:val="20"/>
                <w:color w:val="auto"/>
              </w:rPr>
            </w:pPr>
            <w:r>
              <w:rPr>
                <w:rFonts w:ascii="Arial" w:cs="Arial" w:eastAsia="Arial" w:hAnsi="Arial"/>
                <w:sz w:val="16"/>
                <w:szCs w:val="16"/>
                <w:b w:val="1"/>
                <w:bCs w:val="1"/>
                <w:color w:val="auto"/>
                <w:w w:val="85"/>
              </w:rPr>
              <w:t>stockholders'</w:t>
            </w:r>
          </w:p>
        </w:tc>
        <w:tc>
          <w:tcPr>
            <w:tcW w:w="11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84"/>
              </w:rPr>
              <w:t>other</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160" w:type="dxa"/>
            <w:vAlign w:val="bottom"/>
            <w:tcBorders>
              <w:bottom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Common Stock</w:t>
            </w:r>
          </w:p>
        </w:tc>
        <w:tc>
          <w:tcPr>
            <w:tcW w:w="880" w:type="dxa"/>
            <w:vAlign w:val="bottom"/>
            <w:vMerge w:val="restart"/>
          </w:tcPr>
          <w:p>
            <w:pPr>
              <w:jc w:val="center"/>
              <w:spacing w:after="0" w:line="156" w:lineRule="exact"/>
              <w:rPr>
                <w:sz w:val="20"/>
                <w:szCs w:val="20"/>
                <w:color w:val="auto"/>
              </w:rPr>
            </w:pPr>
            <w:r>
              <w:rPr>
                <w:rFonts w:ascii="Arial" w:cs="Arial" w:eastAsia="Arial" w:hAnsi="Arial"/>
                <w:sz w:val="16"/>
                <w:szCs w:val="16"/>
                <w:b w:val="1"/>
                <w:bCs w:val="1"/>
                <w:color w:val="auto"/>
                <w:w w:val="92"/>
              </w:rPr>
              <w:t>paid in</w:t>
            </w:r>
          </w:p>
        </w:tc>
        <w:tc>
          <w:tcPr>
            <w:tcW w:w="1000" w:type="dxa"/>
            <w:vAlign w:val="bottom"/>
            <w:vMerge w:val="restart"/>
          </w:tcPr>
          <w:p>
            <w:pPr>
              <w:jc w:val="center"/>
              <w:spacing w:after="0" w:line="156" w:lineRule="exact"/>
              <w:rPr>
                <w:sz w:val="20"/>
                <w:szCs w:val="20"/>
                <w:color w:val="auto"/>
              </w:rPr>
            </w:pPr>
            <w:r>
              <w:rPr>
                <w:rFonts w:ascii="Arial" w:cs="Arial" w:eastAsia="Arial" w:hAnsi="Arial"/>
                <w:sz w:val="16"/>
                <w:szCs w:val="16"/>
                <w:b w:val="1"/>
                <w:bCs w:val="1"/>
                <w:color w:val="auto"/>
                <w:w w:val="87"/>
              </w:rPr>
              <w:t>Accumulated</w:t>
            </w:r>
          </w:p>
        </w:tc>
        <w:tc>
          <w:tcPr>
            <w:tcW w:w="1120" w:type="dxa"/>
            <w:vAlign w:val="bottom"/>
            <w:vMerge w:val="restart"/>
          </w:tcPr>
          <w:p>
            <w:pPr>
              <w:jc w:val="center"/>
              <w:spacing w:after="0" w:line="156" w:lineRule="exact"/>
              <w:rPr>
                <w:sz w:val="20"/>
                <w:szCs w:val="20"/>
                <w:color w:val="auto"/>
              </w:rPr>
            </w:pPr>
            <w:r>
              <w:rPr>
                <w:rFonts w:ascii="Arial" w:cs="Arial" w:eastAsia="Arial" w:hAnsi="Arial"/>
                <w:sz w:val="16"/>
                <w:szCs w:val="16"/>
                <w:b w:val="1"/>
                <w:bCs w:val="1"/>
                <w:color w:val="auto"/>
                <w:w w:val="85"/>
              </w:rPr>
              <w:t>comprehensive</w:t>
            </w:r>
          </w:p>
        </w:tc>
        <w:tc>
          <w:tcPr>
            <w:tcW w:w="1040" w:type="dxa"/>
            <w:vAlign w:val="bottom"/>
            <w:gridSpan w:val="2"/>
            <w:vMerge w:val="restart"/>
          </w:tcPr>
          <w:p>
            <w:pPr>
              <w:jc w:val="center"/>
              <w:ind w:right="40"/>
              <w:spacing w:after="0" w:line="156" w:lineRule="exact"/>
              <w:rPr>
                <w:sz w:val="20"/>
                <w:szCs w:val="20"/>
                <w:color w:val="auto"/>
              </w:rPr>
            </w:pPr>
            <w:r>
              <w:rPr>
                <w:rFonts w:ascii="Arial" w:cs="Arial" w:eastAsia="Arial" w:hAnsi="Arial"/>
                <w:sz w:val="16"/>
                <w:szCs w:val="16"/>
                <w:b w:val="1"/>
                <w:bCs w:val="1"/>
                <w:color w:val="auto"/>
                <w:w w:val="89"/>
              </w:rPr>
              <w:t>(deficit)</w:t>
            </w:r>
          </w:p>
        </w:tc>
        <w:tc>
          <w:tcPr>
            <w:tcW w:w="1180" w:type="dxa"/>
            <w:vAlign w:val="bottom"/>
            <w:tcBorders>
              <w:bottom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stock</w:t>
            </w:r>
          </w:p>
        </w:tc>
        <w:tc>
          <w:tcPr>
            <w:tcW w:w="860" w:type="dxa"/>
            <w:vAlign w:val="bottom"/>
            <w:vMerge w:val="restart"/>
          </w:tcPr>
          <w:p>
            <w:pPr>
              <w:jc w:val="center"/>
              <w:spacing w:after="0" w:line="156" w:lineRule="exact"/>
              <w:rPr>
                <w:sz w:val="20"/>
                <w:szCs w:val="20"/>
                <w:color w:val="auto"/>
              </w:rPr>
            </w:pPr>
            <w:r>
              <w:rPr>
                <w:rFonts w:ascii="Arial" w:cs="Arial" w:eastAsia="Arial" w:hAnsi="Arial"/>
                <w:sz w:val="16"/>
                <w:szCs w:val="16"/>
                <w:b w:val="1"/>
                <w:bCs w:val="1"/>
                <w:color w:val="auto"/>
                <w:w w:val="91"/>
              </w:rPr>
              <w:t>paid-in</w:t>
            </w:r>
          </w:p>
        </w:tc>
        <w:tc>
          <w:tcPr>
            <w:tcW w:w="1020" w:type="dxa"/>
            <w:vAlign w:val="bottom"/>
            <w:vMerge w:val="restart"/>
          </w:tcPr>
          <w:p>
            <w:pPr>
              <w:jc w:val="center"/>
              <w:spacing w:after="0" w:line="156" w:lineRule="exact"/>
              <w:rPr>
                <w:sz w:val="20"/>
                <w:szCs w:val="20"/>
                <w:color w:val="auto"/>
              </w:rPr>
            </w:pPr>
            <w:r>
              <w:rPr>
                <w:rFonts w:ascii="Arial" w:cs="Arial" w:eastAsia="Arial" w:hAnsi="Arial"/>
                <w:sz w:val="16"/>
                <w:szCs w:val="16"/>
                <w:b w:val="1"/>
                <w:bCs w:val="1"/>
                <w:color w:val="auto"/>
                <w:w w:val="89"/>
              </w:rPr>
              <w:t>Accumulated</w:t>
            </w:r>
          </w:p>
        </w:tc>
        <w:tc>
          <w:tcPr>
            <w:tcW w:w="1120" w:type="dxa"/>
            <w:vAlign w:val="bottom"/>
            <w:vMerge w:val="restart"/>
          </w:tcPr>
          <w:p>
            <w:pPr>
              <w:jc w:val="center"/>
              <w:spacing w:after="0" w:line="156" w:lineRule="exact"/>
              <w:rPr>
                <w:sz w:val="20"/>
                <w:szCs w:val="20"/>
                <w:color w:val="auto"/>
              </w:rPr>
            </w:pPr>
            <w:r>
              <w:rPr>
                <w:rFonts w:ascii="Arial" w:cs="Arial" w:eastAsia="Arial" w:hAnsi="Arial"/>
                <w:sz w:val="16"/>
                <w:szCs w:val="16"/>
                <w:b w:val="1"/>
                <w:bCs w:val="1"/>
                <w:color w:val="auto"/>
                <w:w w:val="83"/>
              </w:rPr>
              <w:t>comprehensive</w:t>
            </w:r>
          </w:p>
        </w:tc>
        <w:tc>
          <w:tcPr>
            <w:tcW w:w="960" w:type="dxa"/>
            <w:vAlign w:val="bottom"/>
            <w:vMerge w:val="restart"/>
          </w:tcPr>
          <w:p>
            <w:pPr>
              <w:jc w:val="center"/>
              <w:spacing w:after="0" w:line="156" w:lineRule="exact"/>
              <w:rPr>
                <w:sz w:val="20"/>
                <w:szCs w:val="20"/>
                <w:color w:val="auto"/>
              </w:rPr>
            </w:pPr>
            <w:r>
              <w:rPr>
                <w:rFonts w:ascii="Arial" w:cs="Arial" w:eastAsia="Arial" w:hAnsi="Arial"/>
                <w:sz w:val="16"/>
                <w:szCs w:val="16"/>
                <w:b w:val="1"/>
                <w:bCs w:val="1"/>
                <w:color w:val="auto"/>
                <w:w w:val="84"/>
              </w:rPr>
              <w:t>stockholders’</w:t>
            </w:r>
          </w:p>
        </w:tc>
        <w:tc>
          <w:tcPr>
            <w:tcW w:w="0" w:type="dxa"/>
            <w:vAlign w:val="bottom"/>
          </w:tcPr>
          <w:p>
            <w:pPr>
              <w:spacing w:after="0"/>
              <w:rPr>
                <w:sz w:val="1"/>
                <w:szCs w:val="1"/>
                <w:color w:val="auto"/>
              </w:rPr>
            </w:pPr>
          </w:p>
        </w:tc>
      </w:tr>
      <w:tr>
        <w:trPr>
          <w:trHeight w:val="32"/>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u w:val="single" w:color="auto"/>
                <w:color w:val="auto"/>
                <w:w w:val="91"/>
              </w:rPr>
              <w:t>Shares  Amount</w:t>
            </w:r>
          </w:p>
        </w:tc>
        <w:tc>
          <w:tcPr>
            <w:tcW w:w="8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6"/>
              </w:rPr>
              <w:t>capital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4"/>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5"/>
              </w:rPr>
              <w:t>income</w:t>
            </w:r>
          </w:p>
        </w:tc>
        <w:tc>
          <w:tcPr>
            <w:tcW w:w="10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equity</w:t>
            </w:r>
          </w:p>
        </w:tc>
        <w:tc>
          <w:tcPr>
            <w:tcW w:w="1180" w:type="dxa"/>
            <w:vAlign w:val="bottom"/>
            <w:vMerge w:val="continue"/>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0"/>
              </w:rPr>
              <w:t>capital</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3"/>
              </w:rPr>
              <w:t>income (loss)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4"/>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98360" cy="330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360" cy="33083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tbl>
      <w:tblPr>
        <w:tblLayout w:type="fixed"/>
        <w:tblInd w:w="20" w:type="dxa"/>
        <w:tblCellMar>
          <w:top w:w="0" w:type="dxa"/>
          <w:left w:w="0" w:type="dxa"/>
          <w:bottom w:w="0" w:type="dxa"/>
          <w:right w:w="0" w:type="dxa"/>
        </w:tblCellMar>
      </w:tblPr>
      <w:tr>
        <w:trPr>
          <w:trHeight w:val="141"/>
        </w:trPr>
        <w:tc>
          <w:tcPr>
            <w:tcW w:w="980" w:type="dxa"/>
            <w:vAlign w:val="bottom"/>
          </w:tcPr>
          <w:p>
            <w:pPr>
              <w:spacing w:after="0" w:line="142" w:lineRule="exact"/>
              <w:rPr>
                <w:sz w:val="20"/>
                <w:szCs w:val="20"/>
                <w:color w:val="auto"/>
              </w:rPr>
            </w:pPr>
            <w:r>
              <w:rPr>
                <w:rFonts w:ascii="Arial" w:cs="Arial" w:eastAsia="Arial" w:hAnsi="Arial"/>
                <w:sz w:val="16"/>
                <w:szCs w:val="16"/>
                <w:b w:val="1"/>
                <w:bCs w:val="1"/>
                <w:color w:val="auto"/>
              </w:rPr>
              <w:t>Balances at</w:t>
            </w: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b w:val="1"/>
                <w:bCs w:val="1"/>
                <w:color w:val="auto"/>
                <w:w w:val="99"/>
              </w:rPr>
              <w:t>beginning of</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386.5</w:t>
            </w:r>
          </w:p>
        </w:tc>
        <w:tc>
          <w:tcPr>
            <w:tcW w:w="80" w:type="dxa"/>
            <w:vAlign w:val="bottom"/>
          </w:tcPr>
          <w:p>
            <w:pPr>
              <w:spacing w:after="0"/>
              <w:rPr>
                <w:sz w:val="13"/>
                <w:szCs w:val="13"/>
                <w:color w:val="auto"/>
              </w:rPr>
            </w:pP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2,446.9</w:t>
            </w:r>
          </w:p>
        </w:tc>
        <w:tc>
          <w:tcPr>
            <w:tcW w:w="80" w:type="dxa"/>
            <w:vAlign w:val="bottom"/>
          </w:tcPr>
          <w:p>
            <w:pPr>
              <w:spacing w:after="0"/>
              <w:rPr>
                <w:sz w:val="13"/>
                <w:szCs w:val="13"/>
                <w:color w:val="auto"/>
              </w:rPr>
            </w:pP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(2,547.5)</w:t>
            </w:r>
          </w:p>
        </w:tc>
        <w:tc>
          <w:tcPr>
            <w:tcW w:w="80" w:type="dxa"/>
            <w:vAlign w:val="bottom"/>
          </w:tcPr>
          <w:p>
            <w:pPr>
              <w:spacing w:after="0"/>
              <w:rPr>
                <w:sz w:val="13"/>
                <w:szCs w:val="13"/>
                <w:color w:val="auto"/>
              </w:rPr>
            </w:pPr>
          </w:p>
        </w:tc>
        <w:tc>
          <w:tcPr>
            <w:tcW w:w="400" w:type="dxa"/>
            <w:vAlign w:val="bottom"/>
            <w:vMerge w:val="restart"/>
          </w:tcPr>
          <w:p>
            <w:pPr>
              <w:jc w:val="right"/>
              <w:ind w:right="222"/>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6"/>
                <w:szCs w:val="16"/>
                <w:b w:val="1"/>
                <w:bCs w:val="1"/>
                <w:color w:val="auto"/>
              </w:rPr>
              <w:t>period</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980" w:type="dxa"/>
            <w:vAlign w:val="bottom"/>
          </w:tcPr>
          <w:p>
            <w:pPr>
              <w:spacing w:after="0" w:line="165" w:lineRule="exact"/>
              <w:rPr>
                <w:sz w:val="20"/>
                <w:szCs w:val="20"/>
                <w:color w:val="auto"/>
              </w:rPr>
            </w:pPr>
            <w:r>
              <w:rPr>
                <w:rFonts w:ascii="Arial" w:cs="Arial" w:eastAsia="Arial" w:hAnsi="Arial"/>
                <w:sz w:val="16"/>
                <w:szCs w:val="16"/>
                <w:color w:val="auto"/>
              </w:rPr>
              <w:t>Release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Shares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withheld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related to net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share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settlement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(27.2)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Repurchases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of common</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(44.6)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(136.4)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Exercise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stock options</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and 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Tax benefit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98"/>
              </w:rPr>
              <w:t>attributable to</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bond hedges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purchased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Stock-based</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72.8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w w:val="96"/>
              </w:rPr>
              <w:t>compensation</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Other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88"/>
              </w:rPr>
              <w:t>comprehensive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loss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b w:val="1"/>
                <w:bCs w:val="1"/>
                <w:color w:val="auto"/>
              </w:rPr>
              <w:t>Balances at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382.8</w:t>
            </w:r>
          </w:p>
        </w:tc>
        <w:tc>
          <w:tcPr>
            <w:tcW w:w="80" w:type="dxa"/>
            <w:vAlign w:val="bottom"/>
          </w:tcPr>
          <w:p>
            <w:pPr>
              <w:spacing w:after="0"/>
              <w:rPr>
                <w:sz w:val="12"/>
                <w:szCs w:val="12"/>
                <w:color w:val="auto"/>
              </w:rPr>
            </w:pP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2,468.1</w:t>
            </w:r>
          </w:p>
        </w:tc>
        <w:tc>
          <w:tcPr>
            <w:tcW w:w="80" w:type="dxa"/>
            <w:vAlign w:val="bottom"/>
          </w:tcPr>
          <w:p>
            <w:pPr>
              <w:spacing w:after="0"/>
              <w:rPr>
                <w:sz w:val="12"/>
                <w:szCs w:val="12"/>
                <w:color w:val="auto"/>
              </w:rPr>
            </w:pP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(2,635.5)</w:t>
            </w:r>
          </w:p>
        </w:tc>
        <w:tc>
          <w:tcPr>
            <w:tcW w:w="80" w:type="dxa"/>
            <w:vAlign w:val="bottom"/>
          </w:tcPr>
          <w:p>
            <w:pPr>
              <w:spacing w:after="0"/>
              <w:rPr>
                <w:sz w:val="12"/>
                <w:szCs w:val="12"/>
                <w:color w:val="auto"/>
              </w:rPr>
            </w:pPr>
          </w:p>
        </w:tc>
        <w:tc>
          <w:tcPr>
            <w:tcW w:w="400" w:type="dxa"/>
            <w:vAlign w:val="bottom"/>
            <w:vMerge w:val="restart"/>
          </w:tcPr>
          <w:p>
            <w:pPr>
              <w:jc w:val="right"/>
              <w:ind w:right="222"/>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980" w:type="dxa"/>
            <w:vAlign w:val="bottom"/>
          </w:tcPr>
          <w:p>
            <w:pPr>
              <w:spacing w:after="0" w:line="182" w:lineRule="exact"/>
              <w:rPr>
                <w:sz w:val="20"/>
                <w:szCs w:val="20"/>
                <w:color w:val="auto"/>
              </w:rPr>
            </w:pPr>
            <w:r>
              <w:rPr>
                <w:rFonts w:ascii="Arial" w:cs="Arial" w:eastAsia="Arial" w:hAnsi="Arial"/>
                <w:sz w:val="16"/>
                <w:szCs w:val="16"/>
                <w:b w:val="1"/>
                <w:bCs w:val="1"/>
                <w:color w:val="auto"/>
                <w:w w:val="94"/>
              </w:rPr>
              <w:t>end of period</w:t>
            </w: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199"/>
        </w:trPr>
        <w:tc>
          <w:tcPr>
            <w:tcW w:w="480" w:type="dxa"/>
            <w:vAlign w:val="bottom"/>
          </w:tcPr>
          <w:p>
            <w:pPr>
              <w:jc w:val="right"/>
              <w:ind w:right="22"/>
              <w:spacing w:after="0"/>
              <w:rPr>
                <w:sz w:val="20"/>
                <w:szCs w:val="20"/>
                <w:color w:val="auto"/>
              </w:rPr>
            </w:pPr>
            <w:r>
              <w:rPr>
                <w:rFonts w:ascii="Arial" w:cs="Arial" w:eastAsia="Arial" w:hAnsi="Arial"/>
                <w:sz w:val="16"/>
                <w:szCs w:val="16"/>
                <w:color w:val="auto"/>
                <w:w w:val="86"/>
              </w:rPr>
              <w:t>(94.8)</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413.8</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  2,560.4</w:t>
            </w:r>
          </w:p>
        </w:tc>
        <w:tc>
          <w:tcPr>
            <w:tcW w:w="2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(1,764.4)</w:t>
            </w:r>
          </w:p>
        </w:tc>
        <w:tc>
          <w:tcPr>
            <w:tcW w:w="48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7.4</w:t>
            </w:r>
          </w:p>
        </w:tc>
        <w:tc>
          <w:tcPr>
            <w:tcW w:w="38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803.4</w:t>
            </w:r>
          </w:p>
        </w:tc>
      </w:tr>
      <w:tr>
        <w:trPr>
          <w:trHeight w:val="677"/>
        </w:trPr>
        <w:tc>
          <w:tcPr>
            <w:tcW w:w="4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3.3</w:t>
            </w:r>
          </w:p>
        </w:tc>
        <w:tc>
          <w:tcPr>
            <w:tcW w:w="30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3810</wp:posOffset>
            </wp:positionV>
            <wp:extent cx="7198360" cy="826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360" cy="826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0" w:type="dxa"/>
            <w:vAlign w:val="bottom"/>
          </w:tcPr>
          <w:p>
            <w:pPr>
              <w:jc w:val="right"/>
              <w:ind w:right="62"/>
              <w:spacing w:after="0"/>
              <w:rPr>
                <w:sz w:val="20"/>
                <w:szCs w:val="20"/>
                <w:color w:val="auto"/>
              </w:rPr>
            </w:pPr>
            <w:r>
              <w:rPr>
                <w:rFonts w:ascii="Arial" w:cs="Arial" w:eastAsia="Arial" w:hAnsi="Arial"/>
                <w:sz w:val="16"/>
                <w:szCs w:val="16"/>
                <w:color w:val="auto"/>
              </w:rPr>
              <w:t>(35.5)</w:t>
            </w:r>
          </w:p>
        </w:tc>
        <w:tc>
          <w:tcPr>
            <w:tcW w:w="680" w:type="dxa"/>
            <w:vAlign w:val="bottom"/>
          </w:tcPr>
          <w:p>
            <w:pPr>
              <w:jc w:val="center"/>
              <w:ind w:right="22"/>
              <w:spacing w:after="0"/>
              <w:rPr>
                <w:sz w:val="20"/>
                <w:szCs w:val="20"/>
                <w:color w:val="auto"/>
              </w:rPr>
            </w:pPr>
            <w:r>
              <w:rPr>
                <w:rFonts w:ascii="Arial" w:cs="Arial" w:eastAsia="Arial" w:hAnsi="Arial"/>
                <w:sz w:val="16"/>
                <w:szCs w:val="16"/>
                <w:color w:val="auto"/>
                <w:w w:val="91"/>
              </w:rPr>
              <w:t>(1.1)</w:t>
            </w:r>
          </w:p>
        </w:tc>
        <w:tc>
          <w:tcPr>
            <w:tcW w:w="640" w:type="dxa"/>
            <w:vAlign w:val="bottom"/>
          </w:tcPr>
          <w:p>
            <w:pPr>
              <w:ind w:left="2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42"/>
              <w:spacing w:after="0"/>
              <w:rPr>
                <w:sz w:val="20"/>
                <w:szCs w:val="20"/>
                <w:color w:val="auto"/>
              </w:rPr>
            </w:pPr>
            <w:r>
              <w:rPr>
                <w:rFonts w:ascii="Arial" w:cs="Arial" w:eastAsia="Arial" w:hAnsi="Arial"/>
                <w:sz w:val="16"/>
                <w:szCs w:val="16"/>
                <w:color w:val="auto"/>
              </w:rPr>
              <w:t>(10.6)</w:t>
            </w:r>
          </w:p>
        </w:tc>
        <w:tc>
          <w:tcPr>
            <w:tcW w:w="1140" w:type="dxa"/>
            <w:vAlign w:val="bottom"/>
          </w:tcPr>
          <w:p>
            <w:pPr>
              <w:jc w:val="right"/>
              <w:ind w:right="382"/>
              <w:spacing w:after="0"/>
              <w:rPr>
                <w:sz w:val="20"/>
                <w:szCs w:val="20"/>
                <w:color w:val="auto"/>
              </w:rPr>
            </w:pPr>
            <w:r>
              <w:rPr>
                <w:rFonts w:ascii="Arial" w:cs="Arial" w:eastAsia="Arial" w:hAnsi="Arial"/>
                <w:sz w:val="16"/>
                <w:szCs w:val="16"/>
                <w:color w:val="auto"/>
              </w:rPr>
              <w:t>(11.9)</w:t>
            </w:r>
          </w:p>
        </w:tc>
        <w:tc>
          <w:tcPr>
            <w:tcW w:w="960" w:type="dxa"/>
            <w:vAlign w:val="bottom"/>
          </w:tcPr>
          <w:p>
            <w:pPr>
              <w:ind w:left="4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521"/>
        </w:trPr>
        <w:tc>
          <w:tcPr>
            <w:tcW w:w="600" w:type="dxa"/>
            <w:vAlign w:val="bottom"/>
          </w:tcPr>
          <w:p>
            <w:pPr>
              <w:jc w:val="right"/>
              <w:ind w:right="62"/>
              <w:spacing w:after="0"/>
              <w:rPr>
                <w:sz w:val="20"/>
                <w:szCs w:val="20"/>
                <w:color w:val="auto"/>
              </w:rPr>
            </w:pPr>
            <w:r>
              <w:rPr>
                <w:rFonts w:ascii="Arial" w:cs="Arial" w:eastAsia="Arial" w:hAnsi="Arial"/>
                <w:sz w:val="16"/>
                <w:szCs w:val="16"/>
                <w:color w:val="auto"/>
                <w:w w:val="86"/>
              </w:rPr>
              <w:t>(181.0)</w:t>
            </w:r>
          </w:p>
        </w:tc>
        <w:tc>
          <w:tcPr>
            <w:tcW w:w="680" w:type="dxa"/>
            <w:vAlign w:val="bottom"/>
          </w:tcPr>
          <w:p>
            <w:pPr>
              <w:jc w:val="center"/>
              <w:ind w:right="22"/>
              <w:spacing w:after="0"/>
              <w:rPr>
                <w:sz w:val="20"/>
                <w:szCs w:val="20"/>
                <w:color w:val="auto"/>
              </w:rPr>
            </w:pPr>
            <w:r>
              <w:rPr>
                <w:rFonts w:ascii="Arial" w:cs="Arial" w:eastAsia="Arial" w:hAnsi="Arial"/>
                <w:sz w:val="16"/>
                <w:szCs w:val="16"/>
                <w:color w:val="auto"/>
                <w:w w:val="91"/>
              </w:rPr>
              <w:t>(1.8)</w:t>
            </w:r>
          </w:p>
        </w:tc>
        <w:tc>
          <w:tcPr>
            <w:tcW w:w="640" w:type="dxa"/>
            <w:vAlign w:val="bottom"/>
          </w:tcPr>
          <w:p>
            <w:pPr>
              <w:ind w:left="2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42"/>
              <w:spacing w:after="0"/>
              <w:rPr>
                <w:sz w:val="20"/>
                <w:szCs w:val="20"/>
                <w:color w:val="auto"/>
              </w:rPr>
            </w:pPr>
            <w:r>
              <w:rPr>
                <w:rFonts w:ascii="Arial" w:cs="Arial" w:eastAsia="Arial" w:hAnsi="Arial"/>
                <w:sz w:val="16"/>
                <w:szCs w:val="16"/>
                <w:color w:val="auto"/>
              </w:rPr>
              <w:t>(16.8)</w:t>
            </w:r>
          </w:p>
        </w:tc>
        <w:tc>
          <w:tcPr>
            <w:tcW w:w="1140" w:type="dxa"/>
            <w:vAlign w:val="bottom"/>
          </w:tcPr>
          <w:p>
            <w:pPr>
              <w:jc w:val="right"/>
              <w:ind w:right="382"/>
              <w:spacing w:after="0"/>
              <w:rPr>
                <w:sz w:val="20"/>
                <w:szCs w:val="20"/>
                <w:color w:val="auto"/>
              </w:rPr>
            </w:pPr>
            <w:r>
              <w:rPr>
                <w:rFonts w:ascii="Arial" w:cs="Arial" w:eastAsia="Arial" w:hAnsi="Arial"/>
                <w:sz w:val="16"/>
                <w:szCs w:val="16"/>
                <w:color w:val="auto"/>
              </w:rPr>
              <w:t>(20.7)</w:t>
            </w:r>
          </w:p>
        </w:tc>
        <w:tc>
          <w:tcPr>
            <w:tcW w:w="960" w:type="dxa"/>
            <w:vAlign w:val="bottom"/>
          </w:tcPr>
          <w:p>
            <w:pPr>
              <w:ind w:left="4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521"/>
        </w:trPr>
        <w:tc>
          <w:tcPr>
            <w:tcW w:w="600" w:type="dxa"/>
            <w:vAlign w:val="bottom"/>
          </w:tcPr>
          <w:p>
            <w:pPr>
              <w:jc w:val="right"/>
              <w:ind w:right="102"/>
              <w:spacing w:after="0"/>
              <w:rPr>
                <w:sz w:val="20"/>
                <w:szCs w:val="20"/>
                <w:color w:val="auto"/>
              </w:rPr>
            </w:pPr>
            <w:r>
              <w:rPr>
                <w:rFonts w:ascii="Arial" w:cs="Arial" w:eastAsia="Arial" w:hAnsi="Arial"/>
                <w:sz w:val="16"/>
                <w:szCs w:val="16"/>
                <w:color w:val="auto"/>
              </w:rPr>
              <w:t>1.1</w:t>
            </w:r>
          </w:p>
        </w:tc>
        <w:tc>
          <w:tcPr>
            <w:tcW w:w="680" w:type="dxa"/>
            <w:vAlign w:val="bottom"/>
          </w:tcPr>
          <w:p>
            <w:pPr>
              <w:jc w:val="center"/>
              <w:spacing w:after="0"/>
              <w:rPr>
                <w:sz w:val="20"/>
                <w:szCs w:val="20"/>
                <w:color w:val="auto"/>
              </w:rPr>
            </w:pPr>
            <w:r>
              <w:rPr>
                <w:rFonts w:ascii="Arial" w:cs="Arial" w:eastAsia="Arial" w:hAnsi="Arial"/>
                <w:sz w:val="16"/>
                <w:szCs w:val="16"/>
                <w:color w:val="auto"/>
                <w:w w:val="80"/>
              </w:rPr>
              <w:t>0.1</w:t>
            </w:r>
          </w:p>
        </w:tc>
        <w:tc>
          <w:tcPr>
            <w:tcW w:w="640" w:type="dxa"/>
            <w:vAlign w:val="bottom"/>
          </w:tcPr>
          <w:p>
            <w:pPr>
              <w:ind w:left="2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82"/>
              <w:spacing w:after="0"/>
              <w:rPr>
                <w:sz w:val="20"/>
                <w:szCs w:val="20"/>
                <w:color w:val="auto"/>
              </w:rPr>
            </w:pPr>
            <w:r>
              <w:rPr>
                <w:rFonts w:ascii="Arial" w:cs="Arial" w:eastAsia="Arial" w:hAnsi="Arial"/>
                <w:sz w:val="16"/>
                <w:szCs w:val="16"/>
                <w:color w:val="auto"/>
              </w:rPr>
              <w:t>0.1</w:t>
            </w:r>
          </w:p>
        </w:tc>
        <w:tc>
          <w:tcPr>
            <w:tcW w:w="114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960" w:type="dxa"/>
            <w:vAlign w:val="bottom"/>
          </w:tcPr>
          <w:p>
            <w:pPr>
              <w:ind w:left="4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-326390</wp:posOffset>
            </wp:positionV>
            <wp:extent cx="7198360" cy="330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360" cy="33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0" w:type="dxa"/>
            <w:vAlign w:val="bottom"/>
          </w:tcPr>
          <w:p>
            <w:pPr>
              <w:jc w:val="right"/>
              <w:ind w:right="62"/>
              <w:spacing w:after="0"/>
              <w:rPr>
                <w:sz w:val="20"/>
                <w:szCs w:val="20"/>
                <w:color w:val="auto"/>
              </w:rPr>
            </w:pPr>
            <w:r>
              <w:rPr>
                <w:rFonts w:ascii="Arial" w:cs="Arial" w:eastAsia="Arial" w:hAnsi="Arial"/>
                <w:sz w:val="16"/>
                <w:szCs w:val="16"/>
                <w:color w:val="auto"/>
              </w:rPr>
              <w:t>0.2</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65"/>
        </w:trPr>
        <w:tc>
          <w:tcPr>
            <w:tcW w:w="560" w:type="dxa"/>
            <w:vAlign w:val="bottom"/>
          </w:tcPr>
          <w:p>
            <w:pPr>
              <w:jc w:val="right"/>
              <w:ind w:right="62"/>
              <w:spacing w:after="0"/>
              <w:rPr>
                <w:sz w:val="20"/>
                <w:szCs w:val="20"/>
                <w:color w:val="auto"/>
              </w:rPr>
            </w:pPr>
            <w:r>
              <w:rPr>
                <w:rFonts w:ascii="Arial" w:cs="Arial" w:eastAsia="Arial" w:hAnsi="Arial"/>
                <w:sz w:val="16"/>
                <w:szCs w:val="16"/>
                <w:color w:val="auto"/>
              </w:rPr>
              <w:t>72.8</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75.7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75.7</w:t>
            </w:r>
          </w:p>
        </w:tc>
      </w:tr>
      <w:tr>
        <w:trPr>
          <w:trHeight w:val="521"/>
        </w:trPr>
        <w:tc>
          <w:tcPr>
            <w:tcW w:w="560" w:type="dxa"/>
            <w:vAlign w:val="bottom"/>
          </w:tcPr>
          <w:p>
            <w:pPr>
              <w:jc w:val="right"/>
              <w:ind w:right="22"/>
              <w:spacing w:after="0"/>
              <w:rPr>
                <w:sz w:val="20"/>
                <w:szCs w:val="20"/>
                <w:color w:val="auto"/>
              </w:rPr>
            </w:pPr>
            <w:r>
              <w:rPr>
                <w:rFonts w:ascii="Arial" w:cs="Arial" w:eastAsia="Arial" w:hAnsi="Arial"/>
                <w:sz w:val="16"/>
                <w:szCs w:val="16"/>
                <w:color w:val="auto"/>
              </w:rPr>
              <w:t>(1.0)</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1"/>
        </w:trPr>
        <w:tc>
          <w:tcPr>
            <w:tcW w:w="560" w:type="dxa"/>
            <w:vAlign w:val="bottom"/>
          </w:tcPr>
          <w:p>
            <w:pPr>
              <w:jc w:val="right"/>
              <w:ind w:right="62"/>
              <w:spacing w:after="0"/>
              <w:rPr>
                <w:sz w:val="20"/>
                <w:szCs w:val="20"/>
                <w:color w:val="auto"/>
              </w:rPr>
            </w:pPr>
            <w:r>
              <w:rPr>
                <w:rFonts w:ascii="Arial" w:cs="Arial" w:eastAsia="Arial" w:hAnsi="Arial"/>
                <w:sz w:val="16"/>
                <w:szCs w:val="16"/>
                <w:color w:val="auto"/>
              </w:rPr>
              <w:t>75.6</w:t>
            </w: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32.7</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r>
      <w:tr>
        <w:trPr>
          <w:trHeight w:val="319"/>
        </w:trPr>
        <w:tc>
          <w:tcPr>
            <w:tcW w:w="560" w:type="dxa"/>
            <w:vAlign w:val="bottom"/>
          </w:tcPr>
          <w:p>
            <w:pPr>
              <w:jc w:val="right"/>
              <w:ind w:right="22"/>
              <w:spacing w:after="0"/>
              <w:rPr>
                <w:sz w:val="20"/>
                <w:szCs w:val="20"/>
                <w:color w:val="auto"/>
              </w:rPr>
            </w:pPr>
            <w:r>
              <w:rPr>
                <w:rFonts w:ascii="Arial" w:cs="Arial" w:eastAsia="Arial" w:hAnsi="Arial"/>
                <w:sz w:val="16"/>
                <w:szCs w:val="16"/>
                <w:color w:val="auto"/>
                <w:w w:val="86"/>
              </w:rPr>
              <w:t>(162.6)</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414.3</w:t>
            </w:r>
          </w:p>
        </w:tc>
        <w:tc>
          <w:tcPr>
            <w:tcW w:w="60" w:type="dxa"/>
            <w:vAlign w:val="bottom"/>
          </w:tcPr>
          <w:p>
            <w:pPr>
              <w:spacing w:after="0"/>
              <w:rPr>
                <w:sz w:val="24"/>
                <w:szCs w:val="24"/>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  2,608.8</w:t>
            </w:r>
          </w:p>
        </w:tc>
        <w:tc>
          <w:tcPr>
            <w:tcW w:w="80" w:type="dxa"/>
            <w:vAlign w:val="bottom"/>
          </w:tcPr>
          <w:p>
            <w:pPr>
              <w:spacing w:after="0"/>
              <w:rPr>
                <w:sz w:val="24"/>
                <w:szCs w:val="24"/>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(1,764.3)</w:t>
            </w:r>
          </w:p>
        </w:tc>
        <w:tc>
          <w:tcPr>
            <w:tcW w:w="80" w:type="dxa"/>
            <w:vAlign w:val="bottom"/>
          </w:tcPr>
          <w:p>
            <w:pPr>
              <w:spacing w:after="0"/>
              <w:rPr>
                <w:sz w:val="24"/>
                <w:szCs w:val="24"/>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24"/>
                <w:szCs w:val="24"/>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851.3</w:t>
            </w:r>
          </w:p>
        </w:tc>
      </w:tr>
      <w:tr>
        <w:trPr>
          <w:trHeight w:val="22"/>
        </w:trPr>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-942340</wp:posOffset>
            </wp:positionV>
            <wp:extent cx="7198360"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360" cy="23177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-379730</wp:posOffset>
            </wp:positionV>
            <wp:extent cx="7198360" cy="380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360" cy="3803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40"/>
            <w:col w:w="5700"/>
          </w:cols>
          <w:pgMar w:left="32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91440</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right"/>
        <w:ind w:right="1220"/>
        <w:spacing w:after="0"/>
        <w:tabs>
          <w:tab w:leader="none" w:pos="2660" w:val="left"/>
        </w:tabs>
        <w:rPr>
          <w:sz w:val="20"/>
          <w:szCs w:val="20"/>
          <w:color w:val="auto"/>
        </w:rPr>
      </w:pPr>
      <w:r>
        <w:rPr>
          <w:rFonts w:ascii="Arial" w:cs="Arial" w:eastAsia="Arial" w:hAnsi="Arial"/>
          <w:sz w:val="16"/>
          <w:szCs w:val="16"/>
          <w:b w:val="1"/>
          <w:bCs w:val="1"/>
          <w:color w:val="auto"/>
        </w:rPr>
        <w:t>Nine Months Ended September 30, 2021</w:t>
      </w:r>
      <w:r>
        <w:rPr>
          <w:sz w:val="20"/>
          <w:szCs w:val="20"/>
          <w:color w:val="auto"/>
        </w:rPr>
        <w:tab/>
      </w:r>
      <w:r>
        <w:rPr>
          <w:rFonts w:ascii="Arial" w:cs="Arial" w:eastAsia="Arial" w:hAnsi="Arial"/>
          <w:sz w:val="13"/>
          <w:szCs w:val="13"/>
          <w:b w:val="1"/>
          <w:bCs w:val="1"/>
          <w:color w:val="auto"/>
        </w:rPr>
        <w:t>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15875</wp:posOffset>
            </wp:positionV>
            <wp:extent cx="3258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7"/>
              </w:rPr>
              <w:t>Class A and</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880" w:type="dxa"/>
            <w:vAlign w:val="bottom"/>
            <w:gridSpan w:val="3"/>
          </w:tcPr>
          <w:p>
            <w:pPr>
              <w:jc w:val="center"/>
              <w:ind w:left="202"/>
              <w:spacing w:after="0" w:line="156" w:lineRule="exact"/>
              <w:rPr>
                <w:sz w:val="20"/>
                <w:szCs w:val="20"/>
                <w:color w:val="auto"/>
              </w:rPr>
            </w:pPr>
            <w:r>
              <w:rPr>
                <w:rFonts w:ascii="Arial" w:cs="Arial" w:eastAsia="Arial" w:hAnsi="Arial"/>
                <w:sz w:val="16"/>
                <w:szCs w:val="16"/>
                <w:b w:val="1"/>
                <w:bCs w:val="1"/>
                <w:color w:val="auto"/>
                <w:w w:val="81"/>
              </w:rPr>
              <w:t>Class B</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Additional</w:t>
            </w:r>
          </w:p>
        </w:tc>
        <w:tc>
          <w:tcPr>
            <w:tcW w:w="0" w:type="dxa"/>
            <w:vAlign w:val="bottom"/>
          </w:tcPr>
          <w:p>
            <w:pPr>
              <w:spacing w:after="0"/>
              <w:rPr>
                <w:sz w:val="1"/>
                <w:szCs w:val="1"/>
                <w:color w:val="auto"/>
              </w:rPr>
            </w:pPr>
          </w:p>
        </w:tc>
      </w:tr>
      <w:tr>
        <w:trPr>
          <w:trHeight w:val="104"/>
        </w:trPr>
        <w:tc>
          <w:tcPr>
            <w:tcW w:w="980" w:type="dxa"/>
            <w:vAlign w:val="bottom"/>
          </w:tcPr>
          <w:p>
            <w:pPr>
              <w:spacing w:after="0"/>
              <w:rPr>
                <w:sz w:val="9"/>
                <w:szCs w:val="9"/>
                <w:color w:val="auto"/>
              </w:rPr>
            </w:pPr>
          </w:p>
        </w:tc>
        <w:tc>
          <w:tcPr>
            <w:tcW w:w="116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1"/>
              </w:rPr>
              <w:t>Common Stock</w:t>
            </w:r>
          </w:p>
        </w:tc>
        <w:tc>
          <w:tcPr>
            <w:tcW w:w="80" w:type="dxa"/>
            <w:vAlign w:val="bottom"/>
            <w:vMerge w:val="restart"/>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980" w:type="dxa"/>
            <w:vAlign w:val="bottom"/>
          </w:tcPr>
          <w:p>
            <w:pPr>
              <w:spacing w:after="0"/>
              <w:rPr>
                <w:sz w:val="8"/>
                <w:szCs w:val="8"/>
                <w:color w:val="auto"/>
              </w:rPr>
            </w:pPr>
          </w:p>
        </w:tc>
        <w:tc>
          <w:tcPr>
            <w:tcW w:w="11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ind w:right="62"/>
              <w:spacing w:after="0" w:line="156" w:lineRule="exact"/>
              <w:rPr>
                <w:sz w:val="20"/>
                <w:szCs w:val="20"/>
                <w:color w:val="auto"/>
              </w:rPr>
            </w:pPr>
            <w:r>
              <w:rPr>
                <w:rFonts w:ascii="Arial" w:cs="Arial" w:eastAsia="Arial" w:hAnsi="Arial"/>
                <w:sz w:val="16"/>
                <w:szCs w:val="16"/>
                <w:b w:val="1"/>
                <w:bCs w:val="1"/>
                <w:color w:val="auto"/>
                <w:w w:val="92"/>
              </w:rPr>
              <w:t>paid in</w:t>
            </w:r>
          </w:p>
        </w:tc>
        <w:tc>
          <w:tcPr>
            <w:tcW w:w="0" w:type="dxa"/>
            <w:vAlign w:val="bottom"/>
          </w:tcPr>
          <w:p>
            <w:pPr>
              <w:spacing w:after="0"/>
              <w:rPr>
                <w:sz w:val="1"/>
                <w:szCs w:val="1"/>
                <w:color w:val="auto"/>
              </w:rPr>
            </w:pPr>
          </w:p>
        </w:tc>
      </w:tr>
      <w:tr>
        <w:trPr>
          <w:trHeight w:val="35"/>
        </w:trPr>
        <w:tc>
          <w:tcPr>
            <w:tcW w:w="98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b w:val="1"/>
                <w:bCs w:val="1"/>
                <w:color w:val="auto"/>
                <w:w w:val="90"/>
              </w:rPr>
              <w:t>capital</w:t>
            </w:r>
          </w:p>
        </w:tc>
        <w:tc>
          <w:tcPr>
            <w:tcW w:w="0" w:type="dxa"/>
            <w:vAlign w:val="bottom"/>
          </w:tcPr>
          <w:p>
            <w:pPr>
              <w:spacing w:after="0"/>
              <w:rPr>
                <w:sz w:val="1"/>
                <w:szCs w:val="1"/>
                <w:color w:val="auto"/>
              </w:rPr>
            </w:pPr>
          </w:p>
        </w:tc>
      </w:tr>
      <w:tr>
        <w:trPr>
          <w:trHeight w:val="141"/>
        </w:trPr>
        <w:tc>
          <w:tcPr>
            <w:tcW w:w="980" w:type="dxa"/>
            <w:vAlign w:val="bottom"/>
          </w:tcPr>
          <w:p>
            <w:pPr>
              <w:spacing w:after="0" w:line="142" w:lineRule="exact"/>
              <w:rPr>
                <w:sz w:val="20"/>
                <w:szCs w:val="20"/>
                <w:color w:val="auto"/>
              </w:rPr>
            </w:pPr>
            <w:r>
              <w:rPr>
                <w:rFonts w:ascii="Arial" w:cs="Arial" w:eastAsia="Arial" w:hAnsi="Arial"/>
                <w:sz w:val="16"/>
                <w:szCs w:val="16"/>
                <w:b w:val="1"/>
                <w:bCs w:val="1"/>
                <w:color w:val="auto"/>
              </w:rPr>
              <w:t>Balances at</w:t>
            </w: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b w:val="1"/>
                <w:bCs w:val="1"/>
                <w:color w:val="auto"/>
                <w:w w:val="99"/>
              </w:rPr>
              <w:t>beginning of</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405.7</w:t>
            </w:r>
          </w:p>
        </w:tc>
        <w:tc>
          <w:tcPr>
            <w:tcW w:w="80" w:type="dxa"/>
            <w:vAlign w:val="bottom"/>
          </w:tcPr>
          <w:p>
            <w:pPr>
              <w:spacing w:after="0"/>
              <w:rPr>
                <w:sz w:val="13"/>
                <w:szCs w:val="13"/>
                <w:color w:val="auto"/>
              </w:rPr>
            </w:pPr>
          </w:p>
        </w:tc>
        <w:tc>
          <w:tcPr>
            <w:tcW w:w="3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2,564.3</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6"/>
                <w:szCs w:val="16"/>
                <w:b w:val="1"/>
                <w:bCs w:val="1"/>
                <w:color w:val="auto"/>
              </w:rPr>
              <w:t>period</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980" w:type="dxa"/>
            <w:vAlign w:val="bottom"/>
          </w:tcPr>
          <w:p>
            <w:pPr>
              <w:spacing w:after="0" w:line="165" w:lineRule="exact"/>
              <w:rPr>
                <w:sz w:val="20"/>
                <w:szCs w:val="20"/>
                <w:color w:val="auto"/>
              </w:rPr>
            </w:pPr>
            <w:r>
              <w:rPr>
                <w:rFonts w:ascii="Arial" w:cs="Arial" w:eastAsia="Arial" w:hAnsi="Arial"/>
                <w:sz w:val="16"/>
                <w:szCs w:val="16"/>
                <w:color w:val="auto"/>
              </w:rPr>
              <w:t>Release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Shares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withheld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related to net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share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settlement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Repurchases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of common</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(29.9)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(229.0)</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Exercise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stock options</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and 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w w:val="88"/>
              </w:rPr>
              <w:t>Assumed 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options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with</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acquisition</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Purchase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87"/>
              </w:rPr>
              <w:t>bond hedges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(265.3)</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Sale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warrants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Tax benefit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98"/>
              </w:rPr>
              <w:t>attributable to</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bond hedges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purchased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Stock-based</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214.6</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w w:val="96"/>
              </w:rPr>
              <w:t>compensation</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Other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Arial" w:cs="Arial" w:eastAsia="Arial" w:hAnsi="Arial"/>
                <w:sz w:val="16"/>
                <w:szCs w:val="16"/>
                <w:color w:val="auto"/>
                <w:w w:val="88"/>
              </w:rPr>
              <w:t>comprehensive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income (loss)</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b w:val="1"/>
                <w:bCs w:val="1"/>
                <w:color w:val="auto"/>
              </w:rPr>
              <w:t>Balances at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382.8</w:t>
            </w:r>
          </w:p>
        </w:tc>
        <w:tc>
          <w:tcPr>
            <w:tcW w:w="8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2,468.1</w:t>
            </w:r>
          </w:p>
        </w:tc>
        <w:tc>
          <w:tcPr>
            <w:tcW w:w="0" w:type="dxa"/>
            <w:vAlign w:val="bottom"/>
          </w:tcPr>
          <w:p>
            <w:pPr>
              <w:spacing w:after="0"/>
              <w:rPr>
                <w:sz w:val="1"/>
                <w:szCs w:val="1"/>
                <w:color w:val="auto"/>
              </w:rPr>
            </w:pPr>
          </w:p>
        </w:tc>
      </w:tr>
      <w:tr>
        <w:trPr>
          <w:trHeight w:val="182"/>
        </w:trPr>
        <w:tc>
          <w:tcPr>
            <w:tcW w:w="980" w:type="dxa"/>
            <w:vAlign w:val="bottom"/>
          </w:tcPr>
          <w:p>
            <w:pPr>
              <w:spacing w:after="0" w:line="182" w:lineRule="exact"/>
              <w:rPr>
                <w:sz w:val="20"/>
                <w:szCs w:val="20"/>
                <w:color w:val="auto"/>
              </w:rPr>
            </w:pPr>
            <w:r>
              <w:rPr>
                <w:rFonts w:ascii="Arial" w:cs="Arial" w:eastAsia="Arial" w:hAnsi="Arial"/>
                <w:sz w:val="16"/>
                <w:szCs w:val="16"/>
                <w:b w:val="1"/>
                <w:bCs w:val="1"/>
                <w:color w:val="auto"/>
                <w:w w:val="94"/>
              </w:rPr>
              <w:t>end of period</w:t>
            </w: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7"/>
              </w:rPr>
              <w:t>Accumulated</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8"/>
              </w:rPr>
              <w:t>Total</w:t>
            </w:r>
          </w:p>
        </w:tc>
        <w:tc>
          <w:tcPr>
            <w:tcW w:w="1260" w:type="dxa"/>
            <w:vAlign w:val="bottom"/>
            <w:tcBorders>
              <w:top w:val="single" w:sz="8" w:color="auto"/>
            </w:tcBorders>
            <w:gridSpan w:val="5"/>
          </w:tcPr>
          <w:p>
            <w:pPr>
              <w:jc w:val="center"/>
              <w:ind w:right="80"/>
              <w:spacing w:after="0" w:line="155" w:lineRule="exact"/>
              <w:rPr>
                <w:sz w:val="20"/>
                <w:szCs w:val="20"/>
                <w:color w:val="auto"/>
              </w:rPr>
            </w:pPr>
            <w:r>
              <w:rPr>
                <w:rFonts w:ascii="Arial" w:cs="Arial" w:eastAsia="Arial" w:hAnsi="Arial"/>
                <w:sz w:val="16"/>
                <w:szCs w:val="16"/>
                <w:b w:val="1"/>
                <w:bCs w:val="1"/>
                <w:color w:val="auto"/>
                <w:w w:val="85"/>
              </w:rPr>
              <w:t>Class A and</w:t>
            </w: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60" w:type="dxa"/>
            <w:vAlign w:val="bottom"/>
            <w:gridSpan w:val="5"/>
            <w:vMerge w:val="restart"/>
          </w:tcPr>
          <w:p>
            <w:pPr>
              <w:jc w:val="center"/>
              <w:ind w:right="80"/>
              <w:spacing w:after="0"/>
              <w:rPr>
                <w:sz w:val="20"/>
                <w:szCs w:val="20"/>
                <w:color w:val="auto"/>
              </w:rPr>
            </w:pPr>
            <w:r>
              <w:rPr>
                <w:rFonts w:ascii="Arial" w:cs="Arial" w:eastAsia="Arial" w:hAnsi="Arial"/>
                <w:sz w:val="16"/>
                <w:szCs w:val="16"/>
                <w:b w:val="1"/>
                <w:bCs w:val="1"/>
                <w:color w:val="auto"/>
                <w:w w:val="84"/>
              </w:rPr>
              <w:t>Class B common</w:t>
            </w:r>
          </w:p>
        </w:tc>
        <w:tc>
          <w:tcPr>
            <w:tcW w:w="8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Additional</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60"/>
              <w:spacing w:after="0" w:line="156" w:lineRule="exact"/>
              <w:rPr>
                <w:sz w:val="20"/>
                <w:szCs w:val="20"/>
                <w:color w:val="auto"/>
              </w:rPr>
            </w:pPr>
            <w:r>
              <w:rPr>
                <w:rFonts w:ascii="Arial" w:cs="Arial" w:eastAsia="Arial" w:hAnsi="Arial"/>
                <w:sz w:val="16"/>
                <w:szCs w:val="16"/>
                <w:b w:val="1"/>
                <w:bCs w:val="1"/>
                <w:color w:val="auto"/>
                <w:w w:val="89"/>
              </w:rPr>
              <w:t>other</w:t>
            </w:r>
          </w:p>
        </w:tc>
        <w:tc>
          <w:tcPr>
            <w:tcW w:w="1000" w:type="dxa"/>
            <w:vAlign w:val="bottom"/>
            <w:gridSpan w:val="3"/>
          </w:tcPr>
          <w:p>
            <w:pPr>
              <w:jc w:val="center"/>
              <w:ind w:right="80"/>
              <w:spacing w:after="0" w:line="156" w:lineRule="exact"/>
              <w:rPr>
                <w:sz w:val="20"/>
                <w:szCs w:val="20"/>
                <w:color w:val="auto"/>
              </w:rPr>
            </w:pPr>
            <w:r>
              <w:rPr>
                <w:rFonts w:ascii="Arial" w:cs="Arial" w:eastAsia="Arial" w:hAnsi="Arial"/>
                <w:sz w:val="16"/>
                <w:szCs w:val="16"/>
                <w:b w:val="1"/>
                <w:bCs w:val="1"/>
                <w:color w:val="auto"/>
                <w:w w:val="85"/>
              </w:rPr>
              <w:t>stockholders'</w:t>
            </w:r>
          </w:p>
        </w:tc>
        <w:tc>
          <w:tcPr>
            <w:tcW w:w="1260" w:type="dxa"/>
            <w:vAlign w:val="bottom"/>
            <w:gridSpan w:val="5"/>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6" w:lineRule="exact"/>
              <w:rPr>
                <w:sz w:val="20"/>
                <w:szCs w:val="20"/>
                <w:color w:val="auto"/>
              </w:rPr>
            </w:pPr>
            <w:r>
              <w:rPr>
                <w:rFonts w:ascii="Arial" w:cs="Arial" w:eastAsia="Arial" w:hAnsi="Arial"/>
                <w:sz w:val="16"/>
                <w:szCs w:val="16"/>
                <w:b w:val="1"/>
                <w:bCs w:val="1"/>
                <w:color w:val="auto"/>
                <w:w w:val="84"/>
              </w:rPr>
              <w:t>other</w:t>
            </w: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000" w:type="dxa"/>
            <w:vAlign w:val="bottom"/>
            <w:gridSpan w:val="3"/>
            <w:vMerge w:val="restart"/>
          </w:tcPr>
          <w:p>
            <w:pPr>
              <w:ind w:left="20"/>
              <w:spacing w:after="0" w:line="156" w:lineRule="exact"/>
              <w:rPr>
                <w:sz w:val="20"/>
                <w:szCs w:val="20"/>
                <w:color w:val="auto"/>
              </w:rPr>
            </w:pPr>
            <w:r>
              <w:rPr>
                <w:rFonts w:ascii="Arial" w:cs="Arial" w:eastAsia="Arial" w:hAnsi="Arial"/>
                <w:sz w:val="16"/>
                <w:szCs w:val="16"/>
                <w:b w:val="1"/>
                <w:bCs w:val="1"/>
                <w:color w:val="auto"/>
                <w:w w:val="95"/>
              </w:rPr>
              <w:t>Accumulated</w:t>
            </w:r>
          </w:p>
        </w:tc>
        <w:tc>
          <w:tcPr>
            <w:tcW w:w="1120" w:type="dxa"/>
            <w:vAlign w:val="bottom"/>
            <w:gridSpan w:val="3"/>
            <w:vMerge w:val="restart"/>
          </w:tcPr>
          <w:p>
            <w:pPr>
              <w:jc w:val="center"/>
              <w:ind w:right="80"/>
              <w:spacing w:after="0" w:line="156" w:lineRule="exact"/>
              <w:rPr>
                <w:sz w:val="20"/>
                <w:szCs w:val="20"/>
                <w:color w:val="auto"/>
              </w:rPr>
            </w:pPr>
            <w:r>
              <w:rPr>
                <w:rFonts w:ascii="Arial" w:cs="Arial" w:eastAsia="Arial" w:hAnsi="Arial"/>
                <w:sz w:val="16"/>
                <w:szCs w:val="16"/>
                <w:b w:val="1"/>
                <w:bCs w:val="1"/>
                <w:color w:val="auto"/>
                <w:w w:val="85"/>
              </w:rPr>
              <w:t>comprehensive</w:t>
            </w:r>
          </w:p>
        </w:tc>
        <w:tc>
          <w:tcPr>
            <w:tcW w:w="140" w:type="dxa"/>
            <w:vAlign w:val="bottom"/>
          </w:tcPr>
          <w:p>
            <w:pPr>
              <w:spacing w:after="0"/>
              <w:rPr>
                <w:sz w:val="9"/>
                <w:szCs w:val="9"/>
                <w:color w:val="auto"/>
              </w:rPr>
            </w:pPr>
          </w:p>
        </w:tc>
        <w:tc>
          <w:tcPr>
            <w:tcW w:w="860" w:type="dxa"/>
            <w:vAlign w:val="bottom"/>
            <w:gridSpan w:val="2"/>
            <w:vMerge w:val="restart"/>
          </w:tcPr>
          <w:p>
            <w:pPr>
              <w:jc w:val="center"/>
              <w:ind w:right="220"/>
              <w:spacing w:after="0" w:line="156" w:lineRule="exact"/>
              <w:rPr>
                <w:sz w:val="20"/>
                <w:szCs w:val="20"/>
                <w:color w:val="auto"/>
              </w:rPr>
            </w:pPr>
            <w:r>
              <w:rPr>
                <w:rFonts w:ascii="Arial" w:cs="Arial" w:eastAsia="Arial" w:hAnsi="Arial"/>
                <w:sz w:val="16"/>
                <w:szCs w:val="16"/>
                <w:b w:val="1"/>
                <w:bCs w:val="1"/>
                <w:color w:val="auto"/>
                <w:w w:val="89"/>
              </w:rPr>
              <w:t>(deficit)</w:t>
            </w:r>
          </w:p>
        </w:tc>
        <w:tc>
          <w:tcPr>
            <w:tcW w:w="860" w:type="dxa"/>
            <w:vAlign w:val="bottom"/>
            <w:tcBorders>
              <w:bottom w:val="single" w:sz="8" w:color="auto"/>
            </w:tcBorders>
            <w:gridSpan w:val="3"/>
          </w:tcPr>
          <w:p>
            <w:pPr>
              <w:jc w:val="center"/>
              <w:ind w:left="243"/>
              <w:spacing w:after="0" w:line="105" w:lineRule="exact"/>
              <w:rPr>
                <w:sz w:val="20"/>
                <w:szCs w:val="20"/>
                <w:color w:val="auto"/>
              </w:rPr>
            </w:pPr>
            <w:r>
              <w:rPr>
                <w:rFonts w:ascii="Arial" w:cs="Arial" w:eastAsia="Arial" w:hAnsi="Arial"/>
                <w:sz w:val="12"/>
                <w:szCs w:val="12"/>
                <w:b w:val="1"/>
                <w:bCs w:val="1"/>
                <w:color w:val="auto"/>
              </w:rPr>
              <w:t>stock</w:t>
            </w: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ind w:left="20"/>
              <w:spacing w:after="0" w:line="156" w:lineRule="exact"/>
              <w:rPr>
                <w:sz w:val="20"/>
                <w:szCs w:val="20"/>
                <w:color w:val="auto"/>
              </w:rPr>
            </w:pPr>
            <w:r>
              <w:rPr>
                <w:rFonts w:ascii="Arial" w:cs="Arial" w:eastAsia="Arial" w:hAnsi="Arial"/>
                <w:sz w:val="16"/>
                <w:szCs w:val="16"/>
                <w:b w:val="1"/>
                <w:bCs w:val="1"/>
                <w:color w:val="auto"/>
              </w:rPr>
              <w:t>paid-in</w:t>
            </w:r>
          </w:p>
        </w:tc>
        <w:tc>
          <w:tcPr>
            <w:tcW w:w="1020" w:type="dxa"/>
            <w:vAlign w:val="bottom"/>
            <w:gridSpan w:val="3"/>
            <w:vMerge w:val="restart"/>
          </w:tcPr>
          <w:p>
            <w:pPr>
              <w:ind w:left="20"/>
              <w:spacing w:after="0" w:line="156" w:lineRule="exact"/>
              <w:rPr>
                <w:sz w:val="20"/>
                <w:szCs w:val="20"/>
                <w:color w:val="auto"/>
              </w:rPr>
            </w:pPr>
            <w:r>
              <w:rPr>
                <w:rFonts w:ascii="Arial" w:cs="Arial" w:eastAsia="Arial" w:hAnsi="Arial"/>
                <w:sz w:val="16"/>
                <w:szCs w:val="16"/>
                <w:b w:val="1"/>
                <w:bCs w:val="1"/>
                <w:color w:val="auto"/>
                <w:w w:val="97"/>
              </w:rPr>
              <w:t>Accumulated</w:t>
            </w:r>
          </w:p>
        </w:tc>
        <w:tc>
          <w:tcPr>
            <w:tcW w:w="1120" w:type="dxa"/>
            <w:vAlign w:val="bottom"/>
            <w:gridSpan w:val="3"/>
            <w:vMerge w:val="restart"/>
          </w:tcPr>
          <w:p>
            <w:pPr>
              <w:jc w:val="center"/>
              <w:ind w:right="100"/>
              <w:spacing w:after="0" w:line="156" w:lineRule="exact"/>
              <w:rPr>
                <w:sz w:val="20"/>
                <w:szCs w:val="20"/>
                <w:color w:val="auto"/>
              </w:rPr>
            </w:pPr>
            <w:r>
              <w:rPr>
                <w:rFonts w:ascii="Arial" w:cs="Arial" w:eastAsia="Arial" w:hAnsi="Arial"/>
                <w:sz w:val="16"/>
                <w:szCs w:val="16"/>
                <w:b w:val="1"/>
                <w:bCs w:val="1"/>
                <w:color w:val="auto"/>
                <w:w w:val="83"/>
              </w:rPr>
              <w:t>comprehensive</w:t>
            </w:r>
          </w:p>
        </w:tc>
        <w:tc>
          <w:tcPr>
            <w:tcW w:w="920" w:type="dxa"/>
            <w:vAlign w:val="bottom"/>
            <w:gridSpan w:val="2"/>
            <w:vMerge w:val="restart"/>
          </w:tcPr>
          <w:p>
            <w:pPr>
              <w:ind w:left="20"/>
              <w:spacing w:after="0" w:line="156" w:lineRule="exact"/>
              <w:rPr>
                <w:sz w:val="20"/>
                <w:szCs w:val="20"/>
                <w:color w:val="auto"/>
              </w:rPr>
            </w:pPr>
            <w:r>
              <w:rPr>
                <w:rFonts w:ascii="Arial" w:cs="Arial" w:eastAsia="Arial" w:hAnsi="Arial"/>
                <w:sz w:val="16"/>
                <w:szCs w:val="16"/>
                <w:b w:val="1"/>
                <w:bCs w:val="1"/>
                <w:color w:val="auto"/>
                <w:w w:val="84"/>
              </w:rPr>
              <w:t>stockholders’</w:t>
            </w:r>
          </w:p>
        </w:tc>
        <w:tc>
          <w:tcPr>
            <w:tcW w:w="0" w:type="dxa"/>
            <w:vAlign w:val="bottom"/>
          </w:tcPr>
          <w:p>
            <w:pPr>
              <w:spacing w:after="0"/>
              <w:rPr>
                <w:sz w:val="1"/>
                <w:szCs w:val="1"/>
                <w:color w:val="auto"/>
              </w:rPr>
            </w:pPr>
          </w:p>
        </w:tc>
      </w:tr>
      <w:tr>
        <w:trPr>
          <w:trHeight w:val="32"/>
        </w:trPr>
        <w:tc>
          <w:tcPr>
            <w:tcW w:w="100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6"/>
              </w:rPr>
              <w:t>Shares</w:t>
            </w:r>
          </w:p>
        </w:tc>
        <w:tc>
          <w:tcPr>
            <w:tcW w:w="60" w:type="dxa"/>
            <w:vAlign w:val="bottom"/>
            <w:vMerge w:val="restart"/>
          </w:tcPr>
          <w:p>
            <w:pPr>
              <w:spacing w:after="0"/>
              <w:rPr>
                <w:sz w:val="2"/>
                <w:szCs w:val="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7"/>
              </w:rPr>
              <w:t>deficit</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5"/>
              </w:rPr>
              <w:t>income</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equity</w:t>
            </w:r>
          </w:p>
        </w:tc>
        <w:tc>
          <w:tcPr>
            <w:tcW w:w="8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0" w:type="dxa"/>
            <w:vAlign w:val="bottom"/>
            <w:tcBorders>
              <w:bottom w:val="single" w:sz="8" w:color="auto"/>
            </w:tcBorders>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90"/>
              </w:rPr>
              <w:t>capital</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5"/>
              </w:rPr>
              <w:t>income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497"/>
        </w:trPr>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(2,241.4)</w:t>
            </w:r>
          </w:p>
        </w:tc>
        <w:tc>
          <w:tcPr>
            <w:tcW w:w="80" w:type="dxa"/>
            <w:vAlign w:val="bottom"/>
          </w:tcPr>
          <w:p>
            <w:pPr>
              <w:spacing w:after="0"/>
              <w:rPr>
                <w:sz w:val="24"/>
                <w:szCs w:val="24"/>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333.8</w:t>
            </w:r>
          </w:p>
        </w:tc>
        <w:tc>
          <w:tcPr>
            <w:tcW w:w="80" w:type="dxa"/>
            <w:vAlign w:val="bottom"/>
          </w:tcPr>
          <w:p>
            <w:pPr>
              <w:spacing w:after="0"/>
              <w:rPr>
                <w:sz w:val="24"/>
                <w:szCs w:val="24"/>
                <w:color w:val="auto"/>
              </w:rPr>
            </w:pPr>
          </w:p>
        </w:tc>
        <w:tc>
          <w:tcPr>
            <w:tcW w:w="520" w:type="dxa"/>
            <w:vAlign w:val="bottom"/>
          </w:tcPr>
          <w:p>
            <w:pPr>
              <w:jc w:val="right"/>
              <w:ind w:right="3"/>
              <w:spacing w:after="0"/>
              <w:rPr>
                <w:sz w:val="20"/>
                <w:szCs w:val="20"/>
                <w:color w:val="auto"/>
              </w:rPr>
            </w:pPr>
            <w:r>
              <w:rPr>
                <w:rFonts w:ascii="Arial" w:cs="Arial" w:eastAsia="Arial" w:hAnsi="Arial"/>
                <w:sz w:val="16"/>
                <w:szCs w:val="16"/>
                <w:color w:val="auto"/>
              </w:rPr>
              <w:t>417.0</w:t>
            </w:r>
          </w:p>
        </w:tc>
        <w:tc>
          <w:tcPr>
            <w:tcW w:w="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2,531.3</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(1,726.2)</w:t>
            </w:r>
          </w:p>
        </w:tc>
        <w:tc>
          <w:tcPr>
            <w:tcW w:w="8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808.4</w:t>
            </w:r>
          </w:p>
        </w:tc>
        <w:tc>
          <w:tcPr>
            <w:tcW w:w="0" w:type="dxa"/>
            <w:vAlign w:val="bottom"/>
          </w:tcPr>
          <w:p>
            <w:pPr>
              <w:spacing w:after="0"/>
              <w:rPr>
                <w:sz w:val="1"/>
                <w:szCs w:val="1"/>
                <w:color w:val="auto"/>
              </w:rPr>
            </w:pPr>
          </w:p>
        </w:tc>
      </w:tr>
      <w:tr>
        <w:trPr>
          <w:trHeight w:val="677"/>
        </w:trPr>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
              <w:spacing w:after="0"/>
              <w:rPr>
                <w:sz w:val="20"/>
                <w:szCs w:val="20"/>
                <w:color w:val="auto"/>
              </w:rPr>
            </w:pPr>
            <w:r>
              <w:rPr>
                <w:rFonts w:ascii="Arial" w:cs="Arial" w:eastAsia="Arial" w:hAnsi="Arial"/>
                <w:sz w:val="16"/>
                <w:szCs w:val="16"/>
                <w:color w:val="auto"/>
              </w:rPr>
              <w:t>9.4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02"/>
        </w:trPr>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(98.2)</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521"/>
        </w:trPr>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(534.7)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(763.7)</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(177.3)</w:t>
            </w:r>
          </w:p>
        </w:tc>
        <w:tc>
          <w:tcPr>
            <w:tcW w:w="0" w:type="dxa"/>
            <w:vAlign w:val="bottom"/>
          </w:tcPr>
          <w:p>
            <w:pPr>
              <w:spacing w:after="0"/>
              <w:rPr>
                <w:sz w:val="1"/>
                <w:szCs w:val="1"/>
                <w:color w:val="auto"/>
              </w:rPr>
            </w:pPr>
          </w:p>
        </w:tc>
      </w:tr>
      <w:tr>
        <w:trPr>
          <w:trHeight w:val="521"/>
        </w:trPr>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24"/>
                <w:szCs w:val="24"/>
                <w:color w:val="auto"/>
              </w:rPr>
            </w:pPr>
          </w:p>
        </w:tc>
        <w:tc>
          <w:tcPr>
            <w:tcW w:w="520" w:type="dxa"/>
            <w:vAlign w:val="bottom"/>
          </w:tcPr>
          <w:p>
            <w:pPr>
              <w:jc w:val="right"/>
              <w:ind w:right="3"/>
              <w:spacing w:after="0"/>
              <w:rPr>
                <w:sz w:val="20"/>
                <w:szCs w:val="20"/>
                <w:color w:val="auto"/>
              </w:rPr>
            </w:pPr>
            <w:r>
              <w:rPr>
                <w:rFonts w:ascii="Arial" w:cs="Arial" w:eastAsia="Arial" w:hAnsi="Arial"/>
                <w:sz w:val="16"/>
                <w:szCs w:val="16"/>
                <w:color w:val="auto"/>
              </w:rPr>
              <w:t>0.4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834"/>
        </w:trPr>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0"/>
        </w:trPr>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(265.3)</w:t>
            </w:r>
          </w:p>
        </w:tc>
        <w:tc>
          <w:tcPr>
            <w:tcW w:w="8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0"/>
        </w:trPr>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202.9</w:t>
            </w:r>
          </w:p>
        </w:tc>
        <w:tc>
          <w:tcPr>
            <w:tcW w:w="8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02"/>
        </w:trPr>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214.6</w:t>
            </w:r>
          </w:p>
        </w:tc>
        <w:tc>
          <w:tcPr>
            <w:tcW w:w="8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192.1</w:t>
            </w:r>
          </w:p>
        </w:tc>
        <w:tc>
          <w:tcPr>
            <w:tcW w:w="0" w:type="dxa"/>
            <w:vAlign w:val="bottom"/>
          </w:tcPr>
          <w:p>
            <w:pPr>
              <w:spacing w:after="0"/>
              <w:rPr>
                <w:sz w:val="1"/>
                <w:szCs w:val="1"/>
                <w:color w:val="auto"/>
              </w:rPr>
            </w:pPr>
          </w:p>
        </w:tc>
      </w:tr>
      <w:tr>
        <w:trPr>
          <w:trHeight w:val="521"/>
        </w:trPr>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1"/>
        </w:trPr>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89.5</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319"/>
        </w:trPr>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(2,635.5)</w:t>
            </w:r>
          </w:p>
        </w:tc>
        <w:tc>
          <w:tcPr>
            <w:tcW w:w="80" w:type="dxa"/>
            <w:vAlign w:val="bottom"/>
          </w:tcPr>
          <w:p>
            <w:pPr>
              <w:spacing w:after="0"/>
              <w:rPr>
                <w:sz w:val="24"/>
                <w:szCs w:val="24"/>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(162.6)</w:t>
            </w:r>
          </w:p>
        </w:tc>
        <w:tc>
          <w:tcPr>
            <w:tcW w:w="80" w:type="dxa"/>
            <w:vAlign w:val="bottom"/>
          </w:tcPr>
          <w:p>
            <w:pPr>
              <w:spacing w:after="0"/>
              <w:rPr>
                <w:sz w:val="24"/>
                <w:szCs w:val="24"/>
                <w:color w:val="auto"/>
              </w:rPr>
            </w:pPr>
          </w:p>
        </w:tc>
        <w:tc>
          <w:tcPr>
            <w:tcW w:w="520" w:type="dxa"/>
            <w:vAlign w:val="bottom"/>
          </w:tcPr>
          <w:p>
            <w:pPr>
              <w:jc w:val="right"/>
              <w:ind w:right="3"/>
              <w:spacing w:after="0"/>
              <w:rPr>
                <w:sz w:val="20"/>
                <w:szCs w:val="20"/>
                <w:color w:val="auto"/>
              </w:rPr>
            </w:pPr>
            <w:r>
              <w:rPr>
                <w:rFonts w:ascii="Arial" w:cs="Arial" w:eastAsia="Arial" w:hAnsi="Arial"/>
                <w:sz w:val="16"/>
                <w:szCs w:val="16"/>
                <w:color w:val="auto"/>
              </w:rPr>
              <w:t>414.3</w:t>
            </w:r>
          </w:p>
        </w:tc>
        <w:tc>
          <w:tcPr>
            <w:tcW w:w="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2,608.8</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(1,764.3)</w:t>
            </w:r>
          </w:p>
        </w:tc>
        <w:tc>
          <w:tcPr>
            <w:tcW w:w="8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851.3</w:t>
            </w:r>
          </w:p>
        </w:tc>
        <w:tc>
          <w:tcPr>
            <w:tcW w:w="0" w:type="dxa"/>
            <w:vAlign w:val="bottom"/>
          </w:tcPr>
          <w:p>
            <w:pPr>
              <w:spacing w:after="0"/>
              <w:rPr>
                <w:sz w:val="1"/>
                <w:szCs w:val="1"/>
                <w:color w:val="auto"/>
              </w:rPr>
            </w:pPr>
          </w:p>
        </w:tc>
      </w:tr>
      <w:tr>
        <w:trPr>
          <w:trHeight w:val="22"/>
        </w:trPr>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-1952625</wp:posOffset>
            </wp:positionH>
            <wp:positionV relativeFrom="paragraph">
              <wp:posOffset>-5805170</wp:posOffset>
            </wp:positionV>
            <wp:extent cx="7198360" cy="330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8360" cy="330835"/>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-5044440</wp:posOffset>
            </wp:positionV>
            <wp:extent cx="7198360" cy="826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8360" cy="826770"/>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-3886200</wp:posOffset>
            </wp:positionV>
            <wp:extent cx="7198360" cy="330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8360" cy="330835"/>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-3026410</wp:posOffset>
            </wp:positionV>
            <wp:extent cx="7198360" cy="6286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8360" cy="628650"/>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-1769110</wp:posOffset>
            </wp:positionV>
            <wp:extent cx="7198360" cy="826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8360" cy="826770"/>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-710565</wp:posOffset>
            </wp:positionV>
            <wp:extent cx="7198360" cy="330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8360" cy="330835"/>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-247650</wp:posOffset>
            </wp:positionV>
            <wp:extent cx="7198360" cy="231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8360" cy="231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80"/>
            <w:col w:w="8260"/>
          </w:cols>
          <w:pgMar w:left="32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80"/>
        <w:spacing w:after="0"/>
        <w:rPr>
          <w:sz w:val="20"/>
          <w:szCs w:val="20"/>
          <w:color w:val="auto"/>
        </w:rPr>
      </w:pPr>
      <w:r>
        <w:rPr>
          <w:rFonts w:ascii="Arial" w:cs="Arial" w:eastAsia="Arial" w:hAnsi="Arial"/>
          <w:sz w:val="15"/>
          <w:szCs w:val="15"/>
          <w:i w:val="1"/>
          <w:iCs w:val="1"/>
          <w:color w:val="auto"/>
        </w:rPr>
        <w:t>See accompanying Notes to Condensed Consolidated Financial Statement</w:t>
      </w:r>
    </w:p>
    <w:p>
      <w:pPr>
        <w:spacing w:after="0" w:line="200" w:lineRule="exact"/>
        <w:rPr>
          <w:sz w:val="20"/>
          <w:szCs w:val="20"/>
          <w:color w:val="auto"/>
        </w:rPr>
      </w:pPr>
    </w:p>
    <w:p>
      <w:pPr>
        <w:spacing w:after="0" w:line="33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0" w:name="page11"/>
    <w:bookmarkEnd w:id="1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20" w:lineRule="exact"/>
        <w:rPr>
          <w:sz w:val="20"/>
          <w:szCs w:val="20"/>
          <w:color w:val="auto"/>
        </w:rPr>
      </w:pPr>
    </w:p>
    <w:p>
      <w:pPr>
        <w:jc w:val="center"/>
        <w:ind w:left="7980"/>
        <w:spacing w:after="0"/>
        <w:rPr>
          <w:sz w:val="20"/>
          <w:szCs w:val="20"/>
          <w:color w:val="auto"/>
        </w:rPr>
      </w:pPr>
      <w:r>
        <w:rPr>
          <w:rFonts w:ascii="Arial" w:cs="Arial" w:eastAsia="Arial" w:hAnsi="Arial"/>
          <w:sz w:val="16"/>
          <w:szCs w:val="16"/>
          <w:b w:val="1"/>
          <w:bCs w:val="1"/>
          <w:color w:val="auto"/>
        </w:rPr>
        <w:t>Nine Months Ended</w:t>
      </w:r>
    </w:p>
    <w:p>
      <w:pPr>
        <w:jc w:val="center"/>
        <w:ind w:left="7980"/>
        <w:spacing w:after="0"/>
        <w:rPr>
          <w:sz w:val="20"/>
          <w:szCs w:val="20"/>
          <w:color w:val="auto"/>
        </w:rPr>
      </w:pPr>
      <w:r>
        <w:rPr>
          <w:rFonts w:ascii="Arial" w:cs="Arial" w:eastAsia="Arial" w:hAnsi="Arial"/>
          <w:sz w:val="16"/>
          <w:szCs w:val="16"/>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2020</w:t>
            </w:r>
          </w:p>
        </w:tc>
      </w:tr>
      <w:tr>
        <w:trPr>
          <w:trHeight w:val="34"/>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8"/>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5"/>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211.2</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89.5</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110.3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120.5</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Impairment related to real estate assets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Net gains on equity investments</w:t>
            </w:r>
          </w:p>
        </w:tc>
        <w:tc>
          <w:tcPr>
            <w:tcW w:w="9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commissions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Trade and other receivables, net</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Accrued and other current liabilities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benefits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05"/>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Tenant improvement allowance reimbursement</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r>
      <w:tr>
        <w:trPr>
          <w:trHeight w:val="20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400.1</w:t>
            </w:r>
          </w:p>
        </w:tc>
      </w:tr>
      <w:tr>
        <w:trPr>
          <w:trHeight w:val="18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Business combinations, net of cash acquired</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(1,060.6)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(541.1)</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270.3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183.0</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w:t>
            </w:r>
          </w:p>
        </w:tc>
      </w:tr>
      <w:tr>
        <w:trPr>
          <w:trHeight w:val="205"/>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0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(191.6)</w:t>
            </w:r>
          </w:p>
        </w:tc>
      </w:tr>
      <w:tr>
        <w:trPr>
          <w:trHeight w:val="18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convertible senior notes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Purchases of convertible note hedge in connection with issuance of convertible senior notes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warrants in connection with issuance of convertible senior notes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taxes related to net share settlement of restricted stock units and awards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issuance of common stock, net of taxes withheld</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Principal payments on finance lease obligations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r>
      <w:tr>
        <w:trPr>
          <w:trHeight w:val="205"/>
        </w:trPr>
        <w:tc>
          <w:tcPr>
            <w:tcW w:w="7980" w:type="dxa"/>
            <w:vAlign w:val="bottom"/>
          </w:tcPr>
          <w:p>
            <w:pPr>
              <w:ind w:left="220"/>
              <w:spacing w:after="0"/>
              <w:rPr>
                <w:sz w:val="20"/>
                <w:szCs w:val="20"/>
                <w:color w:val="auto"/>
              </w:rPr>
            </w:pPr>
            <w:r>
              <w:rPr>
                <w:rFonts w:ascii="Arial" w:cs="Arial" w:eastAsia="Arial" w:hAnsi="Arial"/>
                <w:sz w:val="16"/>
                <w:szCs w:val="16"/>
                <w:color w:val="auto"/>
              </w:rPr>
              <w:t>Common stock repurchases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(177.3)</w:t>
            </w: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198"/>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9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368.5</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(307.9)</w:t>
            </w:r>
          </w:p>
        </w:tc>
      </w:tr>
      <w:tr>
        <w:trPr>
          <w:trHeight w:val="20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9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198"/>
        </w:trPr>
        <w:tc>
          <w:tcPr>
            <w:tcW w:w="7980" w:type="dxa"/>
            <w:vAlign w:val="bottom"/>
          </w:tcPr>
          <w:p>
            <w:pPr>
              <w:ind w:left="20"/>
              <w:spacing w:after="0" w:line="182" w:lineRule="exact"/>
              <w:rPr>
                <w:sz w:val="20"/>
                <w:szCs w:val="20"/>
                <w:color w:val="auto"/>
              </w:rPr>
            </w:pPr>
            <w:r>
              <w:rPr>
                <w:rFonts w:ascii="Arial" w:cs="Arial" w:eastAsia="Arial" w:hAnsi="Arial"/>
                <w:sz w:val="16"/>
                <w:szCs w:val="16"/>
                <w:color w:val="auto"/>
              </w:rPr>
              <w:t>Change in cash and cash equivalents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(98.6)</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551.3</w:t>
            </w:r>
          </w:p>
        </w:tc>
      </w:tr>
      <w:tr>
        <w:trPr>
          <w:trHeight w:val="198"/>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452.7</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3"/>
        </w:trPr>
        <w:tc>
          <w:tcPr>
            <w:tcW w:w="79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0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26"/>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Property and equipment acquired under finance leases</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Description of the Business and Summary of Significant Accounting Policies</w:t>
      </w:r>
    </w:p>
    <w:p>
      <w:pPr>
        <w:spacing w:after="0" w:line="35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w:t>
      </w:r>
    </w:p>
    <w:p>
      <w:pPr>
        <w:spacing w:after="0" w:line="117" w:lineRule="exact"/>
        <w:rPr>
          <w:sz w:val="20"/>
          <w:szCs w:val="20"/>
          <w:color w:val="auto"/>
        </w:rPr>
      </w:pPr>
    </w:p>
    <w:p>
      <w:pPr>
        <w:ind w:right="240" w:firstLine="430"/>
        <w:spacing w:after="0" w:line="319" w:lineRule="auto"/>
        <w:rPr>
          <w:sz w:val="20"/>
          <w:szCs w:val="20"/>
          <w:color w:val="auto"/>
        </w:rPr>
      </w:pPr>
      <w:r>
        <w:rPr>
          <w:rFonts w:ascii="Arial" w:cs="Arial" w:eastAsia="Arial" w:hAnsi="Arial"/>
          <w:sz w:val="16"/>
          <w:szCs w:val="16"/>
          <w:color w:val="auto"/>
        </w:rPr>
        <w:t>Dropbox, Inc. (the “Company” or “Dropbox”) helps keep life organized and work moving. Dropbox was incorporated in May 2007 as Evenflow, Inc., a Delaware corporation, and changed its name to Dropbox, Inc. in October 2009. The Company is headquartered in San Francisco, California.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17" w:lineRule="exact"/>
        <w:rPr>
          <w:sz w:val="20"/>
          <w:szCs w:val="20"/>
          <w:color w:val="auto"/>
        </w:rPr>
      </w:pPr>
    </w:p>
    <w:p>
      <w:pPr>
        <w:ind w:right="120" w:firstLine="430"/>
        <w:spacing w:after="0" w:line="26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United States of America generally accepted accounting principles (“GAAP”) and applicable rules and regulations of the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201" w:lineRule="exact"/>
        <w:rPr>
          <w:sz w:val="20"/>
          <w:szCs w:val="20"/>
          <w:color w:val="auto"/>
        </w:rPr>
      </w:pPr>
    </w:p>
    <w:p>
      <w:pPr>
        <w:ind w:right="80" w:firstLine="430"/>
        <w:spacing w:after="0" w:line="287" w:lineRule="auto"/>
        <w:rPr>
          <w:sz w:val="20"/>
          <w:szCs w:val="20"/>
          <w:color w:val="auto"/>
        </w:rPr>
      </w:pPr>
      <w:r>
        <w:rPr>
          <w:rFonts w:ascii="Arial" w:cs="Arial" w:eastAsia="Arial" w:hAnsi="Arial"/>
          <w:sz w:val="16"/>
          <w:szCs w:val="16"/>
          <w:color w:val="auto"/>
        </w:rPr>
        <w:t>The condensed consolidated balance sheet as of December 31, 2020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equity and the statements of cash flows for the interim periods, but are not necessarily indicative of the results of operations to be anticipated for the full fiscal year ended December 31, 2021 or any future period.</w:t>
      </w:r>
    </w:p>
    <w:p>
      <w:pPr>
        <w:spacing w:after="0" w:line="188" w:lineRule="exact"/>
        <w:rPr>
          <w:sz w:val="20"/>
          <w:szCs w:val="20"/>
          <w:color w:val="auto"/>
        </w:rPr>
      </w:pPr>
    </w:p>
    <w:p>
      <w:pPr>
        <w:ind w:firstLine="430"/>
        <w:spacing w:after="0" w:line="357" w:lineRule="auto"/>
        <w:rPr>
          <w:sz w:val="20"/>
          <w:szCs w:val="20"/>
          <w:color w:val="auto"/>
        </w:rPr>
      </w:pPr>
      <w:r>
        <w:rPr>
          <w:rFonts w:ascii="Arial" w:cs="Arial" w:eastAsia="Arial" w:hAnsi="Arial"/>
          <w:sz w:val="15"/>
          <w:szCs w:val="15"/>
          <w:color w:val="auto"/>
        </w:rPr>
        <w:t>The unaudited condensed consolidated financial statements should be read in conjunction with the audited consolidated financial statements and the related notes thereto as of and for the year ended December 31, 2020, included in the Company's Annual Report on Form 10-K on file with the SEC ("Annual Report").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7" w:lineRule="exact"/>
        <w:rPr>
          <w:sz w:val="20"/>
          <w:szCs w:val="20"/>
          <w:color w:val="auto"/>
        </w:rPr>
      </w:pPr>
    </w:p>
    <w:p>
      <w:pPr>
        <w:ind w:right="280" w:firstLine="430"/>
        <w:spacing w:after="0" w:line="26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201" w:lineRule="exact"/>
        <w:rPr>
          <w:sz w:val="20"/>
          <w:szCs w:val="20"/>
          <w:color w:val="auto"/>
        </w:rPr>
      </w:pPr>
    </w:p>
    <w:p>
      <w:pPr>
        <w:ind w:right="40" w:firstLine="430"/>
        <w:spacing w:after="0" w:line="286" w:lineRule="auto"/>
        <w:rPr>
          <w:sz w:val="20"/>
          <w:szCs w:val="20"/>
          <w:color w:val="auto"/>
        </w:rPr>
      </w:pPr>
      <w:r>
        <w:rPr>
          <w:rFonts w:ascii="Arial" w:cs="Arial" w:eastAsia="Arial" w:hAnsi="Arial"/>
          <w:sz w:val="17"/>
          <w:szCs w:val="17"/>
          <w:color w:val="auto"/>
        </w:rPr>
        <w:t>The Company’s most significant estimates and judgments involves the valuation of acquired intangible assets and goodwill from business combinations as well as the valuation of right-of-use and other lease related assets.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Financial information about segments and geographic areas</w:t>
      </w:r>
    </w:p>
    <w:p>
      <w:pPr>
        <w:spacing w:after="0" w:line="117" w:lineRule="exact"/>
        <w:rPr>
          <w:sz w:val="20"/>
          <w:szCs w:val="20"/>
          <w:color w:val="auto"/>
        </w:rPr>
      </w:pPr>
    </w:p>
    <w:p>
      <w:pPr>
        <w:ind w:right="400" w:firstLine="430"/>
        <w:spacing w:after="0" w:line="287" w:lineRule="auto"/>
        <w:rPr>
          <w:sz w:val="20"/>
          <w:szCs w:val="20"/>
          <w:color w:val="auto"/>
        </w:rPr>
      </w:pPr>
      <w:r>
        <w:rPr>
          <w:rFonts w:ascii="Arial" w:cs="Arial" w:eastAsia="Arial" w:hAnsi="Arial"/>
          <w:sz w:val="16"/>
          <w:szCs w:val="16"/>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for information regarding the Company’s long-lived assets and revenue by geography.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117" w:lineRule="exact"/>
        <w:rPr>
          <w:sz w:val="20"/>
          <w:szCs w:val="20"/>
          <w:color w:val="auto"/>
        </w:rPr>
      </w:pPr>
    </w:p>
    <w:p>
      <w:pPr>
        <w:ind w:right="120" w:firstLine="430"/>
        <w:spacing w:after="0" w:line="271" w:lineRule="auto"/>
        <w:rPr>
          <w:sz w:val="20"/>
          <w:szCs w:val="20"/>
          <w:color w:val="auto"/>
        </w:rPr>
      </w:pPr>
      <w:r>
        <w:rPr>
          <w:rFonts w:ascii="Arial" w:cs="Arial" w:eastAsia="Arial" w:hAnsi="Arial"/>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w:t>
      </w:r>
    </w:p>
    <w:p>
      <w:pPr>
        <w:spacing w:after="0" w:line="197" w:lineRule="exact"/>
        <w:rPr>
          <w:sz w:val="20"/>
          <w:szCs w:val="20"/>
          <w:color w:val="auto"/>
        </w:rPr>
      </w:pPr>
    </w:p>
    <w:p>
      <w:pPr>
        <w:ind w:right="120" w:firstLine="430"/>
        <w:spacing w:after="0" w:line="266" w:lineRule="auto"/>
        <w:rPr>
          <w:sz w:val="20"/>
          <w:szCs w:val="20"/>
          <w:color w:val="auto"/>
        </w:rPr>
      </w:pPr>
      <w:r>
        <w:rPr>
          <w:rFonts w:ascii="Arial" w:cs="Arial" w:eastAsia="Arial" w:hAnsi="Arial"/>
          <w:sz w:val="17"/>
          <w:szCs w:val="17"/>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The Company recorded net foreign currency transaction losses of $1.4 million and $0.8 million during the three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and nine months ended September 30, 2021, respectively, and net foreign currency transaction gains of $2.1 million during the three and nine months ended September 30, 2020, respectively.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7" w:lineRule="exact"/>
        <w:rPr>
          <w:sz w:val="20"/>
          <w:szCs w:val="20"/>
          <w:color w:val="auto"/>
        </w:rPr>
      </w:pPr>
    </w:p>
    <w:p>
      <w:pPr>
        <w:jc w:val="both"/>
        <w:ind w:right="280" w:firstLine="430"/>
        <w:spacing w:after="0" w:line="271" w:lineRule="auto"/>
        <w:rPr>
          <w:sz w:val="20"/>
          <w:szCs w:val="20"/>
          <w:color w:val="auto"/>
        </w:rPr>
      </w:pPr>
      <w:r>
        <w:rPr>
          <w:rFonts w:ascii="Arial" w:cs="Arial" w:eastAsia="Arial" w:hAnsi="Arial"/>
          <w:sz w:val="17"/>
          <w:szCs w:val="17"/>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67" w:lineRule="exact"/>
        <w:rPr>
          <w:sz w:val="20"/>
          <w:szCs w:val="20"/>
          <w:color w:val="auto"/>
        </w:rPr>
      </w:pPr>
    </w:p>
    <w:p>
      <w:pPr>
        <w:ind w:left="940" w:hanging="311"/>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17" w:lineRule="exact"/>
        <w:rPr>
          <w:rFonts w:ascii="Arial" w:cs="Arial" w:eastAsia="Arial" w:hAnsi="Arial"/>
          <w:sz w:val="17"/>
          <w:szCs w:val="17"/>
          <w:color w:val="auto"/>
        </w:rPr>
      </w:pPr>
    </w:p>
    <w:p>
      <w:pPr>
        <w:ind w:left="940" w:hanging="311"/>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17" w:lineRule="exact"/>
        <w:rPr>
          <w:rFonts w:ascii="Arial" w:cs="Arial" w:eastAsia="Arial" w:hAnsi="Arial"/>
          <w:sz w:val="17"/>
          <w:szCs w:val="17"/>
          <w:color w:val="auto"/>
        </w:rPr>
      </w:pPr>
    </w:p>
    <w:p>
      <w:pPr>
        <w:ind w:left="940" w:hanging="311"/>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17" w:lineRule="exact"/>
        <w:rPr>
          <w:rFonts w:ascii="Arial" w:cs="Arial" w:eastAsia="Arial" w:hAnsi="Arial"/>
          <w:sz w:val="17"/>
          <w:szCs w:val="17"/>
          <w:color w:val="auto"/>
        </w:rPr>
      </w:pPr>
    </w:p>
    <w:p>
      <w:pPr>
        <w:ind w:left="940" w:hanging="311"/>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17" w:lineRule="exact"/>
        <w:rPr>
          <w:rFonts w:ascii="Arial" w:cs="Arial" w:eastAsia="Arial" w:hAnsi="Arial"/>
          <w:sz w:val="17"/>
          <w:szCs w:val="17"/>
          <w:color w:val="auto"/>
        </w:rPr>
      </w:pPr>
    </w:p>
    <w:p>
      <w:pPr>
        <w:ind w:left="940" w:hanging="311"/>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247" w:lineRule="exact"/>
        <w:rPr>
          <w:sz w:val="20"/>
          <w:szCs w:val="20"/>
          <w:color w:val="auto"/>
        </w:rPr>
      </w:pPr>
    </w:p>
    <w:p>
      <w:pPr>
        <w:ind w:right="180" w:firstLine="430"/>
        <w:spacing w:after="0" w:line="306" w:lineRule="auto"/>
        <w:rPr>
          <w:sz w:val="20"/>
          <w:szCs w:val="20"/>
          <w:color w:val="auto"/>
        </w:rPr>
      </w:pPr>
      <w:r>
        <w:rPr>
          <w:rFonts w:ascii="Arial" w:cs="Arial" w:eastAsia="Arial" w:hAnsi="Arial"/>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77" w:lineRule="exact"/>
        <w:rPr>
          <w:sz w:val="20"/>
          <w:szCs w:val="20"/>
          <w:color w:val="auto"/>
        </w:rPr>
      </w:pPr>
    </w:p>
    <w:p>
      <w:pPr>
        <w:jc w:val="both"/>
        <w:ind w:right="120" w:firstLine="430"/>
        <w:spacing w:after="0" w:line="295" w:lineRule="auto"/>
        <w:rPr>
          <w:sz w:val="20"/>
          <w:szCs w:val="20"/>
          <w:color w:val="auto"/>
        </w:rPr>
      </w:pPr>
      <w:r>
        <w:rPr>
          <w:rFonts w:ascii="Arial" w:cs="Arial" w:eastAsia="Arial" w:hAnsi="Arial"/>
          <w:sz w:val="16"/>
          <w:szCs w:val="16"/>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81" w:lineRule="exact"/>
        <w:rPr>
          <w:sz w:val="20"/>
          <w:szCs w:val="20"/>
          <w:color w:val="auto"/>
        </w:rPr>
      </w:pPr>
    </w:p>
    <w:p>
      <w:pPr>
        <w:ind w:right="500" w:firstLine="430"/>
        <w:spacing w:after="0" w:line="286" w:lineRule="auto"/>
        <w:rPr>
          <w:sz w:val="20"/>
          <w:szCs w:val="20"/>
          <w:color w:val="auto"/>
        </w:rPr>
      </w:pPr>
      <w:r>
        <w:rPr>
          <w:rFonts w:ascii="Arial" w:cs="Arial" w:eastAsia="Arial" w:hAnsi="Arial"/>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85" w:lineRule="exact"/>
        <w:rPr>
          <w:sz w:val="20"/>
          <w:szCs w:val="20"/>
          <w:color w:val="auto"/>
        </w:rPr>
      </w:pPr>
    </w:p>
    <w:p>
      <w:pPr>
        <w:jc w:val="both"/>
        <w:ind w:right="180" w:firstLine="430"/>
        <w:spacing w:after="0" w:line="271" w:lineRule="auto"/>
        <w:rPr>
          <w:sz w:val="20"/>
          <w:szCs w:val="20"/>
          <w:color w:val="auto"/>
        </w:rPr>
      </w:pPr>
      <w:r>
        <w:rPr>
          <w:rFonts w:ascii="Arial" w:cs="Arial" w:eastAsia="Arial" w:hAnsi="Arial"/>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97" w:lineRule="exact"/>
        <w:rPr>
          <w:sz w:val="20"/>
          <w:szCs w:val="20"/>
          <w:color w:val="auto"/>
        </w:rPr>
      </w:pPr>
    </w:p>
    <w:p>
      <w:pPr>
        <w:jc w:val="both"/>
        <w:ind w:right="280" w:firstLine="430"/>
        <w:spacing w:after="0" w:line="271" w:lineRule="auto"/>
        <w:rPr>
          <w:sz w:val="20"/>
          <w:szCs w:val="20"/>
          <w:color w:val="auto"/>
        </w:rPr>
      </w:pPr>
      <w:r>
        <w:rPr>
          <w:rFonts w:ascii="Arial" w:cs="Arial" w:eastAsia="Arial" w:hAnsi="Arial"/>
          <w:sz w:val="17"/>
          <w:szCs w:val="17"/>
          <w:color w:val="auto"/>
        </w:rPr>
        <w:t>The Company recognized $312.1 million and $574.3 million of revenue during the three and nine months ended September 30, 2021, respectively, and recognized $277.0 million and $522.7 million of revenue during the three and nine months ended September 30, 2020, respectively, that was included in the deferred revenue balances at the beginning of their respective periods.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2021, future estimated revenue related to performance obligations that were unsatisfied or partially unsatisfied was $725.5 million.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 substantial majority of the unsatisfied performance obligations will be satisfied over the next twelve months.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7" w:lineRule="exact"/>
        <w:rPr>
          <w:sz w:val="20"/>
          <w:szCs w:val="20"/>
          <w:color w:val="auto"/>
        </w:rPr>
      </w:pPr>
    </w:p>
    <w:p>
      <w:pPr>
        <w:ind w:firstLine="430"/>
        <w:spacing w:after="0" w:line="261" w:lineRule="auto"/>
        <w:rPr>
          <w:sz w:val="20"/>
          <w:szCs w:val="20"/>
          <w:color w:val="auto"/>
        </w:rPr>
      </w:pPr>
      <w:r>
        <w:rPr>
          <w:rFonts w:ascii="Arial" w:cs="Arial" w:eastAsia="Arial" w:hAnsi="Arial"/>
          <w:sz w:val="17"/>
          <w:szCs w:val="17"/>
          <w:color w:val="auto"/>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The RSUs granted by the Company under the Dropbox Equity Incentive Plans have a service-based vesting condition over a four-year period. These awards typically have a cliff vesting period of one year and continue to vest quarterly thereafter. The Company recognizes compensation expense associated with RSUs ratably on a straight-line basis over the requisite service period and accounts for forfeitures in the period in which they occur. As of September 30, 2021, the Company had RSUs and restricted stock awards ("RSAs") granted to certain executives outstanding under the Dropbox Equity Incentive Plans.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60" w:firstLine="430"/>
        <w:spacing w:after="0" w:line="266" w:lineRule="auto"/>
        <w:rPr>
          <w:sz w:val="20"/>
          <w:szCs w:val="20"/>
          <w:color w:val="auto"/>
        </w:rPr>
      </w:pPr>
      <w:r>
        <w:rPr>
          <w:rFonts w:ascii="Arial" w:cs="Arial" w:eastAsia="Arial" w:hAnsi="Arial"/>
          <w:sz w:val="17"/>
          <w:szCs w:val="17"/>
          <w:color w:val="auto"/>
        </w:rPr>
        <w:t>The fair values of the common stock underlying the RSUs granted in periods prior to the date of the Company's initial public offering ("IPO") were determined by the Board of Directors, with input from management and contemporaneous third-party valuations, which were performed at least quarterly. For valuations after the Company's IPO, the Board of Directors determines the fair value of each share of underlying common stock based on the closing price of the Company's Class A common stock as reported on the Nasdaq Global Select Market on the date of the grant.</w:t>
      </w:r>
    </w:p>
    <w:p>
      <w:pPr>
        <w:spacing w:after="0" w:line="201" w:lineRule="exact"/>
        <w:rPr>
          <w:sz w:val="20"/>
          <w:szCs w:val="20"/>
          <w:color w:val="auto"/>
        </w:rPr>
      </w:pPr>
    </w:p>
    <w:p>
      <w:pPr>
        <w:ind w:firstLine="430"/>
        <w:spacing w:after="0" w:line="295" w:lineRule="auto"/>
        <w:rPr>
          <w:sz w:val="20"/>
          <w:szCs w:val="20"/>
          <w:color w:val="auto"/>
        </w:rPr>
      </w:pPr>
      <w:r>
        <w:rPr>
          <w:rFonts w:ascii="Arial" w:cs="Arial" w:eastAsia="Arial" w:hAnsi="Arial"/>
          <w:sz w:val="16"/>
          <w:szCs w:val="16"/>
          <w:color w:val="auto"/>
        </w:rPr>
        <w:t>In connection with the acquisition of DocSend, Inc. ("DocSend"), the Company assumed unvested stock options and an immaterial number of unvested RSUs that had been granted under DocSend's 2013 Stock Plan and DocSend's 2015 Stock Option and Grant Plan. The fair value of the DocSend options assumed were based upon the Black-Scholes option-pricing model. See Note 12 "Stockholders' (Deficit) Equity" for further information.</w:t>
      </w:r>
    </w:p>
    <w:p>
      <w:pPr>
        <w:spacing w:after="0" w:line="181" w:lineRule="exact"/>
        <w:rPr>
          <w:sz w:val="20"/>
          <w:szCs w:val="20"/>
          <w:color w:val="auto"/>
        </w:rPr>
      </w:pPr>
    </w:p>
    <w:p>
      <w:pPr>
        <w:ind w:firstLine="430"/>
        <w:spacing w:after="0" w:line="276" w:lineRule="auto"/>
        <w:rPr>
          <w:sz w:val="20"/>
          <w:szCs w:val="20"/>
          <w:color w:val="auto"/>
        </w:rPr>
      </w:pPr>
      <w:r>
        <w:rPr>
          <w:rFonts w:ascii="Arial" w:cs="Arial" w:eastAsia="Arial" w:hAnsi="Arial"/>
          <w:sz w:val="16"/>
          <w:szCs w:val="16"/>
          <w:color w:val="auto"/>
        </w:rPr>
        <w:t>In December 2017, the Board of Directors approved a grant to the Company’s co-founders of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a former director. These Co-Founder Grants have service-based, market-based, and performance-based vesting conditions.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Effective March 19, 2020, Mr. Ferdowsi resigned as a member of the Board of Directors and as an officer of the Company. As of the date of Mr. Ferdowsi's resignation, none of the Stock Price Targets had been met, resulting in the forfeiture of all of his 4.4 million RSAs. See Note 12 "Stockholders' (Deficit) Equity" for further information. During the third quarter of 2021, the Stock Price Target for the first tranche of Mr. Houston's Co-Founder Grant was achieved. As a result, the first tranche of Mr. Houston's Co-Founder Grant will vest in the fourth quarter of 2021, provided that the requisite service will be met through the vesting date. The stock-based compensation expense for Mr. Houston's Co-Founder Grant is recognized utilizing the accelerated attribution method, and therefore no incremental stock-based compensation will be recognized as a result of this release.</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7" w:lineRule="exact"/>
        <w:rPr>
          <w:sz w:val="20"/>
          <w:szCs w:val="20"/>
          <w:color w:val="auto"/>
        </w:rPr>
      </w:pPr>
    </w:p>
    <w:p>
      <w:pPr>
        <w:ind w:right="100" w:firstLine="430"/>
        <w:spacing w:after="0" w:line="277" w:lineRule="auto"/>
        <w:rPr>
          <w:sz w:val="20"/>
          <w:szCs w:val="20"/>
          <w:color w:val="auto"/>
        </w:rPr>
      </w:pPr>
      <w:r>
        <w:rPr>
          <w:rFonts w:ascii="Arial" w:cs="Arial" w:eastAsia="Arial" w:hAnsi="Arial"/>
          <w:sz w:val="16"/>
          <w:szCs w:val="16"/>
          <w:color w:val="auto"/>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7" w:lineRule="exact"/>
        <w:rPr>
          <w:sz w:val="20"/>
          <w:szCs w:val="20"/>
          <w:color w:val="auto"/>
        </w:rPr>
      </w:pPr>
    </w:p>
    <w:p>
      <w:pPr>
        <w:ind w:right="220" w:firstLine="430"/>
        <w:spacing w:after="0" w:line="271" w:lineRule="auto"/>
        <w:rPr>
          <w:sz w:val="20"/>
          <w:szCs w:val="20"/>
          <w:color w:val="auto"/>
        </w:rPr>
      </w:pPr>
      <w:r>
        <w:rPr>
          <w:rFonts w:ascii="Arial" w:cs="Arial" w:eastAsia="Arial" w:hAnsi="Arial"/>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97" w:lineRule="exact"/>
        <w:rPr>
          <w:sz w:val="20"/>
          <w:szCs w:val="20"/>
          <w:color w:val="auto"/>
        </w:rPr>
      </w:pPr>
    </w:p>
    <w:p>
      <w:pPr>
        <w:ind w:right="100" w:firstLine="430"/>
        <w:spacing w:after="0" w:line="286" w:lineRule="auto"/>
        <w:rPr>
          <w:sz w:val="20"/>
          <w:szCs w:val="20"/>
          <w:color w:val="auto"/>
        </w:rPr>
      </w:pPr>
      <w:r>
        <w:rPr>
          <w:rFonts w:ascii="Arial" w:cs="Arial" w:eastAsia="Arial" w:hAnsi="Arial"/>
          <w:sz w:val="17"/>
          <w:szCs w:val="17"/>
          <w:color w:val="auto"/>
        </w:rPr>
        <w:t>The Company monitors its credit risk by considering factors such as historical experience, credit ratings, current economic conditions, and reasonable and supportable forecasts.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17" w:lineRule="exact"/>
        <w:rPr>
          <w:sz w:val="20"/>
          <w:szCs w:val="20"/>
          <w:color w:val="auto"/>
        </w:rPr>
      </w:pPr>
    </w:p>
    <w:p>
      <w:pPr>
        <w:ind w:right="80" w:firstLine="430"/>
        <w:spacing w:after="0" w:line="283" w:lineRule="auto"/>
        <w:rPr>
          <w:sz w:val="20"/>
          <w:szCs w:val="20"/>
          <w:color w:val="auto"/>
        </w:rPr>
      </w:pPr>
      <w:r>
        <w:rPr>
          <w:rFonts w:ascii="Arial" w:cs="Arial" w:eastAsia="Arial" w:hAnsi="Arial"/>
          <w:sz w:val="16"/>
          <w:szCs w:val="16"/>
          <w:color w:val="auto"/>
        </w:rPr>
        <w:t>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short-term investments, including securities with stated maturities beyond twelve months, within current assets in the condensed consolidated balance sheets.</w:t>
      </w:r>
    </w:p>
    <w:p>
      <w:pPr>
        <w:spacing w:after="0" w:line="259" w:lineRule="exact"/>
        <w:rPr>
          <w:sz w:val="20"/>
          <w:szCs w:val="20"/>
          <w:color w:val="auto"/>
        </w:rPr>
      </w:pPr>
    </w:p>
    <w:p>
      <w:pPr>
        <w:ind w:right="20" w:firstLine="430"/>
        <w:spacing w:after="0" w:line="279" w:lineRule="auto"/>
        <w:rPr>
          <w:sz w:val="20"/>
          <w:szCs w:val="20"/>
          <w:color w:val="auto"/>
        </w:rPr>
      </w:pPr>
      <w:r>
        <w:rPr>
          <w:rFonts w:ascii="Arial" w:cs="Arial" w:eastAsia="Arial" w:hAnsi="Arial"/>
          <w:sz w:val="16"/>
          <w:szCs w:val="16"/>
          <w:color w:val="auto"/>
        </w:rPr>
        <w:t>The Company's short-term investments are recorded at fair value each reporting period. Unrealized gains and losses on these short-term investments are reported as a separate component of accumulated other comprehensive income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and nine months ended September 30, 2021.</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17" w:lineRule="exact"/>
        <w:rPr>
          <w:sz w:val="20"/>
          <w:szCs w:val="20"/>
          <w:color w:val="auto"/>
        </w:rPr>
      </w:pPr>
    </w:p>
    <w:p>
      <w:pPr>
        <w:ind w:right="60" w:firstLine="430"/>
        <w:spacing w:after="0" w:line="271"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97" w:lineRule="exact"/>
        <w:rPr>
          <w:sz w:val="20"/>
          <w:szCs w:val="20"/>
          <w:color w:val="auto"/>
        </w:rPr>
      </w:pPr>
    </w:p>
    <w:p>
      <w:pPr>
        <w:ind w:right="80" w:firstLine="430"/>
        <w:spacing w:after="0" w:line="271" w:lineRule="auto"/>
        <w:rPr>
          <w:sz w:val="20"/>
          <w:szCs w:val="20"/>
          <w:color w:val="auto"/>
        </w:rPr>
      </w:pPr>
      <w:r>
        <w:rPr>
          <w:rFonts w:ascii="Arial" w:cs="Arial" w:eastAsia="Arial" w:hAnsi="Arial"/>
          <w:sz w:val="17"/>
          <w:szCs w:val="17"/>
          <w:color w:val="auto"/>
        </w:rPr>
        <w:t>Two distribution partners accounted for 15% and 33%, respectively, of total trade and other receivables, net as of September 30, 2021. Two distribution partners accounted for 11% and 28%, respectively, of total trade and other receivables, net as of December 31, 2020. No customer accounted for more than 10% of the Company’s revenue in the periods presented.</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Deferred commissions, net</w:t>
      </w:r>
    </w:p>
    <w:p>
      <w:pPr>
        <w:spacing w:after="0" w:line="117" w:lineRule="exact"/>
        <w:rPr>
          <w:sz w:val="20"/>
          <w:szCs w:val="20"/>
          <w:color w:val="auto"/>
        </w:rPr>
      </w:pPr>
    </w:p>
    <w:p>
      <w:pPr>
        <w:ind w:firstLine="430"/>
        <w:spacing w:after="0" w:line="283" w:lineRule="auto"/>
        <w:rPr>
          <w:sz w:val="20"/>
          <w:szCs w:val="20"/>
          <w:color w:val="auto"/>
        </w:rPr>
      </w:pPr>
      <w:r>
        <w:rPr>
          <w:rFonts w:ascii="Arial" w:cs="Arial" w:eastAsia="Arial" w:hAnsi="Arial"/>
          <w:sz w:val="16"/>
          <w:szCs w:val="16"/>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condensed consolidated balance sheets. The Company deferred incremental costs of obtaining a contract of $7.2 million and $17.0 million during the three and nine months ended September 30, 2021, respectively, and $8.6 million and $27.6 million during the three and nine months ended September 30, 2020, respectively.</w:t>
      </w:r>
    </w:p>
    <w:p>
      <w:pPr>
        <w:spacing w:after="0" w:line="192" w:lineRule="exact"/>
        <w:rPr>
          <w:sz w:val="20"/>
          <w:szCs w:val="20"/>
          <w:color w:val="auto"/>
        </w:rPr>
      </w:pPr>
    </w:p>
    <w:p>
      <w:pPr>
        <w:jc w:val="both"/>
        <w:ind w:right="100" w:firstLine="430"/>
        <w:spacing w:after="0" w:line="271" w:lineRule="auto"/>
        <w:rPr>
          <w:sz w:val="20"/>
          <w:szCs w:val="20"/>
          <w:color w:val="auto"/>
        </w:rPr>
      </w:pPr>
      <w:r>
        <w:rPr>
          <w:rFonts w:ascii="Arial" w:cs="Arial" w:eastAsia="Arial" w:hAnsi="Arial"/>
          <w:sz w:val="17"/>
          <w:szCs w:val="17"/>
          <w:color w:val="auto"/>
        </w:rPr>
        <w:t>Deferred commissions, net included in prepaid and other current assets were $30.1 million and $26.7 million as of September 30, 2021 and December 31, 2020, respectively. Deferred commissions, net included in other assets were $37.3 million and $47.3 million as of September 30, 2021 and December 31, 2020, respectively.</w:t>
      </w:r>
    </w:p>
    <w:p>
      <w:pPr>
        <w:spacing w:after="0" w:line="197" w:lineRule="exact"/>
        <w:rPr>
          <w:sz w:val="20"/>
          <w:szCs w:val="20"/>
          <w:color w:val="auto"/>
        </w:rPr>
      </w:pPr>
    </w:p>
    <w:p>
      <w:pPr>
        <w:ind w:right="100" w:firstLine="430"/>
        <w:spacing w:after="0" w:line="281" w:lineRule="auto"/>
        <w:rPr>
          <w:sz w:val="20"/>
          <w:szCs w:val="20"/>
          <w:color w:val="auto"/>
        </w:rPr>
      </w:pPr>
      <w:r>
        <w:rPr>
          <w:rFonts w:ascii="Arial" w:cs="Arial" w:eastAsia="Arial" w:hAnsi="Arial"/>
          <w:sz w:val="16"/>
          <w:szCs w:val="16"/>
          <w:color w:val="auto"/>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commissions are typically amortized over one year. Amortized costs were $8.2 million and $23.6 million for the three and nine months ended September 30, 2021, respectively, and $6.7 million and $17.5 million for the three and nine months ended September 30, 2020, respectively. Amortized costs are included in sales and marketing expense in the accompanying condensed consolidated statements of operations. There was no material impairment loss in relation to the deferred costs during the three and nine months ended September 30, 2021.</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7" w:lineRule="exact"/>
        <w:rPr>
          <w:sz w:val="20"/>
          <w:szCs w:val="20"/>
          <w:color w:val="auto"/>
        </w:rPr>
      </w:pPr>
    </w:p>
    <w:p>
      <w:pPr>
        <w:jc w:val="both"/>
        <w:ind w:right="280" w:firstLine="430"/>
        <w:spacing w:after="0" w:line="271" w:lineRule="auto"/>
        <w:rPr>
          <w:sz w:val="20"/>
          <w:szCs w:val="20"/>
          <w:color w:val="auto"/>
        </w:rPr>
      </w:pPr>
      <w:r>
        <w:rPr>
          <w:rFonts w:ascii="Arial" w:cs="Arial" w:eastAsia="Arial" w:hAnsi="Arial"/>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estimated useful lives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0" w:type="dxa"/>
            <w:vAlign w:val="bottom"/>
            <w:gridSpan w:val="2"/>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5620" w:type="dxa"/>
            <w:vAlign w:val="bottom"/>
          </w:tcPr>
          <w:p>
            <w:pPr>
              <w:jc w:val="center"/>
              <w:spacing w:after="0"/>
              <w:rPr>
                <w:sz w:val="20"/>
                <w:szCs w:val="20"/>
                <w:color w:val="auto"/>
              </w:rPr>
            </w:pPr>
            <w:r>
              <w:rPr>
                <w:rFonts w:ascii="Arial" w:cs="Arial" w:eastAsia="Arial" w:hAnsi="Arial"/>
                <w:sz w:val="17"/>
                <w:szCs w:val="17"/>
                <w:b w:val="1"/>
                <w:bCs w:val="1"/>
                <w:color w:val="auto"/>
                <w:w w:val="91"/>
              </w:rPr>
              <w:t>Useful life</w:t>
            </w:r>
          </w:p>
        </w:tc>
      </w:tr>
      <w:tr>
        <w:trPr>
          <w:trHeight w:val="32"/>
        </w:trPr>
        <w:tc>
          <w:tcPr>
            <w:tcW w:w="5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20" w:type="dxa"/>
            <w:vAlign w:val="bottom"/>
            <w:tcBorders>
              <w:top w:val="single" w:sz="8" w:color="auto"/>
            </w:tcBorders>
          </w:tcPr>
          <w:p>
            <w:pPr>
              <w:spacing w:after="0"/>
              <w:rPr>
                <w:sz w:val="2"/>
                <w:szCs w:val="2"/>
                <w:color w:val="auto"/>
              </w:rPr>
            </w:pPr>
          </w:p>
        </w:tc>
      </w:tr>
      <w:tr>
        <w:trPr>
          <w:trHeight w:val="221"/>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5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20 to 30 years</w:t>
            </w:r>
          </w:p>
        </w:tc>
      </w:tr>
      <w:tr>
        <w:trPr>
          <w:trHeight w:val="221"/>
        </w:trPr>
        <w:tc>
          <w:tcPr>
            <w:tcW w:w="5600" w:type="dxa"/>
            <w:vAlign w:val="bottom"/>
            <w:gridSpan w:val="2"/>
          </w:tcPr>
          <w:p>
            <w:pPr>
              <w:ind w:left="20"/>
              <w:spacing w:after="0"/>
              <w:rPr>
                <w:sz w:val="20"/>
                <w:szCs w:val="20"/>
                <w:color w:val="auto"/>
              </w:rPr>
            </w:pPr>
            <w:r>
              <w:rPr>
                <w:rFonts w:ascii="Arial" w:cs="Arial" w:eastAsia="Arial" w:hAnsi="Arial"/>
                <w:sz w:val="17"/>
                <w:szCs w:val="17"/>
                <w:color w:val="auto"/>
              </w:rPr>
              <w:t>Datacenter and other computer equipment</w:t>
            </w:r>
          </w:p>
        </w:tc>
        <w:tc>
          <w:tcPr>
            <w:tcW w:w="5620" w:type="dxa"/>
            <w:vAlign w:val="bottom"/>
          </w:tcPr>
          <w:p>
            <w:pPr>
              <w:jc w:val="center"/>
              <w:spacing w:after="0"/>
              <w:rPr>
                <w:sz w:val="20"/>
                <w:szCs w:val="20"/>
                <w:color w:val="auto"/>
              </w:rPr>
            </w:pPr>
            <w:r>
              <w:rPr>
                <w:rFonts w:ascii="Arial" w:cs="Arial" w:eastAsia="Arial" w:hAnsi="Arial"/>
                <w:sz w:val="17"/>
                <w:szCs w:val="17"/>
                <w:color w:val="auto"/>
                <w:w w:val="90"/>
              </w:rPr>
              <w:t>3 to 5 years</w:t>
            </w:r>
          </w:p>
        </w:tc>
      </w:tr>
      <w:tr>
        <w:trPr>
          <w:trHeight w:val="221"/>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Office equipment and other</w:t>
            </w:r>
          </w:p>
        </w:tc>
        <w:tc>
          <w:tcPr>
            <w:tcW w:w="5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 to 7 years</w:t>
            </w:r>
          </w:p>
        </w:tc>
      </w:tr>
      <w:tr>
        <w:trPr>
          <w:trHeight w:val="221"/>
        </w:trPr>
        <w:tc>
          <w:tcPr>
            <w:tcW w:w="5600" w:type="dxa"/>
            <w:vAlign w:val="bottom"/>
            <w:gridSpan w:val="2"/>
          </w:tcPr>
          <w:p>
            <w:pPr>
              <w:ind w:left="20"/>
              <w:spacing w:after="0"/>
              <w:rPr>
                <w:sz w:val="20"/>
                <w:szCs w:val="20"/>
                <w:color w:val="auto"/>
              </w:rPr>
            </w:pPr>
            <w:r>
              <w:rPr>
                <w:rFonts w:ascii="Arial" w:cs="Arial" w:eastAsia="Arial" w:hAnsi="Arial"/>
                <w:sz w:val="17"/>
                <w:szCs w:val="17"/>
                <w:color w:val="auto"/>
              </w:rPr>
              <w:t>Leasehold improvements</w:t>
            </w:r>
          </w:p>
        </w:tc>
        <w:tc>
          <w:tcPr>
            <w:tcW w:w="5620" w:type="dxa"/>
            <w:vAlign w:val="bottom"/>
          </w:tcPr>
          <w:p>
            <w:pPr>
              <w:jc w:val="center"/>
              <w:spacing w:after="0"/>
              <w:rPr>
                <w:sz w:val="20"/>
                <w:szCs w:val="20"/>
                <w:color w:val="auto"/>
              </w:rPr>
            </w:pPr>
            <w:r>
              <w:rPr>
                <w:rFonts w:ascii="Arial" w:cs="Arial" w:eastAsia="Arial" w:hAnsi="Arial"/>
                <w:sz w:val="17"/>
                <w:szCs w:val="17"/>
                <w:color w:val="auto"/>
                <w:w w:val="92"/>
              </w:rPr>
              <w:t>Lesser of estimated useful life or remaining lease term</w:t>
            </w:r>
          </w:p>
        </w:tc>
      </w:tr>
    </w:tbl>
    <w:p>
      <w:pPr>
        <w:spacing w:after="0" w:line="31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Lease obligations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 leases office space, data centers, and equipment under non-cancelable finance and operating leases with various expiration dates through</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2036. The Company determines if an arrangement contains a lease at inception.</w:t>
      </w:r>
    </w:p>
    <w:p>
      <w:pPr>
        <w:spacing w:after="0" w:line="235" w:lineRule="exact"/>
        <w:rPr>
          <w:sz w:val="20"/>
          <w:szCs w:val="20"/>
          <w:color w:val="auto"/>
        </w:rPr>
      </w:pPr>
    </w:p>
    <w:p>
      <w:pPr>
        <w:ind w:right="20" w:firstLine="430"/>
        <w:spacing w:after="0" w:line="287" w:lineRule="auto"/>
        <w:rPr>
          <w:sz w:val="20"/>
          <w:szCs w:val="20"/>
          <w:color w:val="auto"/>
        </w:rPr>
      </w:pPr>
      <w:r>
        <w:rPr>
          <w:rFonts w:ascii="Arial" w:cs="Arial" w:eastAsia="Arial" w:hAnsi="Arial"/>
          <w:sz w:val="16"/>
          <w:szCs w:val="16"/>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88" w:lineRule="exact"/>
        <w:rPr>
          <w:sz w:val="20"/>
          <w:szCs w:val="20"/>
          <w:color w:val="auto"/>
        </w:rPr>
      </w:pPr>
    </w:p>
    <w:p>
      <w:pPr>
        <w:ind w:right="120" w:firstLine="430"/>
        <w:spacing w:after="0" w:line="263" w:lineRule="auto"/>
        <w:rPr>
          <w:sz w:val="20"/>
          <w:szCs w:val="20"/>
          <w:color w:val="auto"/>
        </w:rPr>
      </w:pPr>
      <w:r>
        <w:rPr>
          <w:rFonts w:ascii="Arial" w:cs="Arial" w:eastAsia="Arial" w:hAnsi="Arial"/>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205" w:lineRule="exact"/>
        <w:rPr>
          <w:sz w:val="20"/>
          <w:szCs w:val="20"/>
          <w:color w:val="auto"/>
        </w:rPr>
      </w:pPr>
    </w:p>
    <w:p>
      <w:pPr>
        <w:ind w:right="320" w:firstLine="430"/>
        <w:spacing w:after="0" w:line="286" w:lineRule="auto"/>
        <w:rPr>
          <w:sz w:val="20"/>
          <w:szCs w:val="20"/>
          <w:color w:val="auto"/>
        </w:rPr>
      </w:pPr>
      <w:r>
        <w:rPr>
          <w:rFonts w:ascii="Arial" w:cs="Arial" w:eastAsia="Arial" w:hAnsi="Arial"/>
          <w:sz w:val="17"/>
          <w:szCs w:val="17"/>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185" w:lineRule="exact"/>
        <w:rPr>
          <w:sz w:val="20"/>
          <w:szCs w:val="20"/>
          <w:color w:val="auto"/>
        </w:rPr>
      </w:pPr>
    </w:p>
    <w:p>
      <w:pPr>
        <w:ind w:right="40" w:firstLine="430"/>
        <w:spacing w:after="0" w:line="263" w:lineRule="auto"/>
        <w:rPr>
          <w:sz w:val="20"/>
          <w:szCs w:val="20"/>
          <w:color w:val="auto"/>
        </w:rPr>
      </w:pPr>
      <w:r>
        <w:rPr>
          <w:rFonts w:ascii="Arial" w:cs="Arial" w:eastAsia="Arial" w:hAnsi="Arial"/>
          <w:sz w:val="17"/>
          <w:szCs w:val="17"/>
          <w:color w:val="auto"/>
        </w:rPr>
        <w:t>As part of the Company's Virtual First strategy, Dropbox will retain a portion of its office space to be used for the Company’s team collaboration use and a portion will be marketed for sublease. During the first quarter of 2021, the Company recorded an impairment charge of $17.3 million related to right-of-use assets and other lease related property and equipment assets. During the fourth quarter of 2020, the Company recorded an impairment charge of $398.2 million related to right-of-use assets and other lease related property and equipment assets. These impairment charges were recorded in conjunction with the Company's decision to move towards a Virtual First work model. See Note 9 "Leases" for further information.</w:t>
      </w:r>
    </w:p>
    <w:p>
      <w:pPr>
        <w:spacing w:after="0" w:line="205"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condensed consolidated statements of operations. Initial asset values and finance lease obligations are based on the present value of future minimum lease payments.</w:t>
      </w:r>
    </w:p>
    <w:p>
      <w:pPr>
        <w:spacing w:after="0" w:line="205" w:lineRule="exact"/>
        <w:rPr>
          <w:sz w:val="20"/>
          <w:szCs w:val="20"/>
          <w:color w:val="auto"/>
        </w:rPr>
      </w:pPr>
    </w:p>
    <w:p>
      <w:pPr>
        <w:ind w:right="240" w:firstLine="430"/>
        <w:spacing w:after="0" w:line="271" w:lineRule="auto"/>
        <w:rPr>
          <w:sz w:val="20"/>
          <w:szCs w:val="20"/>
          <w:color w:val="auto"/>
        </w:rPr>
      </w:pPr>
      <w:r>
        <w:rPr>
          <w:rFonts w:ascii="Arial" w:cs="Arial" w:eastAsia="Arial" w:hAnsi="Arial"/>
          <w:sz w:val="17"/>
          <w:szCs w:val="17"/>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7" w:lineRule="exact"/>
        <w:rPr>
          <w:sz w:val="20"/>
          <w:szCs w:val="20"/>
          <w:color w:val="auto"/>
        </w:rPr>
      </w:pPr>
    </w:p>
    <w:p>
      <w:pPr>
        <w:ind w:right="180" w:firstLine="430"/>
        <w:spacing w:after="0" w:line="312" w:lineRule="auto"/>
        <w:rPr>
          <w:sz w:val="20"/>
          <w:szCs w:val="20"/>
          <w:color w:val="auto"/>
        </w:rPr>
      </w:pPr>
      <w:r>
        <w:rPr>
          <w:rFonts w:ascii="Arial" w:cs="Arial" w:eastAsia="Arial" w:hAnsi="Arial"/>
          <w:sz w:val="15"/>
          <w:szCs w:val="15"/>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08" w:lineRule="exact"/>
        <w:rPr>
          <w:sz w:val="20"/>
          <w:szCs w:val="20"/>
          <w:color w:val="auto"/>
        </w:rPr>
      </w:pPr>
    </w:p>
    <w:p>
      <w:pPr>
        <w:ind w:right="20" w:firstLine="430"/>
        <w:spacing w:after="0" w:line="286" w:lineRule="auto"/>
        <w:rPr>
          <w:sz w:val="20"/>
          <w:szCs w:val="20"/>
          <w:color w:val="auto"/>
        </w:rPr>
      </w:pPr>
      <w:r>
        <w:rPr>
          <w:rFonts w:ascii="Arial" w:cs="Arial" w:eastAsia="Arial" w:hAnsi="Arial"/>
          <w:sz w:val="17"/>
          <w:szCs w:val="17"/>
          <w:color w:val="auto"/>
        </w:rPr>
        <w:t>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Long-lived assets, including goodwill and other acquired intangible assets, net</w:t>
      </w:r>
    </w:p>
    <w:p>
      <w:pPr>
        <w:spacing w:after="0" w:line="117" w:lineRule="exact"/>
        <w:rPr>
          <w:sz w:val="20"/>
          <w:szCs w:val="20"/>
          <w:color w:val="auto"/>
        </w:rPr>
      </w:pPr>
    </w:p>
    <w:p>
      <w:pPr>
        <w:ind w:firstLine="430"/>
        <w:spacing w:after="0" w:line="283" w:lineRule="auto"/>
        <w:rPr>
          <w:sz w:val="20"/>
          <w:szCs w:val="20"/>
          <w:color w:val="auto"/>
        </w:rPr>
      </w:pPr>
      <w:r>
        <w:rPr>
          <w:rFonts w:ascii="Arial" w:cs="Arial" w:eastAsia="Arial" w:hAnsi="Arial"/>
          <w:sz w:val="16"/>
          <w:szCs w:val="16"/>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92" w:lineRule="exact"/>
        <w:rPr>
          <w:sz w:val="20"/>
          <w:szCs w:val="20"/>
          <w:color w:val="auto"/>
        </w:rPr>
      </w:pPr>
    </w:p>
    <w:p>
      <w:pPr>
        <w:ind w:right="380" w:firstLine="430"/>
        <w:spacing w:after="0" w:line="286" w:lineRule="auto"/>
        <w:rPr>
          <w:sz w:val="20"/>
          <w:szCs w:val="20"/>
          <w:color w:val="auto"/>
        </w:rPr>
      </w:pPr>
      <w:r>
        <w:rPr>
          <w:rFonts w:ascii="Arial" w:cs="Arial" w:eastAsia="Arial" w:hAnsi="Arial"/>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85" w:lineRule="exact"/>
        <w:rPr>
          <w:sz w:val="20"/>
          <w:szCs w:val="20"/>
          <w:color w:val="auto"/>
        </w:rPr>
      </w:pPr>
    </w:p>
    <w:p>
      <w:pPr>
        <w:ind w:right="280" w:firstLine="430"/>
        <w:spacing w:after="0" w:line="286" w:lineRule="auto"/>
        <w:rPr>
          <w:sz w:val="20"/>
          <w:szCs w:val="20"/>
          <w:color w:val="auto"/>
        </w:rPr>
      </w:pPr>
      <w:r>
        <w:rPr>
          <w:rFonts w:ascii="Arial" w:cs="Arial" w:eastAsia="Arial" w:hAnsi="Arial"/>
          <w:sz w:val="17"/>
          <w:szCs w:val="17"/>
          <w:color w:val="auto"/>
        </w:rPr>
        <w:t>The Company has not recorded impairment charges on goodwill or intangible assets for the periods presented in these condensed consolidated financial statements.</w:t>
      </w:r>
    </w:p>
    <w:p>
      <w:pPr>
        <w:spacing w:after="0" w:line="185" w:lineRule="exact"/>
        <w:rPr>
          <w:sz w:val="20"/>
          <w:szCs w:val="20"/>
          <w:color w:val="auto"/>
        </w:rPr>
      </w:pPr>
    </w:p>
    <w:p>
      <w:pPr>
        <w:ind w:right="140" w:firstLine="430"/>
        <w:spacing w:after="0" w:line="286" w:lineRule="auto"/>
        <w:rPr>
          <w:sz w:val="20"/>
          <w:szCs w:val="20"/>
          <w:color w:val="auto"/>
        </w:rPr>
      </w:pPr>
      <w:r>
        <w:rPr>
          <w:rFonts w:ascii="Arial" w:cs="Arial" w:eastAsia="Arial" w:hAnsi="Arial"/>
          <w:sz w:val="17"/>
          <w:szCs w:val="17"/>
          <w:color w:val="auto"/>
        </w:rPr>
        <w:t>During the first quarter of 2021 and the fourth quarter of 2020, the Company recorded impairment charges in conjunction with the Company's decision to move towards a Virtual First work model. See Note 9 "Leases" for further information.</w:t>
      </w:r>
    </w:p>
    <w:p>
      <w:pPr>
        <w:spacing w:after="0" w:line="185" w:lineRule="exact"/>
        <w:rPr>
          <w:sz w:val="20"/>
          <w:szCs w:val="20"/>
          <w:color w:val="auto"/>
        </w:rPr>
      </w:pPr>
    </w:p>
    <w:p>
      <w:pPr>
        <w:ind w:right="140" w:firstLine="430"/>
        <w:spacing w:after="0" w:line="266" w:lineRule="auto"/>
        <w:rPr>
          <w:sz w:val="20"/>
          <w:szCs w:val="20"/>
          <w:color w:val="auto"/>
        </w:rPr>
      </w:pPr>
      <w:r>
        <w:rPr>
          <w:rFonts w:ascii="Arial" w:cs="Arial" w:eastAsia="Arial" w:hAnsi="Arial"/>
          <w:sz w:val="17"/>
          <w:szCs w:val="17"/>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Income taxes</w:t>
      </w:r>
    </w:p>
    <w:p>
      <w:pPr>
        <w:spacing w:after="0" w:line="117"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97" w:lineRule="exact"/>
        <w:rPr>
          <w:sz w:val="20"/>
          <w:szCs w:val="20"/>
          <w:color w:val="auto"/>
        </w:rPr>
      </w:pPr>
    </w:p>
    <w:p>
      <w:pPr>
        <w:ind w:right="160" w:firstLine="430"/>
        <w:spacing w:after="0" w:line="271" w:lineRule="auto"/>
        <w:rPr>
          <w:sz w:val="20"/>
          <w:szCs w:val="20"/>
          <w:color w:val="auto"/>
        </w:rPr>
      </w:pPr>
      <w:r>
        <w:rPr>
          <w:rFonts w:ascii="Arial" w:cs="Arial" w:eastAsia="Arial" w:hAnsi="Arial"/>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97" w:lineRule="exact"/>
        <w:rPr>
          <w:sz w:val="20"/>
          <w:szCs w:val="20"/>
          <w:color w:val="auto"/>
        </w:rPr>
      </w:pPr>
    </w:p>
    <w:p>
      <w:pPr>
        <w:ind w:right="80" w:firstLine="430"/>
        <w:spacing w:after="0" w:line="266" w:lineRule="auto"/>
        <w:rPr>
          <w:sz w:val="20"/>
          <w:szCs w:val="20"/>
          <w:color w:val="auto"/>
        </w:rPr>
      </w:pPr>
      <w:r>
        <w:rPr>
          <w:rFonts w:ascii="Arial" w:cs="Arial" w:eastAsia="Arial" w:hAnsi="Arial"/>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201" w:lineRule="exact"/>
        <w:rPr>
          <w:sz w:val="20"/>
          <w:szCs w:val="20"/>
          <w:color w:val="auto"/>
        </w:rPr>
      </w:pPr>
    </w:p>
    <w:p>
      <w:pPr>
        <w:ind w:right="360" w:firstLine="430"/>
        <w:spacing w:after="0" w:line="266" w:lineRule="auto"/>
        <w:rPr>
          <w:sz w:val="20"/>
          <w:szCs w:val="20"/>
          <w:color w:val="auto"/>
        </w:rPr>
      </w:pPr>
      <w:r>
        <w:rPr>
          <w:rFonts w:ascii="Arial" w:cs="Arial" w:eastAsia="Arial" w:hAnsi="Arial"/>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201" w:lineRule="exact"/>
        <w:rPr>
          <w:sz w:val="20"/>
          <w:szCs w:val="20"/>
          <w:color w:val="auto"/>
        </w:rPr>
      </w:pPr>
    </w:p>
    <w:p>
      <w:pPr>
        <w:ind w:right="140" w:firstLine="430"/>
        <w:spacing w:after="0" w:line="319"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17" w:lineRule="exact"/>
        <w:rPr>
          <w:sz w:val="20"/>
          <w:szCs w:val="20"/>
          <w:color w:val="auto"/>
        </w:rPr>
      </w:pPr>
    </w:p>
    <w:p>
      <w:pPr>
        <w:ind w:right="120" w:firstLine="430"/>
        <w:spacing w:after="0" w:line="286"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recognized or disclosed at fair value in the financial statements on a recurring basis. The Company defines fair value 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in active markets for identical assets or liabilities.</w:t>
      </w:r>
    </w:p>
    <w:p>
      <w:pPr>
        <w:spacing w:after="0" w:line="117" w:lineRule="exact"/>
        <w:rPr>
          <w:sz w:val="20"/>
          <w:szCs w:val="20"/>
          <w:color w:val="auto"/>
        </w:rPr>
      </w:pPr>
    </w:p>
    <w:p>
      <w:pPr>
        <w:jc w:val="both"/>
        <w:ind w:left="480" w:right="280"/>
        <w:spacing w:after="0" w:line="271"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quoted prices in active markets for identical assets and liabilities,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inactive markets, or other inputs that are observable or can be corroborated by observable market data for substantially the full term of the assets or liabilities.</w:t>
      </w:r>
    </w:p>
    <w:p>
      <w:pPr>
        <w:spacing w:after="0" w:line="67" w:lineRule="exact"/>
        <w:rPr>
          <w:sz w:val="20"/>
          <w:szCs w:val="20"/>
          <w:color w:val="auto"/>
        </w:rPr>
      </w:pPr>
    </w:p>
    <w:p>
      <w:pPr>
        <w:ind w:left="480" w:right="60"/>
        <w:spacing w:after="0" w:line="286"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that are generally unobservable and typically reflect management’s estimate of assumptions that market participants would use in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asset or liability.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17" w:lineRule="exact"/>
        <w:rPr>
          <w:sz w:val="20"/>
          <w:szCs w:val="20"/>
          <w:color w:val="auto"/>
        </w:rPr>
      </w:pPr>
    </w:p>
    <w:p>
      <w:pPr>
        <w:ind w:right="80" w:firstLine="430"/>
        <w:spacing w:after="0" w:line="276"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w:t>
      </w:r>
      <w:r>
        <w:rPr>
          <w:rFonts w:ascii="Arial" w:cs="Arial" w:eastAsia="Arial" w:hAnsi="Arial"/>
          <w:sz w:val="16"/>
          <w:szCs w:val="16"/>
          <w:color w:val="auto"/>
        </w:rPr>
        <w:t>This ASU simplifies the accounting for convertible instruments and contracts in an entity’s own equity, 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its overall simplification initiative to reduce costs and complexity of applying accounting standards while maintaining or improving the usefulness of the information provided to users of financial statements. Among other changes, the new guidance eliminates the requirement to separate the convertible debt into debt and equity components, unless the conversion feature is required to be bifurcated and accounted for as a derivative or the debt is issued at a substantial premium. As a result, after adopting the guidance, entities will no longer separately present such embedded conversion features in equity, and will instead account for the convertible debt wholly as debt. The ASU also removes certain settlement conditions that are required for equity contracts to qualify for the derivative scope exception, which will permit more equity contracts to qualify for it. Lastly, entities are required to use the if-converted method for convertible instruments in the diluted earnings per share calculation. The guidance is effective for financial statements issued for fiscal years beginning after December 15, 2021, and interim periods within those fiscal years, with early adoption permitted, but only at the beginning of the fiscal year. This update permits the use of either the modified retrospective or fully retrospective method of transition.</w:t>
      </w:r>
    </w:p>
    <w:p>
      <w:pPr>
        <w:spacing w:after="0" w:line="199" w:lineRule="exact"/>
        <w:rPr>
          <w:sz w:val="20"/>
          <w:szCs w:val="20"/>
          <w:color w:val="auto"/>
        </w:rPr>
      </w:pPr>
    </w:p>
    <w:p>
      <w:pPr>
        <w:ind w:right="20" w:firstLine="430"/>
        <w:spacing w:after="0" w:line="283" w:lineRule="auto"/>
        <w:rPr>
          <w:sz w:val="20"/>
          <w:szCs w:val="20"/>
          <w:color w:val="auto"/>
        </w:rPr>
      </w:pPr>
      <w:r>
        <w:rPr>
          <w:rFonts w:ascii="Arial" w:cs="Arial" w:eastAsia="Arial" w:hAnsi="Arial"/>
          <w:sz w:val="16"/>
          <w:szCs w:val="16"/>
          <w:color w:val="auto"/>
        </w:rPr>
        <w:t>The Company early adopted this guidance as of January 1, 2021 using the modified retrospective approach. The adoption of the guidance did not have an impact on the Company’s financial statement as of the adoption date. As further discussed in Note 8 "Debt", the Company issued certain convertible senior notes and entered into certain contracts in the Company’s own equity during the nine months ended September 30, 2021, and the accounting for these instruments was based on the guidance in ASU 2020-06. Additionally, the impact on diluted earnings per share of the convertible senior notes was calculated based on the if-converted method, as further described in Note 13 "Net Income Per Share"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Cash, Cash Equivalents and Short-Term Investments</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amortized cost, unrealized gains and losses and estimated fair value of the Company's cash, cash equivalents and short-term investments as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and December 31, 2020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5"/>
          </w:tcPr>
          <w:p>
            <w:pPr>
              <w:ind w:left="700"/>
              <w:spacing w:after="0"/>
              <w:rPr>
                <w:sz w:val="20"/>
                <w:szCs w:val="20"/>
                <w:color w:val="auto"/>
              </w:rPr>
            </w:pPr>
            <w:r>
              <w:rPr>
                <w:rFonts w:ascii="Arial" w:cs="Arial" w:eastAsia="Arial" w:hAnsi="Arial"/>
                <w:sz w:val="17"/>
                <w:szCs w:val="17"/>
                <w:b w:val="1"/>
                <w:bCs w:val="1"/>
                <w:color w:val="auto"/>
              </w:rPr>
              <w:t>As of September 30, 2021</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7"/>
                <w:szCs w:val="17"/>
                <w:b w:val="1"/>
                <w:bCs w:val="1"/>
                <w:color w:val="auto"/>
              </w:rPr>
              <w:t>Amortized Cost</w:t>
            </w:r>
          </w:p>
        </w:tc>
        <w:tc>
          <w:tcPr>
            <w:tcW w:w="28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7"/>
                <w:szCs w:val="17"/>
                <w:b w:val="1"/>
                <w:bCs w:val="1"/>
                <w:color w:val="auto"/>
              </w:rPr>
              <w:t>Unrealized Gain</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7"/>
                <w:szCs w:val="17"/>
                <w:b w:val="1"/>
                <w:bCs w:val="1"/>
                <w:color w:val="auto"/>
              </w:rPr>
              <w:t>Unrealized Loss</w:t>
            </w:r>
          </w:p>
        </w:tc>
        <w:tc>
          <w:tcPr>
            <w:tcW w:w="120" w:type="dxa"/>
            <w:vAlign w:val="bottom"/>
          </w:tcPr>
          <w:p>
            <w:pPr>
              <w:spacing w:after="0"/>
              <w:rPr>
                <w:sz w:val="18"/>
                <w:szCs w:val="18"/>
                <w:color w:val="auto"/>
              </w:rPr>
            </w:pPr>
          </w:p>
        </w:tc>
        <w:tc>
          <w:tcPr>
            <w:tcW w:w="1720" w:type="dxa"/>
            <w:vAlign w:val="bottom"/>
          </w:tcPr>
          <w:p>
            <w:pPr>
              <w:jc w:val="right"/>
              <w:ind w:right="53"/>
              <w:spacing w:after="0"/>
              <w:rPr>
                <w:sz w:val="20"/>
                <w:szCs w:val="20"/>
                <w:color w:val="auto"/>
              </w:rPr>
            </w:pPr>
            <w:r>
              <w:rPr>
                <w:rFonts w:ascii="Arial" w:cs="Arial" w:eastAsia="Arial" w:hAnsi="Arial"/>
                <w:sz w:val="17"/>
                <w:szCs w:val="17"/>
                <w:b w:val="1"/>
                <w:bCs w:val="1"/>
                <w:color w:val="auto"/>
                <w:w w:val="93"/>
              </w:rPr>
              <w:t>Estimated Fair Value</w:t>
            </w:r>
          </w:p>
        </w:tc>
        <w:tc>
          <w:tcPr>
            <w:tcW w:w="0" w:type="dxa"/>
            <w:vAlign w:val="bottom"/>
          </w:tcPr>
          <w:p>
            <w:pPr>
              <w:spacing w:after="0"/>
              <w:rPr>
                <w:sz w:val="1"/>
                <w:szCs w:val="1"/>
                <w:color w:val="auto"/>
              </w:rPr>
            </w:pPr>
          </w:p>
        </w:tc>
      </w:tr>
      <w:tr>
        <w:trPr>
          <w:trHeight w:val="32"/>
        </w:trPr>
        <w:tc>
          <w:tcPr>
            <w:tcW w:w="35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0" w:type="dxa"/>
            <w:vAlign w:val="bottom"/>
          </w:tcPr>
          <w:p>
            <w:pPr>
              <w:spacing w:after="0"/>
              <w:rPr>
                <w:sz w:val="1"/>
                <w:szCs w:val="1"/>
                <w:color w:val="auto"/>
              </w:rPr>
            </w:pPr>
          </w:p>
        </w:tc>
      </w:tr>
      <w:tr>
        <w:trPr>
          <w:trHeight w:val="221"/>
        </w:trPr>
        <w:tc>
          <w:tcPr>
            <w:tcW w:w="354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595.3</w:t>
            </w:r>
          </w:p>
        </w:tc>
        <w:tc>
          <w:tcPr>
            <w:tcW w:w="0" w:type="dxa"/>
            <w:vAlign w:val="bottom"/>
          </w:tcPr>
          <w:p>
            <w:pPr>
              <w:spacing w:after="0"/>
              <w:rPr>
                <w:sz w:val="1"/>
                <w:szCs w:val="1"/>
                <w:color w:val="auto"/>
              </w:rPr>
            </w:pP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1"/>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3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&amp; cash equivalents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ind w:left="1280"/>
              <w:spacing w:after="0"/>
              <w:rPr>
                <w:sz w:val="20"/>
                <w:szCs w:val="20"/>
                <w:color w:val="auto"/>
              </w:rPr>
            </w:pPr>
            <w:r>
              <w:rPr>
                <w:rFonts w:ascii="Arial" w:cs="Arial" w:eastAsia="Arial" w:hAnsi="Arial"/>
                <w:sz w:val="17"/>
                <w:szCs w:val="17"/>
                <w:color w:val="auto"/>
                <w:w w:val="97"/>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597.1</w:t>
            </w:r>
          </w:p>
        </w:tc>
        <w:tc>
          <w:tcPr>
            <w:tcW w:w="0" w:type="dxa"/>
            <w:vAlign w:val="bottom"/>
          </w:tcPr>
          <w:p>
            <w:pPr>
              <w:spacing w:after="0"/>
              <w:rPr>
                <w:sz w:val="1"/>
                <w:szCs w:val="1"/>
                <w:color w:val="auto"/>
              </w:rPr>
            </w:pP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234.2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ind w:left="1280"/>
              <w:spacing w:after="0"/>
              <w:rPr>
                <w:sz w:val="20"/>
                <w:szCs w:val="20"/>
                <w:color w:val="auto"/>
              </w:rPr>
            </w:pPr>
            <w:r>
              <w:rPr>
                <w:rFonts w:ascii="Arial" w:cs="Arial" w:eastAsia="Arial" w:hAnsi="Arial"/>
                <w:sz w:val="17"/>
                <w:szCs w:val="17"/>
                <w:color w:val="auto"/>
                <w:w w:val="97"/>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233.1</w:t>
            </w:r>
          </w:p>
        </w:tc>
        <w:tc>
          <w:tcPr>
            <w:tcW w:w="0" w:type="dxa"/>
            <w:vAlign w:val="bottom"/>
          </w:tcPr>
          <w:p>
            <w:pPr>
              <w:spacing w:after="0"/>
              <w:rPr>
                <w:sz w:val="1"/>
                <w:szCs w:val="1"/>
                <w:color w:val="auto"/>
              </w:rPr>
            </w:pP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ind w:left="1280"/>
              <w:spacing w:after="0"/>
              <w:rPr>
                <w:sz w:val="20"/>
                <w:szCs w:val="20"/>
                <w:color w:val="auto"/>
              </w:rPr>
            </w:pPr>
            <w:r>
              <w:rPr>
                <w:rFonts w:ascii="Arial" w:cs="Arial" w:eastAsia="Arial" w:hAnsi="Arial"/>
                <w:sz w:val="17"/>
                <w:szCs w:val="17"/>
                <w:color w:val="auto"/>
                <w:w w:val="97"/>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144.0</w:t>
            </w:r>
          </w:p>
        </w:tc>
        <w:tc>
          <w:tcPr>
            <w:tcW w:w="0" w:type="dxa"/>
            <w:vAlign w:val="bottom"/>
          </w:tcPr>
          <w:p>
            <w:pPr>
              <w:spacing w:after="0"/>
              <w:rPr>
                <w:sz w:val="1"/>
                <w:szCs w:val="1"/>
                <w:color w:val="auto"/>
              </w:rPr>
            </w:pP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95.6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95.6</w:t>
            </w:r>
          </w:p>
        </w:tc>
        <w:tc>
          <w:tcPr>
            <w:tcW w:w="0" w:type="dxa"/>
            <w:vAlign w:val="bottom"/>
          </w:tcPr>
          <w:p>
            <w:pPr>
              <w:spacing w:after="0"/>
              <w:rPr>
                <w:sz w:val="1"/>
                <w:szCs w:val="1"/>
                <w:color w:val="auto"/>
              </w:rPr>
            </w:pP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ind w:left="1280"/>
              <w:spacing w:after="0"/>
              <w:rPr>
                <w:sz w:val="20"/>
                <w:szCs w:val="20"/>
                <w:color w:val="auto"/>
              </w:rPr>
            </w:pPr>
            <w:r>
              <w:rPr>
                <w:rFonts w:ascii="Arial" w:cs="Arial" w:eastAsia="Arial" w:hAnsi="Arial"/>
                <w:sz w:val="17"/>
                <w:szCs w:val="17"/>
                <w:color w:val="auto"/>
                <w:w w:val="97"/>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government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U.S. agency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40" w:type="dxa"/>
            <w:vAlign w:val="bottom"/>
          </w:tcPr>
          <w:p>
            <w:pPr>
              <w:ind w:left="1280"/>
              <w:spacing w:after="0"/>
              <w:rPr>
                <w:sz w:val="20"/>
                <w:szCs w:val="20"/>
                <w:color w:val="auto"/>
              </w:rPr>
            </w:pPr>
            <w:r>
              <w:rPr>
                <w:rFonts w:ascii="Arial" w:cs="Arial" w:eastAsia="Arial" w:hAnsi="Arial"/>
                <w:sz w:val="17"/>
                <w:szCs w:val="17"/>
                <w:color w:val="auto"/>
                <w:w w:val="97"/>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Supranational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4"/>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short-term investments</w:t>
            </w: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1,241.1</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7"/>
                <w:szCs w:val="17"/>
                <w:color w:val="auto"/>
                <w:w w:val="97"/>
              </w:rPr>
              <w:t>(2.8)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1,239.8</w:t>
            </w: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7"/>
                <w:szCs w:val="17"/>
                <w:color w:val="auto"/>
                <w:w w:val="97"/>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1,928.7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19</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780"/>
              <w:spacing w:after="0"/>
              <w:rPr>
                <w:sz w:val="20"/>
                <w:szCs w:val="20"/>
                <w:color w:val="auto"/>
              </w:rPr>
            </w:pPr>
            <w:r>
              <w:rPr>
                <w:rFonts w:ascii="Arial" w:cs="Arial" w:eastAsia="Arial" w:hAnsi="Arial"/>
                <w:sz w:val="17"/>
                <w:szCs w:val="17"/>
                <w:b w:val="1"/>
                <w:bCs w:val="1"/>
                <w:color w:val="auto"/>
              </w:rPr>
              <w:t>As of December 31, 2020</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14"/>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7"/>
                <w:szCs w:val="17"/>
                <w:b w:val="1"/>
                <w:bCs w:val="1"/>
                <w:color w:val="auto"/>
              </w:rPr>
              <w:t>Amortized Cost</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Arial" w:cs="Arial" w:eastAsia="Arial" w:hAnsi="Arial"/>
                <w:sz w:val="17"/>
                <w:szCs w:val="17"/>
                <w:b w:val="1"/>
                <w:bCs w:val="1"/>
                <w:color w:val="auto"/>
              </w:rPr>
              <w:t>Unrealized Gain</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7"/>
                <w:szCs w:val="17"/>
                <w:b w:val="1"/>
                <w:bCs w:val="1"/>
                <w:color w:val="auto"/>
              </w:rPr>
              <w:t>Unrealized Loss</w:t>
            </w:r>
          </w:p>
        </w:tc>
        <w:tc>
          <w:tcPr>
            <w:tcW w:w="120" w:type="dxa"/>
            <w:vAlign w:val="bottom"/>
          </w:tcPr>
          <w:p>
            <w:pPr>
              <w:spacing w:after="0"/>
              <w:rPr>
                <w:sz w:val="18"/>
                <w:szCs w:val="18"/>
                <w:color w:val="auto"/>
              </w:rPr>
            </w:pPr>
          </w:p>
        </w:tc>
        <w:tc>
          <w:tcPr>
            <w:tcW w:w="1720" w:type="dxa"/>
            <w:vAlign w:val="bottom"/>
          </w:tcPr>
          <w:p>
            <w:pPr>
              <w:jc w:val="right"/>
              <w:ind w:right="53"/>
              <w:spacing w:after="0"/>
              <w:rPr>
                <w:sz w:val="20"/>
                <w:szCs w:val="20"/>
                <w:color w:val="auto"/>
              </w:rPr>
            </w:pPr>
            <w:r>
              <w:rPr>
                <w:rFonts w:ascii="Arial" w:cs="Arial" w:eastAsia="Arial" w:hAnsi="Arial"/>
                <w:sz w:val="17"/>
                <w:szCs w:val="17"/>
                <w:b w:val="1"/>
                <w:bCs w:val="1"/>
                <w:color w:val="auto"/>
                <w:w w:val="93"/>
              </w:rPr>
              <w:t>Estimated Fair Value</w:t>
            </w:r>
          </w:p>
        </w:tc>
      </w:tr>
      <w:tr>
        <w:trPr>
          <w:trHeight w:val="32"/>
        </w:trPr>
        <w:tc>
          <w:tcPr>
            <w:tcW w:w="35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r>
      <w:tr>
        <w:trPr>
          <w:trHeight w:val="221"/>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r>
      <w:tr>
        <w:trPr>
          <w:trHeight w:val="221"/>
        </w:trPr>
        <w:tc>
          <w:tcPr>
            <w:tcW w:w="354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4"/>
        </w:trPr>
        <w:tc>
          <w:tcPr>
            <w:tcW w:w="3540" w:type="dxa"/>
            <w:vAlign w:val="bottom"/>
          </w:tcPr>
          <w:p>
            <w:pPr>
              <w:ind w:left="20"/>
              <w:spacing w:after="0"/>
              <w:rPr>
                <w:sz w:val="20"/>
                <w:szCs w:val="20"/>
                <w:color w:val="auto"/>
              </w:rPr>
            </w:pPr>
            <w:r>
              <w:rPr>
                <w:rFonts w:ascii="Arial" w:cs="Arial" w:eastAsia="Arial" w:hAnsi="Arial"/>
                <w:sz w:val="17"/>
                <w:szCs w:val="17"/>
                <w:color w:val="auto"/>
              </w:rPr>
              <w:t>Total cash and cash equivalents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314.9</w:t>
            </w:r>
          </w:p>
        </w:tc>
        <w:tc>
          <w:tcPr>
            <w:tcW w:w="100" w:type="dxa"/>
            <w:vAlign w:val="bottom"/>
          </w:tcPr>
          <w:p>
            <w:pPr>
              <w:spacing w:after="0"/>
              <w:rPr>
                <w:sz w:val="18"/>
                <w:szCs w:val="18"/>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314.9</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187"/>
        </w:trPr>
        <w:tc>
          <w:tcPr>
            <w:tcW w:w="354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374.3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ind w:left="1280"/>
              <w:spacing w:after="0"/>
              <w:rPr>
                <w:sz w:val="20"/>
                <w:szCs w:val="20"/>
                <w:color w:val="auto"/>
              </w:rPr>
            </w:pPr>
            <w:r>
              <w:rPr>
                <w:rFonts w:ascii="Arial" w:cs="Arial" w:eastAsia="Arial" w:hAnsi="Arial"/>
                <w:sz w:val="17"/>
                <w:szCs w:val="17"/>
                <w:color w:val="auto"/>
                <w:w w:val="97"/>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376.7</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Asset backed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73.5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74.1</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U.S. agency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23.1</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Supranational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18.7</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government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14"/>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7"/>
                <w:szCs w:val="17"/>
                <w:color w:val="auto"/>
                <w:w w:val="97"/>
              </w:rPr>
              <w:t>(0.1)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806.4</w:t>
            </w:r>
          </w:p>
        </w:tc>
      </w:tr>
      <w:tr>
        <w:trPr>
          <w:trHeight w:val="214"/>
        </w:trPr>
        <w:tc>
          <w:tcPr>
            <w:tcW w:w="354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1,117.1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ind w:left="1280"/>
              <w:spacing w:after="0"/>
              <w:rPr>
                <w:sz w:val="20"/>
                <w:szCs w:val="20"/>
                <w:color w:val="auto"/>
              </w:rPr>
            </w:pPr>
            <w:r>
              <w:rPr>
                <w:rFonts w:ascii="Arial" w:cs="Arial" w:eastAsia="Arial" w:hAnsi="Arial"/>
                <w:sz w:val="17"/>
                <w:szCs w:val="17"/>
                <w:color w:val="auto"/>
                <w:w w:val="97"/>
              </w:rPr>
              <w:t>(0.1)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1,121.3</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100" w:firstLine="430"/>
        <w:spacing w:after="0" w:line="286" w:lineRule="auto"/>
        <w:rPr>
          <w:sz w:val="20"/>
          <w:szCs w:val="20"/>
          <w:color w:val="auto"/>
        </w:rPr>
      </w:pPr>
      <w:r>
        <w:rPr>
          <w:rFonts w:ascii="Arial" w:cs="Arial" w:eastAsia="Arial" w:hAnsi="Arial"/>
          <w:sz w:val="17"/>
          <w:szCs w:val="17"/>
          <w:color w:val="auto"/>
        </w:rPr>
        <w:t>Included in cash and cash equivalents is cash in transit from payment processors for credit and debit card transactions of $11.0 million and $9.8 million as of September 30, 2021 and December 31, 2020, respectively.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short-term investments were designated as available-for-sale securities as of September 30, 2021 and December 31, 2020.</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contractual maturities of the Company’s short-term investments as of September 30,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4"/>
          </w:tcPr>
          <w:p>
            <w:pPr>
              <w:jc w:val="right"/>
              <w:ind w:right="1233"/>
              <w:spacing w:after="0"/>
              <w:rPr>
                <w:sz w:val="20"/>
                <w:szCs w:val="20"/>
                <w:color w:val="auto"/>
              </w:rPr>
            </w:pPr>
            <w:r>
              <w:rPr>
                <w:rFonts w:ascii="Arial" w:cs="Arial" w:eastAsia="Arial" w:hAnsi="Arial"/>
                <w:sz w:val="17"/>
                <w:szCs w:val="17"/>
                <w:b w:val="1"/>
                <w:bCs w:val="1"/>
                <w:color w:val="auto"/>
              </w:rPr>
              <w:t>As of September 30, 2021</w:t>
            </w:r>
          </w:p>
        </w:tc>
      </w:tr>
      <w:tr>
        <w:trPr>
          <w:trHeight w:val="214"/>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Arial" w:cs="Arial" w:eastAsia="Arial" w:hAnsi="Arial"/>
                <w:sz w:val="17"/>
                <w:szCs w:val="17"/>
                <w:b w:val="1"/>
                <w:bCs w:val="1"/>
                <w:color w:val="auto"/>
              </w:rPr>
              <w:t>Amortized cost</w:t>
            </w:r>
          </w:p>
        </w:tc>
        <w:tc>
          <w:tcPr>
            <w:tcW w:w="240" w:type="dxa"/>
            <w:vAlign w:val="bottom"/>
          </w:tcPr>
          <w:p>
            <w:pPr>
              <w:spacing w:after="0"/>
              <w:rPr>
                <w:sz w:val="18"/>
                <w:szCs w:val="18"/>
                <w:color w:val="auto"/>
              </w:rPr>
            </w:pPr>
          </w:p>
        </w:tc>
        <w:tc>
          <w:tcPr>
            <w:tcW w:w="1980" w:type="dxa"/>
            <w:vAlign w:val="bottom"/>
          </w:tcPr>
          <w:p>
            <w:pPr>
              <w:jc w:val="right"/>
              <w:ind w:right="273"/>
              <w:spacing w:after="0"/>
              <w:rPr>
                <w:sz w:val="20"/>
                <w:szCs w:val="20"/>
                <w:color w:val="auto"/>
              </w:rPr>
            </w:pPr>
            <w:r>
              <w:rPr>
                <w:rFonts w:ascii="Arial" w:cs="Arial" w:eastAsia="Arial" w:hAnsi="Arial"/>
                <w:sz w:val="17"/>
                <w:szCs w:val="17"/>
                <w:b w:val="1"/>
                <w:bCs w:val="1"/>
                <w:color w:val="auto"/>
                <w:w w:val="99"/>
              </w:rPr>
              <w:t>Estimated fair value</w:t>
            </w:r>
          </w:p>
        </w:tc>
      </w:tr>
      <w:tr>
        <w:trPr>
          <w:trHeight w:val="32"/>
        </w:trPr>
        <w:tc>
          <w:tcPr>
            <w:tcW w:w="67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980" w:type="dxa"/>
            <w:vAlign w:val="bottom"/>
            <w:tcBorders>
              <w:top w:val="single" w:sz="8" w:color="auto"/>
            </w:tcBorders>
          </w:tcPr>
          <w:p>
            <w:pPr>
              <w:spacing w:after="0"/>
              <w:rPr>
                <w:sz w:val="2"/>
                <w:szCs w:val="2"/>
                <w:color w:val="auto"/>
              </w:rPr>
            </w:pP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within one year</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297.7</w:t>
            </w:r>
          </w:p>
        </w:tc>
      </w:tr>
      <w:tr>
        <w:trPr>
          <w:trHeight w:val="221"/>
        </w:trPr>
        <w:tc>
          <w:tcPr>
            <w:tcW w:w="6720" w:type="dxa"/>
            <w:vAlign w:val="bottom"/>
          </w:tcPr>
          <w:p>
            <w:pPr>
              <w:ind w:left="20"/>
              <w:spacing w:after="0"/>
              <w:rPr>
                <w:sz w:val="20"/>
                <w:szCs w:val="20"/>
                <w:color w:val="auto"/>
              </w:rPr>
            </w:pPr>
            <w:r>
              <w:rPr>
                <w:rFonts w:ascii="Arial" w:cs="Arial" w:eastAsia="Arial" w:hAnsi="Arial"/>
                <w:sz w:val="17"/>
                <w:szCs w:val="17"/>
                <w:color w:val="auto"/>
              </w:rPr>
              <w:t>Due between one to three years</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560.2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560.5</w:t>
            </w: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after three years</w:t>
            </w:r>
          </w:p>
        </w:tc>
        <w:tc>
          <w:tcPr>
            <w:tcW w:w="3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381.6</w:t>
            </w:r>
          </w:p>
        </w:tc>
      </w:tr>
      <w:tr>
        <w:trPr>
          <w:trHeight w:val="214"/>
        </w:trPr>
        <w:tc>
          <w:tcPr>
            <w:tcW w:w="672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1,241.1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1,239.8</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right="60" w:firstLine="430"/>
        <w:spacing w:after="0" w:line="271" w:lineRule="auto"/>
        <w:rPr>
          <w:sz w:val="20"/>
          <w:szCs w:val="20"/>
          <w:color w:val="auto"/>
        </w:rPr>
      </w:pPr>
      <w:r>
        <w:rPr>
          <w:rFonts w:ascii="Arial" w:cs="Arial" w:eastAsia="Arial" w:hAnsi="Arial"/>
          <w:sz w:val="17"/>
          <w:szCs w:val="17"/>
          <w:color w:val="auto"/>
        </w:rPr>
        <w:t>The Company had 460 short-term investments in unrealized loss positions as of September 30, 2021. There were no material unrealized losses from short-term investments and no material realized gains or losses from short-term investments that were reclassified out of accumulated other comprehensive income for the three and nine months ended September 30, 2021.</w:t>
      </w:r>
    </w:p>
    <w:p>
      <w:pPr>
        <w:spacing w:after="0" w:line="197" w:lineRule="exact"/>
        <w:rPr>
          <w:sz w:val="20"/>
          <w:szCs w:val="20"/>
          <w:color w:val="auto"/>
        </w:rPr>
      </w:pPr>
    </w:p>
    <w:p>
      <w:pPr>
        <w:ind w:right="100" w:firstLine="430"/>
        <w:spacing w:after="0" w:line="271" w:lineRule="auto"/>
        <w:rPr>
          <w:sz w:val="20"/>
          <w:szCs w:val="20"/>
          <w:color w:val="auto"/>
        </w:rPr>
      </w:pPr>
      <w:r>
        <w:rPr>
          <w:rFonts w:ascii="Arial" w:cs="Arial" w:eastAsia="Arial" w:hAnsi="Arial"/>
          <w:sz w:val="17"/>
          <w:szCs w:val="17"/>
          <w:color w:val="auto"/>
        </w:rPr>
        <w:t>As of September 30, 2021, the Company’s short-term investments portfolio consisted of nine security types, six of which were in an unrealized loss position. The Company’s short-term investments had unrealized losses of approximately $2.8 million as of September 30, 2021. Unrealized losses on short-term investments have not been recorded into income because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management does not intend to sell nor will be required to sell these securities prior to their anticipated recovery, and for which the decline in fair value is largely due to changes in credit spreads. The credit ratings associated with the corporate notes and obligations are mostly unchanged, are highly rated and the issuers continue to make timely principal and interest payments.</w:t>
      </w:r>
    </w:p>
    <w:p>
      <w:pPr>
        <w:spacing w:after="0" w:line="197" w:lineRule="exact"/>
        <w:rPr>
          <w:sz w:val="20"/>
          <w:szCs w:val="20"/>
          <w:color w:val="auto"/>
        </w:rPr>
      </w:pPr>
    </w:p>
    <w:p>
      <w:pPr>
        <w:ind w:right="220" w:firstLine="430"/>
        <w:spacing w:after="0" w:line="319" w:lineRule="auto"/>
        <w:rPr>
          <w:sz w:val="20"/>
          <w:szCs w:val="20"/>
          <w:color w:val="auto"/>
        </w:rPr>
      </w:pPr>
      <w:r>
        <w:rPr>
          <w:rFonts w:ascii="Arial" w:cs="Arial" w:eastAsia="Arial" w:hAnsi="Arial"/>
          <w:sz w:val="16"/>
          <w:szCs w:val="16"/>
          <w:color w:val="auto"/>
        </w:rPr>
        <w:t>The Company recorded interest income from its cash, cash equivalents, and short-term investments of $1.7 million and $5.5 million during the three and nine months ended September 30, 2021, respectively, and $2.6 million and $10.4 million during the three and nine months ended September 30, 2020.</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Fair Value Measurements</w:t>
      </w:r>
    </w:p>
    <w:p>
      <w:pPr>
        <w:spacing w:after="0" w:line="253" w:lineRule="exact"/>
        <w:rPr>
          <w:sz w:val="20"/>
          <w:szCs w:val="20"/>
          <w:color w:val="auto"/>
        </w:rPr>
      </w:pPr>
    </w:p>
    <w:p>
      <w:pPr>
        <w:jc w:val="both"/>
        <w:ind w:right="40" w:firstLine="430"/>
        <w:spacing w:after="0" w:line="271" w:lineRule="auto"/>
        <w:rPr>
          <w:sz w:val="20"/>
          <w:szCs w:val="20"/>
          <w:color w:val="auto"/>
        </w:rPr>
      </w:pPr>
      <w:r>
        <w:rPr>
          <w:rFonts w:ascii="Arial" w:cs="Arial" w:eastAsia="Arial" w:hAnsi="Arial"/>
          <w:sz w:val="17"/>
          <w:szCs w:val="17"/>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97" w:lineRule="exact"/>
        <w:rPr>
          <w:sz w:val="20"/>
          <w:szCs w:val="20"/>
          <w:color w:val="auto"/>
        </w:rPr>
      </w:pPr>
    </w:p>
    <w:p>
      <w:pPr>
        <w:ind w:right="320" w:firstLine="430"/>
        <w:spacing w:after="0" w:line="286" w:lineRule="auto"/>
        <w:rPr>
          <w:sz w:val="20"/>
          <w:szCs w:val="20"/>
          <w:color w:val="auto"/>
        </w:rPr>
      </w:pPr>
      <w:r>
        <w:rPr>
          <w:rFonts w:ascii="Arial" w:cs="Arial" w:eastAsia="Arial" w:hAnsi="Arial"/>
          <w:sz w:val="17"/>
          <w:szCs w:val="17"/>
          <w:color w:val="auto"/>
        </w:rPr>
        <w:t>The following table presents information about the Company’s financial instruments that are measured at fair value on a recurring basis using the input categories discussed in Note 1:</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7"/>
                <w:szCs w:val="17"/>
                <w:b w:val="1"/>
                <w:bCs w:val="1"/>
                <w:color w:val="auto"/>
              </w:rPr>
              <w:t>As of September 30, 2021</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4"/>
        </w:trPr>
        <w:tc>
          <w:tcPr>
            <w:tcW w:w="338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1</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2</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r>
      <w:tr>
        <w:trPr>
          <w:trHeight w:val="188"/>
        </w:trPr>
        <w:tc>
          <w:tcPr>
            <w:tcW w:w="3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1"/>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Money market funds</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595.3</w:t>
            </w:r>
          </w:p>
        </w:tc>
        <w:tc>
          <w:tcPr>
            <w:tcW w:w="120" w:type="dxa"/>
            <w:vAlign w:val="bottom"/>
          </w:tcPr>
          <w:p>
            <w:pPr>
              <w:spacing w:after="0"/>
              <w:rPr>
                <w:sz w:val="19"/>
                <w:szCs w:val="19"/>
                <w:color w:val="auto"/>
              </w:rPr>
            </w:pPr>
          </w:p>
        </w:tc>
        <w:tc>
          <w:tcPr>
            <w:tcW w:w="1240" w:type="dxa"/>
            <w:vAlign w:val="bottom"/>
          </w:tcPr>
          <w:p>
            <w:pPr>
              <w:jc w:val="right"/>
              <w:ind w:right="1053"/>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595.3</w:t>
            </w: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4"/>
        </w:trPr>
        <w:tc>
          <w:tcPr>
            <w:tcW w:w="3380" w:type="dxa"/>
            <w:vAlign w:val="bottom"/>
          </w:tcPr>
          <w:p>
            <w:pPr>
              <w:ind w:left="20"/>
              <w:spacing w:after="0"/>
              <w:rPr>
                <w:sz w:val="20"/>
                <w:szCs w:val="20"/>
                <w:color w:val="auto"/>
              </w:rPr>
            </w:pPr>
            <w:r>
              <w:rPr>
                <w:rFonts w:ascii="Arial" w:cs="Arial" w:eastAsia="Arial" w:hAnsi="Arial"/>
                <w:sz w:val="17"/>
                <w:szCs w:val="17"/>
                <w:color w:val="auto"/>
              </w:rPr>
              <w:t>Total cash equivalents</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595.3</w:t>
            </w:r>
          </w:p>
        </w:tc>
        <w:tc>
          <w:tcPr>
            <w:tcW w:w="120" w:type="dxa"/>
            <w:vAlign w:val="bottom"/>
          </w:tcPr>
          <w:p>
            <w:pPr>
              <w:spacing w:after="0"/>
              <w:rPr>
                <w:sz w:val="18"/>
                <w:szCs w:val="18"/>
                <w:color w:val="auto"/>
              </w:rPr>
            </w:pPr>
          </w:p>
        </w:tc>
        <w:tc>
          <w:tcPr>
            <w:tcW w:w="1240" w:type="dxa"/>
            <w:vAlign w:val="bottom"/>
          </w:tcPr>
          <w:p>
            <w:pPr>
              <w:jc w:val="right"/>
              <w:ind w:right="1053"/>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8"/>
                <w:szCs w:val="18"/>
                <w:color w:val="auto"/>
              </w:rPr>
            </w:pP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603.1</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87"/>
        </w:trPr>
        <w:tc>
          <w:tcPr>
            <w:tcW w:w="338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Short-term investments</w:t>
            </w:r>
          </w:p>
        </w:tc>
        <w:tc>
          <w:tcPr>
            <w:tcW w:w="1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597.1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597.1</w:t>
            </w: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233.1</w:t>
            </w: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Asset backed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144.0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144.0</w:t>
            </w: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w:t>
            </w: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70.9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70.9</w:t>
            </w: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Foreign government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18.4</w:t>
            </w: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r>
      <w:tr>
        <w:trPr>
          <w:trHeight w:val="221"/>
        </w:trPr>
        <w:tc>
          <w:tcPr>
            <w:tcW w:w="3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Supranational Securities</w:t>
            </w: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r>
      <w:tr>
        <w:trPr>
          <w:trHeight w:val="214"/>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1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1,239.8</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1,239.8</w:t>
            </w:r>
          </w:p>
        </w:tc>
      </w:tr>
      <w:tr>
        <w:trPr>
          <w:trHeight w:val="214"/>
        </w:trPr>
        <w:tc>
          <w:tcPr>
            <w:tcW w:w="3380" w:type="dxa"/>
            <w:vAlign w:val="bottom"/>
          </w:tcPr>
          <w:p>
            <w:pPr>
              <w:ind w:left="20"/>
              <w:spacing w:after="0"/>
              <w:rPr>
                <w:sz w:val="20"/>
                <w:szCs w:val="20"/>
                <w:color w:val="auto"/>
              </w:rPr>
            </w:pPr>
            <w:r>
              <w:rPr>
                <w:rFonts w:ascii="Arial" w:cs="Arial" w:eastAsia="Arial" w:hAnsi="Arial"/>
                <w:sz w:val="17"/>
                <w:szCs w:val="17"/>
                <w:color w:val="auto"/>
              </w:rPr>
              <w:t>Total</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595.3</w:t>
            </w:r>
          </w:p>
        </w:tc>
        <w:tc>
          <w:tcPr>
            <w:tcW w:w="120" w:type="dxa"/>
            <w:vAlign w:val="bottom"/>
          </w:tcPr>
          <w:p>
            <w:pPr>
              <w:spacing w:after="0"/>
              <w:rPr>
                <w:sz w:val="18"/>
                <w:szCs w:val="18"/>
                <w:color w:val="auto"/>
              </w:rPr>
            </w:pPr>
          </w:p>
        </w:tc>
        <w:tc>
          <w:tcPr>
            <w:tcW w:w="1240" w:type="dxa"/>
            <w:vAlign w:val="bottom"/>
          </w:tcPr>
          <w:p>
            <w:pPr>
              <w:jc w:val="right"/>
              <w:ind w:right="1053"/>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5"/>
              </w:rPr>
              <w:t>1,247.6</w:t>
            </w:r>
          </w:p>
        </w:tc>
        <w:tc>
          <w:tcPr>
            <w:tcW w:w="100" w:type="dxa"/>
            <w:vAlign w:val="bottom"/>
          </w:tcPr>
          <w:p>
            <w:pPr>
              <w:spacing w:after="0"/>
              <w:rPr>
                <w:sz w:val="18"/>
                <w:szCs w:val="18"/>
                <w:color w:val="auto"/>
              </w:rPr>
            </w:pP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1,842.9</w:t>
            </w:r>
          </w:p>
        </w:tc>
      </w:tr>
      <w:tr>
        <w:trPr>
          <w:trHeight w:val="20"/>
        </w:trPr>
        <w:tc>
          <w:tcPr>
            <w:tcW w:w="3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580" w:firstLine="430"/>
        <w:spacing w:after="0" w:line="319" w:lineRule="auto"/>
        <w:rPr>
          <w:sz w:val="20"/>
          <w:szCs w:val="20"/>
          <w:color w:val="auto"/>
        </w:rPr>
      </w:pPr>
      <w:r>
        <w:rPr>
          <w:rFonts w:ascii="Arial" w:cs="Arial" w:eastAsia="Arial" w:hAnsi="Arial"/>
          <w:sz w:val="16"/>
          <w:szCs w:val="16"/>
          <w:color w:val="auto"/>
        </w:rPr>
        <w:t>The Company has an investment in a non-marketable equity security in a privately held company without a readily determinable market value. The investments had a carrying value of $5.6 million and was categorized as Level 3 as of September 30, 2021 and December 31, 2020.</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7"/>
                <w:szCs w:val="17"/>
                <w:b w:val="1"/>
                <w:bCs w:val="1"/>
                <w:color w:val="auto"/>
              </w:rPr>
              <w:t>As of December 31, 2020</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80" w:type="dxa"/>
            <w:vAlign w:val="bottom"/>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Level 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Level 2</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84"/>
        </w:trPr>
        <w:tc>
          <w:tcPr>
            <w:tcW w:w="33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Money market funds</w:t>
            </w:r>
          </w:p>
        </w:tc>
        <w:tc>
          <w:tcPr>
            <w:tcW w:w="1320" w:type="dxa"/>
            <w:vAlign w:val="bottom"/>
          </w:tcPr>
          <w:p>
            <w:pPr>
              <w:jc w:val="right"/>
              <w:ind w:right="1133"/>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222.6</w:t>
            </w:r>
          </w:p>
        </w:tc>
        <w:tc>
          <w:tcPr>
            <w:tcW w:w="100" w:type="dxa"/>
            <w:vAlign w:val="bottom"/>
          </w:tcPr>
          <w:p>
            <w:pPr>
              <w:spacing w:after="0"/>
              <w:rPr>
                <w:sz w:val="19"/>
                <w:szCs w:val="19"/>
                <w:color w:val="auto"/>
              </w:rPr>
            </w:pPr>
          </w:p>
        </w:tc>
        <w:tc>
          <w:tcPr>
            <w:tcW w:w="1320" w:type="dxa"/>
            <w:vAlign w:val="bottom"/>
          </w:tcPr>
          <w:p>
            <w:pPr>
              <w:jc w:val="right"/>
              <w:ind w:right="1133"/>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222.6</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1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3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1"/>
        </w:trPr>
        <w:tc>
          <w:tcPr>
            <w:tcW w:w="3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Municipal securities</w:t>
            </w:r>
          </w:p>
        </w:tc>
        <w:tc>
          <w:tcPr>
            <w:tcW w:w="1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Equivalents</w:t>
            </w:r>
          </w:p>
        </w:tc>
        <w:tc>
          <w:tcPr>
            <w:tcW w:w="1320" w:type="dxa"/>
            <w:vAlign w:val="bottom"/>
            <w:shd w:val="clear" w:color="auto" w:fill="CCEEFF"/>
          </w:tcPr>
          <w:p>
            <w:pPr>
              <w:jc w:val="right"/>
              <w:ind w:right="11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38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376.7</w:t>
            </w: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13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216.4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216.4</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Asset-backed securities</w:t>
            </w:r>
          </w:p>
        </w:tc>
        <w:tc>
          <w:tcPr>
            <w:tcW w:w="1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13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1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3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Supranational securities</w:t>
            </w:r>
          </w:p>
        </w:tc>
        <w:tc>
          <w:tcPr>
            <w:tcW w:w="1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21"/>
        </w:trPr>
        <w:tc>
          <w:tcPr>
            <w:tcW w:w="3380" w:type="dxa"/>
            <w:vAlign w:val="bottom"/>
          </w:tcPr>
          <w:p>
            <w:pPr>
              <w:ind w:left="140"/>
              <w:spacing w:after="0"/>
              <w:rPr>
                <w:sz w:val="20"/>
                <w:szCs w:val="20"/>
                <w:color w:val="auto"/>
              </w:rPr>
            </w:pPr>
            <w:r>
              <w:rPr>
                <w:rFonts w:ascii="Arial" w:cs="Arial" w:eastAsia="Arial" w:hAnsi="Arial"/>
                <w:sz w:val="17"/>
                <w:szCs w:val="17"/>
                <w:color w:val="auto"/>
              </w:rPr>
              <w:t>Foreign government obligations</w:t>
            </w:r>
          </w:p>
        </w:tc>
        <w:tc>
          <w:tcPr>
            <w:tcW w:w="13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13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14"/>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short-term investments</w:t>
            </w:r>
          </w:p>
        </w:tc>
        <w:tc>
          <w:tcPr>
            <w:tcW w:w="1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806.4</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806.4</w:t>
            </w: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320" w:type="dxa"/>
            <w:vAlign w:val="bottom"/>
            <w:shd w:val="clear" w:color="auto" w:fill="CCEEFF"/>
          </w:tcPr>
          <w:p>
            <w:pPr>
              <w:jc w:val="right"/>
              <w:ind w:right="11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831.5</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had no transfers between levels of the fair value hierarchy.</w:t>
      </w:r>
    </w:p>
    <w:p>
      <w:pPr>
        <w:spacing w:after="0" w:line="247" w:lineRule="exact"/>
        <w:rPr>
          <w:sz w:val="20"/>
          <w:szCs w:val="20"/>
          <w:color w:val="auto"/>
        </w:rPr>
      </w:pPr>
    </w:p>
    <w:p>
      <w:pPr>
        <w:ind w:right="120" w:firstLine="430"/>
        <w:spacing w:after="0" w:line="286" w:lineRule="auto"/>
        <w:rPr>
          <w:sz w:val="20"/>
          <w:szCs w:val="20"/>
          <w:color w:val="auto"/>
        </w:rPr>
      </w:pPr>
      <w:r>
        <w:rPr>
          <w:rFonts w:ascii="Arial" w:cs="Arial" w:eastAsia="Arial" w:hAnsi="Arial"/>
          <w:sz w:val="17"/>
          <w:szCs w:val="17"/>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85" w:lineRule="exact"/>
        <w:rPr>
          <w:sz w:val="20"/>
          <w:szCs w:val="20"/>
          <w:color w:val="auto"/>
        </w:rPr>
      </w:pPr>
    </w:p>
    <w:p>
      <w:pPr>
        <w:jc w:val="both"/>
        <w:ind w:right="400" w:firstLine="430"/>
        <w:spacing w:after="0" w:line="271" w:lineRule="auto"/>
        <w:rPr>
          <w:sz w:val="20"/>
          <w:szCs w:val="20"/>
          <w:color w:val="auto"/>
        </w:rPr>
      </w:pPr>
      <w:r>
        <w:rPr>
          <w:rFonts w:ascii="Arial" w:cs="Arial" w:eastAsia="Arial" w:hAnsi="Arial"/>
          <w:sz w:val="17"/>
          <w:szCs w:val="17"/>
          <w:color w:val="auto"/>
        </w:rPr>
        <w:t>The Company has $695.8 million in aggregate principal amount of 0% convertible senior notes due in 2026 (the "2026 Notes"), and $693.3 million in aggregate principal amount of 0% convertible senior notes due in 2028 (the "2028 Notes" and together with the 2026 Notes, the "Notes"), outstanding as of September 30, 2021. Refer to Note 8 "Debt" for further details on the 2026 Notes and 2028 Notes.</w:t>
      </w:r>
    </w:p>
    <w:p>
      <w:pPr>
        <w:spacing w:after="0" w:line="197" w:lineRule="exact"/>
        <w:rPr>
          <w:sz w:val="20"/>
          <w:szCs w:val="20"/>
          <w:color w:val="auto"/>
        </w:rPr>
      </w:pPr>
    </w:p>
    <w:p>
      <w:pPr>
        <w:jc w:val="both"/>
        <w:ind w:right="100" w:firstLine="430"/>
        <w:spacing w:after="0" w:line="271" w:lineRule="auto"/>
        <w:rPr>
          <w:sz w:val="20"/>
          <w:szCs w:val="20"/>
          <w:color w:val="auto"/>
        </w:rPr>
      </w:pPr>
      <w:r>
        <w:rPr>
          <w:rFonts w:ascii="Arial" w:cs="Arial" w:eastAsia="Arial" w:hAnsi="Arial"/>
          <w:sz w:val="17"/>
          <w:szCs w:val="17"/>
          <w:color w:val="auto"/>
        </w:rPr>
        <w:t>The estimated fair value of the 2026 Notes and the 2028 Notes, based on a market approach as of September 30, 2021 was approximately $728.0 million and $743.0 million, respectively. The Notes were categorized as Level 2 instruments as the estimated fair value was determined based on the estimated or actual bids and offers of the Notes in an over-the-counter market on the last business day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gridSpan w:val="2"/>
          </w:tcPr>
          <w:p>
            <w:pPr>
              <w:spacing w:after="0"/>
              <w:rPr>
                <w:sz w:val="20"/>
                <w:szCs w:val="20"/>
                <w:color w:val="auto"/>
              </w:rPr>
            </w:pPr>
            <w:r>
              <w:rPr>
                <w:rFonts w:ascii="Arial" w:cs="Arial" w:eastAsia="Arial" w:hAnsi="Arial"/>
                <w:sz w:val="17"/>
                <w:szCs w:val="17"/>
                <w:b w:val="1"/>
                <w:bCs w:val="1"/>
                <w:color w:val="auto"/>
              </w:rPr>
              <w:t>Note 4. Property and Equipment, Net</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43"/>
        </w:trPr>
        <w:tc>
          <w:tcPr>
            <w:tcW w:w="40" w:type="dxa"/>
            <w:vAlign w:val="bottom"/>
          </w:tcPr>
          <w:p>
            <w:pPr>
              <w:spacing w:after="0"/>
              <w:rPr>
                <w:sz w:val="24"/>
                <w:szCs w:val="24"/>
                <w:color w:val="auto"/>
              </w:rPr>
            </w:pPr>
          </w:p>
        </w:tc>
        <w:tc>
          <w:tcPr>
            <w:tcW w:w="6740" w:type="dxa"/>
            <w:vAlign w:val="bottom"/>
          </w:tcPr>
          <w:p>
            <w:pPr>
              <w:ind w:left="400"/>
              <w:spacing w:after="0"/>
              <w:rPr>
                <w:sz w:val="20"/>
                <w:szCs w:val="20"/>
                <w:color w:val="auto"/>
              </w:rPr>
            </w:pPr>
            <w:r>
              <w:rPr>
                <w:rFonts w:ascii="Arial" w:cs="Arial" w:eastAsia="Arial" w:hAnsi="Arial"/>
                <w:sz w:val="17"/>
                <w:szCs w:val="17"/>
                <w:color w:val="auto"/>
              </w:rPr>
              <w:t>Property and equipment, net consisted of the following:</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82"/>
        </w:trPr>
        <w:tc>
          <w:tcPr>
            <w:tcW w:w="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As of</w:t>
            </w:r>
          </w:p>
        </w:tc>
        <w:tc>
          <w:tcPr>
            <w:tcW w:w="1920" w:type="dxa"/>
            <w:vAlign w:val="bottom"/>
            <w:tcBorders>
              <w:bottom w:val="single" w:sz="8" w:color="auto"/>
            </w:tcBorders>
          </w:tcPr>
          <w:p>
            <w:pPr>
              <w:spacing w:after="0"/>
              <w:rPr>
                <w:sz w:val="24"/>
                <w:szCs w:val="24"/>
                <w:color w:val="auto"/>
              </w:rPr>
            </w:pPr>
          </w:p>
        </w:tc>
      </w:tr>
      <w:tr>
        <w:trPr>
          <w:trHeight w:val="214"/>
        </w:trPr>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Arial" w:cs="Arial" w:eastAsia="Arial" w:hAnsi="Arial"/>
                <w:sz w:val="17"/>
                <w:szCs w:val="17"/>
                <w:b w:val="1"/>
                <w:bCs w:val="1"/>
                <w:color w:val="auto"/>
              </w:rPr>
              <w:t>September 30, 2021</w:t>
            </w:r>
          </w:p>
        </w:tc>
        <w:tc>
          <w:tcPr>
            <w:tcW w:w="260" w:type="dxa"/>
            <w:vAlign w:val="bottom"/>
          </w:tcPr>
          <w:p>
            <w:pPr>
              <w:spacing w:after="0"/>
              <w:rPr>
                <w:sz w:val="18"/>
                <w:szCs w:val="18"/>
                <w:color w:val="auto"/>
              </w:rPr>
            </w:pPr>
          </w:p>
        </w:tc>
        <w:tc>
          <w:tcPr>
            <w:tcW w:w="1920" w:type="dxa"/>
            <w:vAlign w:val="bottom"/>
          </w:tcPr>
          <w:p>
            <w:pPr>
              <w:jc w:val="right"/>
              <w:ind w:right="313"/>
              <w:spacing w:after="0"/>
              <w:rPr>
                <w:sz w:val="20"/>
                <w:szCs w:val="20"/>
                <w:color w:val="auto"/>
              </w:rPr>
            </w:pPr>
            <w:r>
              <w:rPr>
                <w:rFonts w:ascii="Arial" w:cs="Arial" w:eastAsia="Arial" w:hAnsi="Arial"/>
                <w:sz w:val="17"/>
                <w:szCs w:val="17"/>
                <w:b w:val="1"/>
                <w:bCs w:val="1"/>
                <w:color w:val="auto"/>
                <w:w w:val="97"/>
              </w:rPr>
              <w:t>December 31, 2020</w:t>
            </w:r>
          </w:p>
        </w:tc>
      </w:tr>
      <w:tr>
        <w:trPr>
          <w:trHeight w:val="32"/>
        </w:trPr>
        <w:tc>
          <w:tcPr>
            <w:tcW w:w="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r>
      <w:tr>
        <w:trPr>
          <w:trHeight w:val="221"/>
        </w:trPr>
        <w:tc>
          <w:tcPr>
            <w:tcW w:w="4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Data center and other computer equipment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652.7</w:t>
            </w:r>
          </w:p>
        </w:tc>
      </w:tr>
      <w:tr>
        <w:trPr>
          <w:trHeight w:val="221"/>
        </w:trPr>
        <w:tc>
          <w:tcPr>
            <w:tcW w:w="4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7"/>
                <w:szCs w:val="17"/>
                <w:color w:val="auto"/>
              </w:rPr>
              <w:t>Furniture and fixtures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19.9</w:t>
            </w:r>
          </w:p>
        </w:tc>
      </w:tr>
      <w:tr>
        <w:trPr>
          <w:trHeight w:val="221"/>
        </w:trPr>
        <w:tc>
          <w:tcPr>
            <w:tcW w:w="4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r>
      <w:tr>
        <w:trPr>
          <w:trHeight w:val="221"/>
        </w:trPr>
        <w:tc>
          <w:tcPr>
            <w:tcW w:w="40" w:type="dxa"/>
            <w:vAlign w:val="bottom"/>
          </w:tcPr>
          <w:p>
            <w:pPr>
              <w:spacing w:after="0"/>
              <w:rPr>
                <w:sz w:val="19"/>
                <w:szCs w:val="19"/>
                <w:color w:val="auto"/>
              </w:rPr>
            </w:pPr>
          </w:p>
        </w:tc>
        <w:tc>
          <w:tcPr>
            <w:tcW w:w="6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Construction in progress</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w:t>
            </w:r>
          </w:p>
        </w:tc>
      </w:tr>
      <w:tr>
        <w:trPr>
          <w:trHeight w:val="214"/>
        </w:trPr>
        <w:tc>
          <w:tcPr>
            <w:tcW w:w="4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property and equipment</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790.5</w:t>
            </w:r>
          </w:p>
        </w:tc>
      </w:tr>
      <w:tr>
        <w:trPr>
          <w:trHeight w:val="221"/>
        </w:trPr>
        <w:tc>
          <w:tcPr>
            <w:tcW w:w="40" w:type="dxa"/>
            <w:vAlign w:val="bottom"/>
          </w:tcPr>
          <w:p>
            <w:pPr>
              <w:spacing w:after="0"/>
              <w:rPr>
                <w:sz w:val="19"/>
                <w:szCs w:val="19"/>
                <w:color w:val="auto"/>
              </w:rPr>
            </w:pPr>
          </w:p>
        </w:tc>
        <w:tc>
          <w:tcPr>
            <w:tcW w:w="6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Accumulated depreciation and amortization</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(451.8)</w:t>
            </w:r>
          </w:p>
        </w:tc>
      </w:tr>
      <w:tr>
        <w:trPr>
          <w:trHeight w:val="239"/>
        </w:trPr>
        <w:tc>
          <w:tcPr>
            <w:tcW w:w="40" w:type="dxa"/>
            <w:vAlign w:val="bottom"/>
          </w:tcPr>
          <w:p>
            <w:pPr>
              <w:spacing w:after="0"/>
              <w:rPr>
                <w:sz w:val="20"/>
                <w:szCs w:val="20"/>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338.7</w:t>
            </w:r>
          </w:p>
        </w:tc>
      </w:tr>
      <w:tr>
        <w:trPr>
          <w:trHeight w:val="20"/>
        </w:trPr>
        <w:tc>
          <w:tcPr>
            <w:tcW w:w="40" w:type="dxa"/>
            <w:vAlign w:val="bottom"/>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100" w:firstLine="430"/>
        <w:spacing w:after="0" w:line="263" w:lineRule="auto"/>
        <w:rPr>
          <w:sz w:val="20"/>
          <w:szCs w:val="20"/>
          <w:color w:val="auto"/>
        </w:rPr>
      </w:pPr>
      <w:r>
        <w:rPr>
          <w:rFonts w:ascii="Arial" w:cs="Arial" w:eastAsia="Arial" w:hAnsi="Arial"/>
          <w:sz w:val="17"/>
          <w:szCs w:val="17"/>
          <w:color w:val="auto"/>
        </w:rPr>
        <w:t>The Company leases certain infrastructure, computer equipment, and furniture from various third parties, through equipment finance leases. Infrastructure assets as of September 30, 2021 and December 31, 2020, respectively, included a total of $484.8 million and $395.2 million acquired under finance lease agreements. These leases are capitalized in property and equipment, and the related amortization of assets under finance leases is included in depreciation and amortization expense. The accumulated depreciation of the equipment under finance leases totaled $230.6 million and $156.6 million as of September 30, 2021 and December 31, 2020, respectively.</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Construction in progress includes costs primarily related to construction of leasehold improvements for office spaces and data centers.</w:t>
      </w:r>
    </w:p>
    <w:p>
      <w:pPr>
        <w:spacing w:after="0" w:line="247" w:lineRule="exact"/>
        <w:rPr>
          <w:sz w:val="20"/>
          <w:szCs w:val="20"/>
          <w:color w:val="auto"/>
        </w:rPr>
      </w:pPr>
    </w:p>
    <w:p>
      <w:pPr>
        <w:ind w:right="320" w:firstLine="430"/>
        <w:spacing w:after="0" w:line="286" w:lineRule="auto"/>
        <w:rPr>
          <w:sz w:val="20"/>
          <w:szCs w:val="20"/>
          <w:color w:val="auto"/>
        </w:rPr>
      </w:pPr>
      <w:r>
        <w:rPr>
          <w:rFonts w:ascii="Arial" w:cs="Arial" w:eastAsia="Arial" w:hAnsi="Arial"/>
          <w:sz w:val="17"/>
          <w:szCs w:val="17"/>
          <w:color w:val="auto"/>
        </w:rPr>
        <w:t>Depreciation expense related to property and equipment was $34.8 million and $99.0 million for the three and nine months ended September 30, 2021, respectively, and $37.4 million and $109.9 million for the three and nine months ended September 30, 2020,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Business Combinations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Business Combination</w:t>
      </w:r>
    </w:p>
    <w:p>
      <w:pPr>
        <w:spacing w:after="0" w:line="253" w:lineRule="exact"/>
        <w:rPr>
          <w:sz w:val="20"/>
          <w:szCs w:val="20"/>
          <w:color w:val="auto"/>
        </w:rPr>
      </w:pPr>
    </w:p>
    <w:p>
      <w:pPr>
        <w:ind w:right="100" w:firstLine="430"/>
        <w:spacing w:after="0" w:line="266" w:lineRule="auto"/>
        <w:rPr>
          <w:sz w:val="20"/>
          <w:szCs w:val="20"/>
          <w:color w:val="auto"/>
        </w:rPr>
      </w:pPr>
      <w:r>
        <w:rPr>
          <w:rFonts w:ascii="Arial" w:cs="Arial" w:eastAsia="Arial" w:hAnsi="Arial"/>
          <w:sz w:val="17"/>
          <w:szCs w:val="17"/>
          <w:color w:val="auto"/>
        </w:rPr>
        <w:t>On March 22, 2021, the Company acquired all outstanding stock of DocSend, a secure document sharing and analytics company. The combination of Dropbox, HelloSign, and DocSend will help customers across industries manage end-to-end document workflows—from content collaboration to sharing and e-signature—giving them more control over their business results. The results of DocSend's operations have been included in the Company’s consolidated results of operations since the date of acquisition and were immaterial for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00" w:type="dxa"/>
            <w:vAlign w:val="bottom"/>
          </w:tcPr>
          <w:p>
            <w:pPr>
              <w:spacing w:after="0"/>
              <w:rPr>
                <w:sz w:val="20"/>
                <w:szCs w:val="20"/>
                <w:color w:val="auto"/>
              </w:rPr>
            </w:pPr>
            <w:r>
              <w:rPr>
                <w:rFonts w:ascii="Arial" w:cs="Arial" w:eastAsia="Arial" w:hAnsi="Arial"/>
                <w:sz w:val="17"/>
                <w:szCs w:val="17"/>
                <w:color w:val="auto"/>
              </w:rPr>
              <w:t>The purchase consideration transferred consisted of the following:</w:t>
            </w: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82"/>
        </w:trPr>
        <w:tc>
          <w:tcPr>
            <w:tcW w:w="8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Purchase consideration</w:t>
            </w:r>
          </w:p>
        </w:tc>
      </w:tr>
      <w:tr>
        <w:trPr>
          <w:trHeight w:val="214"/>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to common and preferred stockholders and vested option holders</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w:t>
            </w:r>
          </w:p>
        </w:tc>
      </w:tr>
      <w:tr>
        <w:trPr>
          <w:trHeight w:val="221"/>
        </w:trPr>
        <w:tc>
          <w:tcPr>
            <w:tcW w:w="8200" w:type="dxa"/>
            <w:vAlign w:val="bottom"/>
          </w:tcPr>
          <w:p>
            <w:pPr>
              <w:ind w:left="20"/>
              <w:spacing w:after="0"/>
              <w:rPr>
                <w:sz w:val="20"/>
                <w:szCs w:val="20"/>
                <w:color w:val="auto"/>
              </w:rPr>
            </w:pPr>
            <w:r>
              <w:rPr>
                <w:rFonts w:ascii="Arial" w:cs="Arial" w:eastAsia="Arial" w:hAnsi="Arial"/>
                <w:sz w:val="17"/>
                <w:szCs w:val="17"/>
                <w:color w:val="auto"/>
              </w:rPr>
              <w:t>Transaction costs paid by Dropbox on behalf of DocSend</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1"/>
        </w:trPr>
        <w:tc>
          <w:tcPr>
            <w:tcW w:w="820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Fair value of assumed DocSend options attributable to pre-combination services</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1"/>
        </w:trPr>
        <w:tc>
          <w:tcPr>
            <w:tcW w:w="8200" w:type="dxa"/>
            <w:vAlign w:val="bottom"/>
          </w:tcPr>
          <w:p>
            <w:pPr>
              <w:ind w:left="20"/>
              <w:spacing w:after="0"/>
              <w:rPr>
                <w:sz w:val="20"/>
                <w:szCs w:val="20"/>
                <w:color w:val="auto"/>
              </w:rPr>
            </w:pPr>
            <w:r>
              <w:rPr>
                <w:rFonts w:ascii="Arial" w:cs="Arial" w:eastAsia="Arial" w:hAnsi="Arial"/>
                <w:sz w:val="17"/>
                <w:szCs w:val="17"/>
                <w:color w:val="auto"/>
              </w:rPr>
              <w:t>Purchase price adjustments</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w:t>
            </w:r>
          </w:p>
        </w:tc>
      </w:tr>
    </w:tbl>
    <w:p>
      <w:pPr>
        <w:spacing w:after="0" w:line="294" w:lineRule="exact"/>
        <w:rPr>
          <w:sz w:val="20"/>
          <w:szCs w:val="20"/>
          <w:color w:val="auto"/>
        </w:rPr>
      </w:pPr>
    </w:p>
    <w:p>
      <w:pPr>
        <w:ind w:left="140" w:hanging="136"/>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fair value of options assumed was determined based upon the Black-Scholes option-pricing model.</w:t>
      </w:r>
    </w:p>
    <w:p>
      <w:pPr>
        <w:spacing w:after="0" w:line="236" w:lineRule="exact"/>
        <w:rPr>
          <w:sz w:val="20"/>
          <w:szCs w:val="20"/>
          <w:color w:val="auto"/>
        </w:rPr>
      </w:pPr>
    </w:p>
    <w:p>
      <w:pPr>
        <w:ind w:right="80" w:firstLine="430"/>
        <w:spacing w:after="0" w:line="286" w:lineRule="auto"/>
        <w:rPr>
          <w:sz w:val="20"/>
          <w:szCs w:val="20"/>
          <w:color w:val="auto"/>
        </w:rPr>
      </w:pPr>
      <w:r>
        <w:rPr>
          <w:rFonts w:ascii="Arial" w:cs="Arial" w:eastAsia="Arial" w:hAnsi="Arial"/>
          <w:sz w:val="17"/>
          <w:szCs w:val="17"/>
          <w:color w:val="auto"/>
        </w:rPr>
        <w:t>In addition to the total purchase consideration above, the Company has compensation agreements with key DocSend personnel consisting of $30.7 million in future cash payments subject to ongoing employee service. The related expense will be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recognized within sales and marketing and research and development expenses over the required service period of three years. The related payments will be paid out evenly on an annual basis in the first and second year, and in quarterly installments in the third year. Payments will begin in the first quarter of 2022 if the requisite service is provided.</w:t>
      </w:r>
    </w:p>
    <w:p>
      <w:pPr>
        <w:spacing w:after="0" w:line="197" w:lineRule="exact"/>
        <w:rPr>
          <w:sz w:val="20"/>
          <w:szCs w:val="20"/>
          <w:color w:val="auto"/>
        </w:rPr>
      </w:pPr>
    </w:p>
    <w:p>
      <w:pPr>
        <w:ind w:right="20" w:firstLine="430"/>
        <w:spacing w:after="0" w:line="271" w:lineRule="auto"/>
        <w:rPr>
          <w:sz w:val="20"/>
          <w:szCs w:val="20"/>
          <w:color w:val="auto"/>
        </w:rPr>
      </w:pPr>
      <w:r>
        <w:rPr>
          <w:rFonts w:ascii="Arial" w:cs="Arial" w:eastAsia="Arial" w:hAnsi="Arial"/>
          <w:sz w:val="17"/>
          <w:szCs w:val="17"/>
          <w:color w:val="auto"/>
        </w:rPr>
        <w:t>The purchase consideration was allocated to the tangible and intangible assets and liabilities acquired as of the acquisition date, with the excess recorded to goodwill as shown below. The fair value of assets and liabilities acquired may change as additional information is received during the measurement period. The measurement period will end no later than one-year from the acquisition date.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acquired: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1"/>
        </w:trPr>
        <w:tc>
          <w:tcPr>
            <w:tcW w:w="820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1340" w:type="dxa"/>
            <w:vAlign w:val="bottom"/>
          </w:tcPr>
          <w:p>
            <w:pPr>
              <w:jc w:val="right"/>
              <w:ind w:right="1133"/>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1"/>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Acquisition-related intangible assets</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r>
      <w:tr>
        <w:trPr>
          <w:trHeight w:val="221"/>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Accounts receivable, prepaid and other assets</w:t>
            </w:r>
          </w:p>
        </w:tc>
        <w:tc>
          <w:tcPr>
            <w:tcW w:w="1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r>
      <w:tr>
        <w:trPr>
          <w:trHeight w:val="23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 acquired</w:t>
            </w: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8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assumed: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1"/>
        </w:trPr>
        <w:tc>
          <w:tcPr>
            <w:tcW w:w="8200" w:type="dxa"/>
            <w:vAlign w:val="bottom"/>
          </w:tcPr>
          <w:p>
            <w:pPr>
              <w:ind w:left="220"/>
              <w:spacing w:after="0"/>
              <w:rPr>
                <w:sz w:val="20"/>
                <w:szCs w:val="20"/>
                <w:color w:val="auto"/>
              </w:rPr>
            </w:pPr>
            <w:r>
              <w:rPr>
                <w:rFonts w:ascii="Arial" w:cs="Arial" w:eastAsia="Arial" w:hAnsi="Arial"/>
                <w:sz w:val="17"/>
                <w:szCs w:val="17"/>
                <w:color w:val="auto"/>
              </w:rPr>
              <w:t>Accounts payable, accrued and other liabilities</w:t>
            </w:r>
          </w:p>
        </w:tc>
        <w:tc>
          <w:tcPr>
            <w:tcW w:w="1340" w:type="dxa"/>
            <w:vAlign w:val="bottom"/>
          </w:tcPr>
          <w:p>
            <w:pPr>
              <w:jc w:val="right"/>
              <w:ind w:right="1133"/>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21"/>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1"/>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Deferred tax liability</w:t>
            </w:r>
          </w:p>
        </w:tc>
        <w:tc>
          <w:tcPr>
            <w:tcW w:w="1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214"/>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assumed</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14"/>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assets acquired, excluding goodwill</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r>
      <w:tr>
        <w:trPr>
          <w:trHeight w:val="214"/>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131.6</w:t>
            </w:r>
          </w:p>
        </w:tc>
      </w:tr>
      <w:tr>
        <w:trPr>
          <w:trHeight w:val="214"/>
        </w:trPr>
        <w:tc>
          <w:tcPr>
            <w:tcW w:w="8200" w:type="dxa"/>
            <w:vAlign w:val="bottom"/>
          </w:tcPr>
          <w:p>
            <w:pPr>
              <w:ind w:left="20"/>
              <w:spacing w:after="0" w:line="214"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(2)</w:t>
            </w:r>
          </w:p>
        </w:tc>
        <w:tc>
          <w:tcPr>
            <w:tcW w:w="1340" w:type="dxa"/>
            <w:vAlign w:val="bottom"/>
            <w:tcBorders>
              <w:bottom w:val="single" w:sz="8" w:color="auto"/>
            </w:tcBorders>
          </w:tcPr>
          <w:p>
            <w:pPr>
              <w:jc w:val="right"/>
              <w:ind w:right="113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110.0</w:t>
            </w:r>
          </w:p>
        </w:tc>
      </w:tr>
      <w:tr>
        <w:trPr>
          <w:trHeight w:val="20"/>
        </w:trPr>
        <w:tc>
          <w:tcPr>
            <w:tcW w:w="8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140" w:hanging="136"/>
        <w:spacing w:after="0"/>
        <w:tabs>
          <w:tab w:leader="none" w:pos="140" w:val="left"/>
        </w:tabs>
        <w:numPr>
          <w:ilvl w:val="0"/>
          <w:numId w:val="10"/>
        </w:numPr>
        <w:rPr>
          <w:rFonts w:ascii="Arial" w:cs="Arial" w:eastAsia="Arial" w:hAnsi="Arial"/>
          <w:sz w:val="8"/>
          <w:szCs w:val="8"/>
          <w:color w:val="auto"/>
        </w:rPr>
      </w:pPr>
      <w:r>
        <w:rPr>
          <w:rFonts w:ascii="Arial" w:cs="Arial" w:eastAsia="Arial" w:hAnsi="Arial"/>
          <w:sz w:val="13"/>
          <w:szCs w:val="13"/>
          <w:color w:val="auto"/>
        </w:rPr>
        <w:t>The goodwill recognized was primarily attributable to the opportunity to expand the user base of the Company's platform. The goodwill is not deductible for U.S. federal income tax purposes.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w w:val="90"/>
              </w:rPr>
              <w:t>Estimated weighted average</w:t>
            </w:r>
          </w:p>
        </w:tc>
        <w:tc>
          <w:tcPr>
            <w:tcW w:w="0" w:type="dxa"/>
            <w:vAlign w:val="bottom"/>
          </w:tcPr>
          <w:p>
            <w:pPr>
              <w:spacing w:after="0"/>
              <w:rPr>
                <w:sz w:val="1"/>
                <w:szCs w:val="1"/>
                <w:color w:val="auto"/>
              </w:rPr>
            </w:pPr>
          </w:p>
        </w:tc>
      </w:tr>
      <w:tr>
        <w:trPr>
          <w:trHeight w:val="169"/>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vMerge w:val="restart"/>
          </w:tcPr>
          <w:p>
            <w:pPr>
              <w:jc w:val="right"/>
              <w:ind w:right="273"/>
              <w:spacing w:after="0"/>
              <w:rPr>
                <w:sz w:val="20"/>
                <w:szCs w:val="20"/>
                <w:color w:val="auto"/>
              </w:rPr>
            </w:pPr>
            <w:r>
              <w:rPr>
                <w:rFonts w:ascii="Arial" w:cs="Arial" w:eastAsia="Arial" w:hAnsi="Arial"/>
                <w:sz w:val="17"/>
                <w:szCs w:val="17"/>
                <w:color w:val="auto"/>
              </w:rPr>
              <w:t>Estimated fair values</w:t>
            </w:r>
          </w:p>
        </w:tc>
        <w:tc>
          <w:tcPr>
            <w:tcW w:w="140" w:type="dxa"/>
            <w:vAlign w:val="bottom"/>
          </w:tcPr>
          <w:p>
            <w:pPr>
              <w:spacing w:after="0"/>
              <w:rPr>
                <w:sz w:val="14"/>
                <w:szCs w:val="14"/>
                <w:color w:val="auto"/>
              </w:rPr>
            </w:pPr>
          </w:p>
        </w:tc>
        <w:tc>
          <w:tcPr>
            <w:tcW w:w="2180" w:type="dxa"/>
            <w:vAlign w:val="bottom"/>
          </w:tcPr>
          <w:p>
            <w:pPr>
              <w:jc w:val="center"/>
              <w:spacing w:after="0" w:line="169" w:lineRule="exact"/>
              <w:rPr>
                <w:sz w:val="20"/>
                <w:szCs w:val="20"/>
                <w:color w:val="auto"/>
              </w:rPr>
            </w:pPr>
            <w:r>
              <w:rPr>
                <w:rFonts w:ascii="Arial" w:cs="Arial" w:eastAsia="Arial" w:hAnsi="Arial"/>
                <w:sz w:val="17"/>
                <w:szCs w:val="17"/>
                <w:color w:val="auto"/>
                <w:w w:val="92"/>
              </w:rPr>
              <w:t>useful lives</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(In years)</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23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1"/>
        </w:trPr>
        <w:tc>
          <w:tcPr>
            <w:tcW w:w="672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8.1</w:t>
            </w:r>
          </w:p>
        </w:tc>
        <w:tc>
          <w:tcPr>
            <w:tcW w:w="2320" w:type="dxa"/>
            <w:vAlign w:val="bottom"/>
            <w:gridSpan w:val="2"/>
          </w:tcPr>
          <w:p>
            <w:pPr>
              <w:jc w:val="center"/>
              <w:ind w:left="5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3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14"/>
        </w:trPr>
        <w:tc>
          <w:tcPr>
            <w:tcW w:w="6720" w:type="dxa"/>
            <w:vAlign w:val="bottom"/>
          </w:tcPr>
          <w:p>
            <w:pPr>
              <w:ind w:left="20"/>
              <w:spacing w:after="0"/>
              <w:rPr>
                <w:sz w:val="20"/>
                <w:szCs w:val="20"/>
                <w:color w:val="auto"/>
              </w:rPr>
            </w:pPr>
            <w:r>
              <w:rPr>
                <w:rFonts w:ascii="Arial" w:cs="Arial" w:eastAsia="Arial" w:hAnsi="Arial"/>
                <w:sz w:val="17"/>
                <w:szCs w:val="17"/>
                <w:color w:val="auto"/>
              </w:rPr>
              <w:t>Total acquisition-related intangible assets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both"/>
        <w:ind w:right="200" w:firstLine="430"/>
        <w:spacing w:after="0" w:line="323" w:lineRule="auto"/>
        <w:rPr>
          <w:sz w:val="20"/>
          <w:szCs w:val="20"/>
          <w:color w:val="auto"/>
        </w:rPr>
      </w:pPr>
      <w:r>
        <w:rPr>
          <w:rFonts w:ascii="Arial" w:cs="Arial" w:eastAsia="Arial" w:hAnsi="Arial"/>
          <w:sz w:val="15"/>
          <w:szCs w:val="15"/>
          <w:color w:val="auto"/>
        </w:rPr>
        <w:t>The fair values of the acquisition-related intangible assets were determined using the following methodologies: the multi-period excess earnings method for customer relationships, and the relief from royalty method for developed technology, and the trade name, respectively. The valuation model inputs required the application of significant judgment by management. The acquired intangible assets have a total weighted average amortization period of 5.0 years.</w:t>
      </w:r>
    </w:p>
    <w:p>
      <w:pPr>
        <w:spacing w:after="0" w:line="163" w:lineRule="exact"/>
        <w:rPr>
          <w:sz w:val="20"/>
          <w:szCs w:val="20"/>
          <w:color w:val="auto"/>
        </w:rPr>
      </w:pPr>
    </w:p>
    <w:p>
      <w:pPr>
        <w:ind w:right="40" w:firstLine="430"/>
        <w:spacing w:after="0" w:line="286" w:lineRule="auto"/>
        <w:rPr>
          <w:sz w:val="20"/>
          <w:szCs w:val="20"/>
          <w:color w:val="auto"/>
        </w:rPr>
      </w:pPr>
      <w:r>
        <w:rPr>
          <w:rFonts w:ascii="Arial" w:cs="Arial" w:eastAsia="Arial" w:hAnsi="Arial"/>
          <w:sz w:val="17"/>
          <w:szCs w:val="17"/>
          <w:color w:val="auto"/>
        </w:rPr>
        <w:t>One-time acquisition-related diligence costs of $1.2 million were expensed within general and administrative expenses as incurred during the three months ended March 31, 2021.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Business Combination</w:t>
      </w:r>
    </w:p>
    <w:p>
      <w:pPr>
        <w:spacing w:after="0" w:line="253" w:lineRule="exact"/>
        <w:rPr>
          <w:sz w:val="20"/>
          <w:szCs w:val="20"/>
          <w:color w:val="auto"/>
        </w:rPr>
      </w:pPr>
    </w:p>
    <w:p>
      <w:pPr>
        <w:ind w:right="120" w:firstLine="430"/>
        <w:spacing w:after="0" w:line="286" w:lineRule="auto"/>
        <w:rPr>
          <w:sz w:val="20"/>
          <w:szCs w:val="20"/>
          <w:color w:val="auto"/>
        </w:rPr>
      </w:pPr>
      <w:r>
        <w:rPr>
          <w:rFonts w:ascii="Arial" w:cs="Arial" w:eastAsia="Arial" w:hAnsi="Arial"/>
          <w:sz w:val="17"/>
          <w:szCs w:val="17"/>
          <w:color w:val="auto"/>
        </w:rPr>
        <w:t>On February 8, 2019, the Company acquired all outstanding stock of JN Projects, Inc. (d/b/a HelloSign) ("HelloSign"), which provides an e-signature and document workflow platform. The acquisition of HelloSign expands the Company's content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860"/>
        <w:spacing w:after="0" w:line="286" w:lineRule="auto"/>
        <w:rPr>
          <w:sz w:val="20"/>
          <w:szCs w:val="20"/>
          <w:color w:val="auto"/>
        </w:rPr>
      </w:pPr>
      <w:r>
        <w:rPr>
          <w:rFonts w:ascii="Arial" w:cs="Arial" w:eastAsia="Arial" w:hAnsi="Arial"/>
          <w:sz w:val="17"/>
          <w:szCs w:val="17"/>
          <w:color w:val="auto"/>
        </w:rPr>
        <w:t>collaboration capabilities to include additional business-critical workflows. The results of HelloSign operations have been included in the Company’s consolidated results of operations since the date of acquisition.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purchase consideration transferred consisted of the following:</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Purchase consideration</w:t>
            </w:r>
          </w:p>
        </w:tc>
      </w:tr>
      <w:tr>
        <w:trPr>
          <w:trHeight w:val="214"/>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to common and preferred stockholders and vested option holders</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w:t>
            </w:r>
          </w:p>
        </w:tc>
      </w:tr>
      <w:tr>
        <w:trPr>
          <w:trHeight w:val="221"/>
        </w:trPr>
        <w:tc>
          <w:tcPr>
            <w:tcW w:w="8200" w:type="dxa"/>
            <w:vAlign w:val="bottom"/>
          </w:tcPr>
          <w:p>
            <w:pPr>
              <w:ind w:left="20"/>
              <w:spacing w:after="0"/>
              <w:rPr>
                <w:sz w:val="20"/>
                <w:szCs w:val="20"/>
                <w:color w:val="auto"/>
              </w:rPr>
            </w:pPr>
            <w:r>
              <w:rPr>
                <w:rFonts w:ascii="Arial" w:cs="Arial" w:eastAsia="Arial" w:hAnsi="Arial"/>
                <w:sz w:val="17"/>
                <w:szCs w:val="17"/>
                <w:color w:val="auto"/>
              </w:rPr>
              <w:t>Transaction costs paid by Dropbox on behalf of HelloSign</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1"/>
        </w:trPr>
        <w:tc>
          <w:tcPr>
            <w:tcW w:w="820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Fair value of assumed HelloSign options attributable to pre-combination services</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21"/>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price adjustments</w:t>
            </w: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14"/>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w:t>
            </w:r>
          </w:p>
        </w:tc>
      </w:tr>
    </w:tbl>
    <w:p>
      <w:pPr>
        <w:spacing w:after="0" w:line="294" w:lineRule="exact"/>
        <w:rPr>
          <w:sz w:val="20"/>
          <w:szCs w:val="20"/>
          <w:color w:val="auto"/>
        </w:rPr>
      </w:pPr>
    </w:p>
    <w:p>
      <w:pPr>
        <w:ind w:left="140" w:hanging="136"/>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The fair value of options assumed were based upon the Black-Scholes option-pricing model.</w:t>
      </w:r>
    </w:p>
    <w:p>
      <w:pPr>
        <w:spacing w:after="0" w:line="236" w:lineRule="exact"/>
        <w:rPr>
          <w:sz w:val="20"/>
          <w:szCs w:val="20"/>
          <w:color w:val="auto"/>
        </w:rPr>
      </w:pPr>
    </w:p>
    <w:p>
      <w:pPr>
        <w:ind w:right="80" w:firstLine="430"/>
        <w:spacing w:after="0" w:line="312" w:lineRule="auto"/>
        <w:rPr>
          <w:sz w:val="20"/>
          <w:szCs w:val="20"/>
          <w:color w:val="auto"/>
        </w:rPr>
      </w:pPr>
      <w:r>
        <w:rPr>
          <w:rFonts w:ascii="Arial" w:cs="Arial" w:eastAsia="Arial" w:hAnsi="Arial"/>
          <w:sz w:val="15"/>
          <w:szCs w:val="15"/>
          <w:color w:val="auto"/>
        </w:rPr>
        <w:t>In addition to the total purchase consideration above, the Company has employee holdback agreements with key HelloSign personnel consisting of $48.5 million in cash payments subject to ongoing employee service. The related expenses are recognized within research and development expenses over the required service period of three years. The payments began in the first quarter of 2020, with $4.1 million and $12.1 million paid during the three and nine months ended September 30, 2021. The remaining balance of $8.0 million will be paid evenly in quarterly installments over the remaining required service period.</w:t>
      </w:r>
    </w:p>
    <w:p>
      <w:pPr>
        <w:spacing w:after="0" w:line="171" w:lineRule="exact"/>
        <w:rPr>
          <w:sz w:val="20"/>
          <w:szCs w:val="20"/>
          <w:color w:val="auto"/>
        </w:rPr>
      </w:pPr>
    </w:p>
    <w:p>
      <w:pPr>
        <w:ind w:right="20" w:firstLine="430"/>
        <w:spacing w:after="0" w:line="286" w:lineRule="auto"/>
        <w:rPr>
          <w:sz w:val="20"/>
          <w:szCs w:val="20"/>
          <w:color w:val="auto"/>
        </w:rPr>
      </w:pPr>
      <w:r>
        <w:rPr>
          <w:rFonts w:ascii="Arial" w:cs="Arial" w:eastAsia="Arial" w:hAnsi="Arial"/>
          <w:sz w:val="17"/>
          <w:szCs w:val="17"/>
          <w:color w:val="auto"/>
        </w:rPr>
        <w:t>The purchase consideration was allocated to the tangible and intangible assets and liabilities acquired as of the acquisition date, with the excess recorded to goodwill as shown below.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acquired: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1"/>
        </w:trPr>
        <w:tc>
          <w:tcPr>
            <w:tcW w:w="820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1340" w:type="dxa"/>
            <w:vAlign w:val="bottom"/>
          </w:tcPr>
          <w:p>
            <w:pPr>
              <w:jc w:val="right"/>
              <w:ind w:right="1133"/>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1"/>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investments</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21"/>
        </w:trPr>
        <w:tc>
          <w:tcPr>
            <w:tcW w:w="8200" w:type="dxa"/>
            <w:vAlign w:val="bottom"/>
          </w:tcPr>
          <w:p>
            <w:pPr>
              <w:ind w:left="220"/>
              <w:spacing w:after="0"/>
              <w:rPr>
                <w:sz w:val="20"/>
                <w:szCs w:val="20"/>
                <w:color w:val="auto"/>
              </w:rPr>
            </w:pPr>
            <w:r>
              <w:rPr>
                <w:rFonts w:ascii="Arial" w:cs="Arial" w:eastAsia="Arial" w:hAnsi="Arial"/>
                <w:sz w:val="17"/>
                <w:szCs w:val="17"/>
                <w:color w:val="auto"/>
              </w:rPr>
              <w:t>Acquisition-related intangible assets</w:t>
            </w:r>
          </w:p>
        </w:tc>
        <w:tc>
          <w:tcPr>
            <w:tcW w:w="1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44.6</w:t>
            </w:r>
          </w:p>
        </w:tc>
      </w:tr>
      <w:tr>
        <w:trPr>
          <w:trHeight w:val="221"/>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prepaid and other assets</w:t>
            </w:r>
          </w:p>
        </w:tc>
        <w:tc>
          <w:tcPr>
            <w:tcW w:w="1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4"/>
        </w:trPr>
        <w:tc>
          <w:tcPr>
            <w:tcW w:w="8200" w:type="dxa"/>
            <w:vAlign w:val="bottom"/>
          </w:tcPr>
          <w:p>
            <w:pPr>
              <w:ind w:left="20"/>
              <w:spacing w:after="0"/>
              <w:rPr>
                <w:sz w:val="20"/>
                <w:szCs w:val="20"/>
                <w:color w:val="auto"/>
              </w:rPr>
            </w:pPr>
            <w:r>
              <w:rPr>
                <w:rFonts w:ascii="Arial" w:cs="Arial" w:eastAsia="Arial" w:hAnsi="Arial"/>
                <w:sz w:val="17"/>
                <w:szCs w:val="17"/>
                <w:color w:val="auto"/>
              </w:rPr>
              <w:t>Total assets acquired</w:t>
            </w:r>
          </w:p>
        </w:tc>
        <w:tc>
          <w:tcPr>
            <w:tcW w:w="1340" w:type="dxa"/>
            <w:vAlign w:val="bottom"/>
            <w:tcBorders>
              <w:bottom w:val="single" w:sz="8" w:color="auto"/>
            </w:tcBorders>
          </w:tcPr>
          <w:p>
            <w:pPr>
              <w:jc w:val="right"/>
              <w:ind w:right="113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14"/>
        </w:trPr>
        <w:tc>
          <w:tcPr>
            <w:tcW w:w="8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1"/>
        </w:trPr>
        <w:tc>
          <w:tcPr>
            <w:tcW w:w="8200" w:type="dxa"/>
            <w:vAlign w:val="bottom"/>
          </w:tcPr>
          <w:p>
            <w:pPr>
              <w:ind w:left="20"/>
              <w:spacing w:after="0"/>
              <w:rPr>
                <w:sz w:val="20"/>
                <w:szCs w:val="20"/>
                <w:color w:val="auto"/>
              </w:rPr>
            </w:pPr>
            <w:r>
              <w:rPr>
                <w:rFonts w:ascii="Arial" w:cs="Arial" w:eastAsia="Arial" w:hAnsi="Arial"/>
                <w:sz w:val="17"/>
                <w:szCs w:val="17"/>
                <w:color w:val="auto"/>
              </w:rPr>
              <w:t>Liabilities assumed:</w:t>
            </w:r>
          </w:p>
        </w:tc>
        <w:tc>
          <w:tcPr>
            <w:tcW w:w="13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1"/>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 accrued and other liabilities</w:t>
            </w:r>
          </w:p>
        </w:tc>
        <w:tc>
          <w:tcPr>
            <w:tcW w:w="1340" w:type="dxa"/>
            <w:vAlign w:val="bottom"/>
            <w:shd w:val="clear" w:color="auto" w:fill="CCEEFF"/>
          </w:tcPr>
          <w:p>
            <w:pPr>
              <w:jc w:val="right"/>
              <w:ind w:right="1133"/>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21"/>
        </w:trPr>
        <w:tc>
          <w:tcPr>
            <w:tcW w:w="8200" w:type="dxa"/>
            <w:vAlign w:val="bottom"/>
          </w:tcPr>
          <w:p>
            <w:pPr>
              <w:ind w:left="220"/>
              <w:spacing w:after="0"/>
              <w:rPr>
                <w:sz w:val="20"/>
                <w:szCs w:val="20"/>
                <w:color w:val="auto"/>
              </w:rPr>
            </w:pPr>
            <w:r>
              <w:rPr>
                <w:rFonts w:ascii="Arial" w:cs="Arial" w:eastAsia="Arial" w:hAnsi="Arial"/>
                <w:sz w:val="17"/>
                <w:szCs w:val="17"/>
                <w:color w:val="auto"/>
              </w:rPr>
              <w:t>Deferred revenue</w:t>
            </w:r>
          </w:p>
        </w:tc>
        <w:tc>
          <w:tcPr>
            <w:tcW w:w="1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1"/>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tax liability</w:t>
            </w:r>
          </w:p>
        </w:tc>
        <w:tc>
          <w:tcPr>
            <w:tcW w:w="1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14"/>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 assumed</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r>
      <w:tr>
        <w:trPr>
          <w:trHeight w:val="214"/>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assets acquired, excluding goodwill</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w:t>
            </w:r>
          </w:p>
        </w:tc>
      </w:tr>
      <w:tr>
        <w:trPr>
          <w:trHeight w:val="214"/>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purchase consideration</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177.9</w:t>
            </w:r>
          </w:p>
        </w:tc>
      </w:tr>
      <w:tr>
        <w:trPr>
          <w:trHeight w:val="239"/>
        </w:trPr>
        <w:tc>
          <w:tcPr>
            <w:tcW w:w="8200" w:type="dxa"/>
            <w:vAlign w:val="bottom"/>
            <w:tcBorders>
              <w:bottom w:val="single" w:sz="8" w:color="CCEEFF"/>
            </w:tcBorders>
            <w:shd w:val="clear" w:color="auto" w:fill="CCEEFF"/>
          </w:tcPr>
          <w:p>
            <w:pPr>
              <w:ind w:left="20"/>
              <w:spacing w:after="0" w:line="214"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(2)</w:t>
            </w: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40" w:hanging="136"/>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The goodwill recognized was primarily attributable to the opportunity to expand the user base of the Company's platform. The goodwill is not deductible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w w:val="90"/>
              </w:rPr>
              <w:t>Estimated weighted average</w:t>
            </w:r>
          </w:p>
        </w:tc>
        <w:tc>
          <w:tcPr>
            <w:tcW w:w="0" w:type="dxa"/>
            <w:vAlign w:val="bottom"/>
          </w:tcPr>
          <w:p>
            <w:pPr>
              <w:spacing w:after="0"/>
              <w:rPr>
                <w:sz w:val="1"/>
                <w:szCs w:val="1"/>
                <w:color w:val="auto"/>
              </w:rPr>
            </w:pPr>
          </w:p>
        </w:tc>
      </w:tr>
      <w:tr>
        <w:trPr>
          <w:trHeight w:val="169"/>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vMerge w:val="restart"/>
          </w:tcPr>
          <w:p>
            <w:pPr>
              <w:jc w:val="right"/>
              <w:ind w:right="273"/>
              <w:spacing w:after="0"/>
              <w:rPr>
                <w:sz w:val="20"/>
                <w:szCs w:val="20"/>
                <w:color w:val="auto"/>
              </w:rPr>
            </w:pPr>
            <w:r>
              <w:rPr>
                <w:rFonts w:ascii="Arial" w:cs="Arial" w:eastAsia="Arial" w:hAnsi="Arial"/>
                <w:sz w:val="17"/>
                <w:szCs w:val="17"/>
                <w:color w:val="auto"/>
              </w:rPr>
              <w:t>Estimated fair values</w:t>
            </w:r>
          </w:p>
        </w:tc>
        <w:tc>
          <w:tcPr>
            <w:tcW w:w="140" w:type="dxa"/>
            <w:vAlign w:val="bottom"/>
          </w:tcPr>
          <w:p>
            <w:pPr>
              <w:spacing w:after="0"/>
              <w:rPr>
                <w:sz w:val="14"/>
                <w:szCs w:val="14"/>
                <w:color w:val="auto"/>
              </w:rPr>
            </w:pPr>
          </w:p>
        </w:tc>
        <w:tc>
          <w:tcPr>
            <w:tcW w:w="2180" w:type="dxa"/>
            <w:vAlign w:val="bottom"/>
          </w:tcPr>
          <w:p>
            <w:pPr>
              <w:jc w:val="center"/>
              <w:spacing w:after="0" w:line="169" w:lineRule="exact"/>
              <w:rPr>
                <w:sz w:val="20"/>
                <w:szCs w:val="20"/>
                <w:color w:val="auto"/>
              </w:rPr>
            </w:pPr>
            <w:r>
              <w:rPr>
                <w:rFonts w:ascii="Arial" w:cs="Arial" w:eastAsia="Arial" w:hAnsi="Arial"/>
                <w:sz w:val="17"/>
                <w:szCs w:val="17"/>
                <w:color w:val="auto"/>
                <w:w w:val="92"/>
              </w:rPr>
              <w:t>useful lives</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(In years)</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23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2"/>
              </w:rPr>
              <w:t>4.9</w:t>
            </w:r>
          </w:p>
        </w:tc>
        <w:tc>
          <w:tcPr>
            <w:tcW w:w="0" w:type="dxa"/>
            <w:vAlign w:val="bottom"/>
          </w:tcPr>
          <w:p>
            <w:pPr>
              <w:spacing w:after="0"/>
              <w:rPr>
                <w:sz w:val="1"/>
                <w:szCs w:val="1"/>
                <w:color w:val="auto"/>
              </w:rPr>
            </w:pPr>
          </w:p>
        </w:tc>
      </w:tr>
      <w:tr>
        <w:trPr>
          <w:trHeight w:val="221"/>
        </w:trPr>
        <w:tc>
          <w:tcPr>
            <w:tcW w:w="672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19.6</w:t>
            </w:r>
          </w:p>
        </w:tc>
        <w:tc>
          <w:tcPr>
            <w:tcW w:w="2320" w:type="dxa"/>
            <w:vAlign w:val="bottom"/>
            <w:gridSpan w:val="2"/>
          </w:tcPr>
          <w:p>
            <w:pPr>
              <w:jc w:val="center"/>
              <w:ind w:left="5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32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14"/>
        </w:trPr>
        <w:tc>
          <w:tcPr>
            <w:tcW w:w="6720" w:type="dxa"/>
            <w:vAlign w:val="bottom"/>
          </w:tcPr>
          <w:p>
            <w:pPr>
              <w:ind w:left="20"/>
              <w:spacing w:after="0"/>
              <w:rPr>
                <w:sz w:val="20"/>
                <w:szCs w:val="20"/>
                <w:color w:val="auto"/>
              </w:rPr>
            </w:pPr>
            <w:r>
              <w:rPr>
                <w:rFonts w:ascii="Arial" w:cs="Arial" w:eastAsia="Arial" w:hAnsi="Arial"/>
                <w:sz w:val="17"/>
                <w:szCs w:val="17"/>
                <w:color w:val="auto"/>
              </w:rPr>
              <w:t>Total acquisition-related intangible assets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160" w:firstLine="430"/>
        <w:spacing w:after="0" w:line="266" w:lineRule="auto"/>
        <w:rPr>
          <w:sz w:val="20"/>
          <w:szCs w:val="20"/>
          <w:color w:val="auto"/>
        </w:rPr>
      </w:pPr>
      <w:r>
        <w:rPr>
          <w:rFonts w:ascii="Arial" w:cs="Arial" w:eastAsia="Arial" w:hAnsi="Arial"/>
          <w:sz w:val="17"/>
          <w:szCs w:val="17"/>
          <w:color w:val="auto"/>
        </w:rPr>
        <w:t>The fair values of the acquisition-related intangibles were determined using the following methodologies: the multi-period excess earnings method, replacement cost method, and the relief from royalty method, for customer relationships, developed technology, and the trade name, respectively. The valuation model inputs required the application of significant judgment by management. At the time of acquisition, the acquired intangible assets had a total weighted average amortization period of 4.9 years.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00" w:type="dxa"/>
            <w:vAlign w:val="bottom"/>
          </w:tcPr>
          <w:p>
            <w:pPr>
              <w:spacing w:after="0"/>
              <w:rPr>
                <w:sz w:val="20"/>
                <w:szCs w:val="20"/>
                <w:color w:val="auto"/>
              </w:rPr>
            </w:pPr>
            <w:r>
              <w:rPr>
                <w:rFonts w:ascii="Arial" w:cs="Arial" w:eastAsia="Arial" w:hAnsi="Arial"/>
                <w:sz w:val="17"/>
                <w:szCs w:val="17"/>
                <w:b w:val="1"/>
                <w:bCs w:val="1"/>
                <w:color w:val="auto"/>
              </w:rPr>
              <w:t>Note 6. Intangible Assets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5100" w:type="dxa"/>
            <w:vAlign w:val="bottom"/>
          </w:tcPr>
          <w:p>
            <w:pPr>
              <w:ind w:left="440"/>
              <w:spacing w:after="0"/>
              <w:rPr>
                <w:sz w:val="20"/>
                <w:szCs w:val="20"/>
                <w:color w:val="auto"/>
              </w:rPr>
            </w:pPr>
            <w:r>
              <w:rPr>
                <w:rFonts w:ascii="Arial" w:cs="Arial" w:eastAsia="Arial" w:hAnsi="Arial"/>
                <w:sz w:val="17"/>
                <w:szCs w:val="17"/>
                <w:color w:val="auto"/>
              </w:rPr>
              <w:t>Intangible assets consisted of the following:</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w w:val="92"/>
              </w:rPr>
              <w:t>Weighted-</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69" w:lineRule="exact"/>
              <w:rPr>
                <w:sz w:val="20"/>
                <w:szCs w:val="20"/>
                <w:color w:val="auto"/>
              </w:rPr>
            </w:pPr>
            <w:r>
              <w:rPr>
                <w:rFonts w:ascii="Arial" w:cs="Arial" w:eastAsia="Arial" w:hAnsi="Arial"/>
                <w:sz w:val="17"/>
                <w:szCs w:val="17"/>
                <w:b w:val="1"/>
                <w:bCs w:val="1"/>
                <w:color w:val="auto"/>
                <w:w w:val="87"/>
              </w:rPr>
              <w:t>average</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69" w:lineRule="exact"/>
              <w:rPr>
                <w:sz w:val="20"/>
                <w:szCs w:val="20"/>
                <w:color w:val="auto"/>
              </w:rPr>
            </w:pPr>
            <w:r>
              <w:rPr>
                <w:rFonts w:ascii="Arial" w:cs="Arial" w:eastAsia="Arial" w:hAnsi="Arial"/>
                <w:sz w:val="17"/>
                <w:szCs w:val="17"/>
                <w:b w:val="1"/>
                <w:bCs w:val="1"/>
                <w:color w:val="auto"/>
                <w:w w:val="93"/>
              </w:rPr>
              <w:t>remaining</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0"/>
              </w:rPr>
              <w:t>useful life</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As of September 30,</w:t>
            </w:r>
          </w:p>
        </w:tc>
        <w:tc>
          <w:tcPr>
            <w:tcW w:w="200" w:type="dxa"/>
            <w:vAlign w:val="bottom"/>
          </w:tcPr>
          <w:p>
            <w:pPr>
              <w:spacing w:after="0"/>
              <w:rPr>
                <w:sz w:val="14"/>
                <w:szCs w:val="14"/>
                <w:color w:val="auto"/>
              </w:rPr>
            </w:pPr>
          </w:p>
        </w:tc>
        <w:tc>
          <w:tcPr>
            <w:tcW w:w="1780" w:type="dxa"/>
            <w:vAlign w:val="bottom"/>
            <w:vMerge w:val="restart"/>
          </w:tcPr>
          <w:p>
            <w:pPr>
              <w:jc w:val="right"/>
              <w:ind w:right="193"/>
              <w:spacing w:after="0"/>
              <w:rPr>
                <w:sz w:val="20"/>
                <w:szCs w:val="20"/>
                <w:color w:val="auto"/>
              </w:rPr>
            </w:pPr>
            <w:r>
              <w:rPr>
                <w:rFonts w:ascii="Arial" w:cs="Arial" w:eastAsia="Arial" w:hAnsi="Arial"/>
                <w:sz w:val="17"/>
                <w:szCs w:val="17"/>
                <w:b w:val="1"/>
                <w:bCs w:val="1"/>
                <w:color w:val="auto"/>
                <w:w w:val="93"/>
              </w:rPr>
              <w:t>As of December 31,</w:t>
            </w:r>
          </w:p>
        </w:tc>
        <w:tc>
          <w:tcPr>
            <w:tcW w:w="100" w:type="dxa"/>
            <w:vAlign w:val="bottom"/>
          </w:tcPr>
          <w:p>
            <w:pPr>
              <w:spacing w:after="0"/>
              <w:rPr>
                <w:sz w:val="14"/>
                <w:szCs w:val="14"/>
                <w:color w:val="auto"/>
              </w:rPr>
            </w:pPr>
          </w:p>
        </w:tc>
        <w:tc>
          <w:tcPr>
            <w:tcW w:w="1960" w:type="dxa"/>
            <w:vAlign w:val="bottom"/>
          </w:tcPr>
          <w:p>
            <w:pPr>
              <w:jc w:val="center"/>
              <w:spacing w:after="0" w:line="169" w:lineRule="exact"/>
              <w:rPr>
                <w:sz w:val="20"/>
                <w:szCs w:val="20"/>
                <w:color w:val="auto"/>
              </w:rPr>
            </w:pPr>
            <w:r>
              <w:rPr>
                <w:rFonts w:ascii="Arial" w:cs="Arial" w:eastAsia="Arial" w:hAnsi="Arial"/>
                <w:sz w:val="17"/>
                <w:szCs w:val="17"/>
                <w:color w:val="auto"/>
                <w:w w:val="94"/>
              </w:rPr>
              <w:t>(In years)</w:t>
            </w:r>
          </w:p>
        </w:tc>
        <w:tc>
          <w:tcPr>
            <w:tcW w:w="0" w:type="dxa"/>
            <w:vAlign w:val="bottom"/>
          </w:tcPr>
          <w:p>
            <w:pPr>
              <w:spacing w:after="0"/>
              <w:rPr>
                <w:sz w:val="1"/>
                <w:szCs w:val="1"/>
                <w:color w:val="auto"/>
              </w:rPr>
            </w:pPr>
          </w:p>
        </w:tc>
      </w:tr>
      <w:tr>
        <w:trPr>
          <w:trHeight w:val="221"/>
        </w:trPr>
        <w:tc>
          <w:tcPr>
            <w:tcW w:w="5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w w:val="90"/>
              </w:rPr>
              <w:t>As of September 30,</w:t>
            </w:r>
          </w:p>
        </w:tc>
        <w:tc>
          <w:tcPr>
            <w:tcW w:w="0" w:type="dxa"/>
            <w:vAlign w:val="bottom"/>
          </w:tcPr>
          <w:p>
            <w:pPr>
              <w:spacing w:after="0"/>
              <w:rPr>
                <w:sz w:val="1"/>
                <w:szCs w:val="1"/>
                <w:color w:val="auto"/>
              </w:rPr>
            </w:pPr>
          </w:p>
        </w:tc>
      </w:tr>
      <w:tr>
        <w:trPr>
          <w:trHeight w:val="214"/>
        </w:trPr>
        <w:tc>
          <w:tcPr>
            <w:tcW w:w="5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2021</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3.4</w:t>
            </w:r>
          </w:p>
        </w:tc>
        <w:tc>
          <w:tcPr>
            <w:tcW w:w="0" w:type="dxa"/>
            <w:vAlign w:val="bottom"/>
          </w:tcPr>
          <w:p>
            <w:pPr>
              <w:spacing w:after="0"/>
              <w:rPr>
                <w:sz w:val="1"/>
                <w:szCs w:val="1"/>
                <w:color w:val="auto"/>
              </w:rPr>
            </w:pPr>
          </w:p>
        </w:tc>
      </w:tr>
      <w:tr>
        <w:trPr>
          <w:trHeight w:val="221"/>
        </w:trPr>
        <w:tc>
          <w:tcPr>
            <w:tcW w:w="510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20.5</w:t>
            </w:r>
          </w:p>
        </w:tc>
        <w:tc>
          <w:tcPr>
            <w:tcW w:w="206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3.7</w:t>
            </w:r>
          </w:p>
        </w:tc>
        <w:tc>
          <w:tcPr>
            <w:tcW w:w="0" w:type="dxa"/>
            <w:vAlign w:val="bottom"/>
          </w:tcPr>
          <w:p>
            <w:pPr>
              <w:spacing w:after="0"/>
              <w:rPr>
                <w:sz w:val="1"/>
                <w:szCs w:val="1"/>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5.5</w:t>
            </w:r>
          </w:p>
        </w:tc>
        <w:tc>
          <w:tcPr>
            <w:tcW w:w="0" w:type="dxa"/>
            <w:vAlign w:val="bottom"/>
          </w:tcPr>
          <w:p>
            <w:pPr>
              <w:spacing w:after="0"/>
              <w:rPr>
                <w:sz w:val="1"/>
                <w:szCs w:val="1"/>
                <w:color w:val="auto"/>
              </w:rPr>
            </w:pPr>
          </w:p>
        </w:tc>
      </w:tr>
      <w:tr>
        <w:trPr>
          <w:trHeight w:val="221"/>
        </w:trPr>
        <w:tc>
          <w:tcPr>
            <w:tcW w:w="5100" w:type="dxa"/>
            <w:vAlign w:val="bottom"/>
          </w:tcPr>
          <w:p>
            <w:pPr>
              <w:ind w:left="20"/>
              <w:spacing w:after="0"/>
              <w:rPr>
                <w:sz w:val="20"/>
                <w:szCs w:val="20"/>
                <w:color w:val="auto"/>
              </w:rPr>
            </w:pPr>
            <w:r>
              <w:rPr>
                <w:rFonts w:ascii="Arial" w:cs="Arial" w:eastAsia="Arial" w:hAnsi="Arial"/>
                <w:sz w:val="17"/>
                <w:szCs w:val="17"/>
                <w:color w:val="auto"/>
              </w:rPr>
              <w:t>Software</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9.0</w:t>
            </w:r>
          </w:p>
        </w:tc>
        <w:tc>
          <w:tcPr>
            <w:tcW w:w="206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0.9</w:t>
            </w:r>
          </w:p>
        </w:tc>
        <w:tc>
          <w:tcPr>
            <w:tcW w:w="0" w:type="dxa"/>
            <w:vAlign w:val="bottom"/>
          </w:tcPr>
          <w:p>
            <w:pPr>
              <w:spacing w:after="0"/>
              <w:rPr>
                <w:sz w:val="1"/>
                <w:szCs w:val="1"/>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Trademarks and trade names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2.9</w:t>
            </w:r>
          </w:p>
        </w:tc>
        <w:tc>
          <w:tcPr>
            <w:tcW w:w="0" w:type="dxa"/>
            <w:vAlign w:val="bottom"/>
          </w:tcPr>
          <w:p>
            <w:pPr>
              <w:spacing w:after="0"/>
              <w:rPr>
                <w:sz w:val="1"/>
                <w:szCs w:val="1"/>
                <w:color w:val="auto"/>
              </w:rPr>
            </w:pPr>
          </w:p>
        </w:tc>
      </w:tr>
      <w:tr>
        <w:trPr>
          <w:trHeight w:val="221"/>
        </w:trPr>
        <w:tc>
          <w:tcPr>
            <w:tcW w:w="5100" w:type="dxa"/>
            <w:vAlign w:val="bottom"/>
          </w:tcPr>
          <w:p>
            <w:pPr>
              <w:ind w:left="20"/>
              <w:spacing w:after="0"/>
              <w:rPr>
                <w:sz w:val="20"/>
                <w:szCs w:val="20"/>
                <w:color w:val="auto"/>
              </w:rPr>
            </w:pPr>
            <w:r>
              <w:rPr>
                <w:rFonts w:ascii="Arial" w:cs="Arial" w:eastAsia="Arial" w:hAnsi="Arial"/>
                <w:sz w:val="17"/>
                <w:szCs w:val="17"/>
                <w:color w:val="auto"/>
              </w:rPr>
              <w:t>Licenses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Assembled workforce in asset acquisitions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21"/>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2060" w:type="dxa"/>
            <w:vAlign w:val="bottom"/>
            <w:tcBorders>
              <w:bottom w:val="single" w:sz="8" w:color="CCEEFF"/>
            </w:tcBorders>
            <w:gridSpan w:val="2"/>
          </w:tcPr>
          <w:p>
            <w:pPr>
              <w:jc w:val="center"/>
              <w:ind w:left="13"/>
              <w:spacing w:after="0"/>
              <w:rPr>
                <w:sz w:val="20"/>
                <w:szCs w:val="20"/>
                <w:color w:val="auto"/>
              </w:rPr>
            </w:pPr>
            <w:r>
              <w:rPr>
                <w:rFonts w:ascii="Arial" w:cs="Arial" w:eastAsia="Arial" w:hAnsi="Arial"/>
                <w:sz w:val="17"/>
                <w:szCs w:val="17"/>
                <w:color w:val="auto"/>
                <w:w w:val="84"/>
              </w:rPr>
              <w:t>4.0</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intangibles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400" w:firstLine="430"/>
        <w:spacing w:after="0" w:line="286" w:lineRule="auto"/>
        <w:rPr>
          <w:sz w:val="20"/>
          <w:szCs w:val="20"/>
          <w:color w:val="auto"/>
        </w:rPr>
      </w:pPr>
      <w:r>
        <w:rPr>
          <w:rFonts w:ascii="Arial" w:cs="Arial" w:eastAsia="Arial" w:hAnsi="Arial"/>
          <w:sz w:val="17"/>
          <w:szCs w:val="17"/>
          <w:color w:val="auto"/>
        </w:rPr>
        <w:t>Amortization expense was $4.0 million and $11.2 million for the three and nine months ended September 30, 2021, respectively, and $3.6 million and $10.6 million for the three and nine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9000" w:type="dxa"/>
            <w:vAlign w:val="bottom"/>
          </w:tcPr>
          <w:p>
            <w:pPr>
              <w:ind w:left="400"/>
              <w:spacing w:after="0"/>
              <w:rPr>
                <w:sz w:val="20"/>
                <w:szCs w:val="20"/>
                <w:color w:val="auto"/>
              </w:rPr>
            </w:pPr>
            <w:r>
              <w:rPr>
                <w:rFonts w:ascii="Arial" w:cs="Arial" w:eastAsia="Arial" w:hAnsi="Arial"/>
                <w:sz w:val="17"/>
                <w:szCs w:val="17"/>
                <w:color w:val="auto"/>
              </w:rPr>
              <w:t>Expected future amortization expense for intangible assets as of September 30, 2021 is as follows:</w:t>
            </w:r>
          </w:p>
        </w:tc>
        <w:tc>
          <w:tcPr>
            <w:tcW w:w="9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1"/>
        </w:trPr>
        <w:tc>
          <w:tcPr>
            <w:tcW w:w="90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1"/>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Remaining three months of Fiscal 2021</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21"/>
        </w:trPr>
        <w:tc>
          <w:tcPr>
            <w:tcW w:w="9000" w:type="dxa"/>
            <w:vAlign w:val="bottom"/>
          </w:tcPr>
          <w:p>
            <w:pPr>
              <w:spacing w:after="0"/>
              <w:rPr>
                <w:sz w:val="20"/>
                <w:szCs w:val="20"/>
                <w:color w:val="auto"/>
              </w:rPr>
            </w:pPr>
            <w:r>
              <w:rPr>
                <w:rFonts w:ascii="Arial" w:cs="Arial" w:eastAsia="Arial" w:hAnsi="Arial"/>
                <w:sz w:val="17"/>
                <w:szCs w:val="17"/>
                <w:color w:val="auto"/>
              </w:rPr>
              <w:t>2022</w:t>
            </w:r>
          </w:p>
        </w:tc>
        <w:tc>
          <w:tcPr>
            <w:tcW w:w="9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21"/>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21"/>
        </w:trPr>
        <w:tc>
          <w:tcPr>
            <w:tcW w:w="9000" w:type="dxa"/>
            <w:vAlign w:val="bottom"/>
          </w:tcPr>
          <w:p>
            <w:pPr>
              <w:spacing w:after="0"/>
              <w:rPr>
                <w:sz w:val="20"/>
                <w:szCs w:val="20"/>
                <w:color w:val="auto"/>
              </w:rPr>
            </w:pPr>
            <w:r>
              <w:rPr>
                <w:rFonts w:ascii="Arial" w:cs="Arial" w:eastAsia="Arial" w:hAnsi="Arial"/>
                <w:sz w:val="17"/>
                <w:szCs w:val="17"/>
                <w:color w:val="auto"/>
              </w:rPr>
              <w:t>2024</w:t>
            </w:r>
          </w:p>
        </w:tc>
        <w:tc>
          <w:tcPr>
            <w:tcW w:w="9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21"/>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21"/>
        </w:trPr>
        <w:tc>
          <w:tcPr>
            <w:tcW w:w="9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9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r>
      <w:tr>
        <w:trPr>
          <w:trHeight w:val="239"/>
        </w:trPr>
        <w:tc>
          <w:tcPr>
            <w:tcW w:w="9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Goodwill</w:t>
      </w:r>
    </w:p>
    <w:p>
      <w:pPr>
        <w:spacing w:after="0" w:line="253" w:lineRule="exact"/>
        <w:rPr>
          <w:sz w:val="20"/>
          <w:szCs w:val="20"/>
          <w:color w:val="auto"/>
        </w:rPr>
      </w:pPr>
    </w:p>
    <w:p>
      <w:pPr>
        <w:ind w:right="480" w:firstLine="430"/>
        <w:spacing w:after="0" w:line="286"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480" w:type="dxa"/>
            <w:vAlign w:val="bottom"/>
            <w:shd w:val="clear" w:color="auto" w:fill="CCEEFF"/>
          </w:tcPr>
          <w:p>
            <w:pPr>
              <w:jc w:val="right"/>
              <w:ind w:right="1273"/>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w:t>
            </w:r>
          </w:p>
        </w:tc>
      </w:tr>
      <w:tr>
        <w:trPr>
          <w:trHeight w:val="221"/>
        </w:trPr>
        <w:tc>
          <w:tcPr>
            <w:tcW w:w="7920" w:type="dxa"/>
            <w:vAlign w:val="bottom"/>
          </w:tcPr>
          <w:p>
            <w:pPr>
              <w:ind w:left="200"/>
              <w:spacing w:after="0"/>
              <w:rPr>
                <w:sz w:val="20"/>
                <w:szCs w:val="20"/>
                <w:color w:val="auto"/>
              </w:rPr>
            </w:pPr>
            <w:r>
              <w:rPr>
                <w:rFonts w:ascii="Arial" w:cs="Arial" w:eastAsia="Arial" w:hAnsi="Arial"/>
                <w:sz w:val="17"/>
                <w:szCs w:val="17"/>
                <w:color w:val="auto"/>
              </w:rPr>
              <w:t>DocSend acquisition</w:t>
            </w:r>
          </w:p>
        </w:tc>
        <w:tc>
          <w:tcPr>
            <w:tcW w:w="14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110.0</w:t>
            </w:r>
          </w:p>
        </w:tc>
      </w:tr>
      <w:tr>
        <w:trPr>
          <w:trHeight w:val="221"/>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Effect of foreign currency translation</w:t>
            </w:r>
          </w:p>
        </w:tc>
        <w:tc>
          <w:tcPr>
            <w:tcW w:w="14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14"/>
        </w:trPr>
        <w:tc>
          <w:tcPr>
            <w:tcW w:w="7920" w:type="dxa"/>
            <w:vAlign w:val="bottom"/>
          </w:tcPr>
          <w:p>
            <w:pPr>
              <w:ind w:left="20"/>
              <w:spacing w:after="0"/>
              <w:rPr>
                <w:sz w:val="20"/>
                <w:szCs w:val="20"/>
                <w:color w:val="auto"/>
              </w:rPr>
            </w:pPr>
            <w:r>
              <w:rPr>
                <w:rFonts w:ascii="Arial" w:cs="Arial" w:eastAsia="Arial" w:hAnsi="Arial"/>
                <w:sz w:val="17"/>
                <w:szCs w:val="17"/>
                <w:color w:val="auto"/>
              </w:rPr>
              <w:t>Balance at September 30, 2021</w:t>
            </w:r>
          </w:p>
        </w:tc>
        <w:tc>
          <w:tcPr>
            <w:tcW w:w="1480" w:type="dxa"/>
            <w:vAlign w:val="bottom"/>
            <w:tcBorders>
              <w:bottom w:val="single" w:sz="8" w:color="auto"/>
            </w:tcBorders>
          </w:tcPr>
          <w:p>
            <w:pPr>
              <w:jc w:val="right"/>
              <w:ind w:right="1273"/>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347.2</w:t>
            </w:r>
          </w:p>
        </w:tc>
      </w:tr>
      <w:tr>
        <w:trPr>
          <w:trHeight w:val="20"/>
        </w:trPr>
        <w:tc>
          <w:tcPr>
            <w:tcW w:w="7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280" w:firstLine="430"/>
        <w:spacing w:after="0" w:line="286" w:lineRule="auto"/>
        <w:rPr>
          <w:sz w:val="20"/>
          <w:szCs w:val="20"/>
          <w:color w:val="auto"/>
        </w:rPr>
      </w:pPr>
      <w:r>
        <w:rPr>
          <w:rFonts w:ascii="Arial" w:cs="Arial" w:eastAsia="Arial" w:hAnsi="Arial"/>
          <w:sz w:val="17"/>
          <w:szCs w:val="17"/>
          <w:color w:val="auto"/>
        </w:rPr>
        <w:t>Goodwill amounts are not amortized, but tested for impairment on an annual basis. There was no impairment of goodwill as of September 30, 2021 and December 31, 2020.</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Debt</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247"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color w:val="auto"/>
        </w:rPr>
        <w:t>In April 2017, the Company entered into an amended and restated credit and guaranty agreement which provided for a $600.0 million revolving loan facility (as amended from time to time, the “revolving credit facility”). In conjunction with the revolving credit facility, the Company paid upfront issuance fees of $2.6 million, which are being amortized over the five-year term of the agreement.</w:t>
      </w:r>
    </w:p>
    <w:p>
      <w:pPr>
        <w:spacing w:after="0" w:line="197" w:lineRule="exact"/>
        <w:rPr>
          <w:sz w:val="20"/>
          <w:szCs w:val="20"/>
          <w:color w:val="auto"/>
        </w:rPr>
      </w:pPr>
    </w:p>
    <w:p>
      <w:pPr>
        <w:ind w:right="120" w:firstLine="430"/>
        <w:spacing w:after="0" w:line="279" w:lineRule="auto"/>
        <w:rPr>
          <w:sz w:val="20"/>
          <w:szCs w:val="20"/>
          <w:color w:val="auto"/>
        </w:rPr>
      </w:pPr>
      <w:r>
        <w:rPr>
          <w:rFonts w:ascii="Arial" w:cs="Arial" w:eastAsia="Arial" w:hAnsi="Arial"/>
          <w:sz w:val="16"/>
          <w:szCs w:val="16"/>
          <w:color w:val="auto"/>
        </w:rPr>
        <w:t>In February 2018, the Company amended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In February 2021, the Company amended the revolving credit facility to decrease its borrowing capacity under the revolving credit facility from $725.0 million to $500.0 million. The Company may from time to time request increases in its borrowing capacity under the revolving credit facility of up to $250.0 million, provided no event of default has occurred or is continuing or would result from such increase. In conjunction with the February 2021 amendment, the Company paid upfront issuance fees of $1.7 million, which are being amortized over the remaining term of the agreement, and wrote-off $0.2 million in unamortized deferred debt issuance costs.</w:t>
      </w:r>
    </w:p>
    <w:p>
      <w:pPr>
        <w:spacing w:after="0" w:line="196" w:lineRule="exact"/>
        <w:rPr>
          <w:sz w:val="20"/>
          <w:szCs w:val="20"/>
          <w:color w:val="auto"/>
        </w:rPr>
      </w:pPr>
    </w:p>
    <w:p>
      <w:pPr>
        <w:ind w:right="40" w:firstLine="430"/>
        <w:spacing w:after="0" w:line="262"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1.375%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Company’s option, at an annual rate based on LIBOR plus a spread of 1.375% or at an alternative base rate plus a spread of 0.375%.</w:t>
      </w:r>
    </w:p>
    <w:p>
      <w:pPr>
        <w:spacing w:after="0" w:line="247" w:lineRule="exact"/>
        <w:rPr>
          <w:sz w:val="20"/>
          <w:szCs w:val="20"/>
          <w:color w:val="auto"/>
        </w:rPr>
      </w:pPr>
    </w:p>
    <w:p>
      <w:pPr>
        <w:ind w:right="20" w:firstLine="430"/>
        <w:spacing w:after="0" w:line="263"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incurrence covenant and a minimum liquidity balance of $100.0 million, which includes any available borrowing capacity. The Company was in compliance with the covenants of the revolving credit facility as of September 30, 2021 and December 31, 2020, respectively.</w:t>
      </w:r>
    </w:p>
    <w:p>
      <w:pPr>
        <w:spacing w:after="0" w:line="205" w:lineRule="exact"/>
        <w:rPr>
          <w:sz w:val="20"/>
          <w:szCs w:val="20"/>
          <w:color w:val="auto"/>
        </w:rPr>
      </w:pPr>
    </w:p>
    <w:p>
      <w:pPr>
        <w:ind w:right="180" w:firstLine="430"/>
        <w:spacing w:after="0" w:line="271" w:lineRule="auto"/>
        <w:rPr>
          <w:sz w:val="20"/>
          <w:szCs w:val="20"/>
          <w:color w:val="auto"/>
        </w:rPr>
      </w:pPr>
      <w:r>
        <w:rPr>
          <w:rFonts w:ascii="Arial" w:cs="Arial" w:eastAsia="Arial" w:hAnsi="Arial"/>
          <w:sz w:val="17"/>
          <w:szCs w:val="17"/>
          <w:color w:val="auto"/>
        </w:rPr>
        <w:t>The Company had an aggregate of $52.2 million of letters of credit outstanding under the revolving credit facility as of September 30, 2021, and the Company’s total available borrowing capacity under the revolving credit facility was $447.8 million as of September 30, 2021. The Company’s letters of credit have final expiration dates through 2036.</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47" w:lineRule="exact"/>
        <w:rPr>
          <w:sz w:val="20"/>
          <w:szCs w:val="20"/>
          <w:color w:val="auto"/>
        </w:rPr>
      </w:pPr>
    </w:p>
    <w:p>
      <w:pPr>
        <w:ind w:right="40" w:firstLine="430"/>
        <w:spacing w:after="0" w:line="266" w:lineRule="auto"/>
        <w:rPr>
          <w:sz w:val="20"/>
          <w:szCs w:val="20"/>
          <w:color w:val="auto"/>
        </w:rPr>
      </w:pPr>
      <w:r>
        <w:rPr>
          <w:rFonts w:ascii="Arial" w:cs="Arial" w:eastAsia="Arial" w:hAnsi="Arial"/>
          <w:sz w:val="17"/>
          <w:szCs w:val="17"/>
          <w:color w:val="auto"/>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spacing w:after="0" w:line="201" w:lineRule="exact"/>
        <w:rPr>
          <w:sz w:val="20"/>
          <w:szCs w:val="20"/>
          <w:color w:val="auto"/>
        </w:rPr>
      </w:pPr>
    </w:p>
    <w:p>
      <w:pPr>
        <w:ind w:right="100" w:firstLine="430"/>
        <w:spacing w:after="0" w:line="266" w:lineRule="auto"/>
        <w:rPr>
          <w:sz w:val="20"/>
          <w:szCs w:val="20"/>
          <w:color w:val="auto"/>
        </w:rPr>
      </w:pPr>
      <w:r>
        <w:rPr>
          <w:rFonts w:ascii="Arial" w:cs="Arial" w:eastAsia="Arial" w:hAnsi="Arial"/>
          <w:sz w:val="17"/>
          <w:szCs w:val="17"/>
          <w:color w:val="auto"/>
        </w:rPr>
        <w:t>The Notes of each series do not bear regular interest. The Notes of each series may bear special interest as the remedy relating to the Company’s failure to comply with certain of its reporting obligations. The Company has complied with this reporting obligations from the issuance date through September 30, 2021. The 2026 Notes will mature on March 1, 2026, and the 2028 Notes will mature on March 1, 2028, in each case, unless earlier converted, redeemed or repurchased.</w:t>
      </w:r>
    </w:p>
    <w:p>
      <w:pPr>
        <w:spacing w:after="0" w:line="201" w:lineRule="exact"/>
        <w:rPr>
          <w:sz w:val="20"/>
          <w:szCs w:val="20"/>
          <w:color w:val="auto"/>
        </w:rPr>
      </w:pPr>
    </w:p>
    <w:p>
      <w:pPr>
        <w:ind w:firstLine="430"/>
        <w:spacing w:after="0" w:line="277" w:lineRule="auto"/>
        <w:rPr>
          <w:sz w:val="20"/>
          <w:szCs w:val="20"/>
          <w:color w:val="auto"/>
        </w:rPr>
      </w:pPr>
      <w:r>
        <w:rPr>
          <w:rFonts w:ascii="Arial" w:cs="Arial" w:eastAsia="Arial" w:hAnsi="Arial"/>
          <w:sz w:val="16"/>
          <w:szCs w:val="16"/>
          <w:color w:val="auto"/>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September 30, 2021.</w:t>
      </w:r>
    </w:p>
    <w:p>
      <w:pPr>
        <w:spacing w:after="0" w:line="195" w:lineRule="exact"/>
        <w:rPr>
          <w:sz w:val="20"/>
          <w:szCs w:val="20"/>
          <w:color w:val="auto"/>
        </w:rPr>
      </w:pPr>
    </w:p>
    <w:p>
      <w:pPr>
        <w:ind w:right="40" w:firstLine="430"/>
        <w:spacing w:after="0" w:line="263" w:lineRule="auto"/>
        <w:rPr>
          <w:sz w:val="20"/>
          <w:szCs w:val="20"/>
          <w:color w:val="auto"/>
        </w:rPr>
      </w:pPr>
      <w:r>
        <w:rPr>
          <w:rFonts w:ascii="Arial" w:cs="Arial" w:eastAsia="Arial" w:hAnsi="Arial"/>
          <w:sz w:val="17"/>
          <w:szCs w:val="17"/>
          <w:color w:val="auto"/>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Notes as of September 30, 2021. In addition, during the three and nine months ended September 30, 2021, the conditions allowing holders of the Notes to convert were not met. As a result, the Notes are not convertible during the three and nine months ended September 30, 2021.</w:t>
      </w:r>
    </w:p>
    <w:p>
      <w:pPr>
        <w:spacing w:after="0" w:line="205" w:lineRule="exact"/>
        <w:rPr>
          <w:sz w:val="20"/>
          <w:szCs w:val="20"/>
          <w:color w:val="auto"/>
        </w:rPr>
      </w:pPr>
    </w:p>
    <w:p>
      <w:pPr>
        <w:ind w:right="100" w:firstLine="430"/>
        <w:spacing w:after="0" w:line="261" w:lineRule="auto"/>
        <w:rPr>
          <w:sz w:val="20"/>
          <w:szCs w:val="20"/>
          <w:color w:val="auto"/>
        </w:rPr>
      </w:pPr>
      <w:r>
        <w:rPr>
          <w:rFonts w:ascii="Arial" w:cs="Arial" w:eastAsia="Arial" w:hAnsi="Arial"/>
          <w:sz w:val="17"/>
          <w:szCs w:val="17"/>
          <w:color w:val="auto"/>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jc w:val="both"/>
        <w:ind w:right="120"/>
        <w:spacing w:after="0" w:line="295" w:lineRule="auto"/>
        <w:rPr>
          <w:sz w:val="20"/>
          <w:szCs w:val="20"/>
          <w:color w:val="auto"/>
        </w:rPr>
      </w:pPr>
      <w:r>
        <w:rPr>
          <w:rFonts w:ascii="Arial" w:cs="Arial" w:eastAsia="Arial" w:hAnsi="Arial"/>
          <w:sz w:val="15"/>
          <w:szCs w:val="15"/>
          <w:color w:val="auto"/>
        </w:rPr>
        <w:t>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(4) upon the occurrence of specified corporate transactions.</w:t>
      </w:r>
    </w:p>
    <w:p>
      <w:pPr>
        <w:spacing w:after="0" w:line="235" w:lineRule="exact"/>
        <w:rPr>
          <w:sz w:val="20"/>
          <w:szCs w:val="20"/>
          <w:color w:val="auto"/>
        </w:rPr>
      </w:pPr>
    </w:p>
    <w:p>
      <w:pPr>
        <w:ind w:firstLine="430"/>
        <w:spacing w:after="0" w:line="271" w:lineRule="auto"/>
        <w:rPr>
          <w:sz w:val="20"/>
          <w:szCs w:val="20"/>
          <w:color w:val="auto"/>
        </w:rPr>
      </w:pPr>
      <w:r>
        <w:rPr>
          <w:rFonts w:ascii="Arial" w:cs="Arial" w:eastAsia="Arial" w:hAnsi="Arial"/>
          <w:sz w:val="17"/>
          <w:szCs w:val="17"/>
          <w:color w:val="auto"/>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spacing w:after="0" w:line="197" w:lineRule="exact"/>
        <w:rPr>
          <w:sz w:val="20"/>
          <w:szCs w:val="20"/>
          <w:color w:val="auto"/>
        </w:rPr>
      </w:pPr>
    </w:p>
    <w:p>
      <w:pPr>
        <w:ind w:right="60" w:firstLine="430"/>
        <w:spacing w:after="0" w:line="262" w:lineRule="auto"/>
        <w:rPr>
          <w:sz w:val="20"/>
          <w:szCs w:val="20"/>
          <w:color w:val="auto"/>
        </w:rPr>
      </w:pPr>
      <w:r>
        <w:rPr>
          <w:rFonts w:ascii="Arial" w:cs="Arial" w:eastAsia="Arial" w:hAnsi="Arial"/>
          <w:sz w:val="17"/>
          <w:szCs w:val="17"/>
          <w:color w:val="auto"/>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spacing w:after="0" w:line="204" w:lineRule="exact"/>
        <w:rPr>
          <w:sz w:val="20"/>
          <w:szCs w:val="20"/>
          <w:color w:val="auto"/>
        </w:rPr>
      </w:pPr>
    </w:p>
    <w:p>
      <w:pPr>
        <w:ind w:right="60" w:firstLine="430"/>
        <w:spacing w:after="0" w:line="287" w:lineRule="auto"/>
        <w:rPr>
          <w:sz w:val="20"/>
          <w:szCs w:val="20"/>
          <w:color w:val="auto"/>
        </w:rPr>
      </w:pPr>
      <w:r>
        <w:rPr>
          <w:rFonts w:ascii="Arial" w:cs="Arial" w:eastAsia="Arial" w:hAnsi="Arial"/>
          <w:sz w:val="16"/>
          <w:szCs w:val="16"/>
          <w:color w:val="auto"/>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spacing w:after="0" w:line="188" w:lineRule="exact"/>
        <w:rPr>
          <w:sz w:val="20"/>
          <w:szCs w:val="20"/>
          <w:color w:val="auto"/>
        </w:rPr>
      </w:pPr>
    </w:p>
    <w:p>
      <w:pPr>
        <w:ind w:right="60" w:firstLine="430"/>
        <w:spacing w:after="0" w:line="312" w:lineRule="auto"/>
        <w:rPr>
          <w:sz w:val="20"/>
          <w:szCs w:val="20"/>
          <w:color w:val="auto"/>
        </w:rPr>
      </w:pPr>
      <w:r>
        <w:rPr>
          <w:rFonts w:ascii="Arial" w:cs="Arial" w:eastAsia="Arial" w:hAnsi="Arial"/>
          <w:sz w:val="15"/>
          <w:szCs w:val="15"/>
          <w:color w:val="auto"/>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171" w:lineRule="exact"/>
        <w:rPr>
          <w:sz w:val="20"/>
          <w:szCs w:val="20"/>
          <w:color w:val="auto"/>
        </w:rPr>
      </w:pPr>
    </w:p>
    <w:p>
      <w:pPr>
        <w:jc w:val="both"/>
        <w:ind w:right="300" w:firstLine="430"/>
        <w:spacing w:after="0" w:line="271" w:lineRule="auto"/>
        <w:rPr>
          <w:sz w:val="20"/>
          <w:szCs w:val="20"/>
          <w:color w:val="auto"/>
        </w:rPr>
      </w:pPr>
      <w:r>
        <w:rPr>
          <w:rFonts w:ascii="Arial" w:cs="Arial" w:eastAsia="Arial" w:hAnsi="Arial"/>
          <w:sz w:val="17"/>
          <w:szCs w:val="17"/>
          <w:color w:val="auto"/>
        </w:rPr>
        <w:t>In accounting for the Notes, issuance costs of $11.0 million and $11.0 million for the 2026 Notes and the 2028 Notes were deducted from the carrying value of the Notes in the consolidated balance sheet. Issuance costs will be recognized as interest expense over the five-year term and seven-year term for the 2026 Notes and the 2028 Notes, respectively.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the Company’s convertible senior notes as of September 30,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2026 Notes</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2028 Notes</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b w:val="1"/>
                <w:bCs w:val="1"/>
                <w:color w:val="auto"/>
              </w:rPr>
              <w:t>Total</w:t>
            </w:r>
          </w:p>
        </w:tc>
      </w:tr>
      <w:tr>
        <w:trPr>
          <w:trHeight w:val="214"/>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Principal balance</w:t>
            </w:r>
          </w:p>
        </w:tc>
        <w:tc>
          <w:tcPr>
            <w:tcW w:w="148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695.8</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7"/>
                <w:szCs w:val="17"/>
                <w:color w:val="auto"/>
              </w:rPr>
              <w:t>693.3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1,389.1</w:t>
            </w:r>
          </w:p>
        </w:tc>
      </w:tr>
      <w:tr>
        <w:trPr>
          <w:trHeight w:val="221"/>
        </w:trPr>
        <w:tc>
          <w:tcPr>
            <w:tcW w:w="4960" w:type="dxa"/>
            <w:vAlign w:val="bottom"/>
          </w:tcPr>
          <w:p>
            <w:pPr>
              <w:ind w:left="20"/>
              <w:spacing w:after="0"/>
              <w:rPr>
                <w:sz w:val="20"/>
                <w:szCs w:val="20"/>
                <w:color w:val="auto"/>
              </w:rPr>
            </w:pPr>
            <w:r>
              <w:rPr>
                <w:rFonts w:ascii="Arial" w:cs="Arial" w:eastAsia="Arial" w:hAnsi="Arial"/>
                <w:sz w:val="17"/>
                <w:szCs w:val="17"/>
                <w:color w:val="auto"/>
              </w:rPr>
              <w:t>Unamortized issuance costs</w:t>
            </w:r>
          </w:p>
        </w:tc>
        <w:tc>
          <w:tcPr>
            <w:tcW w:w="1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ind w:left="100"/>
              <w:spacing w:after="0"/>
              <w:rPr>
                <w:sz w:val="20"/>
                <w:szCs w:val="20"/>
                <w:color w:val="auto"/>
              </w:rPr>
            </w:pPr>
            <w:r>
              <w:rPr>
                <w:rFonts w:ascii="Arial" w:cs="Arial" w:eastAsia="Arial" w:hAnsi="Arial"/>
                <w:sz w:val="17"/>
                <w:szCs w:val="17"/>
                <w:color w:val="auto"/>
                <w:w w:val="94"/>
              </w:rPr>
              <w:t>(10.1)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(19.8)</w:t>
            </w:r>
          </w:p>
        </w:tc>
      </w:tr>
      <w:tr>
        <w:trPr>
          <w:trHeight w:val="221"/>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Carrying value, net</w:t>
            </w: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ind w:left="80"/>
              <w:spacing w:after="0"/>
              <w:rPr>
                <w:sz w:val="20"/>
                <w:szCs w:val="20"/>
                <w:color w:val="auto"/>
              </w:rPr>
            </w:pPr>
            <w:r>
              <w:rPr>
                <w:rFonts w:ascii="Arial" w:cs="Arial" w:eastAsia="Arial" w:hAnsi="Arial"/>
                <w:sz w:val="17"/>
                <w:szCs w:val="17"/>
                <w:color w:val="auto"/>
              </w:rPr>
              <w:t>683.2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1,369.3</w:t>
            </w:r>
          </w:p>
        </w:tc>
      </w:tr>
    </w:tbl>
    <w:p>
      <w:pPr>
        <w:spacing w:after="0" w:line="313" w:lineRule="exact"/>
        <w:rPr>
          <w:sz w:val="20"/>
          <w:szCs w:val="20"/>
          <w:color w:val="auto"/>
        </w:rPr>
      </w:pPr>
    </w:p>
    <w:p>
      <w:pPr>
        <w:ind w:right="100" w:firstLine="430"/>
        <w:spacing w:after="0" w:line="263" w:lineRule="auto"/>
        <w:rPr>
          <w:sz w:val="20"/>
          <w:szCs w:val="20"/>
          <w:color w:val="auto"/>
        </w:rPr>
      </w:pPr>
      <w:r>
        <w:rPr>
          <w:rFonts w:ascii="Arial" w:cs="Arial" w:eastAsia="Arial" w:hAnsi="Arial"/>
          <w:sz w:val="17"/>
          <w:szCs w:val="17"/>
          <w:color w:val="auto"/>
        </w:rPr>
        <w:t>During the three months ended September 30, 2021, the Company recognized $0.6 million and $0.4 million in interest expense for the 2026 Notes and the 2028 Notes, respectively, with such interest expense solely consisting of amortization of issuance costs. During the nine months ended September 30, 2021, the Company recognized $1.3 million and $0.9 million in interest expense for the 2026 Notes and the 2028 Notes, respectively, with such interest expense solely consisting of amortization of issuance costs. The effective interest rate for the 2026 Notes and the 2028 Notes was 0.32% and 0.22%, respectively,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20" w:type="dxa"/>
            <w:vAlign w:val="bottom"/>
          </w:tcPr>
          <w:p>
            <w:pPr>
              <w:ind w:left="440"/>
              <w:spacing w:after="0"/>
              <w:rPr>
                <w:sz w:val="20"/>
                <w:szCs w:val="20"/>
                <w:color w:val="auto"/>
              </w:rPr>
            </w:pPr>
            <w:r>
              <w:rPr>
                <w:rFonts w:ascii="Arial" w:cs="Arial" w:eastAsia="Arial" w:hAnsi="Arial"/>
                <w:sz w:val="17"/>
                <w:szCs w:val="17"/>
                <w:color w:val="auto"/>
              </w:rPr>
              <w:t>Maturities on the Company's long-term convertible debt are as follows:</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82"/>
        </w:trPr>
        <w:tc>
          <w:tcPr>
            <w:tcW w:w="9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Convertible Debt</w:t>
            </w:r>
          </w:p>
        </w:tc>
      </w:tr>
      <w:tr>
        <w:trPr>
          <w:trHeight w:val="214"/>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October 1, 2021 through December 31, 2021</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9220" w:type="dxa"/>
            <w:vAlign w:val="bottom"/>
          </w:tcPr>
          <w:p>
            <w:pPr>
              <w:ind w:left="20"/>
              <w:spacing w:after="0"/>
              <w:rPr>
                <w:sz w:val="20"/>
                <w:szCs w:val="20"/>
                <w:color w:val="auto"/>
              </w:rPr>
            </w:pPr>
            <w:r>
              <w:rPr>
                <w:rFonts w:ascii="Arial" w:cs="Arial" w:eastAsia="Arial" w:hAnsi="Arial"/>
                <w:sz w:val="17"/>
                <w:szCs w:val="17"/>
                <w:color w:val="auto"/>
              </w:rPr>
              <w:t>2022</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9220" w:type="dxa"/>
            <w:vAlign w:val="bottom"/>
          </w:tcPr>
          <w:p>
            <w:pPr>
              <w:ind w:left="20"/>
              <w:spacing w:after="0"/>
              <w:rPr>
                <w:sz w:val="20"/>
                <w:szCs w:val="20"/>
                <w:color w:val="auto"/>
              </w:rPr>
            </w:pPr>
            <w:r>
              <w:rPr>
                <w:rFonts w:ascii="Arial" w:cs="Arial" w:eastAsia="Arial" w:hAnsi="Arial"/>
                <w:sz w:val="17"/>
                <w:szCs w:val="17"/>
                <w:color w:val="auto"/>
              </w:rPr>
              <w:t>2024</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9220" w:type="dxa"/>
            <w:vAlign w:val="bottom"/>
          </w:tcPr>
          <w:p>
            <w:pPr>
              <w:ind w:left="20"/>
              <w:spacing w:after="0"/>
              <w:rPr>
                <w:sz w:val="20"/>
                <w:szCs w:val="20"/>
                <w:color w:val="auto"/>
              </w:rPr>
            </w:pPr>
            <w:r>
              <w:rPr>
                <w:rFonts w:ascii="Arial" w:cs="Arial" w:eastAsia="Arial" w:hAnsi="Arial"/>
                <w:sz w:val="17"/>
                <w:szCs w:val="17"/>
                <w:color w:val="auto"/>
              </w:rPr>
              <w:t>2026</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695.8</w:t>
            </w:r>
          </w:p>
        </w:tc>
      </w:tr>
      <w:tr>
        <w:trPr>
          <w:trHeight w:val="221"/>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693.3</w:t>
            </w:r>
          </w:p>
        </w:tc>
      </w:tr>
      <w:tr>
        <w:trPr>
          <w:trHeight w:val="214"/>
        </w:trPr>
        <w:tc>
          <w:tcPr>
            <w:tcW w:w="9220" w:type="dxa"/>
            <w:vAlign w:val="bottom"/>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1,389.1</w:t>
            </w:r>
          </w:p>
        </w:tc>
      </w:tr>
    </w:tbl>
    <w:p>
      <w:pPr>
        <w:spacing w:after="0" w:line="31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Convertible Note Hedges and Warrants</w:t>
      </w:r>
    </w:p>
    <w:p>
      <w:pPr>
        <w:spacing w:after="0" w:line="247" w:lineRule="exact"/>
        <w:rPr>
          <w:sz w:val="20"/>
          <w:szCs w:val="20"/>
          <w:color w:val="auto"/>
        </w:rPr>
      </w:pPr>
    </w:p>
    <w:p>
      <w:pPr>
        <w:jc w:val="both"/>
        <w:ind w:firstLine="430"/>
        <w:spacing w:after="0" w:line="312" w:lineRule="auto"/>
        <w:rPr>
          <w:sz w:val="20"/>
          <w:szCs w:val="20"/>
          <w:color w:val="auto"/>
        </w:rPr>
      </w:pPr>
      <w:r>
        <w:rPr>
          <w:rFonts w:ascii="Arial" w:cs="Arial" w:eastAsia="Arial" w:hAnsi="Arial"/>
          <w:sz w:val="15"/>
          <w:szCs w:val="15"/>
          <w:color w:val="auto"/>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common stock at a price of approximately $38.25 and $35.35 per share, respectively. The aggregate cost of the convertible note hedge transactions was $265.3 million.</w:t>
      </w:r>
    </w:p>
    <w:p>
      <w:pPr>
        <w:spacing w:after="0" w:line="171" w:lineRule="exact"/>
        <w:rPr>
          <w:sz w:val="20"/>
          <w:szCs w:val="20"/>
          <w:color w:val="auto"/>
        </w:rPr>
      </w:pPr>
    </w:p>
    <w:p>
      <w:pPr>
        <w:ind w:right="60" w:firstLine="430"/>
        <w:spacing w:after="0" w:line="263" w:lineRule="auto"/>
        <w:rPr>
          <w:sz w:val="20"/>
          <w:szCs w:val="20"/>
          <w:color w:val="auto"/>
        </w:rPr>
      </w:pPr>
      <w:r>
        <w:rPr>
          <w:rFonts w:ascii="Arial" w:cs="Arial" w:eastAsia="Arial" w:hAnsi="Arial"/>
          <w:sz w:val="17"/>
          <w:szCs w:val="17"/>
          <w:color w:val="auto"/>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Notes.</w:t>
      </w:r>
    </w:p>
    <w:p>
      <w:pPr>
        <w:spacing w:after="0" w:line="205"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The convertible note hedge transactions are expected generally to reduce the potential dilution to the Class A common stock upon conversion of the relevant series of Notes and/or offset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September 30, 2021, the Company’s stock price was below the exercise price of the respective Note Hedges.</w:t>
      </w:r>
    </w:p>
    <w:p>
      <w:pPr>
        <w:spacing w:after="0" w:line="205" w:lineRule="exact"/>
        <w:rPr>
          <w:sz w:val="20"/>
          <w:szCs w:val="20"/>
          <w:color w:val="auto"/>
        </w:rPr>
      </w:pPr>
    </w:p>
    <w:p>
      <w:pPr>
        <w:ind w:right="220" w:firstLine="430"/>
        <w:spacing w:after="0" w:line="287" w:lineRule="auto"/>
        <w:rPr>
          <w:sz w:val="20"/>
          <w:szCs w:val="20"/>
          <w:color w:val="auto"/>
        </w:rPr>
      </w:pPr>
      <w:r>
        <w:rPr>
          <w:rFonts w:ascii="Arial" w:cs="Arial" w:eastAsia="Arial" w:hAnsi="Arial"/>
          <w:sz w:val="16"/>
          <w:szCs w:val="16"/>
          <w:color w:val="auto"/>
        </w:rPr>
        <w:t>In addition, the Company sold warrants to certain counterparties whereby the holders of the warrants had the option to purchase a total of approximately 18.1 million shares underlying warrants expiring in 2026 (the “2026 Warrants”) and 20.1 million shares underlying warrants expiring in 2028 (the “2028 Warrants”, together with the 2026 Warrants, the “Warrants”), respectively, of the Company’s Class A common stock at an initial strike price of $46.36 and $46.36 per share, respectively. The Company received aggregate cash proceeds of $202.9 million from the sale of these Warrants.</w:t>
      </w:r>
    </w:p>
    <w:p>
      <w:pPr>
        <w:spacing w:after="0" w:line="188" w:lineRule="exact"/>
        <w:rPr>
          <w:sz w:val="20"/>
          <w:szCs w:val="20"/>
          <w:color w:val="auto"/>
        </w:rPr>
      </w:pPr>
    </w:p>
    <w:p>
      <w:pPr>
        <w:ind w:right="40" w:firstLine="430"/>
        <w:spacing w:after="0" w:line="262" w:lineRule="auto"/>
        <w:rPr>
          <w:sz w:val="20"/>
          <w:szCs w:val="20"/>
          <w:color w:val="auto"/>
        </w:rPr>
      </w:pPr>
      <w:r>
        <w:rPr>
          <w:rFonts w:ascii="Arial" w:cs="Arial" w:eastAsia="Arial" w:hAnsi="Arial"/>
          <w:sz w:val="17"/>
          <w:szCs w:val="17"/>
          <w:color w:val="auto"/>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September 30, 2021, the Company’s Class common stock price was below the exercise price of the Warrants.</w:t>
      </w:r>
    </w:p>
    <w:p>
      <w:pPr>
        <w:spacing w:after="0" w:line="204" w:lineRule="exact"/>
        <w:rPr>
          <w:sz w:val="20"/>
          <w:szCs w:val="20"/>
          <w:color w:val="auto"/>
        </w:rPr>
      </w:pPr>
    </w:p>
    <w:p>
      <w:pPr>
        <w:ind w:right="40" w:firstLine="430"/>
        <w:spacing w:after="0" w:line="271" w:lineRule="auto"/>
        <w:rPr>
          <w:sz w:val="20"/>
          <w:szCs w:val="20"/>
          <w:color w:val="auto"/>
        </w:rPr>
      </w:pPr>
      <w:r>
        <w:rPr>
          <w:rFonts w:ascii="Arial" w:cs="Arial" w:eastAsia="Arial" w:hAnsi="Arial"/>
          <w:sz w:val="17"/>
          <w:szCs w:val="17"/>
          <w:color w:val="auto"/>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40" w:firstLine="430"/>
        <w:spacing w:after="0" w:line="287" w:lineRule="auto"/>
        <w:rPr>
          <w:sz w:val="20"/>
          <w:szCs w:val="20"/>
          <w:color w:val="auto"/>
        </w:rPr>
      </w:pPr>
      <w:r>
        <w:rPr>
          <w:rFonts w:ascii="Arial" w:cs="Arial" w:eastAsia="Arial" w:hAnsi="Arial"/>
          <w:sz w:val="16"/>
          <w:szCs w:val="16"/>
          <w:color w:val="auto"/>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equity, and the premium received for the Warrants has been included as a net increase to additional paid-in capital within stockholders' (deficit) equity.</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Leases</w:t>
      </w:r>
    </w:p>
    <w:p>
      <w:pPr>
        <w:spacing w:after="0" w:line="253" w:lineRule="exact"/>
        <w:rPr>
          <w:sz w:val="20"/>
          <w:szCs w:val="20"/>
          <w:color w:val="auto"/>
        </w:rPr>
      </w:pPr>
    </w:p>
    <w:p>
      <w:pPr>
        <w:ind w:right="60" w:firstLine="391"/>
        <w:spacing w:after="0" w:line="286" w:lineRule="auto"/>
        <w:rPr>
          <w:sz w:val="20"/>
          <w:szCs w:val="20"/>
          <w:color w:val="auto"/>
        </w:rPr>
      </w:pPr>
      <w:r>
        <w:rPr>
          <w:rFonts w:ascii="Arial" w:cs="Arial" w:eastAsia="Arial" w:hAnsi="Arial"/>
          <w:sz w:val="17"/>
          <w:szCs w:val="17"/>
          <w:color w:val="auto"/>
        </w:rPr>
        <w:t>The Company has operating leases for corporate offices and data centers, and finance leases for infrastructure and office equipment. The Company’s leases have remaining lease terms of 1 year to 15 years, some of which include options to extend the leases for up to 5 years.</w:t>
      </w:r>
    </w:p>
    <w:p>
      <w:pPr>
        <w:spacing w:after="0" w:line="185"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The Company also has subleases for several floors of its former corporate offices. The Company classifies its subleases as operating leases. The subleases have remaining lease terms of 1 year to 12 years. Sublease income, which is recorded as a reduction of rental expense, was $4.5 million and $12.4 million during the three and nine months ended September 30, 2021, respectively, and $1.7 million and $5.2 million during the three and nine months ended September 30, 2020, respectively.</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Future minimum lease payments under non-cancellable leases as of September 30, 2021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220" w:type="dxa"/>
            <w:vAlign w:val="bottom"/>
          </w:tcPr>
          <w:p>
            <w:pPr>
              <w:spacing w:after="0"/>
              <w:rPr>
                <w:sz w:val="21"/>
                <w:szCs w:val="21"/>
                <w:color w:val="auto"/>
              </w:rPr>
            </w:pPr>
          </w:p>
        </w:tc>
        <w:tc>
          <w:tcPr>
            <w:tcW w:w="1920" w:type="dxa"/>
            <w:vAlign w:val="bottom"/>
            <w:gridSpan w:val="2"/>
          </w:tcPr>
          <w:p>
            <w:pPr>
              <w:ind w:left="120"/>
              <w:spacing w:after="0"/>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22"/>
                <w:szCs w:val="22"/>
                <w:color w:val="auto"/>
                <w:vertAlign w:val="superscript"/>
              </w:rPr>
              <w:t>(1)</w:t>
            </w:r>
          </w:p>
        </w:tc>
        <w:tc>
          <w:tcPr>
            <w:tcW w:w="280" w:type="dxa"/>
            <w:vAlign w:val="bottom"/>
          </w:tcPr>
          <w:p>
            <w:pPr>
              <w:spacing w:after="0"/>
              <w:rPr>
                <w:sz w:val="21"/>
                <w:szCs w:val="21"/>
                <w:color w:val="auto"/>
              </w:rPr>
            </w:pPr>
          </w:p>
        </w:tc>
        <w:tc>
          <w:tcPr>
            <w:tcW w:w="1740" w:type="dxa"/>
            <w:vAlign w:val="bottom"/>
          </w:tcPr>
          <w:p>
            <w:pPr>
              <w:jc w:val="right"/>
              <w:ind w:right="393"/>
              <w:spacing w:after="0"/>
              <w:rPr>
                <w:sz w:val="20"/>
                <w:szCs w:val="20"/>
                <w:color w:val="auto"/>
              </w:rPr>
            </w:pPr>
            <w:r>
              <w:rPr>
                <w:rFonts w:ascii="Arial" w:cs="Arial" w:eastAsia="Arial" w:hAnsi="Arial"/>
                <w:sz w:val="17"/>
                <w:szCs w:val="17"/>
                <w:b w:val="1"/>
                <w:bCs w:val="1"/>
                <w:color w:val="auto"/>
              </w:rPr>
              <w:t>Finance leases</w:t>
            </w:r>
          </w:p>
        </w:tc>
      </w:tr>
      <w:tr>
        <w:trPr>
          <w:trHeight w:val="214"/>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 (excluding the nine months ended September 30, 2021)</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w:t>
            </w:r>
          </w:p>
        </w:tc>
      </w:tr>
      <w:tr>
        <w:trPr>
          <w:trHeight w:val="221"/>
        </w:trPr>
        <w:tc>
          <w:tcPr>
            <w:tcW w:w="7080" w:type="dxa"/>
            <w:vAlign w:val="bottom"/>
          </w:tcPr>
          <w:p>
            <w:pPr>
              <w:ind w:left="20"/>
              <w:spacing w:after="0"/>
              <w:rPr>
                <w:sz w:val="20"/>
                <w:szCs w:val="20"/>
                <w:color w:val="auto"/>
              </w:rPr>
            </w:pPr>
            <w:r>
              <w:rPr>
                <w:rFonts w:ascii="Arial" w:cs="Arial" w:eastAsia="Arial" w:hAnsi="Arial"/>
                <w:sz w:val="17"/>
                <w:szCs w:val="17"/>
                <w:color w:val="auto"/>
              </w:rPr>
              <w:t>2022</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123.2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122.4</w:t>
            </w:r>
          </w:p>
        </w:tc>
      </w:tr>
      <w:tr>
        <w:trPr>
          <w:trHeight w:val="221"/>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w:t>
            </w:r>
          </w:p>
        </w:tc>
      </w:tr>
      <w:tr>
        <w:trPr>
          <w:trHeight w:val="221"/>
        </w:trPr>
        <w:tc>
          <w:tcPr>
            <w:tcW w:w="7080" w:type="dxa"/>
            <w:vAlign w:val="bottom"/>
          </w:tcPr>
          <w:p>
            <w:pPr>
              <w:ind w:left="20"/>
              <w:spacing w:after="0"/>
              <w:rPr>
                <w:sz w:val="20"/>
                <w:szCs w:val="20"/>
                <w:color w:val="auto"/>
              </w:rPr>
            </w:pPr>
            <w:r>
              <w:rPr>
                <w:rFonts w:ascii="Arial" w:cs="Arial" w:eastAsia="Arial" w:hAnsi="Arial"/>
                <w:sz w:val="17"/>
                <w:szCs w:val="17"/>
                <w:color w:val="auto"/>
              </w:rPr>
              <w:t>2024</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95.7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53.6</w:t>
            </w:r>
          </w:p>
        </w:tc>
      </w:tr>
      <w:tr>
        <w:trPr>
          <w:trHeight w:val="221"/>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21"/>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minimum lease payments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314.8</w:t>
            </w:r>
          </w:p>
        </w:tc>
      </w:tr>
      <w:tr>
        <w:trPr>
          <w:trHeight w:val="221"/>
        </w:trPr>
        <w:tc>
          <w:tcPr>
            <w:tcW w:w="708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(216.4)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21"/>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tenant improvement receivables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7080" w:type="dxa"/>
            <w:vAlign w:val="bottom"/>
          </w:tcPr>
          <w:p>
            <w:pPr>
              <w:ind w:left="20"/>
              <w:spacing w:after="0"/>
              <w:rPr>
                <w:sz w:val="20"/>
                <w:szCs w:val="20"/>
                <w:color w:val="auto"/>
              </w:rPr>
            </w:pPr>
            <w:r>
              <w:rPr>
                <w:rFonts w:ascii="Arial" w:cs="Arial" w:eastAsia="Arial" w:hAnsi="Arial"/>
                <w:sz w:val="17"/>
                <w:szCs w:val="17"/>
                <w:color w:val="auto"/>
              </w:rPr>
              <w:t>Total liability</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303.1</w:t>
            </w: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240" w:firstLine="4"/>
        <w:spacing w:after="0" w:line="298" w:lineRule="auto"/>
        <w:tabs>
          <w:tab w:leader="none" w:pos="144"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Consists of future non-cancelable minimum rental payments under operating leases for the Company’s corporate offices and data centers where the Company has possession, excluding rent payments from the Company’s sub-tenants and variable operating expenses.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20" w:type="dxa"/>
            <w:vAlign w:val="bottom"/>
          </w:tcPr>
          <w:p>
            <w:pPr>
              <w:ind w:left="400"/>
              <w:spacing w:after="0"/>
              <w:rPr>
                <w:sz w:val="20"/>
                <w:szCs w:val="20"/>
                <w:color w:val="auto"/>
              </w:rPr>
            </w:pPr>
            <w:r>
              <w:rPr>
                <w:rFonts w:ascii="Arial" w:cs="Arial" w:eastAsia="Arial" w:hAnsi="Arial"/>
                <w:sz w:val="17"/>
                <w:szCs w:val="17"/>
                <w:color w:val="auto"/>
              </w:rPr>
              <w:t>Future non-cancelable rent payments from the Company's subtenants as of September 30, 2021 were as follows:</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82"/>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w w:val="99"/>
              </w:rPr>
              <w:t>Operating leases</w:t>
            </w:r>
          </w:p>
        </w:tc>
      </w:tr>
      <w:tr>
        <w:trPr>
          <w:trHeight w:val="214"/>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(excluding the nine months ended September 30, 2021)</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21"/>
        </w:trPr>
        <w:tc>
          <w:tcPr>
            <w:tcW w:w="9220" w:type="dxa"/>
            <w:vAlign w:val="bottom"/>
          </w:tcPr>
          <w:p>
            <w:pPr>
              <w:ind w:left="20"/>
              <w:spacing w:after="0"/>
              <w:rPr>
                <w:sz w:val="20"/>
                <w:szCs w:val="20"/>
                <w:color w:val="auto"/>
              </w:rPr>
            </w:pPr>
            <w:r>
              <w:rPr>
                <w:rFonts w:ascii="Arial" w:cs="Arial" w:eastAsia="Arial" w:hAnsi="Arial"/>
                <w:sz w:val="17"/>
                <w:szCs w:val="17"/>
                <w:color w:val="auto"/>
              </w:rPr>
              <w:t>2022</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24.3</w:t>
            </w:r>
          </w:p>
        </w:tc>
      </w:tr>
      <w:tr>
        <w:trPr>
          <w:trHeight w:val="221"/>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r>
      <w:tr>
        <w:trPr>
          <w:trHeight w:val="221"/>
        </w:trPr>
        <w:tc>
          <w:tcPr>
            <w:tcW w:w="9220" w:type="dxa"/>
            <w:vAlign w:val="bottom"/>
          </w:tcPr>
          <w:p>
            <w:pPr>
              <w:ind w:left="20"/>
              <w:spacing w:after="0"/>
              <w:rPr>
                <w:sz w:val="20"/>
                <w:szCs w:val="20"/>
                <w:color w:val="auto"/>
              </w:rPr>
            </w:pPr>
            <w:r>
              <w:rPr>
                <w:rFonts w:ascii="Arial" w:cs="Arial" w:eastAsia="Arial" w:hAnsi="Arial"/>
                <w:sz w:val="17"/>
                <w:szCs w:val="17"/>
                <w:color w:val="auto"/>
              </w:rPr>
              <w:t>2024</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16.5</w:t>
            </w:r>
          </w:p>
        </w:tc>
      </w:tr>
      <w:tr>
        <w:trPr>
          <w:trHeight w:val="221"/>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r>
      <w:tr>
        <w:trPr>
          <w:trHeight w:val="221"/>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w:t>
            </w:r>
          </w:p>
        </w:tc>
      </w:tr>
      <w:tr>
        <w:trPr>
          <w:trHeight w:val="214"/>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sublease rent payments</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w:t>
            </w:r>
          </w:p>
        </w:tc>
      </w:tr>
      <w:tr>
        <w:trPr>
          <w:trHeight w:val="221"/>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sub-tenant incentive</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r>
      <w:tr>
        <w:trPr>
          <w:trHeight w:val="214"/>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sublease rent payments, net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w:t>
            </w:r>
          </w:p>
        </w:tc>
      </w:tr>
    </w:tbl>
    <w:p>
      <w:pPr>
        <w:spacing w:after="0" w:line="300" w:lineRule="exact"/>
        <w:rPr>
          <w:sz w:val="20"/>
          <w:szCs w:val="20"/>
          <w:color w:val="auto"/>
        </w:rPr>
      </w:pPr>
    </w:p>
    <w:p>
      <w:pPr>
        <w:ind w:right="300" w:firstLine="391"/>
        <w:spacing w:after="0" w:line="271" w:lineRule="auto"/>
        <w:rPr>
          <w:sz w:val="20"/>
          <w:szCs w:val="20"/>
          <w:color w:val="auto"/>
        </w:rPr>
      </w:pPr>
      <w:r>
        <w:rPr>
          <w:rFonts w:ascii="Arial" w:cs="Arial" w:eastAsia="Arial" w:hAnsi="Arial"/>
          <w:sz w:val="17"/>
          <w:szCs w:val="17"/>
          <w:color w:val="auto"/>
        </w:rPr>
        <w:t>In 2017, the Company entered into a lease agreement for office space in San Francisco, California, to serve as its corporate headquarters. The Company took possession of three phases of the space between June 2018 and December 2019, and began to recognize lease costs and lease obligations, net of tenant improvement reimbursements related to the space.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Company's total expected minimum obligations for all three phases of the lease are $842.9 million, which exclude expected tenant improvement reimbursements from the landlord of approximately $75.0 million and variable operating expenses. The Company’s obligations under the lease are supported by a $34.2 million letter of credit, which reduced the borrowing capacity under the revolving credit facility. The Company does not expect to collect further tenant improvement reimbursements through the remainder of the lease.</w:t>
      </w:r>
    </w:p>
    <w:p>
      <w:pPr>
        <w:spacing w:after="0" w:line="201" w:lineRule="exact"/>
        <w:rPr>
          <w:sz w:val="20"/>
          <w:szCs w:val="20"/>
          <w:color w:val="auto"/>
        </w:rPr>
      </w:pPr>
    </w:p>
    <w:p>
      <w:pPr>
        <w:ind w:right="20" w:firstLine="391"/>
        <w:spacing w:after="0" w:line="266" w:lineRule="auto"/>
        <w:rPr>
          <w:sz w:val="20"/>
          <w:szCs w:val="20"/>
          <w:color w:val="auto"/>
        </w:rPr>
      </w:pPr>
      <w:r>
        <w:rPr>
          <w:rFonts w:ascii="Arial" w:cs="Arial" w:eastAsia="Arial" w:hAnsi="Arial"/>
          <w:sz w:val="17"/>
          <w:szCs w:val="17"/>
          <w:color w:val="auto"/>
        </w:rPr>
        <w:t>In the fourth quarter of 2020, the Company announced a new Virtual First work model pursuant to which remote work will become the primary experience for all of its employees. As part of the Virtual First strategy, Dropbox will retain a portion of its office space to be used for the Company’s team collaboration use and a portion will be marketed for sublease. The Company evaluated certain of its right-of-use assets and other lease related assets including leasehold improvements, furniture and fixtures, and computer equipment for impairment under ASC 360.</w:t>
      </w:r>
    </w:p>
    <w:p>
      <w:pPr>
        <w:spacing w:after="0" w:line="201" w:lineRule="exact"/>
        <w:rPr>
          <w:sz w:val="20"/>
          <w:szCs w:val="20"/>
          <w:color w:val="auto"/>
        </w:rPr>
      </w:pPr>
    </w:p>
    <w:p>
      <w:pPr>
        <w:jc w:val="both"/>
        <w:ind w:right="120" w:firstLine="391"/>
        <w:spacing w:after="0" w:line="271" w:lineRule="auto"/>
        <w:rPr>
          <w:sz w:val="20"/>
          <w:szCs w:val="20"/>
          <w:color w:val="auto"/>
        </w:rPr>
      </w:pPr>
      <w:r>
        <w:rPr>
          <w:rFonts w:ascii="Arial" w:cs="Arial" w:eastAsia="Arial" w:hAnsi="Arial"/>
          <w:sz w:val="17"/>
          <w:szCs w:val="17"/>
          <w:color w:val="auto"/>
        </w:rPr>
        <w:t>The Company did not record impairment during the three months ended September 30, 2021 and recorded total impairment of $17.3 million for right-of-use and other lease related assets during the nine months ended September 30, 2021. The Company did not record impairment during the three and nine months ended September 30, 2020.</w:t>
      </w:r>
    </w:p>
    <w:p>
      <w:pPr>
        <w:spacing w:after="0" w:line="197" w:lineRule="exact"/>
        <w:rPr>
          <w:sz w:val="20"/>
          <w:szCs w:val="20"/>
          <w:color w:val="auto"/>
        </w:rPr>
      </w:pPr>
    </w:p>
    <w:p>
      <w:pPr>
        <w:ind w:right="340" w:firstLine="391"/>
        <w:spacing w:after="0" w:line="295" w:lineRule="auto"/>
        <w:rPr>
          <w:sz w:val="20"/>
          <w:szCs w:val="20"/>
          <w:color w:val="auto"/>
        </w:rPr>
      </w:pPr>
      <w:r>
        <w:rPr>
          <w:rFonts w:ascii="Arial" w:cs="Arial" w:eastAsia="Arial" w:hAnsi="Arial"/>
          <w:sz w:val="16"/>
          <w:szCs w:val="16"/>
          <w:color w:val="auto"/>
        </w:rPr>
        <w:t>As of September 30, 2021, the Company had commitments of $49.6 million for operating leases that have not yet commenced, and therefore are not included in the right-of-use asset or operating lease liability. These operating leases will commence in 2021 and 2022 with lease terms of up to 15 years. The Company has a sublease commitment of $6.4 million that has not yet commenced, with a sublease term of 7 years.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Commitments and Contingencies</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Legal matters</w:t>
      </w:r>
    </w:p>
    <w:p>
      <w:pPr>
        <w:spacing w:after="0" w:line="117"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04" w:lineRule="exact"/>
        <w:rPr>
          <w:sz w:val="20"/>
          <w:szCs w:val="20"/>
          <w:color w:val="auto"/>
        </w:rPr>
      </w:pPr>
    </w:p>
    <w:p>
      <w:pPr>
        <w:ind w:right="20" w:firstLine="391"/>
        <w:spacing w:after="0" w:line="261" w:lineRule="auto"/>
        <w:rPr>
          <w:sz w:val="20"/>
          <w:szCs w:val="20"/>
          <w:color w:val="auto"/>
        </w:rPr>
      </w:pPr>
      <w:r>
        <w:rPr>
          <w:rFonts w:ascii="Arial" w:cs="Arial" w:eastAsia="Arial" w:hAnsi="Arial"/>
          <w:sz w:val="17"/>
          <w:szCs w:val="17"/>
          <w:color w:val="auto"/>
        </w:rPr>
        <w:t>The Company is currently involved in four putative class action lawsuits alleging violations of the federal securities laws that were filed on August 30, 2019, September 5, 2019, September 13, 2019, and October 3, 2019, in the Superior Court of the State of California, San Mateo County, against the Company, certain of its officers and directors, underwriters of its IPO, and Sequoia Capital XII, L.P. and certain of its affiliated entities (collectively, the “Dropbox Defendants”). On October 4, 2019, two putative class action lawsuits alleging violations of the federal securities laws were filed against the Dropbox Defendants in the U.S. District Court for the Northern District of California (the "Federal Plaintiffs"). The six lawsuits each make the same or similar allegations of violations of federal securities laws, for allegedly making materially false and misleading statements in, or omitting material information from, the Company's IPO registration statement. The plaintiffs seek unspecified monetary damages and other relief.</w:t>
      </w:r>
    </w:p>
    <w:p>
      <w:pPr>
        <w:spacing w:after="0" w:line="205"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On March 2, 2020, the Federal Plaintiffs filed a consolidated class action complaint. On April 16, 2020, the Dropbox Defendants filed a motion to dismiss the federal consolidated class action complaint. On October 21, 2020, the court issued an order granting the Company's motion to dismiss the Federal Plaintiffs’ complaint, setting a deadline of January 6, 2021 for the Federal Plaintiffs to file any amended complaint. The federal court extended this deadline to February 22, 2021 to provide time for the parties to explore resolving the case. On February 11, 2021, the parties attended mediation and reached a settlement in principle for an immaterial amount subject to final documentation and preliminary and final approval by the court. On July 22, 2021, the Court held a preliminary settlement approval hearing. On August 3, 2021, the Court entered an order preliminarily approving the settlement and providing for notice to the class. The Court set a hearing for final approval of the settlement on December 2, 2021.</w:t>
      </w:r>
    </w:p>
    <w:p>
      <w:pPr>
        <w:spacing w:after="0" w:line="205" w:lineRule="exact"/>
        <w:rPr>
          <w:sz w:val="20"/>
          <w:szCs w:val="20"/>
          <w:color w:val="auto"/>
        </w:rPr>
      </w:pPr>
    </w:p>
    <w:p>
      <w:pPr>
        <w:ind w:right="200" w:firstLine="391"/>
        <w:spacing w:after="0" w:line="271" w:lineRule="auto"/>
        <w:rPr>
          <w:sz w:val="20"/>
          <w:szCs w:val="20"/>
          <w:color w:val="auto"/>
        </w:rPr>
      </w:pPr>
      <w:r>
        <w:rPr>
          <w:rFonts w:ascii="Arial" w:cs="Arial" w:eastAsia="Arial" w:hAnsi="Arial"/>
          <w:sz w:val="17"/>
          <w:szCs w:val="17"/>
          <w:color w:val="auto"/>
        </w:rPr>
        <w:t>On May 11, 2020, the Dropbox Defendants filed a motion to dismiss the consolidated state court case based on the exclusive federal forum provisions contained in the Company's amended and restated bylaws. On December 4, 2020, the state court issued an order granting the Company's motion to dismiss the consolidated state court case. On December 15, 2020, the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State Plaintiffs filed a notice of appeal of this order. The Company believes the appeal and claims are without merit and intends to vigorously defend against them.</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7" w:lineRule="exact"/>
        <w:rPr>
          <w:sz w:val="20"/>
          <w:szCs w:val="20"/>
          <w:color w:val="auto"/>
        </w:rPr>
      </w:pPr>
    </w:p>
    <w:p>
      <w:pPr>
        <w:ind w:right="160" w:firstLine="391"/>
        <w:spacing w:after="0" w:line="271"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117" w:lineRule="exact"/>
        <w:rPr>
          <w:sz w:val="20"/>
          <w:szCs w:val="20"/>
          <w:color w:val="auto"/>
        </w:rPr>
      </w:pPr>
    </w:p>
    <w:p>
      <w:pPr>
        <w:jc w:val="both"/>
        <w:ind w:right="340" w:firstLine="391"/>
        <w:spacing w:after="0" w:line="271" w:lineRule="auto"/>
        <w:rPr>
          <w:sz w:val="20"/>
          <w:szCs w:val="20"/>
          <w:color w:val="auto"/>
        </w:rPr>
      </w:pPr>
      <w:r>
        <w:rPr>
          <w:rFonts w:ascii="Arial" w:cs="Arial" w:eastAsia="Arial" w:hAnsi="Arial"/>
          <w:sz w:val="17"/>
          <w:szCs w:val="17"/>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20"/>
                <w:szCs w:val="20"/>
                <w:color w:val="auto"/>
              </w:rPr>
            </w:pPr>
            <w:r>
              <w:rPr>
                <w:rFonts w:ascii="Arial" w:cs="Arial" w:eastAsia="Arial" w:hAnsi="Arial"/>
                <w:sz w:val="17"/>
                <w:szCs w:val="17"/>
                <w:b w:val="1"/>
                <w:bCs w:val="1"/>
                <w:color w:val="auto"/>
              </w:rPr>
              <w:t>Note 11. Accrued and Other Current Liabilities</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7"/>
        </w:trPr>
        <w:tc>
          <w:tcPr>
            <w:tcW w:w="6780" w:type="dxa"/>
            <w:vAlign w:val="bottom"/>
          </w:tcPr>
          <w:p>
            <w:pPr>
              <w:ind w:left="400"/>
              <w:spacing w:after="0"/>
              <w:rPr>
                <w:sz w:val="20"/>
                <w:szCs w:val="20"/>
                <w:color w:val="auto"/>
              </w:rPr>
            </w:pPr>
            <w:r>
              <w:rPr>
                <w:rFonts w:ascii="Arial" w:cs="Arial" w:eastAsia="Arial" w:hAnsi="Arial"/>
                <w:sz w:val="17"/>
                <w:szCs w:val="17"/>
                <w:color w:val="auto"/>
              </w:rPr>
              <w:t>Accrued and other current liabilities consisted of the following:</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547"/>
        </w:trPr>
        <w:tc>
          <w:tcPr>
            <w:tcW w:w="6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7"/>
                <w:szCs w:val="17"/>
                <w:b w:val="1"/>
                <w:bCs w:val="1"/>
                <w:color w:val="auto"/>
              </w:rPr>
              <w:t>As of</w:t>
            </w:r>
          </w:p>
        </w:tc>
        <w:tc>
          <w:tcPr>
            <w:tcW w:w="1900" w:type="dxa"/>
            <w:vAlign w:val="bottom"/>
            <w:tcBorders>
              <w:bottom w:val="single" w:sz="8" w:color="auto"/>
            </w:tcBorders>
          </w:tcPr>
          <w:p>
            <w:pPr>
              <w:spacing w:after="0"/>
              <w:rPr>
                <w:sz w:val="24"/>
                <w:szCs w:val="24"/>
                <w:color w:val="auto"/>
              </w:rPr>
            </w:pPr>
          </w:p>
        </w:tc>
      </w:tr>
      <w:tr>
        <w:trPr>
          <w:trHeight w:val="214"/>
        </w:trPr>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ind w:left="140"/>
              <w:spacing w:after="0"/>
              <w:rPr>
                <w:sz w:val="20"/>
                <w:szCs w:val="20"/>
                <w:color w:val="auto"/>
              </w:rPr>
            </w:pPr>
            <w:r>
              <w:rPr>
                <w:rFonts w:ascii="Arial" w:cs="Arial" w:eastAsia="Arial" w:hAnsi="Arial"/>
                <w:sz w:val="17"/>
                <w:szCs w:val="17"/>
                <w:b w:val="1"/>
                <w:bCs w:val="1"/>
                <w:color w:val="auto"/>
              </w:rPr>
              <w:t>September 30, 2021</w:t>
            </w:r>
          </w:p>
        </w:tc>
        <w:tc>
          <w:tcPr>
            <w:tcW w:w="280" w:type="dxa"/>
            <w:vAlign w:val="bottom"/>
          </w:tcPr>
          <w:p>
            <w:pPr>
              <w:spacing w:after="0"/>
              <w:rPr>
                <w:sz w:val="18"/>
                <w:szCs w:val="18"/>
                <w:color w:val="auto"/>
              </w:rPr>
            </w:pPr>
          </w:p>
        </w:tc>
        <w:tc>
          <w:tcPr>
            <w:tcW w:w="1900" w:type="dxa"/>
            <w:vAlign w:val="bottom"/>
          </w:tcPr>
          <w:p>
            <w:pPr>
              <w:jc w:val="right"/>
              <w:ind w:right="293"/>
              <w:spacing w:after="0"/>
              <w:rPr>
                <w:sz w:val="20"/>
                <w:szCs w:val="20"/>
                <w:color w:val="auto"/>
              </w:rPr>
            </w:pPr>
            <w:r>
              <w:rPr>
                <w:rFonts w:ascii="Arial" w:cs="Arial" w:eastAsia="Arial" w:hAnsi="Arial"/>
                <w:sz w:val="17"/>
                <w:szCs w:val="17"/>
                <w:b w:val="1"/>
                <w:bCs w:val="1"/>
                <w:color w:val="auto"/>
                <w:w w:val="97"/>
              </w:rPr>
              <w:t>December 31, 2020</w:t>
            </w:r>
          </w:p>
        </w:tc>
      </w:tr>
      <w:tr>
        <w:trPr>
          <w:trHeight w:val="32"/>
        </w:trPr>
        <w:tc>
          <w:tcPr>
            <w:tcW w:w="67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r>
      <w:tr>
        <w:trPr>
          <w:trHeight w:val="221"/>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Non-income taxes payable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w:t>
            </w:r>
          </w:p>
        </w:tc>
      </w:tr>
      <w:tr>
        <w:trPr>
          <w:trHeight w:val="221"/>
        </w:trPr>
        <w:tc>
          <w:tcPr>
            <w:tcW w:w="6780" w:type="dxa"/>
            <w:vAlign w:val="bottom"/>
          </w:tcPr>
          <w:p>
            <w:pPr>
              <w:ind w:left="20"/>
              <w:spacing w:after="0"/>
              <w:rPr>
                <w:sz w:val="20"/>
                <w:szCs w:val="20"/>
                <w:color w:val="auto"/>
              </w:rPr>
            </w:pPr>
            <w:r>
              <w:rPr>
                <w:rFonts w:ascii="Arial" w:cs="Arial" w:eastAsia="Arial" w:hAnsi="Arial"/>
                <w:sz w:val="17"/>
                <w:szCs w:val="17"/>
                <w:color w:val="auto"/>
              </w:rPr>
              <w:t>Accrued legal and other external fees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38.9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23.4</w:t>
            </w:r>
          </w:p>
        </w:tc>
      </w:tr>
      <w:tr>
        <w:trPr>
          <w:trHeight w:val="221"/>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and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w:t>
            </w:r>
          </w:p>
        </w:tc>
      </w:tr>
      <w:tr>
        <w:trPr>
          <w:trHeight w:val="214"/>
        </w:trPr>
        <w:tc>
          <w:tcPr>
            <w:tcW w:w="6780" w:type="dxa"/>
            <w:vAlign w:val="bottom"/>
          </w:tcPr>
          <w:p>
            <w:pPr>
              <w:ind w:left="20"/>
              <w:spacing w:after="0"/>
              <w:rPr>
                <w:sz w:val="20"/>
                <w:szCs w:val="20"/>
                <w:color w:val="auto"/>
              </w:rPr>
            </w:pPr>
            <w:r>
              <w:rPr>
                <w:rFonts w:ascii="Arial" w:cs="Arial" w:eastAsia="Arial" w:hAnsi="Arial"/>
                <w:sz w:val="17"/>
                <w:szCs w:val="17"/>
                <w:color w:val="auto"/>
              </w:rPr>
              <w:t>Total accrued and other current liabilities</w:t>
            </w: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156.7</w:t>
            </w:r>
          </w:p>
        </w:tc>
      </w:tr>
      <w:tr>
        <w:trPr>
          <w:trHeight w:val="20"/>
        </w:trPr>
        <w:tc>
          <w:tcPr>
            <w:tcW w:w="6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12.Stockholders’ (Deficit) Equity</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Common stock</w:t>
      </w:r>
    </w:p>
    <w:p>
      <w:pPr>
        <w:spacing w:after="0" w:line="117" w:lineRule="exact"/>
        <w:rPr>
          <w:sz w:val="20"/>
          <w:szCs w:val="20"/>
          <w:color w:val="auto"/>
        </w:rPr>
      </w:pPr>
    </w:p>
    <w:p>
      <w:pPr>
        <w:ind w:right="40" w:firstLine="391"/>
        <w:spacing w:after="0" w:line="263" w:lineRule="auto"/>
        <w:rPr>
          <w:sz w:val="20"/>
          <w:szCs w:val="20"/>
          <w:color w:val="auto"/>
        </w:rPr>
      </w:pPr>
      <w:r>
        <w:rPr>
          <w:rFonts w:ascii="Arial" w:cs="Arial" w:eastAsia="Arial" w:hAnsi="Arial"/>
          <w:sz w:val="17"/>
          <w:szCs w:val="17"/>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205" w:lineRule="exact"/>
        <w:rPr>
          <w:sz w:val="20"/>
          <w:szCs w:val="20"/>
          <w:color w:val="auto"/>
        </w:rPr>
      </w:pPr>
    </w:p>
    <w:p>
      <w:pPr>
        <w:ind w:right="160" w:firstLine="391"/>
        <w:spacing w:after="0" w:line="298" w:lineRule="auto"/>
        <w:rPr>
          <w:sz w:val="20"/>
          <w:szCs w:val="20"/>
          <w:color w:val="auto"/>
        </w:rPr>
      </w:pPr>
      <w:r>
        <w:rPr>
          <w:rFonts w:ascii="Arial" w:cs="Arial" w:eastAsia="Arial" w:hAnsi="Arial"/>
          <w:sz w:val="15"/>
          <w:szCs w:val="15"/>
          <w:color w:val="auto"/>
        </w:rPr>
        <w:t>As of September 30, 2021, the Company had authorized 2,400.0 million shares of Class A common stock, 475.0 million shares of Class B common stock, and 800.0 million shares of Class C common stock, each at par value of $0.00001. Holders of Class B common stock voluntarily converted 0.2 million and 0.5 million shares into an equivalent number of shares of Class A common stock during the three and nine months ended September 30, 2021, respectively, and 0.1 million and 63.5 million during the three and nine months ended September 30, 2020, respectively. As of September 30, 2021, 299.9 million shares of Class A common stock, 82.9 million shares of Class B common stock, and no shares of Class C common stock were issued and outstanding. As of December 31, 2020, 322.3 million shares of Class A common stock, 83.5 million shares of Class B common stock, and no shares of Class C common stock were issued and outstanding. Class A shares issued and outstanding as of September 30, 2021 and December 31, 2020 excludes unvested restricted stock awards granted to certain executives. Class A shares issued and outstanding also excludes 10.3 million unvested restricted stock awards granted to one of the Company's co-founders as of September 30, 2021 and December 31, 2020, respectively. See "Co-Founder Grants" section below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7" w:lineRule="exact"/>
        <w:rPr>
          <w:sz w:val="20"/>
          <w:szCs w:val="20"/>
          <w:color w:val="auto"/>
        </w:rPr>
      </w:pPr>
    </w:p>
    <w:p>
      <w:pPr>
        <w:ind w:right="340" w:firstLine="391"/>
        <w:spacing w:after="0" w:line="319" w:lineRule="auto"/>
        <w:rPr>
          <w:sz w:val="20"/>
          <w:szCs w:val="20"/>
          <w:color w:val="auto"/>
        </w:rPr>
      </w:pPr>
      <w:r>
        <w:rPr>
          <w:rFonts w:ascii="Arial" w:cs="Arial" w:eastAsia="Arial" w:hAnsi="Arial"/>
          <w:sz w:val="16"/>
          <w:szCs w:val="16"/>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247"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In February 2020, the Company's Board of Directors approved a stock repurchase program for the repurchase of up to $600 million of the Company’s outstanding shares of Class A common stock. In February 2021, the Board of Directors authorized the Company to repurchase up to an additional $1 billion of the Company's outstanding shares of Class A common stock. The Company completed the February 2020 stock repurchase program of up to $600 million during the nine months ended September 30, 2021.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spacing w:after="0" w:line="192" w:lineRule="exact"/>
        <w:rPr>
          <w:sz w:val="20"/>
          <w:szCs w:val="20"/>
          <w:color w:val="auto"/>
        </w:rPr>
      </w:pPr>
    </w:p>
    <w:p>
      <w:pPr>
        <w:ind w:right="80" w:firstLine="391"/>
        <w:spacing w:after="0" w:line="263" w:lineRule="auto"/>
        <w:rPr>
          <w:sz w:val="20"/>
          <w:szCs w:val="20"/>
          <w:color w:val="auto"/>
        </w:rPr>
      </w:pPr>
      <w:r>
        <w:rPr>
          <w:rFonts w:ascii="Arial" w:cs="Arial" w:eastAsia="Arial" w:hAnsi="Arial"/>
          <w:sz w:val="17"/>
          <w:szCs w:val="17"/>
          <w:color w:val="auto"/>
        </w:rPr>
        <w:t>During the three and nine months ended September 30, 2021, the Company repurchased and subsequently retired 5.8 million and 29.9 million shares of its Class A common stock, respectively, for an aggregate amount of $181.0 million and $763.7 million, respectively. This includes $200.0 million in repurchases of 8.6 million shares of our Class A common stock in conjunction with the issuance of the Notes, which was outside of our stock repurchase program. During the three and nine months ended September 30, 2020, the Company repurchased and subsequently retired 1.8 million and 9.2 million of its Class A common stock for an aggregate amount of $37.5 million and $177.3 million, respectively.</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247" w:lineRule="exact"/>
        <w:rPr>
          <w:sz w:val="20"/>
          <w:szCs w:val="20"/>
          <w:color w:val="auto"/>
        </w:rPr>
      </w:pPr>
    </w:p>
    <w:p>
      <w:pPr>
        <w:ind w:right="180" w:firstLine="391"/>
        <w:spacing w:after="0" w:line="306" w:lineRule="auto"/>
        <w:rPr>
          <w:sz w:val="20"/>
          <w:szCs w:val="20"/>
          <w:color w:val="auto"/>
        </w:rPr>
      </w:pPr>
      <w:r>
        <w:rPr>
          <w:rFonts w:ascii="Arial" w:cs="Arial" w:eastAsia="Arial" w:hAnsi="Arial"/>
          <w:sz w:val="15"/>
          <w:szCs w:val="15"/>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281" w:lineRule="exact"/>
        <w:rPr>
          <w:sz w:val="20"/>
          <w:szCs w:val="20"/>
          <w:color w:val="auto"/>
        </w:rPr>
      </w:pPr>
    </w:p>
    <w:p>
      <w:pPr>
        <w:ind w:right="180" w:firstLine="391"/>
        <w:spacing w:after="0" w:line="286" w:lineRule="auto"/>
        <w:rPr>
          <w:sz w:val="20"/>
          <w:szCs w:val="20"/>
          <w:color w:val="auto"/>
        </w:rPr>
      </w:pPr>
      <w:r>
        <w:rPr>
          <w:rFonts w:ascii="Arial" w:cs="Arial" w:eastAsia="Arial" w:hAnsi="Arial"/>
          <w:sz w:val="17"/>
          <w:szCs w:val="17"/>
          <w:color w:val="auto"/>
        </w:rPr>
        <w:t>In connection with the acquisition of DocSend, the Company assumed unvested stock options and an immaterial number of unvested RSUs that had been granted under DocSend's 2013 Stock Plan and DocSend's 2015 Stock Option and Grant Plan.</w:t>
      </w:r>
    </w:p>
    <w:p>
      <w:pPr>
        <w:spacing w:after="0" w:line="185" w:lineRule="exact"/>
        <w:rPr>
          <w:sz w:val="20"/>
          <w:szCs w:val="20"/>
          <w:color w:val="auto"/>
        </w:rPr>
      </w:pPr>
    </w:p>
    <w:p>
      <w:pPr>
        <w:ind w:right="340" w:firstLine="430"/>
        <w:spacing w:after="0" w:line="271" w:lineRule="auto"/>
        <w:rPr>
          <w:sz w:val="20"/>
          <w:szCs w:val="20"/>
          <w:color w:val="auto"/>
        </w:rPr>
      </w:pPr>
      <w:r>
        <w:rPr>
          <w:rFonts w:ascii="Arial" w:cs="Arial" w:eastAsia="Arial" w:hAnsi="Arial"/>
          <w:sz w:val="17"/>
          <w:szCs w:val="17"/>
          <w:color w:val="auto"/>
        </w:rPr>
        <w:t>As of September 30, 2021, there were 28.4 million stock-based awards issued and outstanding and 97.4 million shares available for issuance under the Dropbox Equity Incentive Plans, HelloSign's 2011 Equity Incentive Plan, DocSend's 2013 Stock Plan and DocSend's 2015 Stock Option and Grant Plan (collectively, the "Plans").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 option and restricted stock activity for the Plans was as follows for the nine months ended September 30,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7"/>
                <w:szCs w:val="17"/>
                <w:b w:val="1"/>
                <w:bCs w:val="1"/>
                <w:color w:val="auto"/>
              </w:rPr>
              <w:t>Options outstanding</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539"/>
              <w:spacing w:after="0"/>
              <w:rPr>
                <w:sz w:val="20"/>
                <w:szCs w:val="20"/>
                <w:color w:val="auto"/>
              </w:rPr>
            </w:pPr>
            <w:r>
              <w:rPr>
                <w:rFonts w:ascii="Arial" w:cs="Arial" w:eastAsia="Arial" w:hAnsi="Arial"/>
                <w:sz w:val="17"/>
                <w:szCs w:val="17"/>
                <w:b w:val="1"/>
                <w:bCs w:val="1"/>
                <w:color w:val="auto"/>
              </w:rPr>
              <w:t>Restricted stock</w:t>
            </w:r>
          </w:p>
        </w:tc>
        <w:tc>
          <w:tcPr>
            <w:tcW w:w="0" w:type="dxa"/>
            <w:vAlign w:val="bottom"/>
          </w:tcPr>
          <w:p>
            <w:pPr>
              <w:spacing w:after="0"/>
              <w:rPr>
                <w:sz w:val="1"/>
                <w:szCs w:val="1"/>
                <w:color w:val="auto"/>
              </w:rPr>
            </w:pPr>
          </w:p>
        </w:tc>
      </w:tr>
      <w:tr>
        <w:trPr>
          <w:trHeight w:val="221"/>
        </w:trPr>
        <w:tc>
          <w:tcPr>
            <w:tcW w:w="2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7"/>
                <w:szCs w:val="17"/>
                <w:b w:val="1"/>
                <w:bCs w:val="1"/>
                <w:color w:val="auto"/>
              </w:rPr>
              <w:t>outstanding</w:t>
            </w:r>
          </w:p>
        </w:tc>
        <w:tc>
          <w:tcPr>
            <w:tcW w:w="0" w:type="dxa"/>
            <w:vAlign w:val="bottom"/>
          </w:tcPr>
          <w:p>
            <w:pPr>
              <w:spacing w:after="0"/>
              <w:rPr>
                <w:sz w:val="1"/>
                <w:szCs w:val="1"/>
                <w:color w:val="auto"/>
              </w:rPr>
            </w:pPr>
          </w:p>
        </w:tc>
      </w:tr>
      <w:tr>
        <w:trPr>
          <w:trHeight w:val="163"/>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63" w:lineRule="exact"/>
              <w:rPr>
                <w:sz w:val="20"/>
                <w:szCs w:val="20"/>
                <w:color w:val="auto"/>
              </w:rPr>
            </w:pPr>
            <w:r>
              <w:rPr>
                <w:rFonts w:ascii="Arial" w:cs="Arial" w:eastAsia="Arial" w:hAnsi="Arial"/>
                <w:sz w:val="17"/>
                <w:szCs w:val="17"/>
                <w:color w:val="auto"/>
                <w:w w:val="95"/>
              </w:rPr>
              <w:t>Number of</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auto"/>
                <w:w w:val="95"/>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2"/>
              </w:rPr>
              <w:t>Weighted-</w:t>
            </w:r>
          </w:p>
        </w:tc>
        <w:tc>
          <w:tcPr>
            <w:tcW w:w="1240" w:type="dxa"/>
            <w:vAlign w:val="bottom"/>
            <w:gridSpan w:val="2"/>
          </w:tcPr>
          <w:p>
            <w:pPr>
              <w:jc w:val="center"/>
              <w:ind w:right="80"/>
              <w:spacing w:after="0" w:line="163" w:lineRule="exact"/>
              <w:rPr>
                <w:sz w:val="20"/>
                <w:szCs w:val="20"/>
                <w:color w:val="auto"/>
              </w:rPr>
            </w:pPr>
            <w:r>
              <w:rPr>
                <w:rFonts w:ascii="Arial" w:cs="Arial" w:eastAsia="Arial" w:hAnsi="Arial"/>
                <w:sz w:val="17"/>
                <w:szCs w:val="17"/>
                <w:color w:val="auto"/>
                <w:w w:val="92"/>
              </w:rPr>
              <w:t>Weighted-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center"/>
              <w:ind w:right="79"/>
              <w:spacing w:after="0"/>
              <w:rPr>
                <w:sz w:val="20"/>
                <w:szCs w:val="20"/>
                <w:color w:val="auto"/>
              </w:rPr>
            </w:pPr>
            <w:r>
              <w:rPr>
                <w:rFonts w:ascii="Arial" w:cs="Arial" w:eastAsia="Arial" w:hAnsi="Arial"/>
                <w:sz w:val="17"/>
                <w:szCs w:val="17"/>
                <w:color w:val="auto"/>
                <w:w w:val="92"/>
              </w:rPr>
              <w:t>Weighted-</w:t>
            </w: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69" w:lineRule="exact"/>
              <w:rPr>
                <w:sz w:val="20"/>
                <w:szCs w:val="20"/>
                <w:color w:val="auto"/>
              </w:rPr>
            </w:pPr>
            <w:r>
              <w:rPr>
                <w:rFonts w:ascii="Arial" w:cs="Arial" w:eastAsia="Arial" w:hAnsi="Arial"/>
                <w:sz w:val="17"/>
                <w:szCs w:val="17"/>
                <w:color w:val="auto"/>
                <w:w w:val="86"/>
              </w:rPr>
              <w:t>shares</w:t>
            </w: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line="169" w:lineRule="exact"/>
              <w:rPr>
                <w:sz w:val="20"/>
                <w:szCs w:val="20"/>
                <w:color w:val="auto"/>
              </w:rPr>
            </w:pPr>
            <w:r>
              <w:rPr>
                <w:rFonts w:ascii="Arial" w:cs="Arial" w:eastAsia="Arial" w:hAnsi="Arial"/>
                <w:sz w:val="17"/>
                <w:szCs w:val="17"/>
                <w:color w:val="auto"/>
                <w:w w:val="87"/>
              </w:rPr>
              <w:t>average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69" w:lineRule="exact"/>
              <w:rPr>
                <w:sz w:val="20"/>
                <w:szCs w:val="20"/>
                <w:color w:val="auto"/>
              </w:rPr>
            </w:pPr>
            <w:r>
              <w:rPr>
                <w:rFonts w:ascii="Arial" w:cs="Arial" w:eastAsia="Arial" w:hAnsi="Arial"/>
                <w:sz w:val="17"/>
                <w:szCs w:val="17"/>
                <w:color w:val="auto"/>
                <w:w w:val="95"/>
              </w:rPr>
              <w:t>available for</w:t>
            </w:r>
          </w:p>
        </w:tc>
        <w:tc>
          <w:tcPr>
            <w:tcW w:w="1160" w:type="dxa"/>
            <w:vAlign w:val="bottom"/>
          </w:tcPr>
          <w:p>
            <w:pPr>
              <w:jc w:val="center"/>
              <w:spacing w:after="0" w:line="169" w:lineRule="exact"/>
              <w:rPr>
                <w:sz w:val="20"/>
                <w:szCs w:val="20"/>
                <w:color w:val="auto"/>
              </w:rPr>
            </w:pPr>
            <w:r>
              <w:rPr>
                <w:rFonts w:ascii="Arial" w:cs="Arial" w:eastAsia="Arial" w:hAnsi="Arial"/>
                <w:sz w:val="17"/>
                <w:szCs w:val="17"/>
                <w:color w:val="auto"/>
                <w:w w:val="86"/>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line="169" w:lineRule="exact"/>
              <w:rPr>
                <w:sz w:val="20"/>
                <w:szCs w:val="20"/>
                <w:color w:val="auto"/>
              </w:rPr>
            </w:pPr>
            <w:r>
              <w:rPr>
                <w:rFonts w:ascii="Arial" w:cs="Arial" w:eastAsia="Arial" w:hAnsi="Arial"/>
                <w:sz w:val="17"/>
                <w:szCs w:val="17"/>
                <w:color w:val="auto"/>
                <w:w w:val="87"/>
              </w:rPr>
              <w:t>average</w:t>
            </w:r>
          </w:p>
        </w:tc>
        <w:tc>
          <w:tcPr>
            <w:tcW w:w="1240" w:type="dxa"/>
            <w:vAlign w:val="bottom"/>
            <w:gridSpan w:val="2"/>
          </w:tcPr>
          <w:p>
            <w:pPr>
              <w:jc w:val="center"/>
              <w:ind w:right="100"/>
              <w:spacing w:after="0" w:line="169" w:lineRule="exact"/>
              <w:rPr>
                <w:sz w:val="20"/>
                <w:szCs w:val="20"/>
                <w:color w:val="auto"/>
              </w:rPr>
            </w:pPr>
            <w:r>
              <w:rPr>
                <w:rFonts w:ascii="Arial" w:cs="Arial" w:eastAsia="Arial" w:hAnsi="Arial"/>
                <w:sz w:val="17"/>
                <w:szCs w:val="17"/>
                <w:color w:val="auto"/>
                <w:w w:val="93"/>
              </w:rPr>
              <w:t>remaining</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7"/>
                <w:szCs w:val="17"/>
                <w:color w:val="auto"/>
                <w:w w:val="93"/>
              </w:rPr>
              <w:t>Number of Plan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59"/>
              <w:spacing w:after="0" w:line="169" w:lineRule="exact"/>
              <w:rPr>
                <w:sz w:val="20"/>
                <w:szCs w:val="20"/>
                <w:color w:val="auto"/>
              </w:rPr>
            </w:pPr>
            <w:r>
              <w:rPr>
                <w:rFonts w:ascii="Arial" w:cs="Arial" w:eastAsia="Arial" w:hAnsi="Arial"/>
                <w:sz w:val="17"/>
                <w:szCs w:val="17"/>
                <w:color w:val="auto"/>
                <w:w w:val="87"/>
              </w:rPr>
              <w:t>average</w:t>
            </w: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69" w:lineRule="exact"/>
              <w:rPr>
                <w:sz w:val="20"/>
                <w:szCs w:val="20"/>
                <w:color w:val="auto"/>
              </w:rPr>
            </w:pPr>
            <w:r>
              <w:rPr>
                <w:rFonts w:ascii="Arial" w:cs="Arial" w:eastAsia="Arial" w:hAnsi="Arial"/>
                <w:sz w:val="17"/>
                <w:szCs w:val="17"/>
                <w:color w:val="auto"/>
                <w:w w:val="89"/>
              </w:rPr>
              <w:t>issuance</w:t>
            </w:r>
          </w:p>
        </w:tc>
        <w:tc>
          <w:tcPr>
            <w:tcW w:w="1160" w:type="dxa"/>
            <w:vAlign w:val="bottom"/>
          </w:tcPr>
          <w:p>
            <w:pPr>
              <w:jc w:val="center"/>
              <w:spacing w:after="0" w:line="169" w:lineRule="exact"/>
              <w:rPr>
                <w:sz w:val="20"/>
                <w:szCs w:val="20"/>
                <w:color w:val="auto"/>
              </w:rPr>
            </w:pPr>
            <w:r>
              <w:rPr>
                <w:rFonts w:ascii="Arial" w:cs="Arial" w:eastAsia="Arial" w:hAnsi="Arial"/>
                <w:sz w:val="17"/>
                <w:szCs w:val="17"/>
                <w:color w:val="auto"/>
                <w:w w:val="90"/>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Arial" w:cs="Arial" w:eastAsia="Arial" w:hAnsi="Arial"/>
                <w:sz w:val="17"/>
                <w:szCs w:val="17"/>
                <w:color w:val="auto"/>
                <w:w w:val="88"/>
              </w:rPr>
              <w:t>exercise</w:t>
            </w:r>
          </w:p>
        </w:tc>
        <w:tc>
          <w:tcPr>
            <w:tcW w:w="1240" w:type="dxa"/>
            <w:vAlign w:val="bottom"/>
            <w:gridSpan w:val="2"/>
          </w:tcPr>
          <w:p>
            <w:pPr>
              <w:jc w:val="center"/>
              <w:ind w:right="100"/>
              <w:spacing w:after="0" w:line="169" w:lineRule="exact"/>
              <w:rPr>
                <w:sz w:val="20"/>
                <w:szCs w:val="20"/>
                <w:color w:val="auto"/>
              </w:rPr>
            </w:pPr>
            <w:r>
              <w:rPr>
                <w:rFonts w:ascii="Arial" w:cs="Arial" w:eastAsia="Arial" w:hAnsi="Arial"/>
                <w:sz w:val="17"/>
                <w:szCs w:val="17"/>
                <w:color w:val="auto"/>
                <w:w w:val="93"/>
              </w:rPr>
              <w:t>contractual</w:t>
            </w:r>
          </w:p>
        </w:tc>
        <w:tc>
          <w:tcPr>
            <w:tcW w:w="16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1"/>
              </w:rPr>
              <w:t>Aggregate</w:t>
            </w: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9"/>
              <w:spacing w:after="0" w:line="169" w:lineRule="exact"/>
              <w:rPr>
                <w:sz w:val="20"/>
                <w:szCs w:val="20"/>
                <w:color w:val="auto"/>
              </w:rPr>
            </w:pPr>
            <w:r>
              <w:rPr>
                <w:rFonts w:ascii="Arial" w:cs="Arial" w:eastAsia="Arial" w:hAnsi="Arial"/>
                <w:sz w:val="17"/>
                <w:szCs w:val="17"/>
                <w:color w:val="auto"/>
                <w:w w:val="88"/>
              </w:rPr>
              <w:t>grant date</w:t>
            </w: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69" w:lineRule="exact"/>
              <w:rPr>
                <w:sz w:val="20"/>
                <w:szCs w:val="20"/>
                <w:color w:val="auto"/>
              </w:rPr>
            </w:pPr>
            <w:r>
              <w:rPr>
                <w:rFonts w:ascii="Arial" w:cs="Arial" w:eastAsia="Arial" w:hAnsi="Arial"/>
                <w:sz w:val="17"/>
                <w:szCs w:val="17"/>
                <w:color w:val="auto"/>
                <w:w w:val="89"/>
              </w:rPr>
              <w:t>under the</w:t>
            </w:r>
          </w:p>
        </w:tc>
        <w:tc>
          <w:tcPr>
            <w:tcW w:w="1160" w:type="dxa"/>
            <w:vAlign w:val="bottom"/>
          </w:tcPr>
          <w:p>
            <w:pPr>
              <w:jc w:val="center"/>
              <w:spacing w:after="0" w:line="169" w:lineRule="exact"/>
              <w:rPr>
                <w:sz w:val="20"/>
                <w:szCs w:val="20"/>
                <w:color w:val="auto"/>
              </w:rPr>
            </w:pPr>
            <w:r>
              <w:rPr>
                <w:rFonts w:ascii="Arial" w:cs="Arial" w:eastAsia="Arial" w:hAnsi="Arial"/>
                <w:sz w:val="17"/>
                <w:szCs w:val="17"/>
                <w:color w:val="auto"/>
                <w:w w:val="89"/>
              </w:rPr>
              <w:t>under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line="169" w:lineRule="exact"/>
              <w:rPr>
                <w:sz w:val="20"/>
                <w:szCs w:val="20"/>
                <w:color w:val="auto"/>
              </w:rPr>
            </w:pPr>
            <w:r>
              <w:rPr>
                <w:rFonts w:ascii="Arial" w:cs="Arial" w:eastAsia="Arial" w:hAnsi="Arial"/>
                <w:sz w:val="17"/>
                <w:szCs w:val="17"/>
                <w:color w:val="auto"/>
                <w:w w:val="92"/>
              </w:rPr>
              <w:t>price</w:t>
            </w:r>
          </w:p>
        </w:tc>
        <w:tc>
          <w:tcPr>
            <w:tcW w:w="1240" w:type="dxa"/>
            <w:vAlign w:val="bottom"/>
            <w:gridSpan w:val="2"/>
          </w:tcPr>
          <w:p>
            <w:pPr>
              <w:jc w:val="center"/>
              <w:ind w:right="80"/>
              <w:spacing w:after="0" w:line="169" w:lineRule="exact"/>
              <w:rPr>
                <w:sz w:val="20"/>
                <w:szCs w:val="20"/>
                <w:color w:val="auto"/>
              </w:rPr>
            </w:pPr>
            <w:r>
              <w:rPr>
                <w:rFonts w:ascii="Arial" w:cs="Arial" w:eastAsia="Arial" w:hAnsi="Arial"/>
                <w:sz w:val="17"/>
                <w:szCs w:val="17"/>
                <w:color w:val="auto"/>
                <w:w w:val="93"/>
              </w:rPr>
              <w:t>term</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Arial" w:cs="Arial" w:eastAsia="Arial" w:hAnsi="Arial"/>
                <w:sz w:val="17"/>
                <w:szCs w:val="17"/>
                <w:color w:val="auto"/>
                <w:w w:val="86"/>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59"/>
              <w:spacing w:after="0" w:line="169" w:lineRule="exact"/>
              <w:rPr>
                <w:sz w:val="20"/>
                <w:szCs w:val="20"/>
                <w:color w:val="auto"/>
              </w:rPr>
            </w:pPr>
            <w:r>
              <w:rPr>
                <w:rFonts w:ascii="Arial" w:cs="Arial" w:eastAsia="Arial" w:hAnsi="Arial"/>
                <w:sz w:val="17"/>
                <w:szCs w:val="17"/>
                <w:color w:val="auto"/>
                <w:w w:val="95"/>
              </w:rPr>
              <w:t>fair value</w:t>
            </w:r>
          </w:p>
        </w:tc>
        <w:tc>
          <w:tcPr>
            <w:tcW w:w="0" w:type="dxa"/>
            <w:vAlign w:val="bottom"/>
          </w:tcPr>
          <w:p>
            <w:pPr>
              <w:spacing w:after="0"/>
              <w:rPr>
                <w:sz w:val="1"/>
                <w:szCs w:val="1"/>
                <w:color w:val="auto"/>
              </w:rPr>
            </w:pPr>
          </w:p>
        </w:tc>
      </w:tr>
      <w:tr>
        <w:trPr>
          <w:trHeight w:val="221"/>
        </w:trPr>
        <w:tc>
          <w:tcPr>
            <w:tcW w:w="2480" w:type="dxa"/>
            <w:vAlign w:val="bottom"/>
          </w:tcPr>
          <w:p>
            <w:pPr>
              <w:spacing w:after="0"/>
              <w:rPr>
                <w:sz w:val="19"/>
                <w:szCs w:val="19"/>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Plans</w:t>
            </w:r>
          </w:p>
        </w:tc>
        <w:tc>
          <w:tcPr>
            <w:tcW w:w="1160" w:type="dxa"/>
            <w:vAlign w:val="bottom"/>
          </w:tcPr>
          <w:p>
            <w:pPr>
              <w:jc w:val="center"/>
              <w:spacing w:after="0"/>
              <w:rPr>
                <w:sz w:val="20"/>
                <w:szCs w:val="20"/>
                <w:color w:val="auto"/>
              </w:rPr>
            </w:pPr>
            <w:r>
              <w:rPr>
                <w:rFonts w:ascii="Arial" w:cs="Arial" w:eastAsia="Arial" w:hAnsi="Arial"/>
                <w:sz w:val="17"/>
                <w:szCs w:val="17"/>
                <w:color w:val="auto"/>
                <w:w w:val="84"/>
              </w:rPr>
              <w:t>Plans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per share</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(In years)</w:t>
            </w:r>
          </w:p>
        </w:tc>
        <w:tc>
          <w:tcPr>
            <w:tcW w:w="1260" w:type="dxa"/>
            <w:vAlign w:val="bottom"/>
            <w:gridSpan w:val="3"/>
          </w:tcPr>
          <w:p>
            <w:pPr>
              <w:jc w:val="center"/>
              <w:ind w:right="80"/>
              <w:spacing w:after="0"/>
              <w:rPr>
                <w:sz w:val="20"/>
                <w:szCs w:val="20"/>
                <w:color w:val="auto"/>
              </w:rPr>
            </w:pPr>
            <w:r>
              <w:rPr>
                <w:rFonts w:ascii="Arial" w:cs="Arial" w:eastAsia="Arial" w:hAnsi="Arial"/>
                <w:sz w:val="17"/>
                <w:szCs w:val="17"/>
                <w:color w:val="auto"/>
                <w:w w:val="95"/>
              </w:rPr>
              <w:t>intrinsic value</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outstanding</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79"/>
              <w:spacing w:after="0"/>
              <w:rPr>
                <w:sz w:val="20"/>
                <w:szCs w:val="20"/>
                <w:color w:val="auto"/>
              </w:rPr>
            </w:pPr>
            <w:r>
              <w:rPr>
                <w:rFonts w:ascii="Arial" w:cs="Arial" w:eastAsia="Arial" w:hAnsi="Arial"/>
                <w:sz w:val="17"/>
                <w:szCs w:val="17"/>
                <w:color w:val="auto"/>
                <w:w w:val="89"/>
              </w:rPr>
              <w:t>per share</w:t>
            </w:r>
          </w:p>
        </w:tc>
        <w:tc>
          <w:tcPr>
            <w:tcW w:w="0" w:type="dxa"/>
            <w:vAlign w:val="bottom"/>
          </w:tcPr>
          <w:p>
            <w:pPr>
              <w:spacing w:after="0"/>
              <w:rPr>
                <w:sz w:val="1"/>
                <w:szCs w:val="1"/>
                <w:color w:val="auto"/>
              </w:rPr>
            </w:pPr>
          </w:p>
        </w:tc>
      </w:tr>
      <w:tr>
        <w:trPr>
          <w:trHeight w:val="32"/>
        </w:trPr>
        <w:tc>
          <w:tcPr>
            <w:tcW w:w="248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9"/>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w:t>
            </w: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rPr>
                <w:sz w:val="20"/>
                <w:szCs w:val="20"/>
                <w:color w:val="auto"/>
              </w:rPr>
            </w:pPr>
            <w:r>
              <w:rPr>
                <w:rFonts w:ascii="Arial" w:cs="Arial" w:eastAsia="Arial" w:hAnsi="Arial"/>
                <w:sz w:val="17"/>
                <w:szCs w:val="17"/>
                <w:color w:val="auto"/>
              </w:rPr>
              <w:t>Additional shares authorized</w:t>
            </w:r>
          </w:p>
        </w:tc>
        <w:tc>
          <w:tcPr>
            <w:tcW w:w="124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Stock options assumed </w:t>
            </w:r>
            <w:r>
              <w:rPr>
                <w:rFonts w:ascii="Arial" w:cs="Arial" w:eastAsia="Arial" w:hAnsi="Arial"/>
                <w:sz w:val="22"/>
                <w:szCs w:val="22"/>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0" w:lineRule="exact"/>
              <w:rPr>
                <w:sz w:val="20"/>
                <w:szCs w:val="20"/>
                <w:color w:val="auto"/>
              </w:rPr>
            </w:pPr>
            <w:r>
              <w:rPr>
                <w:rFonts w:ascii="Arial" w:cs="Arial" w:eastAsia="Arial" w:hAnsi="Arial"/>
                <w:sz w:val="17"/>
                <w:szCs w:val="17"/>
                <w:color w:val="auto"/>
              </w:rPr>
              <w:t>Options exercised and restricted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rPr>
                <w:sz w:val="20"/>
                <w:szCs w:val="20"/>
                <w:color w:val="auto"/>
              </w:rPr>
            </w:pPr>
            <w:r>
              <w:rPr>
                <w:rFonts w:ascii="Arial" w:cs="Arial" w:eastAsia="Arial" w:hAnsi="Arial"/>
                <w:sz w:val="17"/>
                <w:szCs w:val="17"/>
                <w:color w:val="auto"/>
              </w:rPr>
              <w:t>stock units and awards released</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20.61</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w w:val="97"/>
              </w:rPr>
              <w:t>Options and restricted stock units</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awards canceled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0" w:lineRule="exact"/>
              <w:rPr>
                <w:sz w:val="20"/>
                <w:szCs w:val="20"/>
                <w:color w:val="auto"/>
              </w:rPr>
            </w:pPr>
            <w:r>
              <w:rPr>
                <w:rFonts w:ascii="Arial" w:cs="Arial" w:eastAsia="Arial" w:hAnsi="Arial"/>
                <w:sz w:val="17"/>
                <w:szCs w:val="17"/>
                <w:color w:val="auto"/>
              </w:rPr>
              <w:t>Shares withheld related to net</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tcPr>
          <w:p>
            <w:pPr>
              <w:ind w:left="20"/>
              <w:spacing w:after="0" w:line="169" w:lineRule="exact"/>
              <w:rPr>
                <w:sz w:val="20"/>
                <w:szCs w:val="20"/>
                <w:color w:val="auto"/>
              </w:rPr>
            </w:pPr>
            <w:r>
              <w:rPr>
                <w:rFonts w:ascii="Arial" w:cs="Arial" w:eastAsia="Arial" w:hAnsi="Arial"/>
                <w:sz w:val="17"/>
                <w:szCs w:val="17"/>
                <w:color w:val="auto"/>
                <w:w w:val="92"/>
              </w:rPr>
              <w:t>share settlement of restricted stock</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rPr>
                <w:sz w:val="20"/>
                <w:szCs w:val="20"/>
                <w:color w:val="auto"/>
              </w:rPr>
            </w:pPr>
            <w:r>
              <w:rPr>
                <w:rFonts w:ascii="Arial" w:cs="Arial" w:eastAsia="Arial" w:hAnsi="Arial"/>
                <w:sz w:val="17"/>
                <w:szCs w:val="17"/>
                <w:color w:val="auto"/>
              </w:rPr>
              <w:t>units and awards</w:t>
            </w:r>
          </w:p>
        </w:tc>
        <w:tc>
          <w:tcPr>
            <w:tcW w:w="12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20.55</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w w:val="97"/>
              </w:rPr>
              <w:t>Options and restricted stock units</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awards granted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w:t>
            </w:r>
          </w:p>
        </w:tc>
        <w:tc>
          <w:tcPr>
            <w:tcW w:w="0" w:type="dxa"/>
            <w:vAlign w:val="bottom"/>
          </w:tcPr>
          <w:p>
            <w:pPr>
              <w:spacing w:after="0"/>
              <w:rPr>
                <w:sz w:val="1"/>
                <w:szCs w:val="1"/>
                <w:color w:val="auto"/>
              </w:rPr>
            </w:pPr>
          </w:p>
        </w:tc>
      </w:tr>
      <w:tr>
        <w:trPr>
          <w:trHeight w:val="149"/>
        </w:trPr>
        <w:tc>
          <w:tcPr>
            <w:tcW w:w="2480" w:type="dxa"/>
            <w:vAlign w:val="bottom"/>
          </w:tcPr>
          <w:p>
            <w:pPr>
              <w:ind w:left="20"/>
              <w:spacing w:after="0" w:line="150" w:lineRule="exact"/>
              <w:rPr>
                <w:sz w:val="20"/>
                <w:szCs w:val="20"/>
                <w:color w:val="auto"/>
              </w:rPr>
            </w:pPr>
            <w:r>
              <w:rPr>
                <w:rFonts w:ascii="Arial" w:cs="Arial" w:eastAsia="Arial" w:hAnsi="Arial"/>
                <w:sz w:val="17"/>
                <w:szCs w:val="17"/>
                <w:color w:val="auto"/>
              </w:rPr>
              <w:t>Balance as of September 30,</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480" w:type="dxa"/>
            <w:vAlign w:val="bottom"/>
          </w:tcPr>
          <w:p>
            <w:pPr>
              <w:ind w:left="20"/>
              <w:spacing w:after="0" w:line="195" w:lineRule="exact"/>
              <w:rPr>
                <w:sz w:val="20"/>
                <w:szCs w:val="20"/>
                <w:color w:val="auto"/>
              </w:rPr>
            </w:pPr>
            <w:r>
              <w:rPr>
                <w:rFonts w:ascii="Arial" w:cs="Arial" w:eastAsia="Arial" w:hAnsi="Arial"/>
                <w:sz w:val="17"/>
                <w:szCs w:val="17"/>
                <w:color w:val="auto"/>
              </w:rPr>
              <w:t>2021</w:t>
            </w:r>
            <w:r>
              <w:rPr>
                <w:rFonts w:ascii="Arial" w:cs="Arial" w:eastAsia="Arial" w:hAnsi="Arial"/>
                <w:sz w:val="22"/>
                <w:szCs w:val="22"/>
                <w:color w:val="auto"/>
                <w:vertAlign w:val="superscript"/>
              </w:rPr>
              <w:t>(2)</w:t>
            </w: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Pr>
          <w:p>
            <w:pPr>
              <w:spacing w:after="0"/>
              <w:rPr>
                <w:sz w:val="16"/>
                <w:szCs w:val="16"/>
                <w:color w:val="auto"/>
              </w:rPr>
            </w:pPr>
          </w:p>
        </w:tc>
        <w:tc>
          <w:tcPr>
            <w:tcW w:w="1140" w:type="dxa"/>
            <w:vAlign w:val="bottom"/>
          </w:tcPr>
          <w:p>
            <w:pPr>
              <w:ind w:left="920"/>
              <w:spacing w:after="0"/>
              <w:rPr>
                <w:sz w:val="20"/>
                <w:szCs w:val="20"/>
                <w:color w:val="auto"/>
              </w:rPr>
            </w:pPr>
            <w:r>
              <w:rPr>
                <w:rFonts w:ascii="Arial" w:cs="Arial" w:eastAsia="Arial" w:hAnsi="Arial"/>
                <w:sz w:val="16"/>
                <w:szCs w:val="16"/>
                <w:color w:val="auto"/>
                <w:w w:val="89"/>
              </w:rPr>
              <w:t>5.7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15.08</w:t>
            </w:r>
          </w:p>
        </w:tc>
        <w:tc>
          <w:tcPr>
            <w:tcW w:w="1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22.73</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 at September 30, 2021</w:t>
            </w: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w w:val="89"/>
              </w:rPr>
              <w:t>4.2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w w:val="97"/>
              </w:rPr>
              <w:t>Unvested at September 30, 2021</w:t>
            </w: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0.5</w:t>
            </w:r>
          </w:p>
        </w:tc>
        <w:tc>
          <w:tcPr>
            <w:tcW w:w="26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3.39</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9.94</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27.4</w:t>
            </w:r>
          </w:p>
        </w:tc>
        <w:tc>
          <w:tcPr>
            <w:tcW w:w="26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22.73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right="80" w:firstLine="4"/>
        <w:spacing w:after="0" w:line="298" w:lineRule="auto"/>
        <w:tabs>
          <w:tab w:leader="none" w:pos="144"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This amount includes an immaterial amount of unvested RSUs that were assumed as part of the acquisition of DocSend. The RSUs had a weighted-average grant date fair value of $26.86 per share and a total fair value of $0.4 million, all of which will be recognized as post-combination stock-based compensation expense.</w:t>
      </w:r>
    </w:p>
    <w:p>
      <w:pPr>
        <w:spacing w:after="0" w:line="170" w:lineRule="exact"/>
        <w:rPr>
          <w:rFonts w:ascii="Arial" w:cs="Arial" w:eastAsia="Arial" w:hAnsi="Arial"/>
          <w:sz w:val="17"/>
          <w:szCs w:val="17"/>
          <w:color w:val="auto"/>
          <w:vertAlign w:val="superscript"/>
        </w:rPr>
      </w:pPr>
    </w:p>
    <w:p>
      <w:pPr>
        <w:ind w:left="140" w:hanging="136"/>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This amount excludes restricted stock awards granted with service and market based vesting conditions.</w:t>
      </w:r>
    </w:p>
    <w:p>
      <w:pPr>
        <w:spacing w:after="0" w:line="230" w:lineRule="exact"/>
        <w:rPr>
          <w:sz w:val="20"/>
          <w:szCs w:val="20"/>
          <w:color w:val="auto"/>
        </w:rPr>
      </w:pPr>
    </w:p>
    <w:p>
      <w:pPr>
        <w:ind w:right="180" w:firstLine="430"/>
        <w:spacing w:after="0" w:line="286" w:lineRule="auto"/>
        <w:rPr>
          <w:sz w:val="20"/>
          <w:szCs w:val="20"/>
          <w:color w:val="auto"/>
        </w:rPr>
      </w:pPr>
      <w:r>
        <w:rPr>
          <w:rFonts w:ascii="Arial" w:cs="Arial" w:eastAsia="Arial" w:hAnsi="Arial"/>
          <w:sz w:val="17"/>
          <w:szCs w:val="17"/>
          <w:color w:val="auto"/>
        </w:rPr>
        <w:t>The following table summarizes information about the pre-tax intrinsic value of options exercised during the three and nine months ended September 30, 2021 and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100" w:type="dxa"/>
            <w:vAlign w:val="bottom"/>
            <w:gridSpan w:val="4"/>
          </w:tcPr>
          <w:p>
            <w:pPr>
              <w:jc w:val="center"/>
              <w:ind w:left="433"/>
              <w:spacing w:after="0"/>
              <w:rPr>
                <w:sz w:val="20"/>
                <w:szCs w:val="20"/>
                <w:color w:val="auto"/>
              </w:rPr>
            </w:pPr>
            <w:r>
              <w:rPr>
                <w:rFonts w:ascii="Arial" w:cs="Arial" w:eastAsia="Arial" w:hAnsi="Arial"/>
                <w:sz w:val="17"/>
                <w:szCs w:val="17"/>
                <w:b w:val="1"/>
                <w:bCs w:val="1"/>
                <w:color w:val="auto"/>
                <w:w w:val="93"/>
              </w:rPr>
              <w:t>Three Months Ended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Nine Months Ended</w:t>
            </w:r>
          </w:p>
        </w:tc>
        <w:tc>
          <w:tcPr>
            <w:tcW w:w="1040" w:type="dxa"/>
            <w:vAlign w:val="bottom"/>
          </w:tcPr>
          <w:p>
            <w:pPr>
              <w:spacing w:after="0"/>
              <w:rPr>
                <w:sz w:val="16"/>
                <w:szCs w:val="16"/>
                <w:color w:val="auto"/>
              </w:rPr>
            </w:pPr>
          </w:p>
        </w:tc>
      </w:tr>
      <w:tr>
        <w:trPr>
          <w:trHeight w:val="221"/>
        </w:trPr>
        <w:tc>
          <w:tcPr>
            <w:tcW w:w="39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ind w:right="553"/>
              <w:spacing w:after="0"/>
              <w:rPr>
                <w:sz w:val="20"/>
                <w:szCs w:val="20"/>
                <w:color w:val="auto"/>
              </w:rPr>
            </w:pPr>
            <w:r>
              <w:rPr>
                <w:rFonts w:ascii="Arial" w:cs="Arial" w:eastAsia="Arial" w:hAnsi="Arial"/>
                <w:sz w:val="17"/>
                <w:szCs w:val="17"/>
                <w:b w:val="1"/>
                <w:bCs w:val="1"/>
                <w:color w:val="auto"/>
                <w:w w:val="91"/>
              </w:rPr>
              <w:t>September 30,</w:t>
            </w: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September 30,</w:t>
            </w:r>
          </w:p>
        </w:tc>
        <w:tc>
          <w:tcPr>
            <w:tcW w:w="1040" w:type="dxa"/>
            <w:vAlign w:val="bottom"/>
            <w:tcBorders>
              <w:bottom w:val="single" w:sz="8" w:color="auto"/>
            </w:tcBorders>
          </w:tcPr>
          <w:p>
            <w:pPr>
              <w:spacing w:after="0"/>
              <w:rPr>
                <w:sz w:val="19"/>
                <w:szCs w:val="19"/>
                <w:color w:val="auto"/>
              </w:rPr>
            </w:pPr>
          </w:p>
        </w:tc>
      </w:tr>
      <w:tr>
        <w:trPr>
          <w:trHeight w:val="214"/>
        </w:trPr>
        <w:tc>
          <w:tcPr>
            <w:tcW w:w="396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84"/>
              </w:rPr>
              <w:t>2020</w:t>
            </w:r>
          </w:p>
        </w:tc>
      </w:tr>
      <w:tr>
        <w:trPr>
          <w:trHeight w:val="32"/>
        </w:trPr>
        <w:tc>
          <w:tcPr>
            <w:tcW w:w="3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Intrinsic value of options exercised</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r>
    </w:tbl>
    <w:p>
      <w:pPr>
        <w:spacing w:after="0" w:line="300" w:lineRule="exact"/>
        <w:rPr>
          <w:sz w:val="20"/>
          <w:szCs w:val="20"/>
          <w:color w:val="auto"/>
        </w:rPr>
      </w:pPr>
    </w:p>
    <w:p>
      <w:pPr>
        <w:ind w:right="240" w:firstLine="430"/>
        <w:spacing w:after="0" w:line="271" w:lineRule="auto"/>
        <w:rPr>
          <w:sz w:val="20"/>
          <w:szCs w:val="20"/>
          <w:color w:val="auto"/>
        </w:rPr>
      </w:pPr>
      <w:r>
        <w:rPr>
          <w:rFonts w:ascii="Arial" w:cs="Arial" w:eastAsia="Arial" w:hAnsi="Arial"/>
          <w:sz w:val="17"/>
          <w:szCs w:val="17"/>
          <w:color w:val="auto"/>
        </w:rPr>
        <w:t>As of September 30, 2021, unamortized stock-based compensation related to unvested stock options, restricted stock awards (excluding the Co-Founder Grants), and RSUs was $613.8 million. The weighted-average period over which such compensation expense will be recognized if the requisite service is provided is approximately 2.7 years as of September 30, 2021.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Assumed stock options</w:t>
      </w:r>
    </w:p>
    <w:p>
      <w:pPr>
        <w:spacing w:after="0" w:line="117" w:lineRule="exact"/>
        <w:rPr>
          <w:sz w:val="20"/>
          <w:szCs w:val="20"/>
          <w:color w:val="auto"/>
        </w:rPr>
      </w:pPr>
    </w:p>
    <w:p>
      <w:pPr>
        <w:ind w:right="460" w:firstLine="430"/>
        <w:spacing w:after="0" w:line="286" w:lineRule="auto"/>
        <w:rPr>
          <w:sz w:val="20"/>
          <w:szCs w:val="20"/>
          <w:color w:val="auto"/>
        </w:rPr>
      </w:pPr>
      <w:r>
        <w:rPr>
          <w:rFonts w:ascii="Arial" w:cs="Arial" w:eastAsia="Arial" w:hAnsi="Arial"/>
          <w:sz w:val="17"/>
          <w:szCs w:val="17"/>
          <w:color w:val="auto"/>
        </w:rPr>
        <w:t>In connection with the acquisition of DocSend the Company assumed 0.4 million unvested stock options which were valued using the Black-Scholes option-pricing model. The fair value of stock options assumed were estimated using the following assumptions: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5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r>
      <w:tr>
        <w:trPr>
          <w:trHeight w:val="221"/>
        </w:trPr>
        <w:tc>
          <w:tcPr>
            <w:tcW w:w="594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5260" w:type="dxa"/>
            <w:vAlign w:val="bottom"/>
          </w:tcPr>
          <w:p>
            <w:pPr>
              <w:jc w:val="right"/>
              <w:spacing w:after="0"/>
              <w:rPr>
                <w:sz w:val="20"/>
                <w:szCs w:val="20"/>
                <w:color w:val="auto"/>
              </w:rPr>
            </w:pPr>
            <w:r>
              <w:rPr>
                <w:rFonts w:ascii="Arial" w:cs="Arial" w:eastAsia="Arial" w:hAnsi="Arial"/>
                <w:sz w:val="17"/>
                <w:szCs w:val="17"/>
                <w:color w:val="auto"/>
              </w:rPr>
              <w:t>2.0 - 6.8</w:t>
            </w:r>
          </w:p>
        </w:tc>
      </w:tr>
      <w:tr>
        <w:trPr>
          <w:trHeight w:val="221"/>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5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 - 1.29%</w:t>
            </w:r>
          </w:p>
        </w:tc>
      </w:tr>
      <w:tr>
        <w:trPr>
          <w:trHeight w:val="221"/>
        </w:trPr>
        <w:tc>
          <w:tcPr>
            <w:tcW w:w="594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5260" w:type="dxa"/>
            <w:vAlign w:val="bottom"/>
          </w:tcPr>
          <w:p>
            <w:pPr>
              <w:jc w:val="right"/>
              <w:spacing w:after="0"/>
              <w:rPr>
                <w:sz w:val="20"/>
                <w:szCs w:val="20"/>
                <w:color w:val="auto"/>
              </w:rPr>
            </w:pPr>
            <w:r>
              <w:rPr>
                <w:rFonts w:ascii="Arial" w:cs="Arial" w:eastAsia="Arial" w:hAnsi="Arial"/>
                <w:sz w:val="17"/>
                <w:szCs w:val="17"/>
                <w:color w:val="auto"/>
              </w:rPr>
              <w:t>— %</w:t>
            </w:r>
          </w:p>
        </w:tc>
      </w:tr>
    </w:tbl>
    <w:p>
      <w:pPr>
        <w:spacing w:after="0" w:line="313" w:lineRule="exact"/>
        <w:rPr>
          <w:sz w:val="20"/>
          <w:szCs w:val="20"/>
          <w:color w:val="auto"/>
        </w:rPr>
      </w:pPr>
    </w:p>
    <w:p>
      <w:pPr>
        <w:ind w:right="240" w:firstLine="430"/>
        <w:spacing w:after="0" w:line="263"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is based on the Company's historical volatility. Management believes this is the best estimate of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over the expected life of its stock options.</w:t>
      </w:r>
    </w:p>
    <w:p>
      <w:pPr>
        <w:spacing w:after="0" w:line="1" w:lineRule="exact"/>
        <w:rPr>
          <w:sz w:val="20"/>
          <w:szCs w:val="20"/>
          <w:color w:val="auto"/>
        </w:rPr>
      </w:pPr>
    </w:p>
    <w:p>
      <w:pPr>
        <w:ind w:right="240" w:firstLine="430"/>
        <w:spacing w:after="0" w:line="287"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Company determines the expected term based on the average period the stock options are expected to remain outstanding,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as the midpoint of the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87" w:lineRule="exact"/>
        <w:rPr>
          <w:sz w:val="20"/>
          <w:szCs w:val="20"/>
          <w:color w:val="auto"/>
        </w:rPr>
      </w:pPr>
    </w:p>
    <w:p>
      <w:pPr>
        <w:ind w:right="580" w:firstLine="430"/>
        <w:spacing w:after="0" w:line="286"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risk-free interest rate is based on the U.S. Treasury security in effect at the time the options were assumed for maturities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option.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Company has not paid and does not expect to pay dividends. Consequently, the Company uses an expected dividend yield of</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zero.</w:t>
      </w:r>
    </w:p>
    <w:p>
      <w:pPr>
        <w:spacing w:after="0" w:line="235" w:lineRule="exact"/>
        <w:rPr>
          <w:sz w:val="20"/>
          <w:szCs w:val="20"/>
          <w:color w:val="auto"/>
        </w:rPr>
      </w:pPr>
    </w:p>
    <w:p>
      <w:pPr>
        <w:ind w:right="80" w:firstLine="430"/>
        <w:spacing w:after="0" w:line="286" w:lineRule="auto"/>
        <w:rPr>
          <w:sz w:val="20"/>
          <w:szCs w:val="20"/>
          <w:color w:val="auto"/>
        </w:rPr>
      </w:pPr>
      <w:r>
        <w:rPr>
          <w:rFonts w:ascii="Arial" w:cs="Arial" w:eastAsia="Arial" w:hAnsi="Arial"/>
          <w:sz w:val="17"/>
          <w:szCs w:val="17"/>
          <w:color w:val="auto"/>
        </w:rPr>
        <w:t>In connection with the acquisition of DocSend, the estimated weighted-average grant date fair value for stock options assumed was $25.28 per share and a total fair value of $9.3 million, of which, $8.1 million will be recognized as post-combination stock-based compensation expense.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Co-Founder Grants</w:t>
      </w:r>
    </w:p>
    <w:p>
      <w:pPr>
        <w:spacing w:after="0" w:line="117" w:lineRule="exact"/>
        <w:rPr>
          <w:sz w:val="20"/>
          <w:szCs w:val="20"/>
          <w:color w:val="auto"/>
        </w:rPr>
      </w:pPr>
    </w:p>
    <w:p>
      <w:pPr>
        <w:ind w:firstLine="430"/>
        <w:spacing w:after="0" w:line="260" w:lineRule="auto"/>
        <w:rPr>
          <w:sz w:val="20"/>
          <w:szCs w:val="20"/>
          <w:color w:val="auto"/>
        </w:rPr>
      </w:pPr>
      <w:r>
        <w:rPr>
          <w:rFonts w:ascii="Arial" w:cs="Arial" w:eastAsia="Arial" w:hAnsi="Arial"/>
          <w:sz w:val="17"/>
          <w:szCs w:val="17"/>
          <w:color w:val="auto"/>
        </w:rPr>
        <w:t>In December 2017, the Board of Directors approved the Co-Founder Grants, consisting of 14.7 million shares of Class A common stock in the aggregate, of which 10.3 million RSAs were granted to Mr. Houston, the Company’s co-founder and Chief Executive Officer, and 4.4 million RSAs were granted to Mr. Ferdowsi, the Company's co-founder and a former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income per share attributable to common stockholders in Note 13 "Net Income Per Share", as the right to the cumulative declared dividends is forfeitable if the service condition is not met.</w:t>
      </w:r>
    </w:p>
    <w:p>
      <w:pPr>
        <w:spacing w:after="0" w:line="207" w:lineRule="exact"/>
        <w:rPr>
          <w:sz w:val="20"/>
          <w:szCs w:val="20"/>
          <w:color w:val="auto"/>
        </w:rPr>
      </w:pPr>
    </w:p>
    <w:p>
      <w:pPr>
        <w:ind w:firstLine="430"/>
        <w:spacing w:after="0" w:line="266" w:lineRule="auto"/>
        <w:rPr>
          <w:sz w:val="20"/>
          <w:szCs w:val="20"/>
          <w:color w:val="auto"/>
        </w:rPr>
      </w:pPr>
      <w:r>
        <w:rPr>
          <w:rFonts w:ascii="Arial" w:cs="Arial" w:eastAsia="Arial" w:hAnsi="Arial"/>
          <w:sz w:val="17"/>
          <w:szCs w:val="17"/>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201" w:lineRule="exact"/>
        <w:rPr>
          <w:sz w:val="20"/>
          <w:szCs w:val="20"/>
          <w:color w:val="auto"/>
        </w:rPr>
      </w:pPr>
    </w:p>
    <w:p>
      <w:pPr>
        <w:ind w:right="220" w:firstLine="430"/>
        <w:spacing w:after="0" w:line="286" w:lineRule="auto"/>
        <w:rPr>
          <w:sz w:val="20"/>
          <w:szCs w:val="20"/>
          <w:color w:val="auto"/>
        </w:rPr>
      </w:pPr>
      <w:r>
        <w:rPr>
          <w:rFonts w:ascii="Arial" w:cs="Arial" w:eastAsia="Arial" w:hAnsi="Arial"/>
          <w:sz w:val="17"/>
          <w:szCs w:val="17"/>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85" w:lineRule="exact"/>
        <w:rPr>
          <w:sz w:val="20"/>
          <w:szCs w:val="20"/>
          <w:color w:val="auto"/>
        </w:rPr>
      </w:pPr>
    </w:p>
    <w:p>
      <w:pPr>
        <w:ind w:right="20" w:firstLine="430"/>
        <w:spacing w:after="0" w:line="266" w:lineRule="auto"/>
        <w:rPr>
          <w:sz w:val="20"/>
          <w:szCs w:val="20"/>
          <w:color w:val="auto"/>
        </w:rPr>
      </w:pPr>
      <w:r>
        <w:rPr>
          <w:rFonts w:ascii="Arial" w:cs="Arial" w:eastAsia="Arial" w:hAnsi="Arial"/>
          <w:sz w:val="17"/>
          <w:szCs w:val="17"/>
          <w:color w:val="auto"/>
        </w:rPr>
        <w:t>In March 2020, one of the Company's co-founders, Mr. Ferdowsi, resigned as a member of the Board of Directors and as an officer of the Company. As of the date of Mr. Ferdowsi’s resignation, none of the Stock Price Targets had been met, resulting in the forfeiture of all of his 4.4 million RSAs. As he did not provide the requisite service associated with the Co-Founder Grants, the Company reversed all stock-based compensation expense that had been recognized from the grant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through March 19, 2020, which totaled $23.8 million, of which $21.5 million related to expense recognized prior to December 31, 2019, and ceased recognizing further expense related to the award.</w:t>
      </w:r>
    </w:p>
    <w:p>
      <w:pPr>
        <w:spacing w:after="0" w:line="185" w:lineRule="exact"/>
        <w:rPr>
          <w:sz w:val="20"/>
          <w:szCs w:val="20"/>
          <w:color w:val="auto"/>
        </w:rPr>
      </w:pPr>
    </w:p>
    <w:p>
      <w:pPr>
        <w:ind w:firstLine="430"/>
        <w:spacing w:after="0" w:line="260" w:lineRule="auto"/>
        <w:rPr>
          <w:sz w:val="20"/>
          <w:szCs w:val="20"/>
          <w:color w:val="auto"/>
        </w:rPr>
      </w:pPr>
      <w:r>
        <w:rPr>
          <w:rFonts w:ascii="Arial" w:cs="Arial" w:eastAsia="Arial" w:hAnsi="Arial"/>
          <w:sz w:val="17"/>
          <w:szCs w:val="17"/>
          <w:color w:val="auto"/>
        </w:rPr>
        <w:t>The Stock Price Target for Mr. Houston's first tranche of the Co-Founder Grant was achieved in the third quarter of 2021. As a result, the first tranche of Mr. Houston's Co-Founder Grant, or 2.1 million shares of Class A common stock, will vest in the fourth quarter of 2021, provided that the requisite service will be met through the vesting date. The stock-based compensation expense for Mr. Houston's Co-Founder Grant is recognized utilizing the accelerated attribution method, and therefore no incremental stock-based compensation will be recognized as a result of this release. From time to time, directors, officers, and employees of the Company enter into 10b5-1 plans. Mr. Houston adopted a 10b5-1 plan in June 2021, pursuant to which it is expected that a portion of the shares issued upon achievement of the performance targets under his Co-Founder Award (the "vested shares") will be sold to satisfy income taxes related to the vesting of the Co-Founder Award and, if the Company’s share price is at or above the share price established in Mr. Houston's 10b5-1 plan, the remainder of the vested shares will be sold.</w:t>
      </w:r>
    </w:p>
    <w:p>
      <w:pPr>
        <w:spacing w:after="0" w:line="207" w:lineRule="exact"/>
        <w:rPr>
          <w:sz w:val="20"/>
          <w:szCs w:val="20"/>
          <w:color w:val="auto"/>
        </w:rPr>
      </w:pPr>
    </w:p>
    <w:p>
      <w:pPr>
        <w:ind w:right="120" w:firstLine="430"/>
        <w:spacing w:after="0" w:line="295" w:lineRule="auto"/>
        <w:rPr>
          <w:sz w:val="20"/>
          <w:szCs w:val="20"/>
          <w:color w:val="auto"/>
        </w:rPr>
      </w:pPr>
      <w:r>
        <w:rPr>
          <w:rFonts w:ascii="Arial" w:cs="Arial" w:eastAsia="Arial" w:hAnsi="Arial"/>
          <w:sz w:val="16"/>
          <w:szCs w:val="16"/>
          <w:color w:val="auto"/>
        </w:rPr>
        <w:t>The Company recognized stock-based compensation expense related to the Co-Founder Grant of $3.7 million and $10.9 million during the three and nine months ended September 30, 2021, respectively and $6.2 million and $18.4 million during the three and nine months ended September 30, 2020. As of September 30, 2021, unamortized stock-based compensation expense related to the Co-Founder Grants was $24.8 million.</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Net Income Per Share</w:t>
      </w:r>
    </w:p>
    <w:p>
      <w:pPr>
        <w:spacing w:after="0" w:line="253" w:lineRule="exact"/>
        <w:rPr>
          <w:sz w:val="20"/>
          <w:szCs w:val="20"/>
          <w:color w:val="auto"/>
        </w:rPr>
      </w:pPr>
    </w:p>
    <w:p>
      <w:pPr>
        <w:ind w:right="20" w:firstLine="430"/>
        <w:spacing w:after="0" w:line="295" w:lineRule="auto"/>
        <w:rPr>
          <w:sz w:val="20"/>
          <w:szCs w:val="20"/>
          <w:color w:val="auto"/>
        </w:rPr>
      </w:pPr>
      <w:r>
        <w:rPr>
          <w:rFonts w:ascii="Arial" w:cs="Arial" w:eastAsia="Arial" w:hAnsi="Arial"/>
          <w:sz w:val="16"/>
          <w:szCs w:val="16"/>
          <w:color w:val="auto"/>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181" w:lineRule="exact"/>
        <w:rPr>
          <w:sz w:val="20"/>
          <w:szCs w:val="20"/>
          <w:color w:val="auto"/>
        </w:rPr>
      </w:pPr>
    </w:p>
    <w:p>
      <w:pPr>
        <w:ind w:right="380" w:firstLine="430"/>
        <w:spacing w:after="0" w:line="286" w:lineRule="auto"/>
        <w:rPr>
          <w:sz w:val="20"/>
          <w:szCs w:val="20"/>
          <w:color w:val="auto"/>
        </w:rPr>
      </w:pPr>
      <w:r>
        <w:rPr>
          <w:rFonts w:ascii="Arial" w:cs="Arial" w:eastAsia="Arial" w:hAnsi="Arial"/>
          <w:sz w:val="17"/>
          <w:szCs w:val="17"/>
          <w:color w:val="auto"/>
        </w:rPr>
        <w:t>Basic net income per share is computed by dividing net income attributable to common stockholders by the weighted-average number of shares of the Class A and Class B common stock outstanding.</w:t>
      </w:r>
    </w:p>
    <w:p>
      <w:pPr>
        <w:spacing w:after="0" w:line="185" w:lineRule="exact"/>
        <w:rPr>
          <w:sz w:val="20"/>
          <w:szCs w:val="20"/>
          <w:color w:val="auto"/>
        </w:rPr>
      </w:pPr>
    </w:p>
    <w:p>
      <w:pPr>
        <w:ind w:right="40" w:firstLine="391"/>
        <w:spacing w:after="0" w:line="283" w:lineRule="auto"/>
        <w:rPr>
          <w:sz w:val="20"/>
          <w:szCs w:val="20"/>
          <w:color w:val="auto"/>
        </w:rPr>
      </w:pPr>
      <w:r>
        <w:rPr>
          <w:rFonts w:ascii="Arial" w:cs="Arial" w:eastAsia="Arial" w:hAnsi="Arial"/>
          <w:sz w:val="16"/>
          <w:szCs w:val="16"/>
          <w:color w:val="auto"/>
        </w:rPr>
        <w:t>Diluted net income per share is computed by dividing net income attributable to common stockholders by the weighted-average number of diluted common shares outstanding. The computation of the diluted net income per share of Class A common stock assumes the conversion of our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spacing w:after="0" w:line="192" w:lineRule="exact"/>
        <w:rPr>
          <w:sz w:val="20"/>
          <w:szCs w:val="20"/>
          <w:color w:val="auto"/>
        </w:rPr>
      </w:pPr>
    </w:p>
    <w:p>
      <w:pPr>
        <w:ind w:right="240" w:firstLine="391"/>
        <w:spacing w:after="0" w:line="286" w:lineRule="auto"/>
        <w:rPr>
          <w:sz w:val="20"/>
          <w:szCs w:val="20"/>
          <w:color w:val="auto"/>
        </w:rPr>
      </w:pPr>
      <w:r>
        <w:rPr>
          <w:rFonts w:ascii="Arial" w:cs="Arial" w:eastAsia="Arial" w:hAnsi="Arial"/>
          <w:sz w:val="17"/>
          <w:szCs w:val="17"/>
          <w:color w:val="auto"/>
        </w:rPr>
        <w:t>The numerators and denominators of the basic and diluted EPS computations for our common stock are calculated as follows (in millions, except for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2620" w:type="dxa"/>
            <w:vAlign w:val="bottom"/>
            <w:gridSpan w:val="4"/>
          </w:tcPr>
          <w:p>
            <w:pPr>
              <w:jc w:val="right"/>
              <w:ind w:right="173"/>
              <w:spacing w:after="0"/>
              <w:rPr>
                <w:sz w:val="20"/>
                <w:szCs w:val="20"/>
                <w:color w:val="auto"/>
              </w:rPr>
            </w:pPr>
            <w:r>
              <w:rPr>
                <w:rFonts w:ascii="Arial" w:cs="Arial" w:eastAsia="Arial" w:hAnsi="Arial"/>
                <w:sz w:val="17"/>
                <w:szCs w:val="17"/>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653"/>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21"/>
        </w:trPr>
        <w:tc>
          <w:tcPr>
            <w:tcW w:w="50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7"/>
                <w:szCs w:val="17"/>
                <w:b w:val="1"/>
                <w:bCs w:val="1"/>
                <w:color w:val="auto"/>
                <w:w w:val="92"/>
              </w:rPr>
              <w:t>September 30,</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Class A</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Class B</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7"/>
                <w:szCs w:val="17"/>
                <w:color w:val="auto"/>
              </w:rPr>
              <w:t>Class A</w:t>
            </w:r>
          </w:p>
        </w:tc>
        <w:tc>
          <w:tcPr>
            <w:tcW w:w="460" w:type="dxa"/>
            <w:vAlign w:val="bottom"/>
          </w:tcPr>
          <w:p>
            <w:pPr>
              <w:spacing w:after="0"/>
              <w:rPr>
                <w:sz w:val="18"/>
                <w:szCs w:val="18"/>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color w:val="auto"/>
                <w:w w:val="88"/>
              </w:rPr>
              <w:t>Class B</w:t>
            </w:r>
          </w:p>
        </w:tc>
        <w:tc>
          <w:tcPr>
            <w:tcW w:w="0" w:type="dxa"/>
            <w:vAlign w:val="bottom"/>
          </w:tcPr>
          <w:p>
            <w:pPr>
              <w:spacing w:after="0"/>
              <w:rPr>
                <w:sz w:val="1"/>
                <w:szCs w:val="1"/>
                <w:color w:val="auto"/>
              </w:rPr>
            </w:pPr>
          </w:p>
        </w:tc>
      </w:tr>
      <w:tr>
        <w:trPr>
          <w:trHeight w:val="32"/>
        </w:trPr>
        <w:tc>
          <w:tcPr>
            <w:tcW w:w="50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net income per share:</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20"/>
              <w:spacing w:after="0"/>
              <w:rPr>
                <w:sz w:val="20"/>
                <w:szCs w:val="20"/>
                <w:color w:val="auto"/>
              </w:rPr>
            </w:pPr>
            <w:r>
              <w:rPr>
                <w:rFonts w:ascii="Arial" w:cs="Arial" w:eastAsia="Arial" w:hAnsi="Arial"/>
                <w:sz w:val="17"/>
                <w:szCs w:val="17"/>
                <w:color w:val="auto"/>
              </w:rPr>
              <w:t>Numerator</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w w:val="97"/>
              </w:rPr>
              <w:t>Weighted-average number of common shares outstanding used in</w:t>
            </w:r>
          </w:p>
        </w:tc>
        <w:tc>
          <w:tcPr>
            <w:tcW w:w="10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9"/>
              </w:rPr>
              <w:t>302.5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316.3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computing basic net income per share</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per common share, basic</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20" w:type="dxa"/>
            <w:vAlign w:val="bottom"/>
            <w:vMerge w:val="continue"/>
          </w:tcPr>
          <w:p>
            <w:pPr>
              <w:spacing w:after="0"/>
              <w:rPr>
                <w:sz w:val="16"/>
                <w:szCs w:val="16"/>
                <w:color w:val="auto"/>
              </w:rPr>
            </w:pPr>
          </w:p>
        </w:tc>
        <w:tc>
          <w:tcPr>
            <w:tcW w:w="1000" w:type="dxa"/>
            <w:vAlign w:val="bottom"/>
          </w:tcPr>
          <w:p>
            <w:pPr>
              <w:jc w:val="right"/>
              <w:ind w:right="813"/>
              <w:spacing w:after="0" w:line="194" w:lineRule="exact"/>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line="194" w:lineRule="exact"/>
              <w:rPr>
                <w:sz w:val="20"/>
                <w:szCs w:val="20"/>
                <w:color w:val="auto"/>
              </w:rPr>
            </w:pPr>
            <w:r>
              <w:rPr>
                <w:rFonts w:ascii="Arial" w:cs="Arial" w:eastAsia="Arial" w:hAnsi="Arial"/>
                <w:sz w:val="17"/>
                <w:szCs w:val="17"/>
                <w:color w:val="auto"/>
              </w:rPr>
              <w:t>0.20</w:t>
            </w:r>
          </w:p>
        </w:tc>
        <w:tc>
          <w:tcPr>
            <w:tcW w:w="100" w:type="dxa"/>
            <w:vAlign w:val="bottom"/>
          </w:tcPr>
          <w:p>
            <w:pPr>
              <w:spacing w:after="0"/>
              <w:rPr>
                <w:sz w:val="16"/>
                <w:szCs w:val="16"/>
                <w:color w:val="auto"/>
              </w:rPr>
            </w:pPr>
          </w:p>
        </w:tc>
        <w:tc>
          <w:tcPr>
            <w:tcW w:w="1040" w:type="dxa"/>
            <w:vAlign w:val="bottom"/>
          </w:tcPr>
          <w:p>
            <w:pPr>
              <w:jc w:val="right"/>
              <w:ind w:right="853"/>
              <w:spacing w:after="0" w:line="194" w:lineRule="exact"/>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line="194" w:lineRule="exact"/>
              <w:rPr>
                <w:sz w:val="20"/>
                <w:szCs w:val="20"/>
                <w:color w:val="auto"/>
              </w:rPr>
            </w:pPr>
            <w:r>
              <w:rPr>
                <w:rFonts w:ascii="Arial" w:cs="Arial" w:eastAsia="Arial" w:hAnsi="Arial"/>
                <w:sz w:val="17"/>
                <w:szCs w:val="17"/>
                <w:color w:val="auto"/>
              </w:rPr>
              <w:t>0.20</w:t>
            </w:r>
          </w:p>
        </w:tc>
        <w:tc>
          <w:tcPr>
            <w:tcW w:w="12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0.08</w:t>
            </w:r>
          </w:p>
        </w:tc>
        <w:tc>
          <w:tcPr>
            <w:tcW w:w="100" w:type="dxa"/>
            <w:vAlign w:val="bottom"/>
          </w:tcPr>
          <w:p>
            <w:pPr>
              <w:spacing w:after="0"/>
              <w:rPr>
                <w:sz w:val="16"/>
                <w:szCs w:val="16"/>
                <w:color w:val="auto"/>
              </w:rPr>
            </w:pPr>
          </w:p>
        </w:tc>
        <w:tc>
          <w:tcPr>
            <w:tcW w:w="460" w:type="dxa"/>
            <w:vAlign w:val="bottom"/>
          </w:tcPr>
          <w:p>
            <w:pPr>
              <w:jc w:val="right"/>
              <w:ind w:right="273"/>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income per share:</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20"/>
              <w:spacing w:after="0"/>
              <w:rPr>
                <w:sz w:val="20"/>
                <w:szCs w:val="20"/>
                <w:color w:val="auto"/>
              </w:rPr>
            </w:pPr>
            <w:r>
              <w:rPr>
                <w:rFonts w:ascii="Arial" w:cs="Arial" w:eastAsia="Arial" w:hAnsi="Arial"/>
                <w:sz w:val="17"/>
                <w:szCs w:val="17"/>
                <w:color w:val="auto"/>
              </w:rPr>
              <w:t>Numerator</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170"/>
        </w:trPr>
        <w:tc>
          <w:tcPr>
            <w:tcW w:w="5020" w:type="dxa"/>
            <w:vAlign w:val="bottom"/>
          </w:tcPr>
          <w:p>
            <w:pPr>
              <w:ind w:left="140"/>
              <w:spacing w:after="0" w:line="170" w:lineRule="exact"/>
              <w:rPr>
                <w:sz w:val="20"/>
                <w:szCs w:val="20"/>
                <w:color w:val="auto"/>
              </w:rPr>
            </w:pPr>
            <w:r>
              <w:rPr>
                <w:rFonts w:ascii="Arial" w:cs="Arial" w:eastAsia="Arial" w:hAnsi="Arial"/>
                <w:sz w:val="17"/>
                <w:szCs w:val="17"/>
                <w:color w:val="auto"/>
                <w:w w:val="99"/>
              </w:rPr>
              <w:t>Reallocation of net income as a result of conversion of Class B to</w:t>
            </w:r>
          </w:p>
        </w:tc>
        <w:tc>
          <w:tcPr>
            <w:tcW w:w="100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020" w:type="dxa"/>
            <w:vAlign w:val="bottom"/>
          </w:tcPr>
          <w:p>
            <w:pPr>
              <w:ind w:left="140"/>
              <w:spacing w:after="0"/>
              <w:rPr>
                <w:sz w:val="20"/>
                <w:szCs w:val="20"/>
                <w:color w:val="auto"/>
              </w:rPr>
            </w:pPr>
            <w:r>
              <w:rPr>
                <w:rFonts w:ascii="Arial" w:cs="Arial" w:eastAsia="Arial" w:hAnsi="Arial"/>
                <w:sz w:val="17"/>
                <w:szCs w:val="17"/>
                <w:color w:val="auto"/>
              </w:rPr>
              <w:t>Class A common stock</w:t>
            </w:r>
          </w:p>
        </w:tc>
        <w:tc>
          <w:tcPr>
            <w:tcW w:w="100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Reallocation of net income to Class B common stock</w:t>
            </w:r>
          </w:p>
        </w:tc>
        <w:tc>
          <w:tcPr>
            <w:tcW w:w="10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attributable to common stockholders for diluted EPS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020" w:type="dxa"/>
            <w:vAlign w:val="bottom"/>
            <w:vMerge w:val="continue"/>
          </w:tcPr>
          <w:p>
            <w:pPr>
              <w:spacing w:after="0"/>
              <w:rPr>
                <w:sz w:val="16"/>
                <w:szCs w:val="16"/>
                <w:color w:val="auto"/>
              </w:rPr>
            </w:pPr>
          </w:p>
        </w:tc>
        <w:tc>
          <w:tcPr>
            <w:tcW w:w="1000" w:type="dxa"/>
            <w:vAlign w:val="bottom"/>
          </w:tcPr>
          <w:p>
            <w:pPr>
              <w:jc w:val="right"/>
              <w:ind w:right="813"/>
              <w:spacing w:after="0" w:line="194" w:lineRule="exact"/>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line="194" w:lineRule="exact"/>
              <w:rPr>
                <w:sz w:val="20"/>
                <w:szCs w:val="20"/>
                <w:color w:val="auto"/>
              </w:rPr>
            </w:pPr>
            <w:r>
              <w:rPr>
                <w:rFonts w:ascii="Arial" w:cs="Arial" w:eastAsia="Arial" w:hAnsi="Arial"/>
                <w:sz w:val="17"/>
                <w:szCs w:val="17"/>
                <w:color w:val="auto"/>
              </w:rPr>
              <w:t>75.6</w:t>
            </w:r>
          </w:p>
        </w:tc>
        <w:tc>
          <w:tcPr>
            <w:tcW w:w="100" w:type="dxa"/>
            <w:vAlign w:val="bottom"/>
          </w:tcPr>
          <w:p>
            <w:pPr>
              <w:spacing w:after="0"/>
              <w:rPr>
                <w:sz w:val="16"/>
                <w:szCs w:val="16"/>
                <w:color w:val="auto"/>
              </w:rPr>
            </w:pPr>
          </w:p>
        </w:tc>
        <w:tc>
          <w:tcPr>
            <w:tcW w:w="1040" w:type="dxa"/>
            <w:vAlign w:val="bottom"/>
          </w:tcPr>
          <w:p>
            <w:pPr>
              <w:jc w:val="right"/>
              <w:ind w:right="853"/>
              <w:spacing w:after="0" w:line="194" w:lineRule="exact"/>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line="194" w:lineRule="exact"/>
              <w:rPr>
                <w:sz w:val="20"/>
                <w:szCs w:val="20"/>
                <w:color w:val="auto"/>
              </w:rPr>
            </w:pPr>
            <w:r>
              <w:rPr>
                <w:rFonts w:ascii="Arial" w:cs="Arial" w:eastAsia="Arial" w:hAnsi="Arial"/>
                <w:sz w:val="17"/>
                <w:szCs w:val="17"/>
                <w:color w:val="auto"/>
              </w:rPr>
              <w:t>15.9</w:t>
            </w:r>
          </w:p>
        </w:tc>
        <w:tc>
          <w:tcPr>
            <w:tcW w:w="12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line="194" w:lineRule="exact"/>
              <w:rPr>
                <w:sz w:val="20"/>
                <w:szCs w:val="20"/>
                <w:color w:val="auto"/>
              </w:rPr>
            </w:pPr>
            <w:r>
              <w:rPr>
                <w:rFonts w:ascii="Arial" w:cs="Arial" w:eastAsia="Arial" w:hAnsi="Arial"/>
                <w:sz w:val="17"/>
                <w:szCs w:val="17"/>
                <w:color w:val="auto"/>
              </w:rPr>
              <w:t>32.7</w:t>
            </w:r>
          </w:p>
        </w:tc>
        <w:tc>
          <w:tcPr>
            <w:tcW w:w="100" w:type="dxa"/>
            <w:vAlign w:val="bottom"/>
          </w:tcPr>
          <w:p>
            <w:pPr>
              <w:spacing w:after="0"/>
              <w:rPr>
                <w:sz w:val="16"/>
                <w:szCs w:val="16"/>
                <w:color w:val="auto"/>
              </w:rPr>
            </w:pPr>
          </w:p>
        </w:tc>
        <w:tc>
          <w:tcPr>
            <w:tcW w:w="460" w:type="dxa"/>
            <w:vAlign w:val="bottom"/>
          </w:tcPr>
          <w:p>
            <w:pPr>
              <w:jc w:val="right"/>
              <w:ind w:right="273"/>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020" w:type="dxa"/>
            <w:vAlign w:val="bottom"/>
          </w:tcPr>
          <w:p>
            <w:pPr>
              <w:ind w:left="140"/>
              <w:spacing w:after="0" w:line="170" w:lineRule="exact"/>
              <w:rPr>
                <w:sz w:val="20"/>
                <w:szCs w:val="20"/>
                <w:color w:val="auto"/>
              </w:rPr>
            </w:pPr>
            <w:r>
              <w:rPr>
                <w:rFonts w:ascii="Arial" w:cs="Arial" w:eastAsia="Arial" w:hAnsi="Arial"/>
                <w:sz w:val="17"/>
                <w:szCs w:val="17"/>
                <w:color w:val="auto"/>
                <w:w w:val="97"/>
              </w:rPr>
              <w:t>Weighted-average number of common shares outstanding used in</w:t>
            </w:r>
          </w:p>
        </w:tc>
        <w:tc>
          <w:tcPr>
            <w:tcW w:w="100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w w:val="89"/>
              </w:rPr>
              <w:t>302.5</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83.0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316.3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97.8</w:t>
            </w:r>
          </w:p>
        </w:tc>
        <w:tc>
          <w:tcPr>
            <w:tcW w:w="0" w:type="dxa"/>
            <w:vAlign w:val="bottom"/>
          </w:tcPr>
          <w:p>
            <w:pPr>
              <w:spacing w:after="0"/>
              <w:rPr>
                <w:sz w:val="1"/>
                <w:szCs w:val="1"/>
                <w:color w:val="auto"/>
              </w:rPr>
            </w:pPr>
          </w:p>
        </w:tc>
      </w:tr>
      <w:tr>
        <w:trPr>
          <w:trHeight w:val="221"/>
        </w:trPr>
        <w:tc>
          <w:tcPr>
            <w:tcW w:w="5020" w:type="dxa"/>
            <w:vAlign w:val="bottom"/>
          </w:tcPr>
          <w:p>
            <w:pPr>
              <w:ind w:left="140"/>
              <w:spacing w:after="0"/>
              <w:rPr>
                <w:sz w:val="20"/>
                <w:szCs w:val="20"/>
                <w:color w:val="auto"/>
              </w:rPr>
            </w:pPr>
            <w:r>
              <w:rPr>
                <w:rFonts w:ascii="Arial" w:cs="Arial" w:eastAsia="Arial" w:hAnsi="Arial"/>
                <w:sz w:val="17"/>
                <w:szCs w:val="17"/>
                <w:color w:val="auto"/>
              </w:rPr>
              <w:t>computing basic net income per share</w:t>
            </w:r>
          </w:p>
        </w:tc>
        <w:tc>
          <w:tcPr>
            <w:tcW w:w="100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02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w w:val="94"/>
              </w:rPr>
              <w:t>Weighted-average effect of dilutive restricted stock units and awards</w:t>
            </w:r>
          </w:p>
        </w:tc>
        <w:tc>
          <w:tcPr>
            <w:tcW w:w="10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1"/>
        </w:trPr>
        <w:tc>
          <w:tcPr>
            <w:tcW w:w="5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and employee stock options</w:t>
            </w:r>
          </w:p>
        </w:tc>
        <w:tc>
          <w:tcPr>
            <w:tcW w:w="10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140"/>
              <w:spacing w:after="0"/>
              <w:rPr>
                <w:sz w:val="20"/>
                <w:szCs w:val="20"/>
                <w:color w:val="auto"/>
              </w:rPr>
            </w:pPr>
            <w:r>
              <w:rPr>
                <w:rFonts w:ascii="Arial" w:cs="Arial" w:eastAsia="Arial" w:hAnsi="Arial"/>
                <w:sz w:val="17"/>
                <w:szCs w:val="17"/>
                <w:color w:val="auto"/>
              </w:rPr>
              <w:t>Conversion of Class B to Class A common stock</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83.0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020" w:type="dxa"/>
            <w:vAlign w:val="bottom"/>
            <w:shd w:val="clear" w:color="auto" w:fill="CCEEFF"/>
          </w:tcPr>
          <w:p>
            <w:pPr>
              <w:ind w:left="140"/>
              <w:spacing w:after="0" w:line="136" w:lineRule="exact"/>
              <w:rPr>
                <w:sz w:val="20"/>
                <w:szCs w:val="20"/>
                <w:color w:val="auto"/>
              </w:rPr>
            </w:pPr>
            <w:r>
              <w:rPr>
                <w:rFonts w:ascii="Arial" w:cs="Arial" w:eastAsia="Arial" w:hAnsi="Arial"/>
                <w:sz w:val="15"/>
                <w:szCs w:val="15"/>
                <w:color w:val="auto"/>
              </w:rPr>
              <w:t>Weighted-average number of common shares outstanding used in</w:t>
            </w:r>
          </w:p>
        </w:tc>
        <w:tc>
          <w:tcPr>
            <w:tcW w:w="10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9"/>
              </w:rPr>
              <w:t>395.9</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419.7</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computing diluted net income per share</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per common share, diluted</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20" w:type="dxa"/>
            <w:vAlign w:val="bottom"/>
            <w:vMerge w:val="continue"/>
          </w:tcPr>
          <w:p>
            <w:pPr>
              <w:spacing w:after="0"/>
              <w:rPr>
                <w:sz w:val="16"/>
                <w:szCs w:val="16"/>
                <w:color w:val="auto"/>
              </w:rPr>
            </w:pPr>
          </w:p>
        </w:tc>
        <w:tc>
          <w:tcPr>
            <w:tcW w:w="1000" w:type="dxa"/>
            <w:vAlign w:val="bottom"/>
            <w:tcBorders>
              <w:bottom w:val="single" w:sz="8" w:color="auto"/>
            </w:tcBorders>
          </w:tcPr>
          <w:p>
            <w:pPr>
              <w:jc w:val="right"/>
              <w:ind w:right="813"/>
              <w:spacing w:after="0" w:line="194" w:lineRule="exact"/>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0.19</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853"/>
              <w:spacing w:after="0" w:line="194" w:lineRule="exact"/>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0.19</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0.08</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73"/>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020" w:type="dxa"/>
            <w:vAlign w:val="bottom"/>
          </w:tcPr>
          <w:p>
            <w:pPr>
              <w:spacing w:after="0"/>
              <w:rPr>
                <w:sz w:val="24"/>
                <w:szCs w:val="24"/>
                <w:color w:val="auto"/>
              </w:rPr>
            </w:pPr>
          </w:p>
        </w:tc>
        <w:tc>
          <w:tcPr>
            <w:tcW w:w="1000" w:type="dxa"/>
            <w:vAlign w:val="bottom"/>
          </w:tcPr>
          <w:p>
            <w:pPr>
              <w:jc w:val="right"/>
              <w:ind w:right="213"/>
              <w:spacing w:after="0"/>
              <w:rPr>
                <w:sz w:val="20"/>
                <w:szCs w:val="20"/>
                <w:color w:val="auto"/>
              </w:rPr>
            </w:pPr>
            <w:r>
              <w:rPr>
                <w:rFonts w:ascii="Arial" w:cs="Arial" w:eastAsia="Arial" w:hAnsi="Arial"/>
                <w:sz w:val="17"/>
                <w:szCs w:val="17"/>
                <w:color w:val="auto"/>
              </w:rPr>
              <w:t>38</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640" w:type="dxa"/>
            <w:vAlign w:val="bottom"/>
            <w:gridSpan w:val="4"/>
          </w:tcPr>
          <w:p>
            <w:pPr>
              <w:jc w:val="right"/>
              <w:ind w:right="233"/>
              <w:spacing w:after="0"/>
              <w:rPr>
                <w:sz w:val="20"/>
                <w:szCs w:val="20"/>
                <w:color w:val="auto"/>
              </w:rPr>
            </w:pPr>
            <w:r>
              <w:rPr>
                <w:rFonts w:ascii="Arial" w:cs="Arial" w:eastAsia="Arial" w:hAnsi="Arial"/>
                <w:sz w:val="17"/>
                <w:szCs w:val="17"/>
                <w:b w:val="1"/>
                <w:bCs w:val="1"/>
                <w:color w:val="auto"/>
              </w:rPr>
              <w:t>Nine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4"/>
          </w:tcPr>
          <w:p>
            <w:pPr>
              <w:jc w:val="right"/>
              <w:ind w:right="693"/>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1"/>
        </w:trPr>
        <w:tc>
          <w:tcPr>
            <w:tcW w:w="50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7"/>
                <w:szCs w:val="17"/>
                <w:b w:val="1"/>
                <w:bCs w:val="1"/>
                <w:color w:val="auto"/>
                <w:w w:val="92"/>
              </w:rPr>
              <w:t>September 30,</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853"/>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7"/>
                <w:szCs w:val="17"/>
                <w:b w:val="1"/>
                <w:bCs w:val="1"/>
                <w:color w:val="auto"/>
              </w:rPr>
              <w:t>2020</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Class A</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Class B</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7"/>
                <w:szCs w:val="17"/>
                <w:color w:val="auto"/>
              </w:rPr>
              <w:t>Class A</w:t>
            </w:r>
          </w:p>
        </w:tc>
        <w:tc>
          <w:tcPr>
            <w:tcW w:w="280" w:type="dxa"/>
            <w:vAlign w:val="bottom"/>
          </w:tcPr>
          <w:p>
            <w:pPr>
              <w:spacing w:after="0"/>
              <w:rPr>
                <w:sz w:val="18"/>
                <w:szCs w:val="18"/>
                <w:color w:val="auto"/>
              </w:rPr>
            </w:pPr>
          </w:p>
        </w:tc>
        <w:tc>
          <w:tcPr>
            <w:tcW w:w="1180" w:type="dxa"/>
            <w:vAlign w:val="bottom"/>
          </w:tcPr>
          <w:p>
            <w:pPr>
              <w:jc w:val="right"/>
              <w:ind w:right="373"/>
              <w:spacing w:after="0"/>
              <w:rPr>
                <w:sz w:val="20"/>
                <w:szCs w:val="20"/>
                <w:color w:val="auto"/>
              </w:rPr>
            </w:pPr>
            <w:r>
              <w:rPr>
                <w:rFonts w:ascii="Arial" w:cs="Arial" w:eastAsia="Arial" w:hAnsi="Arial"/>
                <w:sz w:val="17"/>
                <w:szCs w:val="17"/>
                <w:color w:val="auto"/>
              </w:rPr>
              <w:t>Class B</w:t>
            </w:r>
          </w:p>
        </w:tc>
        <w:tc>
          <w:tcPr>
            <w:tcW w:w="0" w:type="dxa"/>
            <w:vAlign w:val="bottom"/>
          </w:tcPr>
          <w:p>
            <w:pPr>
              <w:spacing w:after="0"/>
              <w:rPr>
                <w:sz w:val="1"/>
                <w:szCs w:val="1"/>
                <w:color w:val="auto"/>
              </w:rPr>
            </w:pPr>
          </w:p>
        </w:tc>
      </w:tr>
      <w:tr>
        <w:trPr>
          <w:trHeight w:val="32"/>
        </w:trPr>
        <w:tc>
          <w:tcPr>
            <w:tcW w:w="504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net income per share:</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tcPr>
          <w:p>
            <w:pPr>
              <w:ind w:left="20"/>
              <w:spacing w:after="0"/>
              <w:rPr>
                <w:sz w:val="20"/>
                <w:szCs w:val="20"/>
                <w:color w:val="auto"/>
              </w:rPr>
            </w:pPr>
            <w:r>
              <w:rPr>
                <w:rFonts w:ascii="Arial" w:cs="Arial" w:eastAsia="Arial" w:hAnsi="Arial"/>
                <w:sz w:val="17"/>
                <w:szCs w:val="17"/>
                <w:color w:val="auto"/>
              </w:rPr>
              <w:t>Numerator</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166.2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4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4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w w:val="97"/>
              </w:rPr>
              <w:t>Weighted-average number of common shares outstanding used in</w:t>
            </w:r>
          </w:p>
        </w:tc>
        <w:tc>
          <w:tcPr>
            <w:tcW w:w="10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307.5</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6"/>
              </w:rPr>
              <w:t>83.2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286.1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129.1</w:t>
            </w:r>
          </w:p>
        </w:tc>
        <w:tc>
          <w:tcPr>
            <w:tcW w:w="0" w:type="dxa"/>
            <w:vAlign w:val="bottom"/>
          </w:tcPr>
          <w:p>
            <w:pPr>
              <w:spacing w:after="0"/>
              <w:rPr>
                <w:sz w:val="1"/>
                <w:szCs w:val="1"/>
                <w:color w:val="auto"/>
              </w:rPr>
            </w:pPr>
          </w:p>
        </w:tc>
      </w:tr>
      <w:tr>
        <w:trPr>
          <w:trHeight w:val="215"/>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computing basic net income per share</w:t>
            </w:r>
          </w:p>
        </w:tc>
        <w:tc>
          <w:tcPr>
            <w:tcW w:w="10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per common share, basic</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40" w:type="dxa"/>
            <w:vAlign w:val="bottom"/>
            <w:vMerge w:val="continue"/>
          </w:tcPr>
          <w:p>
            <w:pPr>
              <w:spacing w:after="0"/>
              <w:rPr>
                <w:sz w:val="16"/>
                <w:szCs w:val="16"/>
                <w:color w:val="auto"/>
              </w:rPr>
            </w:pPr>
          </w:p>
        </w:tc>
        <w:tc>
          <w:tcPr>
            <w:tcW w:w="1020" w:type="dxa"/>
            <w:vAlign w:val="bottom"/>
          </w:tcPr>
          <w:p>
            <w:pPr>
              <w:jc w:val="right"/>
              <w:ind w:right="833"/>
              <w:spacing w:after="0" w:line="194" w:lineRule="exact"/>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0.54</w:t>
            </w:r>
          </w:p>
        </w:tc>
        <w:tc>
          <w:tcPr>
            <w:tcW w:w="100" w:type="dxa"/>
            <w:vAlign w:val="bottom"/>
          </w:tcPr>
          <w:p>
            <w:pPr>
              <w:spacing w:after="0"/>
              <w:rPr>
                <w:sz w:val="16"/>
                <w:szCs w:val="16"/>
                <w:color w:val="auto"/>
              </w:rPr>
            </w:pPr>
          </w:p>
        </w:tc>
        <w:tc>
          <w:tcPr>
            <w:tcW w:w="1060" w:type="dxa"/>
            <w:vAlign w:val="bottom"/>
          </w:tcPr>
          <w:p>
            <w:pPr>
              <w:jc w:val="right"/>
              <w:ind w:right="873"/>
              <w:spacing w:after="0" w:line="194" w:lineRule="exact"/>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line="194" w:lineRule="exact"/>
              <w:rPr>
                <w:sz w:val="20"/>
                <w:szCs w:val="20"/>
                <w:color w:val="auto"/>
              </w:rPr>
            </w:pPr>
            <w:r>
              <w:rPr>
                <w:rFonts w:ascii="Arial" w:cs="Arial" w:eastAsia="Arial" w:hAnsi="Arial"/>
                <w:sz w:val="17"/>
                <w:szCs w:val="17"/>
                <w:color w:val="auto"/>
                <w:w w:val="96"/>
              </w:rPr>
              <w:t>0.54</w:t>
            </w:r>
          </w:p>
        </w:tc>
        <w:tc>
          <w:tcPr>
            <w:tcW w:w="10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94" w:lineRule="exact"/>
              <w:rPr>
                <w:sz w:val="20"/>
                <w:szCs w:val="20"/>
                <w:color w:val="auto"/>
              </w:rPr>
            </w:pPr>
            <w:r>
              <w:rPr>
                <w:rFonts w:ascii="Arial" w:cs="Arial" w:eastAsia="Arial" w:hAnsi="Arial"/>
                <w:sz w:val="17"/>
                <w:szCs w:val="17"/>
                <w:color w:val="auto"/>
              </w:rPr>
              <w:t>0.22</w:t>
            </w:r>
          </w:p>
        </w:tc>
        <w:tc>
          <w:tcPr>
            <w:tcW w:w="12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94" w:lineRule="exact"/>
              <w:rPr>
                <w:sz w:val="20"/>
                <w:szCs w:val="20"/>
                <w:color w:val="auto"/>
              </w:rPr>
            </w:pPr>
            <w:r>
              <w:rPr>
                <w:rFonts w:ascii="Arial" w:cs="Arial" w:eastAsia="Arial" w:hAnsi="Arial"/>
                <w:sz w:val="17"/>
                <w:szCs w:val="17"/>
                <w:color w:val="auto"/>
              </w:rPr>
              <w:t>0.22</w:t>
            </w: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income per share:</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tcPr>
          <w:p>
            <w:pPr>
              <w:ind w:left="20"/>
              <w:spacing w:after="0"/>
              <w:rPr>
                <w:sz w:val="20"/>
                <w:szCs w:val="20"/>
                <w:color w:val="auto"/>
              </w:rPr>
            </w:pPr>
            <w:r>
              <w:rPr>
                <w:rFonts w:ascii="Arial" w:cs="Arial" w:eastAsia="Arial" w:hAnsi="Arial"/>
                <w:sz w:val="17"/>
                <w:szCs w:val="17"/>
                <w:color w:val="auto"/>
              </w:rPr>
              <w:t>Numerator</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166.2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170"/>
        </w:trPr>
        <w:tc>
          <w:tcPr>
            <w:tcW w:w="5040" w:type="dxa"/>
            <w:vAlign w:val="bottom"/>
          </w:tcPr>
          <w:p>
            <w:pPr>
              <w:ind w:left="140"/>
              <w:spacing w:after="0" w:line="170" w:lineRule="exact"/>
              <w:rPr>
                <w:sz w:val="20"/>
                <w:szCs w:val="20"/>
                <w:color w:val="auto"/>
              </w:rPr>
            </w:pPr>
            <w:r>
              <w:rPr>
                <w:rFonts w:ascii="Arial" w:cs="Arial" w:eastAsia="Arial" w:hAnsi="Arial"/>
                <w:sz w:val="17"/>
                <w:szCs w:val="17"/>
                <w:color w:val="auto"/>
                <w:w w:val="99"/>
              </w:rPr>
              <w:t>Reallocation of net income as a result of conversion of Class B to</w:t>
            </w:r>
          </w:p>
        </w:tc>
        <w:tc>
          <w:tcPr>
            <w:tcW w:w="10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040" w:type="dxa"/>
            <w:vAlign w:val="bottom"/>
          </w:tcPr>
          <w:p>
            <w:pPr>
              <w:ind w:left="140"/>
              <w:spacing w:after="0"/>
              <w:rPr>
                <w:sz w:val="20"/>
                <w:szCs w:val="20"/>
                <w:color w:val="auto"/>
              </w:rPr>
            </w:pPr>
            <w:r>
              <w:rPr>
                <w:rFonts w:ascii="Arial" w:cs="Arial" w:eastAsia="Arial" w:hAnsi="Arial"/>
                <w:sz w:val="17"/>
                <w:szCs w:val="17"/>
                <w:color w:val="auto"/>
              </w:rPr>
              <w:t>Class A common stock</w:t>
            </w:r>
          </w:p>
        </w:tc>
        <w:tc>
          <w:tcPr>
            <w:tcW w:w="102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Reallocation of net income to Class B common stock</w:t>
            </w:r>
          </w:p>
        </w:tc>
        <w:tc>
          <w:tcPr>
            <w:tcW w:w="10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attributable to common stockholders for diluted EPS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040" w:type="dxa"/>
            <w:vAlign w:val="bottom"/>
            <w:vMerge w:val="continue"/>
          </w:tcPr>
          <w:p>
            <w:pPr>
              <w:spacing w:after="0"/>
              <w:rPr>
                <w:sz w:val="16"/>
                <w:szCs w:val="16"/>
                <w:color w:val="auto"/>
              </w:rPr>
            </w:pPr>
          </w:p>
        </w:tc>
        <w:tc>
          <w:tcPr>
            <w:tcW w:w="1020" w:type="dxa"/>
            <w:vAlign w:val="bottom"/>
          </w:tcPr>
          <w:p>
            <w:pPr>
              <w:jc w:val="right"/>
              <w:ind w:right="833"/>
              <w:spacing w:after="0" w:line="194" w:lineRule="exact"/>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w w:val="84"/>
              </w:rPr>
              <w:t>211.2</w:t>
            </w:r>
          </w:p>
        </w:tc>
        <w:tc>
          <w:tcPr>
            <w:tcW w:w="100" w:type="dxa"/>
            <w:vAlign w:val="bottom"/>
          </w:tcPr>
          <w:p>
            <w:pPr>
              <w:spacing w:after="0"/>
              <w:rPr>
                <w:sz w:val="16"/>
                <w:szCs w:val="16"/>
                <w:color w:val="auto"/>
              </w:rPr>
            </w:pPr>
          </w:p>
        </w:tc>
        <w:tc>
          <w:tcPr>
            <w:tcW w:w="1060" w:type="dxa"/>
            <w:vAlign w:val="bottom"/>
          </w:tcPr>
          <w:p>
            <w:pPr>
              <w:jc w:val="right"/>
              <w:ind w:right="873"/>
              <w:spacing w:after="0" w:line="194" w:lineRule="exact"/>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line="194" w:lineRule="exact"/>
              <w:rPr>
                <w:sz w:val="20"/>
                <w:szCs w:val="20"/>
                <w:color w:val="auto"/>
              </w:rPr>
            </w:pPr>
            <w:r>
              <w:rPr>
                <w:rFonts w:ascii="Arial" w:cs="Arial" w:eastAsia="Arial" w:hAnsi="Arial"/>
                <w:sz w:val="17"/>
                <w:szCs w:val="17"/>
                <w:color w:val="auto"/>
                <w:w w:val="96"/>
              </w:rPr>
              <w:t>44.1</w:t>
            </w:r>
          </w:p>
        </w:tc>
        <w:tc>
          <w:tcPr>
            <w:tcW w:w="10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94" w:lineRule="exact"/>
              <w:rPr>
                <w:sz w:val="20"/>
                <w:szCs w:val="20"/>
                <w:color w:val="auto"/>
              </w:rPr>
            </w:pPr>
            <w:r>
              <w:rPr>
                <w:rFonts w:ascii="Arial" w:cs="Arial" w:eastAsia="Arial" w:hAnsi="Arial"/>
                <w:sz w:val="17"/>
                <w:szCs w:val="17"/>
                <w:color w:val="auto"/>
              </w:rPr>
              <w:t>89.5</w:t>
            </w:r>
          </w:p>
        </w:tc>
        <w:tc>
          <w:tcPr>
            <w:tcW w:w="12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94" w:lineRule="exact"/>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140"/>
              <w:spacing w:after="0" w:line="170" w:lineRule="exact"/>
              <w:rPr>
                <w:sz w:val="20"/>
                <w:szCs w:val="20"/>
                <w:color w:val="auto"/>
              </w:rPr>
            </w:pPr>
            <w:r>
              <w:rPr>
                <w:rFonts w:ascii="Arial" w:cs="Arial" w:eastAsia="Arial" w:hAnsi="Arial"/>
                <w:sz w:val="17"/>
                <w:szCs w:val="17"/>
                <w:color w:val="auto"/>
                <w:w w:val="97"/>
              </w:rPr>
              <w:t>Weighted-average number of common shares outstanding used in</w:t>
            </w:r>
          </w:p>
        </w:tc>
        <w:tc>
          <w:tcPr>
            <w:tcW w:w="10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w w:val="84"/>
              </w:rPr>
              <w:t>307.5</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w w:val="96"/>
              </w:rPr>
              <w:t>83.2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286.1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129.1</w:t>
            </w:r>
          </w:p>
        </w:tc>
        <w:tc>
          <w:tcPr>
            <w:tcW w:w="0" w:type="dxa"/>
            <w:vAlign w:val="bottom"/>
          </w:tcPr>
          <w:p>
            <w:pPr>
              <w:spacing w:after="0"/>
              <w:rPr>
                <w:sz w:val="1"/>
                <w:szCs w:val="1"/>
                <w:color w:val="auto"/>
              </w:rPr>
            </w:pPr>
          </w:p>
        </w:tc>
      </w:tr>
      <w:tr>
        <w:trPr>
          <w:trHeight w:val="221"/>
        </w:trPr>
        <w:tc>
          <w:tcPr>
            <w:tcW w:w="5040" w:type="dxa"/>
            <w:vAlign w:val="bottom"/>
          </w:tcPr>
          <w:p>
            <w:pPr>
              <w:ind w:left="140"/>
              <w:spacing w:after="0"/>
              <w:rPr>
                <w:sz w:val="20"/>
                <w:szCs w:val="20"/>
                <w:color w:val="auto"/>
              </w:rPr>
            </w:pPr>
            <w:r>
              <w:rPr>
                <w:rFonts w:ascii="Arial" w:cs="Arial" w:eastAsia="Arial" w:hAnsi="Arial"/>
                <w:sz w:val="17"/>
                <w:szCs w:val="17"/>
                <w:color w:val="auto"/>
              </w:rPr>
              <w:t>computing basic net income per share</w:t>
            </w:r>
          </w:p>
        </w:tc>
        <w:tc>
          <w:tcPr>
            <w:tcW w:w="102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04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w w:val="94"/>
              </w:rPr>
              <w:t>Weighted-average effect of dilutive restricted stock units and awards</w:t>
            </w:r>
          </w:p>
        </w:tc>
        <w:tc>
          <w:tcPr>
            <w:tcW w:w="10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and employee stock options</w:t>
            </w:r>
          </w:p>
        </w:tc>
        <w:tc>
          <w:tcPr>
            <w:tcW w:w="102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tcPr>
          <w:p>
            <w:pPr>
              <w:ind w:left="140"/>
              <w:spacing w:after="0"/>
              <w:rPr>
                <w:sz w:val="20"/>
                <w:szCs w:val="20"/>
                <w:color w:val="auto"/>
              </w:rPr>
            </w:pPr>
            <w:r>
              <w:rPr>
                <w:rFonts w:ascii="Arial" w:cs="Arial" w:eastAsia="Arial" w:hAnsi="Arial"/>
                <w:sz w:val="17"/>
                <w:szCs w:val="17"/>
                <w:color w:val="auto"/>
              </w:rPr>
              <w:t>Conversion of Class B to Class A common stock</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83.2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040" w:type="dxa"/>
            <w:vAlign w:val="bottom"/>
            <w:shd w:val="clear" w:color="auto" w:fill="CCEEFF"/>
          </w:tcPr>
          <w:p>
            <w:pPr>
              <w:ind w:left="140"/>
              <w:spacing w:after="0" w:line="136" w:lineRule="exact"/>
              <w:rPr>
                <w:sz w:val="20"/>
                <w:szCs w:val="20"/>
                <w:color w:val="auto"/>
              </w:rPr>
            </w:pPr>
            <w:r>
              <w:rPr>
                <w:rFonts w:ascii="Arial" w:cs="Arial" w:eastAsia="Arial" w:hAnsi="Arial"/>
                <w:sz w:val="15"/>
                <w:szCs w:val="15"/>
                <w:color w:val="auto"/>
              </w:rPr>
              <w:t>Weighted-average number of common shares outstanding used in</w:t>
            </w:r>
          </w:p>
        </w:tc>
        <w:tc>
          <w:tcPr>
            <w:tcW w:w="10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399.4</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6"/>
              </w:rPr>
              <w:t>83.3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419.6</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129.4</w:t>
            </w:r>
          </w:p>
        </w:tc>
        <w:tc>
          <w:tcPr>
            <w:tcW w:w="0" w:type="dxa"/>
            <w:vAlign w:val="bottom"/>
          </w:tcPr>
          <w:p>
            <w:pPr>
              <w:spacing w:after="0"/>
              <w:rPr>
                <w:sz w:val="1"/>
                <w:szCs w:val="1"/>
                <w:color w:val="auto"/>
              </w:rPr>
            </w:pPr>
          </w:p>
        </w:tc>
      </w:tr>
      <w:tr>
        <w:trPr>
          <w:trHeight w:val="215"/>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computing diluted net income per share</w:t>
            </w:r>
          </w:p>
        </w:tc>
        <w:tc>
          <w:tcPr>
            <w:tcW w:w="10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per common share, diluted</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40" w:type="dxa"/>
            <w:vAlign w:val="bottom"/>
            <w:vMerge w:val="continue"/>
          </w:tcPr>
          <w:p>
            <w:pPr>
              <w:spacing w:after="0"/>
              <w:rPr>
                <w:sz w:val="16"/>
                <w:szCs w:val="16"/>
                <w:color w:val="auto"/>
              </w:rPr>
            </w:pPr>
          </w:p>
        </w:tc>
        <w:tc>
          <w:tcPr>
            <w:tcW w:w="1020" w:type="dxa"/>
            <w:vAlign w:val="bottom"/>
            <w:tcBorders>
              <w:bottom w:val="single" w:sz="8" w:color="auto"/>
            </w:tcBorders>
          </w:tcPr>
          <w:p>
            <w:pPr>
              <w:jc w:val="right"/>
              <w:ind w:right="833"/>
              <w:spacing w:after="0" w:line="194" w:lineRule="exact"/>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0.53</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73"/>
              <w:spacing w:after="0" w:line="194" w:lineRule="exact"/>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96"/>
              </w:rPr>
              <w:t>0.53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0.21</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420" w:firstLine="430"/>
        <w:spacing w:after="0" w:line="286" w:lineRule="auto"/>
        <w:rPr>
          <w:sz w:val="20"/>
          <w:szCs w:val="20"/>
          <w:color w:val="auto"/>
        </w:rPr>
      </w:pPr>
      <w:r>
        <w:rPr>
          <w:rFonts w:ascii="Arial" w:cs="Arial" w:eastAsia="Arial" w:hAnsi="Arial"/>
          <w:sz w:val="17"/>
          <w:szCs w:val="17"/>
          <w:color w:val="auto"/>
        </w:rPr>
        <w:t>The weighted-average impact of potentially dilutive securities that were not included in the diluted per share calculations because they would be anti-dilutive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2960" w:type="dxa"/>
            <w:vAlign w:val="bottom"/>
            <w:gridSpan w:val="4"/>
          </w:tcPr>
          <w:p>
            <w:pPr>
              <w:jc w:val="center"/>
              <w:ind w:left="413"/>
              <w:spacing w:after="0"/>
              <w:rPr>
                <w:sz w:val="20"/>
                <w:szCs w:val="20"/>
                <w:color w:val="auto"/>
              </w:rPr>
            </w:pPr>
            <w:r>
              <w:rPr>
                <w:rFonts w:ascii="Arial" w:cs="Arial" w:eastAsia="Arial" w:hAnsi="Arial"/>
                <w:sz w:val="17"/>
                <w:szCs w:val="17"/>
                <w:b w:val="1"/>
                <w:bCs w:val="1"/>
                <w:color w:val="auto"/>
                <w:w w:val="93"/>
              </w:rPr>
              <w:t>Three Months Ended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4"/>
          </w:tcPr>
          <w:p>
            <w:pPr>
              <w:jc w:val="center"/>
              <w:ind w:left="433"/>
              <w:spacing w:after="0"/>
              <w:rPr>
                <w:sz w:val="20"/>
                <w:szCs w:val="20"/>
                <w:color w:val="auto"/>
              </w:rPr>
            </w:pPr>
            <w:r>
              <w:rPr>
                <w:rFonts w:ascii="Arial" w:cs="Arial" w:eastAsia="Arial" w:hAnsi="Arial"/>
                <w:sz w:val="17"/>
                <w:szCs w:val="17"/>
                <w:b w:val="1"/>
                <w:bCs w:val="1"/>
                <w:color w:val="auto"/>
                <w:w w:val="93"/>
              </w:rPr>
              <w:t>Nine Months Ended</w:t>
            </w:r>
          </w:p>
        </w:tc>
        <w:tc>
          <w:tcPr>
            <w:tcW w:w="520" w:type="dxa"/>
            <w:vAlign w:val="bottom"/>
          </w:tcPr>
          <w:p>
            <w:pPr>
              <w:spacing w:after="0"/>
              <w:rPr>
                <w:sz w:val="16"/>
                <w:szCs w:val="16"/>
                <w:color w:val="auto"/>
              </w:rPr>
            </w:pPr>
          </w:p>
        </w:tc>
      </w:tr>
      <w:tr>
        <w:trPr>
          <w:trHeight w:val="221"/>
        </w:trPr>
        <w:tc>
          <w:tcPr>
            <w:tcW w:w="42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7"/>
                <w:szCs w:val="17"/>
                <w:b w:val="1"/>
                <w:bCs w:val="1"/>
                <w:color w:val="auto"/>
                <w:w w:val="91"/>
              </w:rPr>
              <w:t>September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7"/>
                <w:szCs w:val="17"/>
                <w:b w:val="1"/>
                <w:bCs w:val="1"/>
                <w:color w:val="auto"/>
                <w:w w:val="91"/>
              </w:rPr>
              <w:t>September 30,</w:t>
            </w:r>
          </w:p>
        </w:tc>
        <w:tc>
          <w:tcPr>
            <w:tcW w:w="520" w:type="dxa"/>
            <w:vAlign w:val="bottom"/>
            <w:tcBorders>
              <w:bottom w:val="single" w:sz="8" w:color="auto"/>
            </w:tcBorders>
          </w:tcPr>
          <w:p>
            <w:pPr>
              <w:spacing w:after="0"/>
              <w:rPr>
                <w:sz w:val="19"/>
                <w:szCs w:val="19"/>
                <w:color w:val="auto"/>
              </w:rPr>
            </w:pPr>
          </w:p>
        </w:tc>
      </w:tr>
      <w:tr>
        <w:trPr>
          <w:trHeight w:val="214"/>
        </w:trPr>
        <w:tc>
          <w:tcPr>
            <w:tcW w:w="4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18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2020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b w:val="1"/>
                <w:bCs w:val="1"/>
                <w:color w:val="auto"/>
              </w:rPr>
              <w:t>2021</w:t>
            </w:r>
          </w:p>
        </w:tc>
        <w:tc>
          <w:tcPr>
            <w:tcW w:w="184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2020</w:t>
            </w:r>
          </w:p>
        </w:tc>
        <w:tc>
          <w:tcPr>
            <w:tcW w:w="520" w:type="dxa"/>
            <w:vAlign w:val="bottom"/>
          </w:tcPr>
          <w:p>
            <w:pPr>
              <w:spacing w:after="0"/>
              <w:rPr>
                <w:sz w:val="18"/>
                <w:szCs w:val="18"/>
                <w:color w:val="auto"/>
              </w:rPr>
            </w:pPr>
          </w:p>
        </w:tc>
      </w:tr>
      <w:tr>
        <w:trPr>
          <w:trHeight w:val="32"/>
        </w:trPr>
        <w:tc>
          <w:tcPr>
            <w:tcW w:w="42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r>
      <w:tr>
        <w:trPr>
          <w:trHeight w:val="221"/>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units and awards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21"/>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Options to purchase shares of common stock</w:t>
            </w:r>
          </w:p>
        </w:tc>
        <w:tc>
          <w:tcPr>
            <w:tcW w:w="1860" w:type="dxa"/>
            <w:vAlign w:val="bottom"/>
            <w:gridSpan w:val="3"/>
          </w:tcPr>
          <w:p>
            <w:pPr>
              <w:jc w:val="right"/>
              <w:ind w:right="13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221"/>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Co-Founder Grants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r>
      <w:tr>
        <w:trPr>
          <w:trHeight w:val="221"/>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Convertible Senior Notes</w:t>
            </w:r>
          </w:p>
        </w:tc>
        <w:tc>
          <w:tcPr>
            <w:tcW w:w="580" w:type="dxa"/>
            <w:vAlign w:val="bottom"/>
          </w:tcPr>
          <w:p>
            <w:pPr>
              <w:jc w:val="right"/>
              <w:spacing w:after="0"/>
              <w:rPr>
                <w:sz w:val="20"/>
                <w:szCs w:val="20"/>
                <w:color w:val="auto"/>
              </w:rPr>
            </w:pPr>
            <w:r>
              <w:rPr>
                <w:rFonts w:ascii="Arial" w:cs="Arial" w:eastAsia="Arial" w:hAnsi="Arial"/>
                <w:sz w:val="17"/>
                <w:szCs w:val="17"/>
                <w:color w:val="auto"/>
              </w:rPr>
              <w:t>37.8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20" w:type="dxa"/>
            <w:vAlign w:val="bottom"/>
            <w:gridSpan w:val="3"/>
          </w:tcPr>
          <w:p>
            <w:pPr>
              <w:jc w:val="right"/>
              <w:ind w:right="1193"/>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Warrants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119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4200" w:type="dxa"/>
            <w:vAlign w:val="bottom"/>
          </w:tcPr>
          <w:p>
            <w:pPr>
              <w:ind w:left="20"/>
              <w:spacing w:after="0"/>
              <w:rPr>
                <w:sz w:val="20"/>
                <w:szCs w:val="20"/>
                <w:color w:val="auto"/>
              </w:rPr>
            </w:pPr>
            <w:r>
              <w:rPr>
                <w:rFonts w:ascii="Arial" w:cs="Arial" w:eastAsia="Arial" w:hAnsi="Arial"/>
                <w:sz w:val="17"/>
                <w:szCs w:val="17"/>
                <w:color w:val="auto"/>
              </w:rPr>
              <w:t>Total</w:t>
            </w:r>
          </w:p>
        </w:tc>
        <w:tc>
          <w:tcPr>
            <w:tcW w:w="1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84.4</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21.0</w:t>
            </w: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22.6</w:t>
            </w:r>
          </w:p>
        </w:tc>
      </w:tr>
      <w:tr>
        <w:trPr>
          <w:trHeight w:val="20"/>
        </w:trPr>
        <w:tc>
          <w:tcPr>
            <w:tcW w:w="4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Income Taxes</w:t>
      </w:r>
    </w:p>
    <w:p>
      <w:pPr>
        <w:spacing w:after="0" w:line="253" w:lineRule="exact"/>
        <w:rPr>
          <w:sz w:val="20"/>
          <w:szCs w:val="20"/>
          <w:color w:val="auto"/>
        </w:rPr>
      </w:pPr>
    </w:p>
    <w:p>
      <w:pPr>
        <w:ind w:right="140" w:firstLine="430"/>
        <w:spacing w:after="0" w:line="323" w:lineRule="auto"/>
        <w:rPr>
          <w:sz w:val="20"/>
          <w:szCs w:val="20"/>
          <w:color w:val="auto"/>
        </w:rPr>
      </w:pPr>
      <w:r>
        <w:rPr>
          <w:rFonts w:ascii="Arial" w:cs="Arial" w:eastAsia="Arial" w:hAnsi="Arial"/>
          <w:sz w:val="15"/>
          <w:szCs w:val="15"/>
          <w:color w:val="auto"/>
        </w:rPr>
        <w:t>The Company computed the year-to-date income tax provision by applying the estimated annual effective tax rate to the year-to-date pre-tax income and adjusted for discrete tax items in the period. The Company's income tax was an expense of $0.5 million and $2.3 million for the three and nine months ended September 30, 2021, respectively, and an expense of $0.9 million and $5.8 million for the three and nine months ended September 30, 2020, respectively.</w:t>
      </w:r>
    </w:p>
    <w:p>
      <w:pPr>
        <w:spacing w:after="0" w:line="150" w:lineRule="exact"/>
        <w:rPr>
          <w:sz w:val="20"/>
          <w:szCs w:val="20"/>
          <w:color w:val="auto"/>
        </w:rPr>
      </w:pPr>
    </w:p>
    <w:p>
      <w:pPr>
        <w:ind w:right="300" w:firstLine="430"/>
        <w:spacing w:after="0" w:line="320" w:lineRule="auto"/>
        <w:rPr>
          <w:sz w:val="20"/>
          <w:szCs w:val="20"/>
          <w:color w:val="auto"/>
        </w:rPr>
      </w:pPr>
      <w:r>
        <w:rPr>
          <w:rFonts w:ascii="Arial" w:cs="Arial" w:eastAsia="Arial" w:hAnsi="Arial"/>
          <w:sz w:val="15"/>
          <w:szCs w:val="15"/>
          <w:color w:val="auto"/>
        </w:rPr>
        <w:t>The income tax expense for the three and nine months ended September 30, 2021 was primarily attributable to federal, state and foreign income taxes, offset by the release of foreign tax reserves, as discussed below, and income tax benefits related to the acquisition of DocSend in the first quarter of 2021.</w:t>
      </w:r>
    </w:p>
    <w:p>
      <w:pPr>
        <w:spacing w:after="0" w:line="152" w:lineRule="exact"/>
        <w:rPr>
          <w:sz w:val="20"/>
          <w:szCs w:val="20"/>
          <w:color w:val="auto"/>
        </w:rPr>
      </w:pPr>
    </w:p>
    <w:p>
      <w:pPr>
        <w:ind w:right="300" w:firstLine="430"/>
        <w:spacing w:after="0" w:line="271" w:lineRule="auto"/>
        <w:rPr>
          <w:sz w:val="20"/>
          <w:szCs w:val="20"/>
          <w:color w:val="auto"/>
        </w:rPr>
      </w:pPr>
      <w:r>
        <w:rPr>
          <w:rFonts w:ascii="Arial" w:cs="Arial" w:eastAsia="Arial" w:hAnsi="Arial"/>
          <w:sz w:val="17"/>
          <w:szCs w:val="17"/>
          <w:color w:val="auto"/>
        </w:rPr>
        <w:t>For the periods presented, the difference between the U.S. statutory rate and the Company's effective tax rate is primarily due to the full valuation allowance on its U.S. and Irish deferred tax assets. The effective tax rate is also impacted by earnings realized in foreign jurisdictions with statutory tax rates lower than the federal statutory tax rate.</w:t>
      </w:r>
    </w:p>
    <w:p>
      <w:pPr>
        <w:spacing w:after="0" w:line="197" w:lineRule="exact"/>
        <w:rPr>
          <w:sz w:val="20"/>
          <w:szCs w:val="20"/>
          <w:color w:val="auto"/>
        </w:rPr>
      </w:pPr>
    </w:p>
    <w:p>
      <w:pPr>
        <w:ind w:right="100" w:firstLine="430"/>
        <w:spacing w:after="0" w:line="266" w:lineRule="auto"/>
        <w:rPr>
          <w:sz w:val="20"/>
          <w:szCs w:val="20"/>
          <w:color w:val="auto"/>
        </w:rPr>
      </w:pPr>
      <w:r>
        <w:rPr>
          <w:rFonts w:ascii="Arial" w:cs="Arial" w:eastAsia="Arial" w:hAnsi="Arial"/>
          <w:sz w:val="17"/>
          <w:szCs w:val="17"/>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September 30, 2021, the Company continues to maintain valuation allowances on all of its deferred tax assets in the U.S. and Ireland and on a portion of its deferred tax assets in one of its foreign jurisdictions.</w:t>
      </w:r>
    </w:p>
    <w:p>
      <w:pPr>
        <w:spacing w:after="0" w:line="201" w:lineRule="exact"/>
        <w:rPr>
          <w:sz w:val="20"/>
          <w:szCs w:val="20"/>
          <w:color w:val="auto"/>
        </w:rPr>
      </w:pPr>
    </w:p>
    <w:p>
      <w:pPr>
        <w:ind w:right="100" w:firstLine="430"/>
        <w:spacing w:after="0" w:line="263" w:lineRule="auto"/>
        <w:rPr>
          <w:sz w:val="20"/>
          <w:szCs w:val="20"/>
          <w:color w:val="auto"/>
        </w:rPr>
      </w:pPr>
      <w:r>
        <w:rPr>
          <w:rFonts w:ascii="Arial" w:cs="Arial" w:eastAsia="Arial" w:hAnsi="Arial"/>
          <w:sz w:val="17"/>
          <w:szCs w:val="17"/>
          <w:color w:val="auto"/>
        </w:rPr>
        <w:t>Given the Company’s recent history of foreign earnings, management believes that there is a reasonable possibility that, within the next twelve months, sufficient positive evidence may become available to allow management to reach a conclusion that a significant portion of the valuation allowance recorded against the deferred tax assets held by its Irish subsidiary will be reversed. The reversal would result in an income tax benefit for the quarterly and annual fiscal period in which the Company releases the valuation allowance. However, the exact timing and amount of the valuation allowance release are subject to change on the basis of the level of profitability that the Company actually achieves.</w:t>
      </w:r>
    </w:p>
    <w:p>
      <w:pPr>
        <w:spacing w:after="0" w:line="205" w:lineRule="exact"/>
        <w:rPr>
          <w:sz w:val="20"/>
          <w:szCs w:val="20"/>
          <w:color w:val="auto"/>
        </w:rPr>
      </w:pPr>
    </w:p>
    <w:p>
      <w:pPr>
        <w:ind w:right="160" w:firstLine="430"/>
        <w:spacing w:after="0" w:line="286" w:lineRule="auto"/>
        <w:rPr>
          <w:sz w:val="20"/>
          <w:szCs w:val="20"/>
          <w:color w:val="auto"/>
        </w:rPr>
      </w:pPr>
      <w:r>
        <w:rPr>
          <w:rFonts w:ascii="Arial" w:cs="Arial" w:eastAsia="Arial" w:hAnsi="Arial"/>
          <w:sz w:val="17"/>
          <w:szCs w:val="17"/>
          <w:color w:val="auto"/>
        </w:rPr>
        <w:t>The Company is subject to income tax audits in the U.S. and foreign jurisdictions. The Company records liabilities related to uncertain tax positions and believes that it has provided adequate reserves for income tax uncertainties in all open tax years.</w:t>
      </w:r>
    </w:p>
    <w:p>
      <w:pPr>
        <w:spacing w:after="0" w:line="185" w:lineRule="exact"/>
        <w:rPr>
          <w:sz w:val="20"/>
          <w:szCs w:val="20"/>
          <w:color w:val="auto"/>
        </w:rPr>
      </w:pPr>
    </w:p>
    <w:p>
      <w:pPr>
        <w:ind w:firstLine="430"/>
        <w:spacing w:after="0" w:line="266" w:lineRule="auto"/>
        <w:rPr>
          <w:sz w:val="20"/>
          <w:szCs w:val="20"/>
          <w:color w:val="auto"/>
        </w:rPr>
      </w:pPr>
      <w:r>
        <w:rPr>
          <w:rFonts w:ascii="Arial" w:cs="Arial" w:eastAsia="Arial" w:hAnsi="Arial"/>
          <w:sz w:val="17"/>
          <w:szCs w:val="17"/>
          <w:color w:val="auto"/>
        </w:rPr>
        <w:t>Unrecognized tax benefits increased by approximately $3.6 million and $12.1 million for the three and nine months ended September 30, 2021, respectively, of which $2.1 million, if recognized, would affect the Company's effective tax rate. Additionally, unrecognized tax benefits decreased by approximately $0.7 million and $1.5 million for the three and nine months ended September 30, 2021, respectively, due to a statute of limitations lapse related to prior period tax positions.</w:t>
      </w:r>
    </w:p>
    <w:p>
      <w:pPr>
        <w:spacing w:after="0" w:line="201" w:lineRule="exact"/>
        <w:rPr>
          <w:sz w:val="20"/>
          <w:szCs w:val="20"/>
          <w:color w:val="auto"/>
        </w:rPr>
      </w:pPr>
    </w:p>
    <w:p>
      <w:pPr>
        <w:jc w:val="both"/>
        <w:ind w:right="120" w:firstLine="430"/>
        <w:spacing w:after="0" w:line="271" w:lineRule="auto"/>
        <w:rPr>
          <w:sz w:val="20"/>
          <w:szCs w:val="20"/>
          <w:color w:val="auto"/>
        </w:rPr>
      </w:pPr>
      <w:r>
        <w:rPr>
          <w:rFonts w:ascii="Arial" w:cs="Arial" w:eastAsia="Arial" w:hAnsi="Arial"/>
          <w:sz w:val="17"/>
          <w:szCs w:val="17"/>
          <w:color w:val="auto"/>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0" w:name="page41"/>
    <w:bookmarkEnd w:id="4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00" w:type="dxa"/>
            <w:vAlign w:val="bottom"/>
          </w:tcPr>
          <w:p>
            <w:pPr>
              <w:spacing w:after="0"/>
              <w:rPr>
                <w:sz w:val="20"/>
                <w:szCs w:val="20"/>
                <w:color w:val="auto"/>
              </w:rPr>
            </w:pPr>
            <w:r>
              <w:rPr>
                <w:rFonts w:ascii="Arial" w:cs="Arial" w:eastAsia="Arial" w:hAnsi="Arial"/>
                <w:sz w:val="17"/>
                <w:szCs w:val="17"/>
                <w:b w:val="1"/>
                <w:bCs w:val="1"/>
                <w:color w:val="auto"/>
              </w:rPr>
              <w:t>Note 15. Geographic Areas</w:t>
            </w: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43"/>
        </w:trPr>
        <w:tc>
          <w:tcPr>
            <w:tcW w:w="7300" w:type="dxa"/>
            <w:vAlign w:val="bottom"/>
          </w:tcPr>
          <w:p>
            <w:pPr>
              <w:ind w:left="440"/>
              <w:spacing w:after="0"/>
              <w:rPr>
                <w:sz w:val="20"/>
                <w:szCs w:val="20"/>
                <w:color w:val="auto"/>
              </w:rPr>
            </w:pPr>
            <w:r>
              <w:rPr>
                <w:rFonts w:ascii="Arial" w:cs="Arial" w:eastAsia="Arial" w:hAnsi="Arial"/>
                <w:sz w:val="17"/>
                <w:szCs w:val="17"/>
                <w:b w:val="1"/>
                <w:bCs w:val="1"/>
                <w:i w:val="1"/>
                <w:iCs w:val="1"/>
                <w:color w:val="auto"/>
              </w:rPr>
              <w:t>Long-lived assets</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3"/>
        </w:trPr>
        <w:tc>
          <w:tcPr>
            <w:tcW w:w="7300" w:type="dxa"/>
            <w:vAlign w:val="bottom"/>
          </w:tcPr>
          <w:p>
            <w:pPr>
              <w:ind w:left="440"/>
              <w:spacing w:after="0"/>
              <w:rPr>
                <w:sz w:val="20"/>
                <w:szCs w:val="20"/>
                <w:color w:val="auto"/>
              </w:rPr>
            </w:pPr>
            <w:r>
              <w:rPr>
                <w:rFonts w:ascii="Arial" w:cs="Arial" w:eastAsia="Arial" w:hAnsi="Arial"/>
                <w:sz w:val="17"/>
                <w:szCs w:val="17"/>
                <w:color w:val="auto"/>
              </w:rPr>
              <w:t>The following table sets forth long-lived assets by geographic area:</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82"/>
        </w:trPr>
        <w:tc>
          <w:tcPr>
            <w:tcW w:w="7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w:t>
            </w:r>
          </w:p>
        </w:tc>
        <w:tc>
          <w:tcPr>
            <w:tcW w:w="1720" w:type="dxa"/>
            <w:vAlign w:val="bottom"/>
            <w:tcBorders>
              <w:bottom w:val="single" w:sz="8" w:color="auto"/>
            </w:tcBorders>
          </w:tcPr>
          <w:p>
            <w:pPr>
              <w:spacing w:after="0"/>
              <w:rPr>
                <w:sz w:val="24"/>
                <w:szCs w:val="24"/>
                <w:color w:val="auto"/>
              </w:rPr>
            </w:pPr>
          </w:p>
        </w:tc>
      </w:tr>
      <w:tr>
        <w:trPr>
          <w:trHeight w:val="214"/>
        </w:trPr>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 2021</w:t>
            </w:r>
          </w:p>
        </w:tc>
        <w:tc>
          <w:tcPr>
            <w:tcW w:w="200" w:type="dxa"/>
            <w:vAlign w:val="bottom"/>
          </w:tcPr>
          <w:p>
            <w:pPr>
              <w:spacing w:after="0"/>
              <w:rPr>
                <w:sz w:val="18"/>
                <w:szCs w:val="18"/>
                <w:color w:val="auto"/>
              </w:rPr>
            </w:pPr>
          </w:p>
        </w:tc>
        <w:tc>
          <w:tcPr>
            <w:tcW w:w="1720" w:type="dxa"/>
            <w:vAlign w:val="bottom"/>
          </w:tcPr>
          <w:p>
            <w:pPr>
              <w:jc w:val="right"/>
              <w:ind w:right="173"/>
              <w:spacing w:after="0"/>
              <w:rPr>
                <w:sz w:val="20"/>
                <w:szCs w:val="20"/>
                <w:color w:val="auto"/>
              </w:rPr>
            </w:pPr>
            <w:r>
              <w:rPr>
                <w:rFonts w:ascii="Arial" w:cs="Arial" w:eastAsia="Arial" w:hAnsi="Arial"/>
                <w:sz w:val="17"/>
                <w:szCs w:val="17"/>
                <w:b w:val="1"/>
                <w:bCs w:val="1"/>
                <w:color w:val="auto"/>
                <w:w w:val="94"/>
              </w:rPr>
              <w:t>December 31, 2020</w:t>
            </w:r>
          </w:p>
        </w:tc>
      </w:tr>
      <w:tr>
        <w:trPr>
          <w:trHeight w:val="32"/>
        </w:trPr>
        <w:tc>
          <w:tcPr>
            <w:tcW w:w="73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r>
      <w:tr>
        <w:trPr>
          <w:trHeight w:val="221"/>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334.2</w:t>
            </w:r>
          </w:p>
        </w:tc>
      </w:tr>
      <w:tr>
        <w:trPr>
          <w:trHeight w:val="221"/>
        </w:trPr>
        <w:tc>
          <w:tcPr>
            <w:tcW w:w="730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r>
      <w:tr>
        <w:trPr>
          <w:trHeight w:val="239"/>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338.7</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right="420" w:firstLine="4"/>
        <w:spacing w:after="0" w:line="243" w:lineRule="auto"/>
        <w:tabs>
          <w:tab w:leader="none" w:pos="16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No single country other than the United States had a property and equipment balance greater than 10% of total property and equipment, net, as of September 30, 2021 and December 31, 2020.</w:t>
      </w:r>
    </w:p>
    <w:p>
      <w:pPr>
        <w:spacing w:after="0" w:line="31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right="20" w:firstLine="430"/>
        <w:spacing w:after="0" w:line="286" w:lineRule="auto"/>
        <w:rPr>
          <w:sz w:val="20"/>
          <w:szCs w:val="20"/>
          <w:color w:val="auto"/>
        </w:rPr>
      </w:pPr>
      <w:r>
        <w:rPr>
          <w:rFonts w:ascii="Arial" w:cs="Arial" w:eastAsia="Arial" w:hAnsi="Arial"/>
          <w:sz w:val="17"/>
          <w:szCs w:val="17"/>
          <w:color w:val="auto"/>
        </w:rPr>
        <w:t xml:space="preserve">Revenue by geography is generally based on the address of the customer </w:t>
      </w:r>
      <w:r>
        <w:rPr>
          <w:rFonts w:ascii="Arial" w:cs="Arial" w:eastAsia="Arial" w:hAnsi="Arial"/>
          <w:sz w:val="15"/>
          <w:szCs w:val="15"/>
          <w:color w:val="auto"/>
        </w:rPr>
        <w:t>as</w:t>
      </w:r>
      <w:r>
        <w:rPr>
          <w:rFonts w:ascii="Arial" w:cs="Arial" w:eastAsia="Arial" w:hAnsi="Arial"/>
          <w:sz w:val="17"/>
          <w:szCs w:val="17"/>
          <w:color w:val="auto"/>
        </w:rPr>
        <w:t xml:space="preserve"> defined in the Company’s subscription agreement. The </w:t>
      </w:r>
      <w:r>
        <w:rPr>
          <w:rFonts w:ascii="Arial" w:cs="Arial" w:eastAsia="Arial" w:hAnsi="Arial"/>
          <w:sz w:val="15"/>
          <w:szCs w:val="15"/>
          <w:color w:val="auto"/>
        </w:rPr>
        <w:t>following</w:t>
      </w:r>
      <w:r>
        <w:rPr>
          <w:rFonts w:ascii="Arial" w:cs="Arial" w:eastAsia="Arial" w:hAnsi="Arial"/>
          <w:sz w:val="17"/>
          <w:szCs w:val="17"/>
          <w:color w:val="auto"/>
        </w:rPr>
        <w:t xml:space="preserve"> table sets forth revenue by geographic area for the three and nine months ended September 30, 2021 and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2900" w:type="dxa"/>
            <w:vAlign w:val="bottom"/>
            <w:gridSpan w:val="4"/>
          </w:tcPr>
          <w:p>
            <w:pPr>
              <w:jc w:val="right"/>
              <w:ind w:right="293"/>
              <w:spacing w:after="0"/>
              <w:rPr>
                <w:sz w:val="20"/>
                <w:szCs w:val="20"/>
                <w:color w:val="auto"/>
              </w:rPr>
            </w:pPr>
            <w:r>
              <w:rPr>
                <w:rFonts w:ascii="Arial" w:cs="Arial" w:eastAsia="Arial" w:hAnsi="Arial"/>
                <w:sz w:val="17"/>
                <w:szCs w:val="17"/>
                <w:b w:val="1"/>
                <w:bCs w:val="1"/>
                <w:color w:val="auto"/>
              </w:rPr>
              <w:t>Three Months Ended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80" w:type="dxa"/>
            <w:vAlign w:val="bottom"/>
            <w:gridSpan w:val="4"/>
          </w:tcPr>
          <w:p>
            <w:pPr>
              <w:jc w:val="right"/>
              <w:ind w:right="913"/>
              <w:spacing w:after="0"/>
              <w:rPr>
                <w:sz w:val="20"/>
                <w:szCs w:val="20"/>
                <w:color w:val="auto"/>
              </w:rPr>
            </w:pPr>
            <w:r>
              <w:rPr>
                <w:rFonts w:ascii="Arial" w:cs="Arial" w:eastAsia="Arial" w:hAnsi="Arial"/>
                <w:sz w:val="17"/>
                <w:szCs w:val="17"/>
                <w:b w:val="1"/>
                <w:bCs w:val="1"/>
                <w:color w:val="auto"/>
              </w:rPr>
              <w:t>Nine Months Ended</w:t>
            </w:r>
          </w:p>
        </w:tc>
      </w:tr>
      <w:tr>
        <w:trPr>
          <w:trHeight w:val="221"/>
        </w:trPr>
        <w:tc>
          <w:tcPr>
            <w:tcW w:w="42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September 30,</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120" w:type="dxa"/>
            <w:vAlign w:val="bottom"/>
            <w:tcBorders>
              <w:bottom w:val="single" w:sz="8" w:color="auto"/>
            </w:tcBorders>
          </w:tcPr>
          <w:p>
            <w:pPr>
              <w:spacing w:after="0"/>
              <w:rPr>
                <w:sz w:val="19"/>
                <w:szCs w:val="19"/>
                <w:color w:val="auto"/>
              </w:rPr>
            </w:pPr>
          </w:p>
        </w:tc>
      </w:tr>
      <w:tr>
        <w:trPr>
          <w:trHeight w:val="214"/>
        </w:trPr>
        <w:tc>
          <w:tcPr>
            <w:tcW w:w="4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2020</w:t>
            </w:r>
          </w:p>
        </w:tc>
      </w:tr>
      <w:tr>
        <w:trPr>
          <w:trHeight w:val="32"/>
        </w:trPr>
        <w:tc>
          <w:tcPr>
            <w:tcW w:w="4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1"/>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287.7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735.7</w:t>
            </w:r>
          </w:p>
        </w:tc>
      </w:tr>
      <w:tr>
        <w:trPr>
          <w:trHeight w:val="221"/>
        </w:trPr>
        <w:tc>
          <w:tcPr>
            <w:tcW w:w="420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262.5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674.1</w:t>
            </w:r>
          </w:p>
        </w:tc>
      </w:tr>
      <w:tr>
        <w:trPr>
          <w:trHeight w:val="239"/>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550.2</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487.4</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1,592.4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1,409.8</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right="820" w:firstLine="4"/>
        <w:spacing w:after="0" w:line="253" w:lineRule="auto"/>
        <w:tabs>
          <w:tab w:leader="none" w:pos="16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No single country outside of the United States accounted for more than 10% of total revenue during the three and nine months ended September 30, 2021 and 2020, respectively</w:t>
      </w:r>
      <w:r>
        <w:rPr>
          <w:rFonts w:ascii="Arial" w:cs="Arial" w:eastAsia="Arial" w:hAnsi="Arial"/>
          <w:sz w:val="15"/>
          <w:szCs w:val="15"/>
          <w:color w:val="auto"/>
        </w:rPr>
        <w: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53" w:lineRule="exact"/>
        <w:rPr>
          <w:sz w:val="20"/>
          <w:szCs w:val="20"/>
          <w:color w:val="auto"/>
        </w:rPr>
      </w:pPr>
    </w:p>
    <w:p>
      <w:pPr>
        <w:ind w:right="20" w:firstLine="430"/>
        <w:spacing w:after="0" w:line="26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1380" w:firstLine="430"/>
        <w:spacing w:after="0" w:line="319" w:lineRule="auto"/>
        <w:rPr>
          <w:sz w:val="20"/>
          <w:szCs w:val="20"/>
          <w:color w:val="auto"/>
        </w:rPr>
      </w:pPr>
      <w:r>
        <w:rPr>
          <w:rFonts w:ascii="Arial" w:cs="Arial" w:eastAsia="Arial" w:hAnsi="Arial"/>
          <w:sz w:val="16"/>
          <w:szCs w:val="16"/>
          <w:color w:val="auto"/>
        </w:rPr>
        <w:t>Our modern economy runs on knowledge. Today, knowledge lives in the cloud as digital content, and Dropbox is where businesses and individuals can create, access, and share this content globally. We serve more than 700 million registered users across 180 countries.</w:t>
      </w:r>
    </w:p>
    <w:p>
      <w:pPr>
        <w:spacing w:after="0" w:line="162" w:lineRule="exact"/>
        <w:rPr>
          <w:sz w:val="20"/>
          <w:szCs w:val="20"/>
          <w:color w:val="auto"/>
        </w:rPr>
      </w:pPr>
    </w:p>
    <w:p>
      <w:pPr>
        <w:ind w:right="180" w:firstLine="430"/>
        <w:spacing w:after="0" w:line="286" w:lineRule="auto"/>
        <w:rPr>
          <w:sz w:val="20"/>
          <w:szCs w:val="20"/>
          <w:color w:val="auto"/>
        </w:rPr>
      </w:pPr>
      <w:r>
        <w:rPr>
          <w:rFonts w:ascii="Arial" w:cs="Arial" w:eastAsia="Arial" w:hAnsi="Arial"/>
          <w:sz w:val="17"/>
          <w:szCs w:val="17"/>
          <w:color w:val="auto"/>
        </w:rPr>
        <w:t>Since our founding in 2007, our market opportunity has grown as we’ve expanded from keeping files in sync to keeping teams in sync. In a world where using technology at work can be fragmented and distracting, Dropbox makes it easy to focus on the work that matters.</w:t>
      </w:r>
    </w:p>
    <w:p>
      <w:pPr>
        <w:spacing w:after="0" w:line="185" w:lineRule="exact"/>
        <w:rPr>
          <w:sz w:val="20"/>
          <w:szCs w:val="20"/>
          <w:color w:val="auto"/>
        </w:rPr>
      </w:pPr>
    </w:p>
    <w:p>
      <w:pPr>
        <w:ind w:right="200" w:firstLine="430"/>
        <w:spacing w:after="0" w:line="286" w:lineRule="auto"/>
        <w:rPr>
          <w:sz w:val="20"/>
          <w:szCs w:val="20"/>
          <w:color w:val="auto"/>
        </w:rPr>
      </w:pPr>
      <w:r>
        <w:rPr>
          <w:rFonts w:ascii="Arial" w:cs="Arial" w:eastAsia="Arial" w:hAnsi="Arial"/>
          <w:sz w:val="17"/>
          <w:szCs w:val="17"/>
          <w:color w:val="auto"/>
        </w:rPr>
        <w:t>By solving these universal problems, we’ve become invaluable to our users. The popularity of our platform drives viral growth, which has allowed us to scale rapidly and efficiently. We’ve built a thriving global business with 16.49 million paying users.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Subscription Plans</w:t>
      </w:r>
    </w:p>
    <w:p>
      <w:pPr>
        <w:spacing w:after="0" w:line="123" w:lineRule="exact"/>
        <w:rPr>
          <w:sz w:val="20"/>
          <w:szCs w:val="20"/>
          <w:color w:val="auto"/>
        </w:rPr>
      </w:pPr>
    </w:p>
    <w:p>
      <w:pPr>
        <w:ind w:right="60" w:firstLine="430"/>
        <w:spacing w:after="0" w:line="260" w:lineRule="auto"/>
        <w:rPr>
          <w:sz w:val="20"/>
          <w:szCs w:val="20"/>
          <w:color w:val="auto"/>
        </w:rPr>
      </w:pPr>
      <w:r>
        <w:rPr>
          <w:rFonts w:ascii="Arial" w:cs="Arial" w:eastAsia="Arial" w:hAnsi="Arial"/>
          <w:sz w:val="17"/>
          <w:szCs w:val="17"/>
          <w:color w:val="auto"/>
        </w:rPr>
        <w:t>We generate revenue from individuals, families, teams, and organizations by selling subscriptions to our platform, which serve the varying needs of our diverse customer base. Subscribers can purchase individual licenses through our Plus and Professional plans, or purchase multiple licenses through our Family plan or our Standard, Advanced,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207" w:lineRule="exact"/>
        <w:rPr>
          <w:sz w:val="20"/>
          <w:szCs w:val="20"/>
          <w:color w:val="auto"/>
        </w:rPr>
      </w:pPr>
    </w:p>
    <w:p>
      <w:pPr>
        <w:ind w:right="40" w:firstLine="430"/>
        <w:spacing w:after="0" w:line="266" w:lineRule="auto"/>
        <w:rPr>
          <w:sz w:val="20"/>
          <w:szCs w:val="20"/>
          <w:color w:val="auto"/>
        </w:rPr>
      </w:pPr>
      <w:r>
        <w:rPr>
          <w:rFonts w:ascii="Arial" w:cs="Arial" w:eastAsia="Arial" w:hAnsi="Arial"/>
          <w:sz w:val="17"/>
          <w:szCs w:val="17"/>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201" w:lineRule="exact"/>
        <w:rPr>
          <w:sz w:val="20"/>
          <w:szCs w:val="20"/>
          <w:color w:val="auto"/>
        </w:rPr>
      </w:pPr>
    </w:p>
    <w:p>
      <w:pPr>
        <w:ind w:right="80" w:firstLine="469"/>
        <w:spacing w:after="0" w:line="271" w:lineRule="auto"/>
        <w:rPr>
          <w:sz w:val="20"/>
          <w:szCs w:val="20"/>
          <w:color w:val="auto"/>
        </w:rPr>
      </w:pPr>
      <w:r>
        <w:rPr>
          <w:rFonts w:ascii="Arial" w:cs="Arial" w:eastAsia="Arial" w:hAnsi="Arial"/>
          <w:sz w:val="17"/>
          <w:szCs w:val="17"/>
          <w:color w:val="auto"/>
        </w:rPr>
        <w:t>In the first quarter of fiscal 2021, we acquired DocSend, a secure document sharing and analytics company. The combination of Dropbox, HelloSign, and DocSend will help customers across industries manage end-to-end document workflows—from content collaboration to sharing and e-signature—giving them more control over their business results.</w:t>
      </w:r>
    </w:p>
    <w:p>
      <w:pPr>
        <w:spacing w:after="0" w:line="197" w:lineRule="exact"/>
        <w:rPr>
          <w:sz w:val="20"/>
          <w:szCs w:val="20"/>
          <w:color w:val="auto"/>
        </w:rPr>
      </w:pPr>
    </w:p>
    <w:p>
      <w:pPr>
        <w:ind w:right="100" w:firstLine="469"/>
        <w:spacing w:after="0" w:line="287" w:lineRule="auto"/>
        <w:rPr>
          <w:sz w:val="20"/>
          <w:szCs w:val="20"/>
          <w:color w:val="auto"/>
        </w:rPr>
      </w:pPr>
      <w:r>
        <w:rPr>
          <w:rFonts w:ascii="Arial" w:cs="Arial" w:eastAsia="Arial" w:hAnsi="Arial"/>
          <w:sz w:val="16"/>
          <w:szCs w:val="16"/>
          <w:color w:val="auto"/>
        </w:rPr>
        <w:t>DocSend offers paid subscription plans, including a personal plan designed for individuals and Standard, Advanced, and Enterprise plans designed for business users and teams. Similar to Dropbox plans, pricing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with the majority of sales in U.S. dollars.</w:t>
      </w:r>
    </w:p>
    <w:p>
      <w:pPr>
        <w:spacing w:after="0" w:line="188" w:lineRule="exact"/>
        <w:rPr>
          <w:sz w:val="20"/>
          <w:szCs w:val="20"/>
          <w:color w:val="auto"/>
        </w:rPr>
      </w:pPr>
    </w:p>
    <w:p>
      <w:pPr>
        <w:ind w:firstLine="469"/>
        <w:spacing w:after="0" w:line="287" w:lineRule="auto"/>
        <w:rPr>
          <w:sz w:val="20"/>
          <w:szCs w:val="20"/>
          <w:color w:val="auto"/>
        </w:rPr>
      </w:pPr>
      <w:r>
        <w:rPr>
          <w:rFonts w:ascii="Arial" w:cs="Arial" w:eastAsia="Arial" w:hAnsi="Arial"/>
          <w:sz w:val="16"/>
          <w:szCs w:val="16"/>
          <w:color w:val="auto"/>
        </w:rPr>
        <w:t>We also offer HelloSign, an e-signature solution. HelloSign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HelloSign customers at the</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beginning of their respective terms and recognize revenue ratably over the subscription period. We sell HelloSign products globally and sell primarily in U.S.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dollars</w:t>
      </w:r>
      <w:r>
        <w:rPr>
          <w:rFonts w:ascii="Arial" w:cs="Arial" w:eastAsia="Arial" w:hAnsi="Arial"/>
          <w:sz w:val="17"/>
          <w:szCs w:val="17"/>
          <w:i w:val="1"/>
          <w:i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3" w:lineRule="exact"/>
        <w:rPr>
          <w:sz w:val="20"/>
          <w:szCs w:val="20"/>
          <w:color w:val="auto"/>
        </w:rPr>
      </w:pPr>
    </w:p>
    <w:p>
      <w:pPr>
        <w:ind w:firstLine="469"/>
        <w:spacing w:after="0" w:line="287" w:lineRule="auto"/>
        <w:rPr>
          <w:sz w:val="20"/>
          <w:szCs w:val="20"/>
          <w:color w:val="auto"/>
        </w:rPr>
      </w:pPr>
      <w:r>
        <w:rPr>
          <w:rFonts w:ascii="Arial" w:cs="Arial" w:eastAsia="Arial" w:hAnsi="Arial"/>
          <w:sz w:val="16"/>
          <w:szCs w:val="16"/>
          <w:color w:val="auto"/>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Drive new signups</w:t>
      </w:r>
    </w:p>
    <w:p>
      <w:pPr>
        <w:spacing w:after="0" w:line="247" w:lineRule="exact"/>
        <w:rPr>
          <w:sz w:val="20"/>
          <w:szCs w:val="20"/>
          <w:color w:val="auto"/>
        </w:rPr>
      </w:pPr>
    </w:p>
    <w:p>
      <w:pPr>
        <w:ind w:firstLine="430"/>
        <w:spacing w:after="0" w:line="271" w:lineRule="auto"/>
        <w:rPr>
          <w:sz w:val="20"/>
          <w:szCs w:val="20"/>
          <w:color w:val="auto"/>
        </w:rPr>
      </w:pPr>
      <w:r>
        <w:rPr>
          <w:rFonts w:ascii="Arial" w:cs="Arial" w:eastAsia="Arial" w:hAnsi="Arial"/>
          <w:sz w:val="17"/>
          <w:szCs w:val="17"/>
          <w:color w:val="auto"/>
        </w:rPr>
        <w:t>We acquire users efficiently and at relatively low cost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Increase conversion of registered users to our paid subscription plans</w:t>
      </w:r>
    </w:p>
    <w:p>
      <w:pPr>
        <w:spacing w:after="0" w:line="247" w:lineRule="exact"/>
        <w:rPr>
          <w:sz w:val="20"/>
          <w:szCs w:val="20"/>
          <w:color w:val="auto"/>
        </w:rPr>
      </w:pPr>
    </w:p>
    <w:p>
      <w:pPr>
        <w:ind w:right="160" w:firstLine="430"/>
        <w:spacing w:after="0" w:line="266" w:lineRule="auto"/>
        <w:rPr>
          <w:sz w:val="20"/>
          <w:szCs w:val="20"/>
          <w:color w:val="auto"/>
        </w:rPr>
      </w:pPr>
      <w:r>
        <w:rPr>
          <w:rFonts w:ascii="Arial" w:cs="Arial" w:eastAsia="Arial" w:hAnsi="Arial"/>
          <w:sz w:val="17"/>
          <w:szCs w:val="17"/>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Together, these enable us to generate increased recurring revenues from our existing user base.</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Upgrade and expand existing customers</w:t>
      </w:r>
    </w:p>
    <w:p>
      <w:pPr>
        <w:spacing w:after="0" w:line="247" w:lineRule="exact"/>
        <w:rPr>
          <w:sz w:val="20"/>
          <w:szCs w:val="20"/>
          <w:color w:val="auto"/>
        </w:rPr>
      </w:pPr>
    </w:p>
    <w:p>
      <w:pPr>
        <w:ind w:right="100" w:firstLine="430"/>
        <w:spacing w:after="0" w:line="283" w:lineRule="auto"/>
        <w:rPr>
          <w:sz w:val="20"/>
          <w:szCs w:val="20"/>
          <w:color w:val="auto"/>
        </w:rPr>
      </w:pPr>
      <w:r>
        <w:rPr>
          <w:rFonts w:ascii="Arial" w:cs="Arial" w:eastAsia="Arial" w:hAnsi="Arial"/>
          <w:sz w:val="16"/>
          <w:szCs w:val="16"/>
          <w:color w:val="auto"/>
        </w:rPr>
        <w:t>We offer a range of paid subscription plans, from Plus, Professional, and Family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HelloSign and DocSend.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update</w:t>
      </w:r>
    </w:p>
    <w:p>
      <w:pPr>
        <w:spacing w:after="0" w:line="234" w:lineRule="exact"/>
        <w:rPr>
          <w:sz w:val="20"/>
          <w:szCs w:val="20"/>
          <w:color w:val="auto"/>
        </w:rPr>
      </w:pPr>
    </w:p>
    <w:p>
      <w:pPr>
        <w:ind w:right="100" w:firstLine="391"/>
        <w:spacing w:after="0" w:line="242" w:lineRule="auto"/>
        <w:rPr>
          <w:sz w:val="20"/>
          <w:szCs w:val="20"/>
          <w:color w:val="auto"/>
        </w:rPr>
      </w:pPr>
      <w:r>
        <w:rPr>
          <w:rFonts w:ascii="Arial" w:cs="Arial" w:eastAsia="Arial" w:hAnsi="Arial"/>
          <w:sz w:val="16"/>
          <w:szCs w:val="16"/>
          <w:color w:val="auto"/>
        </w:rPr>
        <w:t>Although we did not experience material adverse impacts to our financial condition and results of operations during the three and nine months ended September 30, 2021 as a result of the COVID-19 pandemic, we have seen and may continue to see impacts to certain components of results of operations, as described below. However, the full extent of the impact of the COVID-19 pandemic on our operational and financial performance will continue to depend on certain developments, including the duration and spread of the outbreak, new information about additional variants, the availability and efficacy of vaccine distributions, additional or renewed actions by government authorities and private businesses to contain the pandemic or respond to its impact and altered consumer behavior, the pace of reopening, impact on our customers and our sales cycles, impact on our business operations, impact on our customer, employee or industry events, and effect on our vendors, all of which are uncertain and cannot be predicted. In addition, the COVID-19 pandemic has created economic uncertainty, including disruption of the supply chain globally and labor shortages, which may adversely impact us directly or indirectly as a result of the effects on our customers and vendors. Accordingly, the full extent to which the COVID-19 pandemic may impact our business, financial condition or results of operations remains uncertain, but may include, without limitation, impacts to our paying user growth as well as disruptions to our business operations as a result of travel restrictions, shutdown of workplaces and potential impacts to our vendors.</w:t>
      </w:r>
    </w:p>
    <w:p>
      <w:pPr>
        <w:spacing w:after="0" w:line="212" w:lineRule="exact"/>
        <w:rPr>
          <w:sz w:val="20"/>
          <w:szCs w:val="20"/>
          <w:color w:val="auto"/>
        </w:rPr>
      </w:pPr>
    </w:p>
    <w:p>
      <w:pPr>
        <w:jc w:val="both"/>
        <w:ind w:right="20" w:firstLine="391"/>
        <w:spacing w:after="0" w:line="260" w:lineRule="auto"/>
        <w:rPr>
          <w:sz w:val="20"/>
          <w:szCs w:val="20"/>
          <w:color w:val="auto"/>
        </w:rPr>
      </w:pPr>
      <w:r>
        <w:rPr>
          <w:rFonts w:ascii="Arial" w:cs="Arial" w:eastAsia="Arial" w:hAnsi="Arial"/>
          <w:sz w:val="17"/>
          <w:szCs w:val="17"/>
          <w:color w:val="auto"/>
        </w:rPr>
        <w:t>Additionally, our results of operations and cash flows are subject to fluctuations due to changes in foreign currency exchange rates relative to U.S. dollars, our reporting currency, as well as changes in interest rates. Volatile market conditions arising from the COVID-19 pandemic has, at times, and may in the future negatively impact our results of operations and cash flows, due to (i) a weakening of foreign currencies relative to the U.S. dollar, which may cause our revenues to decline relative to our costs, and (ii) government-initiated reductions in interest rates or maintaining low interest rates, which may reduce our interest income. Conversely, we have seen and may continue to see cost savings from the shift to remote work for all of our employees in areas including events, travel, utilities, and other benefits. We may continue to experience certain of these cost savings beyond the resolution of the COVID-19 pandemic as we shift to our Virtual First work model, as described below. Due to our subscription-based business model, the effect of the COVID-19 pandemic may not be fully reflected in our results of operations until future periods, if at all.</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Virtual First</w:t>
      </w:r>
    </w:p>
    <w:p>
      <w:pPr>
        <w:spacing w:after="0" w:line="247" w:lineRule="exact"/>
        <w:rPr>
          <w:sz w:val="20"/>
          <w:szCs w:val="20"/>
          <w:color w:val="auto"/>
        </w:rPr>
      </w:pPr>
    </w:p>
    <w:p>
      <w:pPr>
        <w:ind w:right="20" w:firstLine="391"/>
        <w:spacing w:after="0" w:line="287" w:lineRule="auto"/>
        <w:rPr>
          <w:sz w:val="20"/>
          <w:szCs w:val="20"/>
          <w:color w:val="auto"/>
        </w:rPr>
      </w:pPr>
      <w:r>
        <w:rPr>
          <w:rFonts w:ascii="Arial" w:cs="Arial" w:eastAsia="Arial" w:hAnsi="Arial"/>
          <w:sz w:val="16"/>
          <w:szCs w:val="16"/>
          <w:color w:val="auto"/>
        </w:rPr>
        <w:t>Furthermore, the effects of the COVID-19 pandemic have led us to reimagine the way we work, resulting in our announcement in October 2020 to shift to a new Virtual First work model pursuant to which remote work will become the primary experience for all of our employees. As a result, we intend for our workforce to become more distributed over time, although we will continue to offer our employees opportunities for in-person collaboration in all locations we currently have offices, either through our existing real-estate, or new on-demand, flexible spaces, which will be known as "Dropbox Studios".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Consistent with this strategy, we will retain a portion of our office space and a portion will be marketed for sublease. We engaged a third party to estimate the fair value of the office space to be subleased based on current market conditions and where the carrying value of the individual asset groups exceeded the fair value, an impairment charge was recognized for the difference. We recorded an impairment charge of $17.3 million during the nine months ended September 30, 2021 related to the continued adoption of Virtual First, including impairment related to real estate assets acquired as part of our acquisition of DocSend. We recorded an impairment charge of $398.2 million in the year ended December 31, 2020. See Note 9 "Leases" for additional information. We may incur additional charges related to certain European leases. In addition to generating sublease income, we expect that as a result of our shift to Virtual First we will continue to see certain savings that we experienced as a result of the COVID-19 pandemic in areas, including reductions in facilities related costs and depreciation expense due to the impairment charges related to the continued adoption of Virtual First.</w:t>
      </w:r>
    </w:p>
    <w:p>
      <w:pPr>
        <w:spacing w:after="0" w:line="197" w:lineRule="exact"/>
        <w:rPr>
          <w:sz w:val="20"/>
          <w:szCs w:val="20"/>
          <w:color w:val="auto"/>
        </w:rPr>
      </w:pPr>
    </w:p>
    <w:p>
      <w:pPr>
        <w:ind w:right="140" w:firstLine="391"/>
        <w:spacing w:after="0" w:line="262" w:lineRule="auto"/>
        <w:rPr>
          <w:sz w:val="20"/>
          <w:szCs w:val="20"/>
          <w:color w:val="auto"/>
        </w:rPr>
      </w:pPr>
      <w:r>
        <w:rPr>
          <w:rFonts w:ascii="Arial" w:cs="Arial" w:eastAsia="Arial" w:hAnsi="Arial"/>
          <w:sz w:val="17"/>
          <w:szCs w:val="17"/>
          <w:color w:val="auto"/>
        </w:rPr>
        <w:t>We seek to manage the implementation of this new work model carefully and we believe this model will help us reap the benefits of remote work, while maintaining a meaningful in-person experience. However, there is no guarantee that we will realize any anticipated benefits to our business, including any cost savings, operational efficiencies, increased employee satisfaction or increased productivity. In addition, given that we have a limited history of operating with a Virtual First workforce, the long-term impact on our financial results and business operations is uncertain. Please see Item 1A. “Risk Factors” in this Quarterly Report on Form 10-Q for a complete description of the material risks we currently face, including risks related to the COVID-19 pandemic and our shift to a Virtual First work model.</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Reduction in Force</w:t>
      </w:r>
    </w:p>
    <w:p>
      <w:pPr>
        <w:spacing w:after="0" w:line="247" w:lineRule="exact"/>
        <w:rPr>
          <w:sz w:val="20"/>
          <w:szCs w:val="20"/>
          <w:color w:val="auto"/>
        </w:rPr>
      </w:pPr>
    </w:p>
    <w:p>
      <w:pPr>
        <w:jc w:val="both"/>
        <w:ind w:right="80" w:firstLine="391"/>
        <w:spacing w:after="0" w:line="295" w:lineRule="auto"/>
        <w:rPr>
          <w:sz w:val="20"/>
          <w:szCs w:val="20"/>
          <w:color w:val="auto"/>
        </w:rPr>
      </w:pPr>
      <w:r>
        <w:rPr>
          <w:rFonts w:ascii="Arial" w:cs="Arial" w:eastAsia="Arial" w:hAnsi="Arial"/>
          <w:sz w:val="16"/>
          <w:szCs w:val="16"/>
          <w:color w:val="auto"/>
        </w:rPr>
        <w:t>On January 13, 2021, we announced a reduction of our global workforce by approximately 11% to streamline our team structure in support of our business priorities. As a result, during the nine months ended September 30, 2021, we incurred $14.3 million of expenses related to severance, benefits, and other related items. We do not expect to incur additional expenses of any significance related to our reduction in force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253" w:lineRule="exact"/>
        <w:rPr>
          <w:sz w:val="20"/>
          <w:szCs w:val="20"/>
          <w:color w:val="auto"/>
        </w:rPr>
      </w:pPr>
    </w:p>
    <w:p>
      <w:pPr>
        <w:ind w:right="220" w:firstLine="430"/>
        <w:spacing w:after="0" w:line="286" w:lineRule="auto"/>
        <w:rPr>
          <w:sz w:val="20"/>
          <w:szCs w:val="20"/>
          <w:color w:val="auto"/>
        </w:rPr>
      </w:pPr>
      <w:r>
        <w:rPr>
          <w:rFonts w:ascii="Arial" w:cs="Arial" w:eastAsia="Arial" w:hAnsi="Arial"/>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Total annual recurring revenue</w:t>
      </w:r>
    </w:p>
    <w:p>
      <w:pPr>
        <w:spacing w:after="0" w:line="117" w:lineRule="exact"/>
        <w:rPr>
          <w:sz w:val="20"/>
          <w:szCs w:val="20"/>
          <w:color w:val="auto"/>
        </w:rPr>
      </w:pPr>
    </w:p>
    <w:p>
      <w:pPr>
        <w:ind w:right="100" w:firstLine="391"/>
        <w:spacing w:after="0" w:line="263" w:lineRule="auto"/>
        <w:rPr>
          <w:sz w:val="20"/>
          <w:szCs w:val="20"/>
          <w:color w:val="auto"/>
        </w:rPr>
      </w:pPr>
      <w:r>
        <w:rPr>
          <w:rFonts w:ascii="Arial" w:cs="Arial" w:eastAsia="Arial" w:hAnsi="Arial"/>
          <w:sz w:val="17"/>
          <w:szCs w:val="17"/>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Total ARR is a performance metric and should be viewed independently of revenue and deferred revenue, and is not intended to be a substitute for, or combined with, any of these items.</w:t>
      </w:r>
    </w:p>
    <w:p>
      <w:pPr>
        <w:spacing w:after="0" w:line="205" w:lineRule="exact"/>
        <w:rPr>
          <w:sz w:val="20"/>
          <w:szCs w:val="20"/>
          <w:color w:val="auto"/>
        </w:rPr>
      </w:pPr>
    </w:p>
    <w:p>
      <w:pPr>
        <w:ind w:right="80" w:firstLine="430"/>
        <w:spacing w:after="0" w:line="266" w:lineRule="auto"/>
        <w:rPr>
          <w:sz w:val="20"/>
          <w:szCs w:val="20"/>
          <w:color w:val="auto"/>
        </w:rPr>
      </w:pPr>
      <w:r>
        <w:rPr>
          <w:rFonts w:ascii="Arial" w:cs="Arial" w:eastAsia="Arial" w:hAnsi="Arial"/>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to our platform. We include ARR related to acquired companies in our total ARR in the period of the acquisition. We adjust the exchange rates used to calculate Total ARR on an annual basis at the beginning of each fiscal year.</w:t>
      </w:r>
    </w:p>
    <w:p>
      <w:pPr>
        <w:spacing w:after="0" w:line="201" w:lineRule="exact"/>
        <w:rPr>
          <w:sz w:val="20"/>
          <w:szCs w:val="20"/>
          <w:color w:val="auto"/>
        </w:rPr>
      </w:pPr>
    </w:p>
    <w:p>
      <w:pPr>
        <w:ind w:right="460" w:firstLine="430"/>
        <w:spacing w:after="0" w:line="286" w:lineRule="auto"/>
        <w:rPr>
          <w:sz w:val="20"/>
          <w:szCs w:val="20"/>
          <w:color w:val="auto"/>
        </w:rPr>
      </w:pPr>
      <w:r>
        <w:rPr>
          <w:rFonts w:ascii="Arial" w:cs="Arial" w:eastAsia="Arial" w:hAnsi="Arial"/>
          <w:sz w:val="17"/>
          <w:szCs w:val="17"/>
          <w:color w:val="auto"/>
        </w:rPr>
        <w:t>The below tables set forth our Total ARR using the exchange rates set at the beginning of each year, as well as on a constant currency basis using the exchange rates used in 2021.</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060" w:type="dxa"/>
            <w:vAlign w:val="bottom"/>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b w:val="1"/>
                <w:bCs w:val="1"/>
                <w:color w:val="auto"/>
                <w:w w:val="89"/>
              </w:rPr>
              <w:t>As of</w:t>
            </w:r>
          </w:p>
        </w:tc>
        <w:tc>
          <w:tcPr>
            <w:tcW w:w="1960" w:type="dxa"/>
            <w:vAlign w:val="bottom"/>
            <w:tcBorders>
              <w:bottom w:val="single" w:sz="8" w:color="auto"/>
            </w:tcBorders>
          </w:tcPr>
          <w:p>
            <w:pPr>
              <w:spacing w:after="0"/>
              <w:rPr>
                <w:sz w:val="19"/>
                <w:szCs w:val="19"/>
                <w:color w:val="auto"/>
              </w:rPr>
            </w:pPr>
          </w:p>
        </w:tc>
      </w:tr>
      <w:tr>
        <w:trPr>
          <w:trHeight w:val="214"/>
        </w:trPr>
        <w:tc>
          <w:tcPr>
            <w:tcW w:w="5060" w:type="dxa"/>
            <w:vAlign w:val="bottom"/>
          </w:tcPr>
          <w:p>
            <w:pPr>
              <w:spacing w:after="0"/>
              <w:rPr>
                <w:sz w:val="18"/>
                <w:szCs w:val="18"/>
                <w:color w:val="auto"/>
              </w:rPr>
            </w:pPr>
          </w:p>
        </w:tc>
        <w:tc>
          <w:tcPr>
            <w:tcW w:w="19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September 30, 2021</w:t>
            </w: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December 31, 2020</w:t>
            </w:r>
          </w:p>
        </w:tc>
        <w:tc>
          <w:tcPr>
            <w:tcW w:w="100" w:type="dxa"/>
            <w:vAlign w:val="bottom"/>
          </w:tcPr>
          <w:p>
            <w:pPr>
              <w:spacing w:after="0"/>
              <w:rPr>
                <w:sz w:val="18"/>
                <w:szCs w:val="18"/>
                <w:color w:val="auto"/>
              </w:rPr>
            </w:pPr>
          </w:p>
        </w:tc>
        <w:tc>
          <w:tcPr>
            <w:tcW w:w="19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September 30, 2020</w:t>
            </w:r>
          </w:p>
        </w:tc>
      </w:tr>
      <w:tr>
        <w:trPr>
          <w:trHeight w:val="306"/>
        </w:trPr>
        <w:tc>
          <w:tcPr>
            <w:tcW w:w="50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7"/>
                <w:szCs w:val="17"/>
                <w:i w:val="1"/>
                <w:iCs w:val="1"/>
                <w:color w:val="auto"/>
                <w:w w:val="98"/>
              </w:rPr>
              <w:t>(In millions)</w:t>
            </w:r>
          </w:p>
        </w:tc>
        <w:tc>
          <w:tcPr>
            <w:tcW w:w="1960" w:type="dxa"/>
            <w:vAlign w:val="bottom"/>
          </w:tcPr>
          <w:p>
            <w:pPr>
              <w:spacing w:after="0"/>
              <w:rPr>
                <w:sz w:val="24"/>
                <w:szCs w:val="24"/>
                <w:color w:val="auto"/>
              </w:rPr>
            </w:pPr>
          </w:p>
        </w:tc>
      </w:tr>
      <w:tr>
        <w:trPr>
          <w:trHeight w:val="221"/>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$1,981</w:t>
            </w:r>
          </w:p>
        </w:tc>
      </w:tr>
      <w:tr>
        <w:trPr>
          <w:trHeight w:val="573"/>
        </w:trPr>
        <w:tc>
          <w:tcPr>
            <w:tcW w:w="50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b w:val="1"/>
                <w:bCs w:val="1"/>
                <w:color w:val="auto"/>
                <w:w w:val="89"/>
              </w:rPr>
              <w:t>As of</w:t>
            </w:r>
          </w:p>
        </w:tc>
        <w:tc>
          <w:tcPr>
            <w:tcW w:w="1960" w:type="dxa"/>
            <w:vAlign w:val="bottom"/>
            <w:tcBorders>
              <w:bottom w:val="single" w:sz="8" w:color="auto"/>
            </w:tcBorders>
          </w:tcPr>
          <w:p>
            <w:pPr>
              <w:spacing w:after="0"/>
              <w:rPr>
                <w:sz w:val="24"/>
                <w:szCs w:val="24"/>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Constant Currency</w:t>
            </w:r>
          </w:p>
        </w:tc>
        <w:tc>
          <w:tcPr>
            <w:tcW w:w="19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September 30, 2021</w:t>
            </w: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December 31, 2020</w:t>
            </w:r>
          </w:p>
        </w:tc>
        <w:tc>
          <w:tcPr>
            <w:tcW w:w="100" w:type="dxa"/>
            <w:vAlign w:val="bottom"/>
          </w:tcPr>
          <w:p>
            <w:pPr>
              <w:spacing w:after="0"/>
              <w:rPr>
                <w:sz w:val="18"/>
                <w:szCs w:val="18"/>
                <w:color w:val="auto"/>
              </w:rPr>
            </w:pPr>
          </w:p>
        </w:tc>
        <w:tc>
          <w:tcPr>
            <w:tcW w:w="19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September 30, 2020</w:t>
            </w:r>
          </w:p>
        </w:tc>
      </w:tr>
      <w:tr>
        <w:trPr>
          <w:trHeight w:val="306"/>
        </w:trPr>
        <w:tc>
          <w:tcPr>
            <w:tcW w:w="50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7"/>
                <w:szCs w:val="17"/>
                <w:i w:val="1"/>
                <w:iCs w:val="1"/>
                <w:color w:val="auto"/>
                <w:w w:val="98"/>
              </w:rPr>
              <w:t>(In millions)</w:t>
            </w:r>
          </w:p>
        </w:tc>
        <w:tc>
          <w:tcPr>
            <w:tcW w:w="1960" w:type="dxa"/>
            <w:vAlign w:val="bottom"/>
          </w:tcPr>
          <w:p>
            <w:pPr>
              <w:spacing w:after="0"/>
              <w:rPr>
                <w:sz w:val="24"/>
                <w:szCs w:val="24"/>
                <w:color w:val="auto"/>
              </w:rPr>
            </w:pPr>
          </w:p>
        </w:tc>
      </w:tr>
      <w:tr>
        <w:trPr>
          <w:trHeight w:val="221"/>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w:t>
            </w:r>
          </w:p>
        </w:tc>
      </w:tr>
    </w:tbl>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Paying users</w:t>
      </w:r>
    </w:p>
    <w:p>
      <w:pPr>
        <w:spacing w:after="0" w:line="117" w:lineRule="exact"/>
        <w:rPr>
          <w:sz w:val="20"/>
          <w:szCs w:val="20"/>
          <w:color w:val="auto"/>
        </w:rPr>
      </w:pPr>
    </w:p>
    <w:p>
      <w:pPr>
        <w:ind w:firstLine="430"/>
        <w:spacing w:after="0" w:line="266" w:lineRule="auto"/>
        <w:rPr>
          <w:sz w:val="20"/>
          <w:szCs w:val="20"/>
          <w:color w:val="auto"/>
        </w:rPr>
      </w:pPr>
      <w:r>
        <w:rPr>
          <w:rFonts w:ascii="Arial" w:cs="Arial" w:eastAsia="Arial" w:hAnsi="Arial"/>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201" w:lineRule="exact"/>
        <w:rPr>
          <w:sz w:val="20"/>
          <w:szCs w:val="20"/>
          <w:color w:val="auto"/>
        </w:rPr>
      </w:pPr>
    </w:p>
    <w:p>
      <w:pPr>
        <w:ind w:right="200" w:firstLine="430"/>
        <w:spacing w:after="0" w:line="286" w:lineRule="auto"/>
        <w:rPr>
          <w:sz w:val="20"/>
          <w:szCs w:val="20"/>
          <w:color w:val="auto"/>
        </w:rPr>
      </w:pPr>
      <w:r>
        <w:rPr>
          <w:rFonts w:ascii="Arial" w:cs="Arial" w:eastAsia="Arial" w:hAnsi="Arial"/>
          <w:sz w:val="17"/>
          <w:szCs w:val="17"/>
          <w:color w:val="auto"/>
        </w:rPr>
        <w:t>We have experienced growth in the number of paying users across our products, with the majority of paying users for the periods presented coming from our self-serve channels.</w:t>
      </w:r>
    </w:p>
    <w:p>
      <w:pPr>
        <w:spacing w:after="0" w:line="185" w:lineRule="exact"/>
        <w:rPr>
          <w:sz w:val="20"/>
          <w:szCs w:val="20"/>
          <w:color w:val="auto"/>
        </w:rPr>
      </w:pPr>
    </w:p>
    <w:p>
      <w:pPr>
        <w:ind w:right="140" w:firstLine="430"/>
        <w:spacing w:after="0" w:line="286" w:lineRule="auto"/>
        <w:rPr>
          <w:sz w:val="20"/>
          <w:szCs w:val="20"/>
          <w:color w:val="auto"/>
        </w:rPr>
      </w:pPr>
      <w:r>
        <w:rPr>
          <w:rFonts w:ascii="Arial" w:cs="Arial" w:eastAsia="Arial" w:hAnsi="Arial"/>
          <w:sz w:val="17"/>
          <w:szCs w:val="17"/>
          <w:color w:val="auto"/>
        </w:rPr>
        <w:t>We acquired DocSend in the first quarter of fiscal 2021. We define DocSend paying users as the number of users who have active paid licenses for access to our platform as of the end of the period.</w:t>
      </w:r>
    </w:p>
    <w:p>
      <w:pPr>
        <w:spacing w:after="0" w:line="185" w:lineRule="exact"/>
        <w:rPr>
          <w:sz w:val="20"/>
          <w:szCs w:val="20"/>
          <w:color w:val="auto"/>
        </w:rPr>
      </w:pPr>
    </w:p>
    <w:p>
      <w:pPr>
        <w:ind w:right="40" w:firstLine="430"/>
        <w:spacing w:after="0" w:line="283" w:lineRule="auto"/>
        <w:rPr>
          <w:sz w:val="20"/>
          <w:szCs w:val="20"/>
          <w:color w:val="auto"/>
        </w:rPr>
      </w:pPr>
      <w:r>
        <w:rPr>
          <w:rFonts w:ascii="Arial" w:cs="Arial" w:eastAsia="Arial" w:hAnsi="Arial"/>
          <w:sz w:val="16"/>
          <w:szCs w:val="16"/>
          <w:color w:val="auto"/>
        </w:rPr>
        <w:t>We acquired HelloSign in the first quarter of fiscal 2019. HelloSign has several product lines and the pricing and revenue generated from each product line varies, with some product lines priced based on the number of licenses purchased (similar to Dropbox plans), while others are priced based on a customer’s transaction volume. For purposes of HelloSign results, we include as paying users either (i) the number of users who have active paid licenses for access to the HelloSign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below table sets forth the number of paying users as of September 30, 2021, December 31, 2020, and September 30,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00" w:type="dxa"/>
            <w:vAlign w:val="bottom"/>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b w:val="1"/>
                <w:bCs w:val="1"/>
                <w:color w:val="auto"/>
                <w:w w:val="89"/>
              </w:rPr>
              <w:t>As of</w:t>
            </w:r>
          </w:p>
        </w:tc>
        <w:tc>
          <w:tcPr>
            <w:tcW w:w="1960" w:type="dxa"/>
            <w:vAlign w:val="bottom"/>
            <w:tcBorders>
              <w:bottom w:val="single" w:sz="8" w:color="auto"/>
            </w:tcBorders>
          </w:tcPr>
          <w:p>
            <w:pPr>
              <w:spacing w:after="0"/>
              <w:rPr>
                <w:sz w:val="19"/>
                <w:szCs w:val="19"/>
                <w:color w:val="auto"/>
              </w:rPr>
            </w:pPr>
          </w:p>
        </w:tc>
      </w:tr>
      <w:tr>
        <w:trPr>
          <w:trHeight w:val="214"/>
        </w:trPr>
        <w:tc>
          <w:tcPr>
            <w:tcW w:w="5100" w:type="dxa"/>
            <w:vAlign w:val="bottom"/>
          </w:tcPr>
          <w:p>
            <w:pPr>
              <w:spacing w:after="0"/>
              <w:rPr>
                <w:sz w:val="18"/>
                <w:szCs w:val="18"/>
                <w:color w:val="auto"/>
              </w:rPr>
            </w:pPr>
          </w:p>
        </w:tc>
        <w:tc>
          <w:tcPr>
            <w:tcW w:w="19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September 30, 2021</w:t>
            </w: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December 31, 2020</w:t>
            </w:r>
          </w:p>
        </w:tc>
        <w:tc>
          <w:tcPr>
            <w:tcW w:w="100" w:type="dxa"/>
            <w:vAlign w:val="bottom"/>
          </w:tcPr>
          <w:p>
            <w:pPr>
              <w:spacing w:after="0"/>
              <w:rPr>
                <w:sz w:val="18"/>
                <w:szCs w:val="18"/>
                <w:color w:val="auto"/>
              </w:rPr>
            </w:pPr>
          </w:p>
        </w:tc>
        <w:tc>
          <w:tcPr>
            <w:tcW w:w="19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September 30, 2020</w:t>
            </w:r>
          </w:p>
        </w:tc>
      </w:tr>
      <w:tr>
        <w:trPr>
          <w:trHeight w:val="306"/>
        </w:trPr>
        <w:tc>
          <w:tcPr>
            <w:tcW w:w="5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7"/>
                <w:szCs w:val="17"/>
                <w:i w:val="1"/>
                <w:iCs w:val="1"/>
                <w:color w:val="auto"/>
                <w:w w:val="98"/>
              </w:rPr>
              <w:t>(In millions)</w:t>
            </w:r>
          </w:p>
        </w:tc>
        <w:tc>
          <w:tcPr>
            <w:tcW w:w="1960" w:type="dxa"/>
            <w:vAlign w:val="bottom"/>
          </w:tcPr>
          <w:p>
            <w:pPr>
              <w:spacing w:after="0"/>
              <w:rPr>
                <w:sz w:val="24"/>
                <w:szCs w:val="24"/>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Paying users</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w:t>
            </w:r>
          </w:p>
        </w:tc>
      </w:tr>
    </w:tbl>
    <w:p>
      <w:pPr>
        <w:spacing w:after="0" w:line="31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Average revenue per paying user</w:t>
      </w:r>
    </w:p>
    <w:p>
      <w:pPr>
        <w:spacing w:after="0" w:line="117" w:lineRule="exact"/>
        <w:rPr>
          <w:sz w:val="20"/>
          <w:szCs w:val="20"/>
          <w:color w:val="auto"/>
        </w:rPr>
      </w:pPr>
    </w:p>
    <w:p>
      <w:pPr>
        <w:ind w:right="60" w:firstLine="430"/>
        <w:spacing w:after="0" w:line="266"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201" w:lineRule="exact"/>
        <w:rPr>
          <w:sz w:val="20"/>
          <w:szCs w:val="20"/>
          <w:color w:val="auto"/>
        </w:rPr>
      </w:pPr>
    </w:p>
    <w:p>
      <w:pPr>
        <w:ind w:right="260" w:firstLine="430"/>
        <w:spacing w:after="0" w:line="271" w:lineRule="auto"/>
        <w:rPr>
          <w:sz w:val="20"/>
          <w:szCs w:val="20"/>
          <w:color w:val="auto"/>
        </w:rPr>
      </w:pPr>
      <w:r>
        <w:rPr>
          <w:rFonts w:ascii="Arial" w:cs="Arial" w:eastAsia="Arial" w:hAnsi="Arial"/>
          <w:sz w:val="17"/>
          <w:szCs w:val="17"/>
          <w:color w:val="auto"/>
        </w:rPr>
        <w:t>We experienced an increase in our average revenue per paying user for the three and nine months ended September 30, 2021, compared to the three and nine months ended September 30, 2020 primarily due to an increased mix of sales toward our higher-priced subscription plans as well as favorable foreign exchange rates across multiple currencies.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below table sets forth our ARPU for the three and nine months ended September 30, 2021 and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80" w:type="dxa"/>
            <w:vAlign w:val="bottom"/>
            <w:gridSpan w:val="5"/>
          </w:tcPr>
          <w:p>
            <w:pPr>
              <w:jc w:val="center"/>
              <w:ind w:right="500"/>
              <w:spacing w:after="0"/>
              <w:rPr>
                <w:sz w:val="20"/>
                <w:szCs w:val="20"/>
                <w:color w:val="auto"/>
              </w:rPr>
            </w:pPr>
            <w:r>
              <w:rPr>
                <w:rFonts w:ascii="Arial" w:cs="Arial" w:eastAsia="Arial" w:hAnsi="Arial"/>
                <w:sz w:val="17"/>
                <w:szCs w:val="17"/>
                <w:b w:val="1"/>
                <w:bCs w:val="1"/>
                <w:color w:val="auto"/>
                <w:w w:val="93"/>
              </w:rPr>
              <w:t>Three Months Ended</w:t>
            </w:r>
          </w:p>
        </w:tc>
        <w:tc>
          <w:tcPr>
            <w:tcW w:w="400" w:type="dxa"/>
            <w:vAlign w:val="bottom"/>
          </w:tcPr>
          <w:p>
            <w:pPr>
              <w:spacing w:after="0"/>
              <w:rPr>
                <w:sz w:val="16"/>
                <w:szCs w:val="16"/>
                <w:color w:val="auto"/>
              </w:rPr>
            </w:pPr>
          </w:p>
        </w:tc>
        <w:tc>
          <w:tcPr>
            <w:tcW w:w="2140" w:type="dxa"/>
            <w:vAlign w:val="bottom"/>
            <w:gridSpan w:val="3"/>
          </w:tcPr>
          <w:p>
            <w:pPr>
              <w:jc w:val="center"/>
              <w:ind w:left="573"/>
              <w:spacing w:after="0"/>
              <w:rPr>
                <w:sz w:val="20"/>
                <w:szCs w:val="20"/>
                <w:color w:val="auto"/>
              </w:rPr>
            </w:pPr>
            <w:r>
              <w:rPr>
                <w:rFonts w:ascii="Arial" w:cs="Arial" w:eastAsia="Arial" w:hAnsi="Arial"/>
                <w:sz w:val="17"/>
                <w:szCs w:val="17"/>
                <w:b w:val="1"/>
                <w:bCs w:val="1"/>
                <w:color w:val="auto"/>
                <w:w w:val="93"/>
              </w:rPr>
              <w:t>Nine Months Ended</w:t>
            </w:r>
          </w:p>
        </w:tc>
        <w:tc>
          <w:tcPr>
            <w:tcW w:w="1060" w:type="dxa"/>
            <w:vAlign w:val="bottom"/>
          </w:tcPr>
          <w:p>
            <w:pPr>
              <w:spacing w:after="0"/>
              <w:rPr>
                <w:sz w:val="16"/>
                <w:szCs w:val="16"/>
                <w:color w:val="auto"/>
              </w:rPr>
            </w:pPr>
          </w:p>
        </w:tc>
      </w:tr>
      <w:tr>
        <w:trPr>
          <w:trHeight w:val="221"/>
        </w:trPr>
        <w:tc>
          <w:tcPr>
            <w:tcW w:w="39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7"/>
                <w:szCs w:val="17"/>
                <w:b w:val="1"/>
                <w:bCs w:val="1"/>
                <w:color w:val="auto"/>
                <w:w w:val="91"/>
              </w:rPr>
              <w:t>September 30,</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7"/>
                <w:szCs w:val="17"/>
                <w:b w:val="1"/>
                <w:bCs w:val="1"/>
                <w:color w:val="auto"/>
                <w:w w:val="92"/>
              </w:rPr>
              <w:t>September 30,</w:t>
            </w:r>
          </w:p>
        </w:tc>
        <w:tc>
          <w:tcPr>
            <w:tcW w:w="1060" w:type="dxa"/>
            <w:vAlign w:val="bottom"/>
            <w:tcBorders>
              <w:bottom w:val="single" w:sz="8" w:color="auto"/>
            </w:tcBorders>
          </w:tcPr>
          <w:p>
            <w:pPr>
              <w:spacing w:after="0"/>
              <w:rPr>
                <w:sz w:val="19"/>
                <w:szCs w:val="19"/>
                <w:color w:val="auto"/>
              </w:rPr>
            </w:pPr>
          </w:p>
        </w:tc>
      </w:tr>
      <w:tr>
        <w:trPr>
          <w:trHeight w:val="214"/>
        </w:trPr>
        <w:tc>
          <w:tcPr>
            <w:tcW w:w="39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89"/>
              </w:rPr>
              <w:t>2020</w:t>
            </w:r>
          </w:p>
        </w:tc>
      </w:tr>
      <w:tr>
        <w:trPr>
          <w:trHeight w:val="32"/>
        </w:trPr>
        <w:tc>
          <w:tcPr>
            <w:tcW w:w="3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ARPU</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133.19</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127.06</w:t>
            </w:r>
          </w:p>
        </w:tc>
      </w:tr>
      <w:tr>
        <w:trPr>
          <w:trHeight w:val="820"/>
        </w:trPr>
        <w:tc>
          <w:tcPr>
            <w:tcW w:w="3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7"/>
                <w:szCs w:val="17"/>
                <w:color w:val="auto"/>
              </w:rPr>
              <w:t>47</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0"/>
        </w:trPr>
        <w:tc>
          <w:tcPr>
            <w:tcW w:w="39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w:t>
      </w:r>
    </w:p>
    <w:p>
      <w:pPr>
        <w:spacing w:after="0" w:line="253" w:lineRule="exact"/>
        <w:rPr>
          <w:sz w:val="20"/>
          <w:szCs w:val="20"/>
          <w:color w:val="auto"/>
        </w:rPr>
      </w:pPr>
    </w:p>
    <w:p>
      <w:pPr>
        <w:ind w:right="80" w:firstLine="430"/>
        <w:spacing w:after="0" w:line="286" w:lineRule="auto"/>
        <w:rPr>
          <w:sz w:val="20"/>
          <w:szCs w:val="20"/>
          <w:color w:val="auto"/>
        </w:rPr>
      </w:pPr>
      <w:r>
        <w:rPr>
          <w:rFonts w:ascii="Arial" w:cs="Arial" w:eastAsia="Arial" w:hAnsi="Arial"/>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Free cash flow</w:t>
      </w:r>
    </w:p>
    <w:p>
      <w:pPr>
        <w:spacing w:after="0" w:line="117" w:lineRule="exact"/>
        <w:rPr>
          <w:sz w:val="20"/>
          <w:szCs w:val="20"/>
          <w:color w:val="auto"/>
        </w:rPr>
      </w:pPr>
    </w:p>
    <w:p>
      <w:pPr>
        <w:ind w:right="20" w:firstLine="430"/>
        <w:spacing w:after="0" w:line="261" w:lineRule="auto"/>
        <w:rPr>
          <w:sz w:val="20"/>
          <w:szCs w:val="20"/>
          <w:color w:val="auto"/>
        </w:rPr>
      </w:pPr>
      <w:r>
        <w:rPr>
          <w:rFonts w:ascii="Arial" w:cs="Arial" w:eastAsia="Arial" w:hAnsi="Arial"/>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205" w:lineRule="exact"/>
        <w:rPr>
          <w:sz w:val="20"/>
          <w:szCs w:val="20"/>
          <w:color w:val="auto"/>
        </w:rPr>
      </w:pPr>
    </w:p>
    <w:p>
      <w:pPr>
        <w:ind w:right="180" w:firstLine="430"/>
        <w:spacing w:after="0" w:line="271" w:lineRule="auto"/>
        <w:rPr>
          <w:sz w:val="20"/>
          <w:szCs w:val="20"/>
          <w:color w:val="auto"/>
        </w:rPr>
      </w:pPr>
      <w:r>
        <w:rPr>
          <w:rFonts w:ascii="Arial" w:cs="Arial" w:eastAsia="Arial" w:hAnsi="Arial"/>
          <w:sz w:val="17"/>
          <w:szCs w:val="17"/>
          <w:color w:val="auto"/>
        </w:rPr>
        <w:t>Our FCF increased for the nine months ended September 30, 2021, compared to the nine months ended September 30, 2020, primarily due to an increase in cash provided by operating activities, which was driven by increased subscription sales, as a majority of our paying users are invoiced in advance, and a decrease in capital expenditures as a result of decreased spend on office build-outs.</w:t>
      </w:r>
    </w:p>
    <w:p>
      <w:pPr>
        <w:spacing w:after="0" w:line="197" w:lineRule="exact"/>
        <w:rPr>
          <w:sz w:val="20"/>
          <w:szCs w:val="20"/>
          <w:color w:val="auto"/>
        </w:rPr>
      </w:pPr>
    </w:p>
    <w:p>
      <w:pPr>
        <w:ind w:right="60" w:firstLine="430"/>
        <w:spacing w:after="0" w:line="266" w:lineRule="auto"/>
        <w:rPr>
          <w:sz w:val="20"/>
          <w:szCs w:val="20"/>
          <w:color w:val="auto"/>
        </w:rPr>
      </w:pPr>
      <w:r>
        <w:rPr>
          <w:rFonts w:ascii="Arial" w:cs="Arial" w:eastAsia="Arial" w:hAnsi="Arial"/>
          <w:sz w:val="17"/>
          <w:szCs w:val="17"/>
          <w:color w:val="auto"/>
        </w:rPr>
        <w:t>We expect our FCF to generally increase in future periods as we increase subscription sales and reduce our capital expenditures as we shift to a Virtual First environment. Although we expect to continue to purchase infrastructure equipment to support our user base, we anticipate that our capital expenditures related to building out our office spaces will continue to decline in future periods. The timing of our operating expenses as described below, may result in FCF to vary from period to period as a percentage of revenue.</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FCF to the most comparable GAAP measure, net cash provided by operating activities:</w:t>
      </w:r>
    </w:p>
    <w:p>
      <w:pPr>
        <w:spacing w:after="0" w:line="365" w:lineRule="exact"/>
        <w:rPr>
          <w:sz w:val="20"/>
          <w:szCs w:val="20"/>
          <w:color w:val="auto"/>
        </w:rPr>
      </w:pPr>
    </w:p>
    <w:p>
      <w:pPr>
        <w:jc w:val="center"/>
        <w:ind w:left="7400"/>
        <w:spacing w:after="0"/>
        <w:rPr>
          <w:sz w:val="20"/>
          <w:szCs w:val="20"/>
          <w:color w:val="auto"/>
        </w:rPr>
      </w:pPr>
      <w:r>
        <w:rPr>
          <w:rFonts w:ascii="Arial" w:cs="Arial" w:eastAsia="Arial" w:hAnsi="Arial"/>
          <w:sz w:val="17"/>
          <w:szCs w:val="17"/>
          <w:b w:val="1"/>
          <w:bCs w:val="1"/>
          <w:color w:val="auto"/>
        </w:rPr>
        <w:t>Nine Months Ended</w:t>
      </w:r>
    </w:p>
    <w:p>
      <w:pPr>
        <w:jc w:val="center"/>
        <w:ind w:left="7400"/>
        <w:spacing w:after="0"/>
        <w:rPr>
          <w:sz w:val="20"/>
          <w:szCs w:val="20"/>
          <w:color w:val="auto"/>
        </w:rPr>
      </w:pPr>
      <w:r>
        <w:rPr>
          <w:rFonts w:ascii="Arial" w:cs="Arial" w:eastAsia="Arial" w:hAnsi="Arial"/>
          <w:sz w:val="17"/>
          <w:szCs w:val="17"/>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2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20" w:type="dxa"/>
            <w:vAlign w:val="bottom"/>
            <w:gridSpan w:val="3"/>
          </w:tcPr>
          <w:p>
            <w:pPr>
              <w:ind w:left="200"/>
              <w:spacing w:after="0"/>
              <w:rPr>
                <w:sz w:val="20"/>
                <w:szCs w:val="20"/>
                <w:color w:val="auto"/>
              </w:rPr>
            </w:pPr>
            <w:r>
              <w:rPr>
                <w:rFonts w:ascii="Arial" w:cs="Arial" w:eastAsia="Arial" w:hAnsi="Arial"/>
                <w:sz w:val="17"/>
                <w:szCs w:val="17"/>
                <w:i w:val="1"/>
                <w:iCs w:val="1"/>
                <w:color w:val="auto"/>
              </w:rPr>
              <w:t>(In millions)</w:t>
            </w: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567.1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400.1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expenditures</w:t>
            </w:r>
          </w:p>
        </w:tc>
        <w:tc>
          <w:tcPr>
            <w:tcW w:w="33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4"/>
              </w:rPr>
              <w:t>(20.8)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w w:val="94"/>
              </w:rPr>
              <w:t>(67.8)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4500" w:type="dxa"/>
            <w:vAlign w:val="bottom"/>
            <w:gridSpan w:val="2"/>
            <w:shd w:val="clear" w:color="auto" w:fill="CCEEFF"/>
          </w:tcPr>
          <w:p>
            <w:pPr>
              <w:jc w:val="right"/>
              <w:ind w:right="99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546.3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332.3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1713"/>
              <w:spacing w:after="0"/>
              <w:rPr>
                <w:sz w:val="20"/>
                <w:szCs w:val="20"/>
                <w:color w:val="auto"/>
              </w:rPr>
            </w:pPr>
            <w:r>
              <w:rPr>
                <w:rFonts w:ascii="Arial" w:cs="Arial" w:eastAsia="Arial" w:hAnsi="Arial"/>
                <w:sz w:val="17"/>
                <w:szCs w:val="17"/>
                <w:color w:val="auto"/>
              </w:rPr>
              <w:t>48</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3"/>
        </w:trPr>
        <w:tc>
          <w:tcPr>
            <w:tcW w:w="42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20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generate revenue from sales of subscriptions to our platform.</w:t>
      </w:r>
    </w:p>
    <w:p>
      <w:pPr>
        <w:spacing w:after="0" w:line="247" w:lineRule="exact"/>
        <w:rPr>
          <w:sz w:val="20"/>
          <w:szCs w:val="20"/>
          <w:color w:val="auto"/>
        </w:rPr>
      </w:pPr>
    </w:p>
    <w:p>
      <w:pPr>
        <w:ind w:right="20" w:firstLine="430"/>
        <w:spacing w:after="0" w:line="266"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201" w:lineRule="exact"/>
        <w:rPr>
          <w:sz w:val="20"/>
          <w:szCs w:val="20"/>
          <w:color w:val="auto"/>
        </w:rPr>
      </w:pPr>
    </w:p>
    <w:p>
      <w:pPr>
        <w:ind w:firstLine="430"/>
        <w:spacing w:after="0" w:line="271" w:lineRule="auto"/>
        <w:rPr>
          <w:sz w:val="20"/>
          <w:szCs w:val="20"/>
          <w:color w:val="auto"/>
        </w:rPr>
      </w:pPr>
      <w:r>
        <w:rPr>
          <w:rFonts w:ascii="Arial" w:cs="Arial" w:eastAsia="Arial" w:hAnsi="Arial"/>
          <w:sz w:val="17"/>
          <w:szCs w:val="17"/>
          <w:color w:val="auto"/>
        </w:rPr>
        <w:t>Our revenue is driven primarily by conversions and upsells to our paid plans. We also generate revenue from transaction-based products and fees from the referral of users to our partners. We generate over 90% of our revenue from self-serve channels. No customer represented more than 1% of our revenue in the periods presented.</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117" w:lineRule="exact"/>
        <w:rPr>
          <w:sz w:val="20"/>
          <w:szCs w:val="20"/>
          <w:color w:val="auto"/>
        </w:rPr>
      </w:pPr>
    </w:p>
    <w:p>
      <w:pPr>
        <w:ind w:right="20" w:firstLine="430"/>
        <w:spacing w:after="0" w:line="277"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 paying</w:t>
      </w:r>
      <w:r>
        <w:rPr>
          <w:rFonts w:ascii="Arial" w:cs="Arial" w:eastAsia="Arial" w:hAnsi="Arial"/>
          <w:sz w:val="16"/>
          <w:szCs w:val="16"/>
          <w:i w:val="1"/>
          <w:iCs w:val="1"/>
          <w:color w:val="auto"/>
        </w:rPr>
        <w:t xml:space="preserve"> </w:t>
      </w:r>
      <w:r>
        <w:rPr>
          <w:rFonts w:ascii="Arial" w:cs="Arial" w:eastAsia="Arial" w:hAnsi="Arial"/>
          <w:sz w:val="16"/>
          <w:szCs w:val="16"/>
          <w:color w:val="auto"/>
        </w:rPr>
        <w:t>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9" w:lineRule="exact"/>
        <w:rPr>
          <w:sz w:val="20"/>
          <w:szCs w:val="20"/>
          <w:color w:val="auto"/>
        </w:rPr>
      </w:pPr>
    </w:p>
    <w:p>
      <w:pPr>
        <w:ind w:right="140" w:firstLine="430"/>
        <w:spacing w:after="0" w:line="286" w:lineRule="auto"/>
        <w:rPr>
          <w:sz w:val="20"/>
          <w:szCs w:val="20"/>
          <w:color w:val="auto"/>
        </w:rPr>
      </w:pPr>
      <w:r>
        <w:rPr>
          <w:rFonts w:ascii="Arial" w:cs="Arial" w:eastAsia="Arial" w:hAnsi="Arial"/>
          <w:sz w:val="17"/>
          <w:szCs w:val="17"/>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85" w:lineRule="exact"/>
        <w:rPr>
          <w:sz w:val="20"/>
          <w:szCs w:val="20"/>
          <w:color w:val="auto"/>
        </w:rPr>
      </w:pPr>
    </w:p>
    <w:p>
      <w:pPr>
        <w:ind w:right="80" w:firstLine="430"/>
        <w:spacing w:after="0" w:line="271"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is gross profit expressed as a percentage of revenue. Our gross margin may fluctuate from period to period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timing of additional capital expenditures and the related depreciation expense, or other increases in our infrastructure costs, as well as revenue fluctuations. We generally expect our gross margin to remain relatively constant in both the near term and the long term.</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7" w:lineRule="exact"/>
        <w:rPr>
          <w:sz w:val="20"/>
          <w:szCs w:val="20"/>
          <w:color w:val="auto"/>
        </w:rPr>
      </w:pPr>
    </w:p>
    <w:p>
      <w:pPr>
        <w:ind w:firstLine="430"/>
        <w:spacing w:after="0" w:line="283"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Our research and development expenses consist primarily of employee-related costs for our engineering, product, and design</w:t>
      </w:r>
      <w:r>
        <w:rPr>
          <w:rFonts w:ascii="Arial" w:cs="Arial" w:eastAsia="Arial" w:hAnsi="Arial"/>
          <w:sz w:val="16"/>
          <w:szCs w:val="16"/>
          <w:i w:val="1"/>
          <w:iCs w:val="1"/>
          <w:color w:val="auto"/>
        </w:rPr>
        <w:t xml:space="preserve"> </w:t>
      </w:r>
      <w:r>
        <w:rPr>
          <w:rFonts w:ascii="Arial" w:cs="Arial" w:eastAsia="Arial" w:hAnsi="Arial"/>
          <w:sz w:val="16"/>
          <w:szCs w:val="16"/>
          <w:color w:val="auto"/>
        </w:rPr>
        <w:t>teams,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spacing w:after="0" w:line="192" w:lineRule="exact"/>
        <w:rPr>
          <w:sz w:val="20"/>
          <w:szCs w:val="20"/>
          <w:color w:val="auto"/>
        </w:rPr>
      </w:pPr>
    </w:p>
    <w:p>
      <w:pPr>
        <w:ind w:right="320" w:firstLine="430"/>
        <w:spacing w:after="0" w:line="319" w:lineRule="auto"/>
        <w:rPr>
          <w:sz w:val="20"/>
          <w:szCs w:val="20"/>
          <w:color w:val="auto"/>
        </w:rPr>
      </w:pPr>
      <w:r>
        <w:rPr>
          <w:rFonts w:ascii="Arial" w:cs="Arial" w:eastAsia="Arial" w:hAnsi="Arial"/>
          <w:sz w:val="16"/>
          <w:szCs w:val="16"/>
          <w:color w:val="auto"/>
        </w:rPr>
        <w:t>We plan to continue hiring employees for our engineering, product, and design teams to support our research and development efforts. We expect that research and development costs will increase in absolute dollars in future periods and fluctuate from period to period as a percentage of revenue.</w:t>
      </w:r>
    </w:p>
    <w:p>
      <w:pPr>
        <w:spacing w:after="0" w:line="162" w:lineRule="exact"/>
        <w:rPr>
          <w:sz w:val="20"/>
          <w:szCs w:val="20"/>
          <w:color w:val="auto"/>
        </w:rPr>
      </w:pPr>
    </w:p>
    <w:p>
      <w:pPr>
        <w:ind w:right="80" w:firstLine="430"/>
        <w:spacing w:after="0" w:line="306"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Our sales and marketing expenses relate to both self-serve and outbound sales activities, and consist primarily of employee-related</w:t>
      </w:r>
      <w:r>
        <w:rPr>
          <w:rFonts w:ascii="Arial" w:cs="Arial" w:eastAsia="Arial" w:hAnsi="Arial"/>
          <w:sz w:val="15"/>
          <w:szCs w:val="15"/>
          <w:i w:val="1"/>
          <w:iCs w:val="1"/>
          <w:color w:val="auto"/>
        </w:rPr>
        <w:t xml:space="preserve"> </w:t>
      </w:r>
      <w:r>
        <w:rPr>
          <w:rFonts w:ascii="Arial" w:cs="Arial" w:eastAsia="Arial" w:hAnsi="Arial"/>
          <w:sz w:val="15"/>
          <w:szCs w:val="15"/>
          <w:color w:val="auto"/>
        </w:rPr>
        <w:t>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120" w:firstLine="430"/>
        <w:spacing w:after="0" w:line="323" w:lineRule="auto"/>
        <w:rPr>
          <w:sz w:val="20"/>
          <w:szCs w:val="20"/>
          <w:color w:val="auto"/>
        </w:rPr>
      </w:pPr>
      <w:r>
        <w:rPr>
          <w:rFonts w:ascii="Arial" w:cs="Arial" w:eastAsia="Arial" w:hAnsi="Arial"/>
          <w:sz w:val="15"/>
          <w:szCs w:val="15"/>
          <w:color w:val="auto"/>
        </w:rPr>
        <w:t>We plan to continue to invest in sales and marketing to grow our user base and increase our brand awareness, including marketing efforts to continue to drive our self-serve business model. We expect that sales and marketing expenses will generally increase in absolute dollars in future periods and fluctuate from period to period as a percentage of revenue. The trend and timing of sales and marketing expenses will depend in part on the timing of marketing campaigns.</w:t>
      </w:r>
    </w:p>
    <w:p>
      <w:pPr>
        <w:spacing w:after="0" w:line="163"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employee-related costs for our legal, finance, human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administrative teams, as well as certain executives. In addition, general and administrative expenses include allocated overhead, outside legal, accounting and other professional fees, and non income-based taxes.</w:t>
      </w:r>
    </w:p>
    <w:p>
      <w:pPr>
        <w:spacing w:after="0" w:line="197" w:lineRule="exact"/>
        <w:rPr>
          <w:sz w:val="20"/>
          <w:szCs w:val="20"/>
          <w:color w:val="auto"/>
        </w:rPr>
      </w:pPr>
    </w:p>
    <w:p>
      <w:pPr>
        <w:ind w:right="80" w:firstLine="430"/>
        <w:spacing w:after="0" w:line="271" w:lineRule="auto"/>
        <w:rPr>
          <w:sz w:val="20"/>
          <w:szCs w:val="20"/>
          <w:color w:val="auto"/>
        </w:rPr>
      </w:pPr>
      <w:r>
        <w:rPr>
          <w:rFonts w:ascii="Arial" w:cs="Arial" w:eastAsia="Arial" w:hAnsi="Arial"/>
          <w:sz w:val="17"/>
          <w:szCs w:val="17"/>
          <w:color w:val="auto"/>
        </w:rPr>
        <w:t>We expect to incur additional general and administrative expenses to support the growth of the Company. General and administrative expenses include the recognition of stock-based compensation expense related to the grant of restricted stock made to our co-founder. We expect that general and administrative expenses will fluctuate in absolute dollars in future periods and will generally decrease as a percentage of revenue.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Interest income (expense), net</w:t>
      </w:r>
    </w:p>
    <w:p>
      <w:pPr>
        <w:spacing w:after="0" w:line="117" w:lineRule="exact"/>
        <w:rPr>
          <w:sz w:val="20"/>
          <w:szCs w:val="20"/>
          <w:color w:val="auto"/>
        </w:rPr>
      </w:pPr>
    </w:p>
    <w:p>
      <w:pPr>
        <w:ind w:right="200" w:firstLine="430"/>
        <w:spacing w:after="0" w:line="319" w:lineRule="auto"/>
        <w:rPr>
          <w:sz w:val="20"/>
          <w:szCs w:val="20"/>
          <w:color w:val="auto"/>
        </w:rPr>
      </w:pPr>
      <w:r>
        <w:rPr>
          <w:rFonts w:ascii="Arial" w:cs="Arial" w:eastAsia="Arial" w:hAnsi="Arial"/>
          <w:sz w:val="16"/>
          <w:szCs w:val="16"/>
          <w:color w:val="auto"/>
        </w:rPr>
        <w:t>Interest income (expense), net consists primarily of interest income earned on our money market funds classified as cash and cash equivalents and short-term investments, partially offset by interest expense related to our finance lease obligations for infrastructure and amortization of debt issuance costs.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17" w:lineRule="exact"/>
        <w:rPr>
          <w:sz w:val="20"/>
          <w:szCs w:val="20"/>
          <w:color w:val="auto"/>
        </w:rPr>
      </w:pPr>
    </w:p>
    <w:p>
      <w:pPr>
        <w:ind w:firstLine="430"/>
        <w:spacing w:after="0" w:line="286" w:lineRule="auto"/>
        <w:rPr>
          <w:sz w:val="20"/>
          <w:szCs w:val="20"/>
          <w:color w:val="auto"/>
        </w:rPr>
      </w:pPr>
      <w:r>
        <w:rPr>
          <w:rFonts w:ascii="Arial" w:cs="Arial" w:eastAsia="Arial" w:hAnsi="Arial"/>
          <w:sz w:val="17"/>
          <w:szCs w:val="17"/>
          <w:color w:val="auto"/>
        </w:rPr>
        <w:t>Other income, net consists of other non-operating gains or losses, including those related to equity investments, lease arrangements, which include sublease income, foreign currency transaction gains and losses, and realized gains and losses related to our short-term investments.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Benefit from (provision for) income taxes</w:t>
      </w:r>
    </w:p>
    <w:p>
      <w:pPr>
        <w:spacing w:after="0" w:line="117" w:lineRule="exact"/>
        <w:rPr>
          <w:sz w:val="20"/>
          <w:szCs w:val="20"/>
          <w:color w:val="auto"/>
        </w:rPr>
      </w:pPr>
    </w:p>
    <w:p>
      <w:pPr>
        <w:ind w:right="60" w:firstLine="430"/>
        <w:spacing w:after="0" w:line="263" w:lineRule="auto"/>
        <w:rPr>
          <w:sz w:val="20"/>
          <w:szCs w:val="20"/>
          <w:color w:val="auto"/>
        </w:rPr>
      </w:pPr>
      <w:r>
        <w:rPr>
          <w:rFonts w:ascii="Arial" w:cs="Arial" w:eastAsia="Arial" w:hAnsi="Arial"/>
          <w:sz w:val="17"/>
          <w:szCs w:val="17"/>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set forth our results of operations for the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00" w:type="dxa"/>
            <w:vAlign w:val="bottom"/>
            <w:gridSpan w:val="4"/>
          </w:tcPr>
          <w:p>
            <w:pPr>
              <w:jc w:val="right"/>
              <w:ind w:right="333"/>
              <w:spacing w:after="0"/>
              <w:rPr>
                <w:sz w:val="20"/>
                <w:szCs w:val="20"/>
                <w:color w:val="auto"/>
              </w:rPr>
            </w:pPr>
            <w:r>
              <w:rPr>
                <w:rFonts w:ascii="Arial" w:cs="Arial" w:eastAsia="Arial" w:hAnsi="Arial"/>
                <w:sz w:val="17"/>
                <w:szCs w:val="17"/>
                <w:b w:val="1"/>
                <w:bCs w:val="1"/>
                <w:color w:val="auto"/>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Arial" w:cs="Arial" w:eastAsia="Arial" w:hAnsi="Arial"/>
                <w:sz w:val="17"/>
                <w:szCs w:val="17"/>
                <w:b w:val="1"/>
                <w:bCs w:val="1"/>
                <w:color w:val="auto"/>
              </w:rPr>
              <w:t>Nine Months Ended</w:t>
            </w:r>
          </w:p>
        </w:tc>
        <w:tc>
          <w:tcPr>
            <w:tcW w:w="1060" w:type="dxa"/>
            <w:vAlign w:val="bottom"/>
          </w:tcPr>
          <w:p>
            <w:pPr>
              <w:spacing w:after="0"/>
              <w:rPr>
                <w:sz w:val="16"/>
                <w:szCs w:val="16"/>
                <w:color w:val="auto"/>
              </w:rPr>
            </w:pPr>
          </w:p>
        </w:tc>
      </w:tr>
      <w:tr>
        <w:trPr>
          <w:trHeight w:val="221"/>
        </w:trPr>
        <w:tc>
          <w:tcPr>
            <w:tcW w:w="39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7"/>
                <w:szCs w:val="17"/>
                <w:b w:val="1"/>
                <w:bCs w:val="1"/>
                <w:color w:val="auto"/>
                <w:w w:val="98"/>
              </w:rPr>
              <w:t>September 30,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tcBorders>
              <w:bottom w:val="single" w:sz="8" w:color="auto"/>
            </w:tcBorders>
          </w:tcPr>
          <w:p>
            <w:pPr>
              <w:spacing w:after="0"/>
              <w:rPr>
                <w:sz w:val="19"/>
                <w:szCs w:val="19"/>
                <w:color w:val="auto"/>
              </w:rPr>
            </w:pPr>
          </w:p>
        </w:tc>
      </w:tr>
      <w:tr>
        <w:trPr>
          <w:trHeight w:val="214"/>
        </w:trPr>
        <w:tc>
          <w:tcPr>
            <w:tcW w:w="396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89"/>
              </w:rPr>
              <w:t>2020</w:t>
            </w:r>
          </w:p>
        </w:tc>
      </w:tr>
      <w:tr>
        <w:trPr>
          <w:trHeight w:val="253"/>
        </w:trPr>
        <w:tc>
          <w:tcPr>
            <w:tcW w:w="3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20" w:type="dxa"/>
            <w:vAlign w:val="bottom"/>
            <w:gridSpan w:val="3"/>
          </w:tcPr>
          <w:p>
            <w:pPr>
              <w:jc w:val="right"/>
              <w:ind w:right="53"/>
              <w:spacing w:after="0"/>
              <w:rPr>
                <w:sz w:val="20"/>
                <w:szCs w:val="20"/>
                <w:color w:val="auto"/>
              </w:rPr>
            </w:pPr>
            <w:r>
              <w:rPr>
                <w:rFonts w:ascii="Arial" w:cs="Arial" w:eastAsia="Arial" w:hAnsi="Arial"/>
                <w:sz w:val="17"/>
                <w:szCs w:val="17"/>
                <w:i w:val="1"/>
                <w:iCs w:val="1"/>
                <w:color w:val="auto"/>
              </w:rPr>
              <w:t>(In millions)</w:t>
            </w: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1"/>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1,409.8</w:t>
            </w:r>
          </w:p>
        </w:tc>
      </w:tr>
      <w:tr>
        <w:trPr>
          <w:trHeight w:val="221"/>
        </w:trPr>
        <w:tc>
          <w:tcPr>
            <w:tcW w:w="3960" w:type="dxa"/>
            <w:vAlign w:val="bottom"/>
            <w:tcBorders>
              <w:bottom w:val="single" w:sz="8" w:color="CCEEFF"/>
            </w:tcBorders>
          </w:tcPr>
          <w:p>
            <w:pPr>
              <w:ind w:left="38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308.8</w:t>
            </w:r>
          </w:p>
        </w:tc>
      </w:tr>
      <w:tr>
        <w:trPr>
          <w:trHeight w:val="214"/>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1,101.0</w:t>
            </w:r>
          </w:p>
        </w:tc>
      </w:tr>
      <w:tr>
        <w:trPr>
          <w:trHeight w:val="221"/>
        </w:trPr>
        <w:tc>
          <w:tcPr>
            <w:tcW w:w="3960" w:type="dxa"/>
            <w:vAlign w:val="bottom"/>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1"/>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550.9</w:t>
            </w:r>
          </w:p>
        </w:tc>
      </w:tr>
      <w:tr>
        <w:trPr>
          <w:trHeight w:val="221"/>
        </w:trPr>
        <w:tc>
          <w:tcPr>
            <w:tcW w:w="396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115.7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105.8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319.2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312.9</w:t>
            </w:r>
          </w:p>
        </w:tc>
      </w:tr>
      <w:tr>
        <w:trPr>
          <w:trHeight w:val="221"/>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167.6</w:t>
            </w:r>
          </w:p>
        </w:tc>
      </w:tr>
      <w:tr>
        <w:trPr>
          <w:trHeight w:val="221"/>
        </w:trPr>
        <w:tc>
          <w:tcPr>
            <w:tcW w:w="3960" w:type="dxa"/>
            <w:vAlign w:val="bottom"/>
          </w:tcPr>
          <w:p>
            <w:pPr>
              <w:ind w:left="340"/>
              <w:spacing w:after="0"/>
              <w:rPr>
                <w:sz w:val="20"/>
                <w:szCs w:val="20"/>
                <w:color w:val="auto"/>
              </w:rPr>
            </w:pPr>
            <w:r>
              <w:rPr>
                <w:rFonts w:ascii="Arial" w:cs="Arial" w:eastAsia="Arial" w:hAnsi="Arial"/>
                <w:sz w:val="17"/>
                <w:szCs w:val="17"/>
                <w:color w:val="auto"/>
              </w:rPr>
              <w:t>Impairment related to real estate assets</w:t>
            </w: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360.9</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354.2</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1,059.8</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1,031.4</w:t>
            </w:r>
          </w:p>
        </w:tc>
      </w:tr>
      <w:tr>
        <w:trPr>
          <w:trHeight w:val="221"/>
        </w:trPr>
        <w:tc>
          <w:tcPr>
            <w:tcW w:w="396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77.3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204.2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69.6</w:t>
            </w:r>
          </w:p>
        </w:tc>
      </w:tr>
      <w:tr>
        <w:trPr>
          <w:trHeight w:val="221"/>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21"/>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r>
      <w:tr>
        <w:trPr>
          <w:trHeight w:val="214"/>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w:t>
            </w:r>
          </w:p>
        </w:tc>
      </w:tr>
      <w:tr>
        <w:trPr>
          <w:trHeight w:val="221"/>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r>
      <w:tr>
        <w:trPr>
          <w:trHeight w:val="239"/>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211.2</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140" w:hanging="136"/>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Includes stock-based compensation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40" w:type="dxa"/>
            <w:vAlign w:val="bottom"/>
            <w:gridSpan w:val="4"/>
          </w:tcPr>
          <w:p>
            <w:pPr>
              <w:jc w:val="right"/>
              <w:ind w:right="373"/>
              <w:spacing w:after="0"/>
              <w:rPr>
                <w:sz w:val="20"/>
                <w:szCs w:val="20"/>
                <w:color w:val="auto"/>
              </w:rPr>
            </w:pPr>
            <w:r>
              <w:rPr>
                <w:rFonts w:ascii="Arial" w:cs="Arial" w:eastAsia="Arial" w:hAnsi="Arial"/>
                <w:sz w:val="17"/>
                <w:szCs w:val="17"/>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b w:val="1"/>
                <w:bCs w:val="1"/>
                <w:color w:val="auto"/>
                <w:w w:val="93"/>
              </w:rPr>
              <w:t>Nine Months Ended</w:t>
            </w:r>
          </w:p>
        </w:tc>
        <w:tc>
          <w:tcPr>
            <w:tcW w:w="1060" w:type="dxa"/>
            <w:vAlign w:val="bottom"/>
          </w:tcPr>
          <w:p>
            <w:pPr>
              <w:spacing w:after="0"/>
              <w:rPr>
                <w:sz w:val="16"/>
                <w:szCs w:val="16"/>
                <w:color w:val="auto"/>
              </w:rPr>
            </w:pPr>
          </w:p>
        </w:tc>
      </w:tr>
      <w:tr>
        <w:trPr>
          <w:trHeight w:val="221"/>
        </w:trPr>
        <w:tc>
          <w:tcPr>
            <w:tcW w:w="39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7"/>
                <w:szCs w:val="17"/>
                <w:b w:val="1"/>
                <w:bCs w:val="1"/>
                <w:color w:val="auto"/>
                <w:w w:val="98"/>
              </w:rPr>
              <w:t>September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tcBorders>
              <w:bottom w:val="single" w:sz="8" w:color="auto"/>
            </w:tcBorders>
          </w:tcPr>
          <w:p>
            <w:pPr>
              <w:spacing w:after="0"/>
              <w:rPr>
                <w:sz w:val="19"/>
                <w:szCs w:val="19"/>
                <w:color w:val="auto"/>
              </w:rPr>
            </w:pPr>
          </w:p>
        </w:tc>
      </w:tr>
      <w:tr>
        <w:trPr>
          <w:trHeight w:val="214"/>
        </w:trPr>
        <w:tc>
          <w:tcPr>
            <w:tcW w:w="396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89"/>
              </w:rPr>
              <w:t>2020</w:t>
            </w:r>
          </w:p>
        </w:tc>
      </w:tr>
      <w:tr>
        <w:trPr>
          <w:trHeight w:val="253"/>
        </w:trPr>
        <w:tc>
          <w:tcPr>
            <w:tcW w:w="3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80" w:type="dxa"/>
            <w:vAlign w:val="bottom"/>
            <w:gridSpan w:val="3"/>
          </w:tcPr>
          <w:p>
            <w:pPr>
              <w:jc w:val="right"/>
              <w:ind w:right="553"/>
              <w:spacing w:after="0"/>
              <w:rPr>
                <w:sz w:val="20"/>
                <w:szCs w:val="20"/>
                <w:color w:val="auto"/>
              </w:rPr>
            </w:pPr>
            <w:r>
              <w:rPr>
                <w:rFonts w:ascii="Arial" w:cs="Arial" w:eastAsia="Arial" w:hAnsi="Arial"/>
                <w:sz w:val="17"/>
                <w:szCs w:val="17"/>
                <w:i w:val="1"/>
                <w:iCs w:val="1"/>
                <w:color w:val="auto"/>
              </w:rPr>
              <w:t>(In millions)</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1"/>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21"/>
        </w:trPr>
        <w:tc>
          <w:tcPr>
            <w:tcW w:w="396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48.7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46.9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141.7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131.1</w:t>
            </w:r>
          </w:p>
        </w:tc>
      </w:tr>
      <w:tr>
        <w:trPr>
          <w:trHeight w:val="221"/>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r>
      <w:tr>
        <w:trPr>
          <w:trHeight w:val="221"/>
        </w:trPr>
        <w:tc>
          <w:tcPr>
            <w:tcW w:w="3960" w:type="dxa"/>
            <w:vAlign w:val="bottom"/>
            <w:tcBorders>
              <w:bottom w:val="single" w:sz="8" w:color="CCEEFF"/>
            </w:tcBorders>
          </w:tcPr>
          <w:p>
            <w:pPr>
              <w:ind w:left="340"/>
              <w:spacing w:after="0" w:line="22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(2)</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r>
      <w:tr>
        <w:trPr>
          <w:trHeight w:val="239"/>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214.6</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192.1</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right="100" w:firstLine="4"/>
        <w:spacing w:after="0" w:line="288" w:lineRule="auto"/>
        <w:tabs>
          <w:tab w:leader="none" w:pos="144"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(Deficit) Equity" for further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95"/>
        </w:trPr>
        <w:tc>
          <w:tcPr>
            <w:tcW w:w="4960" w:type="dxa"/>
            <w:vAlign w:val="bottom"/>
            <w:gridSpan w:val="4"/>
          </w:tcPr>
          <w:p>
            <w:pPr>
              <w:spacing w:after="0"/>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Table of Contents</w:t>
              </w:r>
            </w:hyperlink>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61"/>
        </w:trPr>
        <w:tc>
          <w:tcPr>
            <w:tcW w:w="8640" w:type="dxa"/>
            <w:vAlign w:val="bottom"/>
            <w:gridSpan w:val="10"/>
          </w:tcPr>
          <w:p>
            <w:pPr>
              <w:ind w:left="400"/>
              <w:spacing w:after="0"/>
              <w:rPr>
                <w:sz w:val="20"/>
                <w:szCs w:val="20"/>
                <w:color w:val="auto"/>
              </w:rPr>
            </w:pPr>
            <w:r>
              <w:rPr>
                <w:rFonts w:ascii="Arial" w:cs="Arial" w:eastAsia="Arial" w:hAnsi="Arial"/>
                <w:sz w:val="17"/>
                <w:szCs w:val="17"/>
                <w:color w:val="auto"/>
                <w:w w:val="94"/>
              </w:rPr>
              <w:t>The following table sets forth our results of operations for each of the periods presented as a percentage of revenue: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9"/>
        </w:trPr>
        <w:tc>
          <w:tcPr>
            <w:tcW w:w="1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4"/>
          </w:tcPr>
          <w:p>
            <w:pPr>
              <w:jc w:val="center"/>
              <w:ind w:left="573"/>
              <w:spacing w:after="0"/>
              <w:rPr>
                <w:sz w:val="20"/>
                <w:szCs w:val="20"/>
                <w:color w:val="auto"/>
              </w:rPr>
            </w:pPr>
            <w:r>
              <w:rPr>
                <w:rFonts w:ascii="Arial" w:cs="Arial" w:eastAsia="Arial" w:hAnsi="Arial"/>
                <w:sz w:val="17"/>
                <w:szCs w:val="17"/>
                <w:b w:val="1"/>
                <w:bCs w:val="1"/>
                <w:color w:val="auto"/>
                <w:w w:val="93"/>
              </w:rPr>
              <w:t>Three Months Ended</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Nine Months Ended</w:t>
            </w:r>
          </w:p>
        </w:tc>
        <w:tc>
          <w:tcPr>
            <w:tcW w:w="1080" w:type="dxa"/>
            <w:vAlign w:val="bottom"/>
          </w:tcPr>
          <w:p>
            <w:pPr>
              <w:spacing w:after="0"/>
              <w:rPr>
                <w:sz w:val="24"/>
                <w:szCs w:val="24"/>
                <w:color w:val="auto"/>
              </w:rPr>
            </w:pPr>
          </w:p>
        </w:tc>
      </w:tr>
      <w:tr>
        <w:trPr>
          <w:trHeight w:val="221"/>
        </w:trPr>
        <w:tc>
          <w:tcPr>
            <w:tcW w:w="13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ind w:right="433"/>
              <w:spacing w:after="0"/>
              <w:rPr>
                <w:sz w:val="20"/>
                <w:szCs w:val="20"/>
                <w:color w:val="auto"/>
              </w:rPr>
            </w:pPr>
            <w:r>
              <w:rPr>
                <w:rFonts w:ascii="Arial" w:cs="Arial" w:eastAsia="Arial" w:hAnsi="Arial"/>
                <w:sz w:val="17"/>
                <w:szCs w:val="17"/>
                <w:b w:val="1"/>
                <w:bCs w:val="1"/>
                <w:color w:val="auto"/>
                <w:w w:val="91"/>
              </w:rPr>
              <w:t>September 30,</w:t>
            </w: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b w:val="1"/>
                <w:bCs w:val="1"/>
                <w:color w:val="auto"/>
                <w:w w:val="91"/>
              </w:rPr>
              <w:t>September 30,</w:t>
            </w:r>
          </w:p>
        </w:tc>
        <w:tc>
          <w:tcPr>
            <w:tcW w:w="1080" w:type="dxa"/>
            <w:vAlign w:val="bottom"/>
            <w:tcBorders>
              <w:bottom w:val="single" w:sz="8" w:color="auto"/>
            </w:tcBorders>
          </w:tcPr>
          <w:p>
            <w:pPr>
              <w:spacing w:after="0"/>
              <w:rPr>
                <w:sz w:val="19"/>
                <w:szCs w:val="19"/>
                <w:color w:val="auto"/>
              </w:rPr>
            </w:pPr>
          </w:p>
        </w:tc>
      </w:tr>
      <w:tr>
        <w:trPr>
          <w:trHeight w:val="214"/>
        </w:trPr>
        <w:tc>
          <w:tcPr>
            <w:tcW w:w="3760" w:type="dxa"/>
            <w:vAlign w:val="bottom"/>
            <w:gridSpan w:val="2"/>
          </w:tcPr>
          <w:p>
            <w:pPr>
              <w:spacing w:after="0"/>
              <w:rPr>
                <w:sz w:val="18"/>
                <w:szCs w:val="18"/>
                <w:color w:val="auto"/>
              </w:rPr>
            </w:pPr>
          </w:p>
        </w:tc>
        <w:tc>
          <w:tcPr>
            <w:tcW w:w="12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w w:val="89"/>
              </w:rPr>
              <w:t>2020</w:t>
            </w:r>
          </w:p>
        </w:tc>
      </w:tr>
      <w:tr>
        <w:trPr>
          <w:trHeight w:val="253"/>
        </w:trPr>
        <w:tc>
          <w:tcPr>
            <w:tcW w:w="13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60" w:type="dxa"/>
            <w:vAlign w:val="bottom"/>
            <w:gridSpan w:val="3"/>
          </w:tcPr>
          <w:p>
            <w:pPr>
              <w:jc w:val="right"/>
              <w:ind w:right="373"/>
              <w:spacing w:after="0"/>
              <w:rPr>
                <w:sz w:val="20"/>
                <w:szCs w:val="20"/>
                <w:color w:val="auto"/>
              </w:rPr>
            </w:pPr>
            <w:r>
              <w:rPr>
                <w:rFonts w:ascii="Arial" w:cs="Arial" w:eastAsia="Arial" w:hAnsi="Arial"/>
                <w:sz w:val="17"/>
                <w:szCs w:val="17"/>
                <w:i w:val="1"/>
                <w:iCs w:val="1"/>
                <w:color w:val="auto"/>
                <w:w w:val="91"/>
              </w:rPr>
              <w:t>(As a % of revenue)</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1"/>
        </w:trPr>
        <w:tc>
          <w:tcPr>
            <w:tcW w:w="49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21"/>
        </w:trPr>
        <w:tc>
          <w:tcPr>
            <w:tcW w:w="4960" w:type="dxa"/>
            <w:vAlign w:val="bottom"/>
            <w:gridSpan w:val="4"/>
          </w:tcPr>
          <w:p>
            <w:pPr>
              <w:ind w:left="38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7"/>
                <w:szCs w:val="17"/>
                <w:color w:val="auto"/>
              </w:rPr>
              <w:t>22</w:t>
            </w:r>
          </w:p>
        </w:tc>
      </w:tr>
      <w:tr>
        <w:trPr>
          <w:trHeight w:val="214"/>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79</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78</w:t>
            </w:r>
          </w:p>
        </w:tc>
      </w:tr>
      <w:tr>
        <w:trPr>
          <w:trHeight w:val="221"/>
        </w:trPr>
        <w:tc>
          <w:tcPr>
            <w:tcW w:w="4960" w:type="dxa"/>
            <w:vAlign w:val="bottom"/>
            <w:gridSpan w:val="4"/>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1"/>
        </w:trPr>
        <w:tc>
          <w:tcPr>
            <w:tcW w:w="49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39</w:t>
            </w:r>
          </w:p>
        </w:tc>
      </w:tr>
      <w:tr>
        <w:trPr>
          <w:trHeight w:val="221"/>
        </w:trPr>
        <w:tc>
          <w:tcPr>
            <w:tcW w:w="4960" w:type="dxa"/>
            <w:vAlign w:val="bottom"/>
            <w:gridSpan w:val="4"/>
          </w:tcPr>
          <w:p>
            <w:pPr>
              <w:ind w:left="340"/>
              <w:spacing w:after="0"/>
              <w:rPr>
                <w:sz w:val="20"/>
                <w:szCs w:val="20"/>
                <w:color w:val="auto"/>
              </w:rPr>
            </w:pPr>
            <w:r>
              <w:rPr>
                <w:rFonts w:ascii="Arial" w:cs="Arial" w:eastAsia="Arial" w:hAnsi="Arial"/>
                <w:sz w:val="17"/>
                <w:szCs w:val="17"/>
                <w:color w:val="auto"/>
              </w:rPr>
              <w:t>Sales and marketing</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7"/>
                <w:szCs w:val="17"/>
                <w:color w:val="auto"/>
              </w:rPr>
              <w:t>22</w:t>
            </w:r>
          </w:p>
        </w:tc>
      </w:tr>
      <w:tr>
        <w:trPr>
          <w:trHeight w:val="221"/>
        </w:trPr>
        <w:tc>
          <w:tcPr>
            <w:tcW w:w="49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12</w:t>
            </w:r>
          </w:p>
        </w:tc>
      </w:tr>
      <w:tr>
        <w:trPr>
          <w:trHeight w:val="221"/>
        </w:trPr>
        <w:tc>
          <w:tcPr>
            <w:tcW w:w="4960" w:type="dxa"/>
            <w:vAlign w:val="bottom"/>
            <w:gridSpan w:val="4"/>
          </w:tcPr>
          <w:p>
            <w:pPr>
              <w:ind w:left="340"/>
              <w:spacing w:after="0"/>
              <w:rPr>
                <w:sz w:val="20"/>
                <w:szCs w:val="20"/>
                <w:color w:val="auto"/>
              </w:rPr>
            </w:pPr>
            <w:r>
              <w:rPr>
                <w:rFonts w:ascii="Arial" w:cs="Arial" w:eastAsia="Arial" w:hAnsi="Arial"/>
                <w:sz w:val="17"/>
                <w:szCs w:val="17"/>
                <w:color w:val="auto"/>
              </w:rPr>
              <w:t>Impairment related to real estate assets</w:t>
            </w:r>
          </w:p>
        </w:tc>
        <w:tc>
          <w:tcPr>
            <w:tcW w:w="1820" w:type="dxa"/>
            <w:vAlign w:val="bottom"/>
            <w:gridSpan w:val="3"/>
          </w:tcPr>
          <w:p>
            <w:pPr>
              <w:jc w:val="right"/>
              <w:ind w:right="1353"/>
              <w:spacing w:after="0"/>
              <w:rPr>
                <w:sz w:val="20"/>
                <w:szCs w:val="20"/>
                <w:color w:val="auto"/>
              </w:rPr>
            </w:pPr>
            <w:r>
              <w:rPr>
                <w:rFonts w:ascii="Arial" w:cs="Arial" w:eastAsia="Arial" w:hAnsi="Arial"/>
                <w:sz w:val="17"/>
                <w:szCs w:val="17"/>
                <w:color w:val="auto"/>
              </w:rPr>
              <w:t>—</w:t>
            </w:r>
          </w:p>
        </w:tc>
        <w:tc>
          <w:tcPr>
            <w:tcW w:w="1860" w:type="dxa"/>
            <w:vAlign w:val="bottom"/>
            <w:gridSpan w:val="3"/>
          </w:tcPr>
          <w:p>
            <w:pPr>
              <w:jc w:val="right"/>
              <w:ind w:right="1313"/>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7"/>
                <w:szCs w:val="17"/>
                <w:color w:val="auto"/>
              </w:rPr>
              <w:t>—</w:t>
            </w:r>
          </w:p>
        </w:tc>
      </w:tr>
      <w:tr>
        <w:trPr>
          <w:trHeight w:val="214"/>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73</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68</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73</w:t>
            </w:r>
          </w:p>
        </w:tc>
      </w:tr>
      <w:tr>
        <w:trPr>
          <w:trHeight w:val="221"/>
        </w:trPr>
        <w:tc>
          <w:tcPr>
            <w:tcW w:w="4960" w:type="dxa"/>
            <w:vAlign w:val="bottom"/>
            <w:gridSpan w:val="4"/>
          </w:tcPr>
          <w:p>
            <w:pPr>
              <w:ind w:left="20"/>
              <w:spacing w:after="0"/>
              <w:rPr>
                <w:sz w:val="20"/>
                <w:szCs w:val="20"/>
                <w:color w:val="auto"/>
              </w:rPr>
            </w:pPr>
            <w:r>
              <w:rPr>
                <w:rFonts w:ascii="Arial" w:cs="Arial" w:eastAsia="Arial" w:hAnsi="Arial"/>
                <w:sz w:val="17"/>
                <w:szCs w:val="17"/>
                <w:color w:val="auto"/>
              </w:rPr>
              <w:t>Income from operations</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7"/>
                <w:szCs w:val="17"/>
                <w:color w:val="auto"/>
              </w:rPr>
              <w:t>5</w:t>
            </w:r>
          </w:p>
        </w:tc>
      </w:tr>
      <w:tr>
        <w:trPr>
          <w:trHeight w:val="221"/>
        </w:trPr>
        <w:tc>
          <w:tcPr>
            <w:tcW w:w="49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820" w:type="dxa"/>
            <w:vAlign w:val="bottom"/>
            <w:gridSpan w:val="3"/>
            <w:shd w:val="clear" w:color="auto" w:fill="CCEEFF"/>
          </w:tcPr>
          <w:p>
            <w:pPr>
              <w:jc w:val="right"/>
              <w:ind w:right="1353"/>
              <w:spacing w:after="0"/>
              <w:rPr>
                <w:sz w:val="20"/>
                <w:szCs w:val="20"/>
                <w:color w:val="auto"/>
              </w:rPr>
            </w:pPr>
            <w:r>
              <w:rPr>
                <w:rFonts w:ascii="Arial" w:cs="Arial" w:eastAsia="Arial" w:hAnsi="Arial"/>
                <w:sz w:val="17"/>
                <w:szCs w:val="17"/>
                <w:color w:val="auto"/>
              </w:rPr>
              <w:t>—</w:t>
            </w:r>
          </w:p>
        </w:tc>
        <w:tc>
          <w:tcPr>
            <w:tcW w:w="1860" w:type="dxa"/>
            <w:vAlign w:val="bottom"/>
            <w:gridSpan w:val="3"/>
            <w:shd w:val="clear" w:color="auto" w:fill="CCEEFF"/>
          </w:tcPr>
          <w:p>
            <w:pPr>
              <w:jc w:val="right"/>
              <w:ind w:right="1313"/>
              <w:spacing w:after="0"/>
              <w:rPr>
                <w:sz w:val="20"/>
                <w:szCs w:val="20"/>
                <w:color w:val="auto"/>
              </w:rPr>
            </w:pPr>
            <w:r>
              <w:rPr>
                <w:rFonts w:ascii="Arial" w:cs="Arial" w:eastAsia="Arial" w:hAnsi="Arial"/>
                <w:sz w:val="17"/>
                <w:szCs w:val="17"/>
                <w:color w:val="auto"/>
              </w:rPr>
              <w:t>—</w:t>
            </w:r>
          </w:p>
        </w:tc>
        <w:tc>
          <w:tcPr>
            <w:tcW w:w="1520" w:type="dxa"/>
            <w:vAlign w:val="bottom"/>
            <w:gridSpan w:val="3"/>
            <w:shd w:val="clear" w:color="auto" w:fill="CCEEFF"/>
          </w:tcPr>
          <w:p>
            <w:pPr>
              <w:jc w:val="right"/>
              <w:ind w:right="10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r>
      <w:tr>
        <w:trPr>
          <w:trHeight w:val="221"/>
        </w:trPr>
        <w:tc>
          <w:tcPr>
            <w:tcW w:w="4960" w:type="dxa"/>
            <w:vAlign w:val="bottom"/>
            <w:gridSpan w:val="4"/>
          </w:tcPr>
          <w:p>
            <w:pPr>
              <w:ind w:left="20"/>
              <w:spacing w:after="0"/>
              <w:rPr>
                <w:sz w:val="20"/>
                <w:szCs w:val="20"/>
                <w:color w:val="auto"/>
              </w:rPr>
            </w:pPr>
            <w:r>
              <w:rPr>
                <w:rFonts w:ascii="Arial" w:cs="Arial" w:eastAsia="Arial" w:hAnsi="Arial"/>
                <w:sz w:val="17"/>
                <w:szCs w:val="17"/>
                <w:color w:val="auto"/>
              </w:rPr>
              <w:t>Other income, net</w:t>
            </w:r>
          </w:p>
        </w:tc>
        <w:tc>
          <w:tcPr>
            <w:tcW w:w="1820" w:type="dxa"/>
            <w:vAlign w:val="bottom"/>
            <w:gridSpan w:val="3"/>
          </w:tcPr>
          <w:p>
            <w:pPr>
              <w:jc w:val="right"/>
              <w:ind w:right="1353"/>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7"/>
                <w:szCs w:val="17"/>
                <w:color w:val="auto"/>
              </w:rPr>
              <w:t>2</w:t>
            </w:r>
          </w:p>
        </w:tc>
      </w:tr>
      <w:tr>
        <w:trPr>
          <w:trHeight w:val="214"/>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7</w:t>
            </w:r>
          </w:p>
        </w:tc>
      </w:tr>
      <w:tr>
        <w:trPr>
          <w:trHeight w:val="221"/>
        </w:trPr>
        <w:tc>
          <w:tcPr>
            <w:tcW w:w="4960" w:type="dxa"/>
            <w:vAlign w:val="bottom"/>
            <w:gridSpan w:val="4"/>
          </w:tcPr>
          <w:p>
            <w:pPr>
              <w:ind w:left="20"/>
              <w:spacing w:after="0"/>
              <w:rPr>
                <w:sz w:val="20"/>
                <w:szCs w:val="20"/>
                <w:color w:val="auto"/>
              </w:rPr>
            </w:pPr>
            <w:r>
              <w:rPr>
                <w:rFonts w:ascii="Arial" w:cs="Arial" w:eastAsia="Arial" w:hAnsi="Arial"/>
                <w:sz w:val="17"/>
                <w:szCs w:val="17"/>
                <w:color w:val="auto"/>
              </w:rPr>
              <w:t>Provision for income taxes</w:t>
            </w:r>
          </w:p>
        </w:tc>
        <w:tc>
          <w:tcPr>
            <w:tcW w:w="1820" w:type="dxa"/>
            <w:vAlign w:val="bottom"/>
            <w:gridSpan w:val="3"/>
          </w:tcPr>
          <w:p>
            <w:pPr>
              <w:jc w:val="right"/>
              <w:ind w:right="1353"/>
              <w:spacing w:after="0"/>
              <w:rPr>
                <w:sz w:val="20"/>
                <w:szCs w:val="20"/>
                <w:color w:val="auto"/>
              </w:rPr>
            </w:pPr>
            <w:r>
              <w:rPr>
                <w:rFonts w:ascii="Arial" w:cs="Arial" w:eastAsia="Arial" w:hAnsi="Arial"/>
                <w:sz w:val="17"/>
                <w:szCs w:val="17"/>
                <w:color w:val="auto"/>
              </w:rPr>
              <w:t>—</w:t>
            </w:r>
          </w:p>
        </w:tc>
        <w:tc>
          <w:tcPr>
            <w:tcW w:w="1860" w:type="dxa"/>
            <w:vAlign w:val="bottom"/>
            <w:gridSpan w:val="3"/>
          </w:tcPr>
          <w:p>
            <w:pPr>
              <w:jc w:val="right"/>
              <w:ind w:right="1313"/>
              <w:spacing w:after="0"/>
              <w:rPr>
                <w:sz w:val="20"/>
                <w:szCs w:val="20"/>
                <w:color w:val="auto"/>
              </w:rPr>
            </w:pPr>
            <w:r>
              <w:rPr>
                <w:rFonts w:ascii="Arial" w:cs="Arial" w:eastAsia="Arial" w:hAnsi="Arial"/>
                <w:sz w:val="17"/>
                <w:szCs w:val="17"/>
                <w:color w:val="auto"/>
              </w:rPr>
              <w:t>—</w:t>
            </w:r>
          </w:p>
        </w:tc>
        <w:tc>
          <w:tcPr>
            <w:tcW w:w="1520" w:type="dxa"/>
            <w:vAlign w:val="bottom"/>
            <w:gridSpan w:val="3"/>
          </w:tcPr>
          <w:p>
            <w:pPr>
              <w:jc w:val="right"/>
              <w:ind w:right="104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3"/>
              <w:spacing w:after="0"/>
              <w:rPr>
                <w:sz w:val="20"/>
                <w:szCs w:val="20"/>
                <w:color w:val="auto"/>
              </w:rPr>
            </w:pPr>
            <w:r>
              <w:rPr>
                <w:rFonts w:ascii="Arial" w:cs="Arial" w:eastAsia="Arial" w:hAnsi="Arial"/>
                <w:sz w:val="17"/>
                <w:szCs w:val="17"/>
                <w:color w:val="auto"/>
              </w:rPr>
              <w:t>—</w:t>
            </w:r>
          </w:p>
        </w:tc>
      </w:tr>
      <w:tr>
        <w:trPr>
          <w:trHeight w:val="239"/>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6 %</w:t>
            </w:r>
          </w:p>
        </w:tc>
      </w:tr>
      <w:tr>
        <w:trPr>
          <w:trHeight w:val="20"/>
        </w:trPr>
        <w:tc>
          <w:tcPr>
            <w:tcW w:w="37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42"/>
        </w:trPr>
        <w:tc>
          <w:tcPr>
            <w:tcW w:w="4960" w:type="dxa"/>
            <w:vAlign w:val="bottom"/>
            <w:gridSpan w:val="4"/>
          </w:tcPr>
          <w:p>
            <w:pPr>
              <w:spacing w:after="0"/>
              <w:rPr>
                <w:sz w:val="20"/>
                <w:szCs w:val="20"/>
                <w:color w:val="auto"/>
              </w:rPr>
            </w:pPr>
            <w:r>
              <w:rPr>
                <w:rFonts w:ascii="Arial" w:cs="Arial" w:eastAsia="Arial" w:hAnsi="Arial"/>
                <w:sz w:val="20"/>
                <w:szCs w:val="20"/>
                <w:color w:val="auto"/>
                <w:w w:val="89"/>
                <w:vertAlign w:val="superscript"/>
              </w:rPr>
              <w:t>(1)</w:t>
            </w:r>
            <w:r>
              <w:rPr>
                <w:rFonts w:ascii="Arial" w:cs="Arial" w:eastAsia="Arial" w:hAnsi="Arial"/>
                <w:sz w:val="16"/>
                <w:szCs w:val="16"/>
                <w:color w:val="auto"/>
                <w:w w:val="89"/>
              </w:rPr>
              <w:t xml:space="preserve"> Includes stock-based compensation as a percentage of revenue as follows: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5"/>
        </w:trPr>
        <w:tc>
          <w:tcPr>
            <w:tcW w:w="1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4"/>
          </w:tcPr>
          <w:p>
            <w:pPr>
              <w:jc w:val="center"/>
              <w:ind w:left="573"/>
              <w:spacing w:after="0"/>
              <w:rPr>
                <w:sz w:val="20"/>
                <w:szCs w:val="20"/>
                <w:color w:val="auto"/>
              </w:rPr>
            </w:pPr>
            <w:r>
              <w:rPr>
                <w:rFonts w:ascii="Arial" w:cs="Arial" w:eastAsia="Arial" w:hAnsi="Arial"/>
                <w:sz w:val="17"/>
                <w:szCs w:val="17"/>
                <w:b w:val="1"/>
                <w:bCs w:val="1"/>
                <w:color w:val="auto"/>
                <w:w w:val="93"/>
              </w:rPr>
              <w:t>Three Months Ended</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Nine Months Ended</w:t>
            </w:r>
          </w:p>
        </w:tc>
        <w:tc>
          <w:tcPr>
            <w:tcW w:w="1080" w:type="dxa"/>
            <w:vAlign w:val="bottom"/>
          </w:tcPr>
          <w:p>
            <w:pPr>
              <w:spacing w:after="0"/>
              <w:rPr>
                <w:sz w:val="24"/>
                <w:szCs w:val="24"/>
                <w:color w:val="auto"/>
              </w:rPr>
            </w:pPr>
          </w:p>
        </w:tc>
      </w:tr>
      <w:tr>
        <w:trPr>
          <w:trHeight w:val="221"/>
        </w:trPr>
        <w:tc>
          <w:tcPr>
            <w:tcW w:w="13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ind w:right="433"/>
              <w:spacing w:after="0"/>
              <w:rPr>
                <w:sz w:val="20"/>
                <w:szCs w:val="20"/>
                <w:color w:val="auto"/>
              </w:rPr>
            </w:pPr>
            <w:r>
              <w:rPr>
                <w:rFonts w:ascii="Arial" w:cs="Arial" w:eastAsia="Arial" w:hAnsi="Arial"/>
                <w:sz w:val="17"/>
                <w:szCs w:val="17"/>
                <w:b w:val="1"/>
                <w:bCs w:val="1"/>
                <w:color w:val="auto"/>
                <w:w w:val="91"/>
              </w:rPr>
              <w:t>September 30,</w:t>
            </w: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b w:val="1"/>
                <w:bCs w:val="1"/>
                <w:color w:val="auto"/>
                <w:w w:val="91"/>
              </w:rPr>
              <w:t>September 30,</w:t>
            </w:r>
          </w:p>
        </w:tc>
        <w:tc>
          <w:tcPr>
            <w:tcW w:w="1080" w:type="dxa"/>
            <w:vAlign w:val="bottom"/>
            <w:tcBorders>
              <w:bottom w:val="single" w:sz="8" w:color="auto"/>
            </w:tcBorders>
          </w:tcPr>
          <w:p>
            <w:pPr>
              <w:spacing w:after="0"/>
              <w:rPr>
                <w:sz w:val="19"/>
                <w:szCs w:val="19"/>
                <w:color w:val="auto"/>
              </w:rPr>
            </w:pPr>
          </w:p>
        </w:tc>
      </w:tr>
      <w:tr>
        <w:trPr>
          <w:trHeight w:val="214"/>
        </w:trPr>
        <w:tc>
          <w:tcPr>
            <w:tcW w:w="3780" w:type="dxa"/>
            <w:vAlign w:val="bottom"/>
            <w:gridSpan w:val="3"/>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w w:val="89"/>
              </w:rPr>
              <w:t>2020</w:t>
            </w:r>
          </w:p>
        </w:tc>
      </w:tr>
      <w:tr>
        <w:trPr>
          <w:trHeight w:val="253"/>
        </w:trPr>
        <w:tc>
          <w:tcPr>
            <w:tcW w:w="13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60" w:type="dxa"/>
            <w:vAlign w:val="bottom"/>
            <w:gridSpan w:val="3"/>
          </w:tcPr>
          <w:p>
            <w:pPr>
              <w:jc w:val="right"/>
              <w:ind w:right="353"/>
              <w:spacing w:after="0"/>
              <w:rPr>
                <w:sz w:val="20"/>
                <w:szCs w:val="20"/>
                <w:color w:val="auto"/>
              </w:rPr>
            </w:pPr>
            <w:r>
              <w:rPr>
                <w:rFonts w:ascii="Arial" w:cs="Arial" w:eastAsia="Arial" w:hAnsi="Arial"/>
                <w:sz w:val="17"/>
                <w:szCs w:val="17"/>
                <w:i w:val="1"/>
                <w:iCs w:val="1"/>
                <w:color w:val="auto"/>
                <w:w w:val="93"/>
              </w:rPr>
              <w:t>(As a % of revenue)</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1"/>
        </w:trPr>
        <w:tc>
          <w:tcPr>
            <w:tcW w:w="49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r>
      <w:tr>
        <w:trPr>
          <w:trHeight w:val="221"/>
        </w:trPr>
        <w:tc>
          <w:tcPr>
            <w:tcW w:w="4960" w:type="dxa"/>
            <w:vAlign w:val="bottom"/>
            <w:gridSpan w:val="4"/>
          </w:tcPr>
          <w:p>
            <w:pPr>
              <w:ind w:left="340"/>
              <w:spacing w:after="0"/>
              <w:rPr>
                <w:sz w:val="20"/>
                <w:szCs w:val="20"/>
                <w:color w:val="auto"/>
              </w:rPr>
            </w:pPr>
            <w:r>
              <w:rPr>
                <w:rFonts w:ascii="Arial" w:cs="Arial" w:eastAsia="Arial" w:hAnsi="Arial"/>
                <w:sz w:val="17"/>
                <w:szCs w:val="17"/>
                <w:color w:val="auto"/>
              </w:rPr>
              <w:t>Research and development</w:t>
            </w:r>
          </w:p>
        </w:tc>
        <w:tc>
          <w:tcPr>
            <w:tcW w:w="600" w:type="dxa"/>
            <w:vAlign w:val="bottom"/>
          </w:tcPr>
          <w:p>
            <w:pPr>
              <w:jc w:val="right"/>
              <w:ind w:right="113"/>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7"/>
                <w:szCs w:val="17"/>
                <w:color w:val="auto"/>
              </w:rPr>
              <w:t>9</w:t>
            </w:r>
          </w:p>
        </w:tc>
      </w:tr>
      <w:tr>
        <w:trPr>
          <w:trHeight w:val="221"/>
        </w:trPr>
        <w:tc>
          <w:tcPr>
            <w:tcW w:w="49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w:t>
            </w:r>
          </w:p>
        </w:tc>
      </w:tr>
      <w:tr>
        <w:trPr>
          <w:trHeight w:val="221"/>
        </w:trPr>
        <w:tc>
          <w:tcPr>
            <w:tcW w:w="4960" w:type="dxa"/>
            <w:vAlign w:val="bottom"/>
            <w:gridSpan w:val="4"/>
          </w:tcPr>
          <w:p>
            <w:pPr>
              <w:ind w:left="340"/>
              <w:spacing w:after="0" w:line="22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(2)</w:t>
            </w:r>
          </w:p>
        </w:tc>
        <w:tc>
          <w:tcPr>
            <w:tcW w:w="600" w:type="dxa"/>
            <w:vAlign w:val="bottom"/>
          </w:tcPr>
          <w:p>
            <w:pPr>
              <w:jc w:val="right"/>
              <w:ind w:right="11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7"/>
                <w:szCs w:val="17"/>
                <w:color w:val="auto"/>
              </w:rPr>
              <w:t>2</w:t>
            </w:r>
          </w:p>
        </w:tc>
      </w:tr>
      <w:tr>
        <w:trPr>
          <w:trHeight w:val="239"/>
        </w:trPr>
        <w:tc>
          <w:tcPr>
            <w:tcW w:w="37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14 %</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right="100" w:firstLine="4"/>
        <w:spacing w:after="0" w:line="288" w:lineRule="auto"/>
        <w:tabs>
          <w:tab w:leader="none" w:pos="144"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(Deficit) Equity" for further information.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Comparison of the three months ended September 30, 2021 and 2020</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Revenue</w:t>
      </w:r>
    </w:p>
    <w:p>
      <w:pPr>
        <w:spacing w:after="0" w:line="170" w:lineRule="exact"/>
        <w:rPr>
          <w:sz w:val="20"/>
          <w:szCs w:val="20"/>
          <w:color w:val="auto"/>
        </w:rPr>
      </w:pPr>
    </w:p>
    <w:p>
      <w:pPr>
        <w:jc w:val="center"/>
        <w:ind w:left="1860"/>
        <w:spacing w:after="0"/>
        <w:rPr>
          <w:sz w:val="20"/>
          <w:szCs w:val="20"/>
          <w:color w:val="auto"/>
        </w:rPr>
      </w:pPr>
      <w:r>
        <w:rPr>
          <w:rFonts w:ascii="Arial" w:cs="Arial" w:eastAsia="Arial" w:hAnsi="Arial"/>
          <w:sz w:val="17"/>
          <w:szCs w:val="17"/>
          <w:b w:val="1"/>
          <w:bCs w:val="1"/>
          <w:color w:val="auto"/>
        </w:rPr>
        <w:t>Three Months Ended</w:t>
      </w:r>
    </w:p>
    <w:p>
      <w:pPr>
        <w:jc w:val="center"/>
        <w:ind w:left="1860"/>
        <w:spacing w:after="0"/>
        <w:rPr>
          <w:sz w:val="20"/>
          <w:szCs w:val="20"/>
          <w:color w:val="auto"/>
        </w:rPr>
      </w:pPr>
      <w:r>
        <w:rPr>
          <w:rFonts w:ascii="Arial" w:cs="Arial" w:eastAsia="Arial" w:hAnsi="Arial"/>
          <w:sz w:val="17"/>
          <w:szCs w:val="17"/>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5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i w:val="1"/>
                <w:iCs w:val="1"/>
                <w:color w:val="auto"/>
              </w:rPr>
              <w:t>(In millions)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12.9 %</w:t>
            </w:r>
          </w:p>
        </w:tc>
      </w:tr>
    </w:tbl>
    <w:p>
      <w:pPr>
        <w:spacing w:after="0" w:line="313" w:lineRule="exact"/>
        <w:rPr>
          <w:sz w:val="20"/>
          <w:szCs w:val="20"/>
          <w:color w:val="auto"/>
        </w:rPr>
      </w:pPr>
    </w:p>
    <w:p>
      <w:pPr>
        <w:jc w:val="both"/>
        <w:ind w:firstLine="391"/>
        <w:spacing w:after="0" w:line="271" w:lineRule="auto"/>
        <w:rPr>
          <w:sz w:val="20"/>
          <w:szCs w:val="20"/>
          <w:color w:val="auto"/>
        </w:rPr>
      </w:pPr>
      <w:r>
        <w:rPr>
          <w:rFonts w:ascii="Arial" w:cs="Arial" w:eastAsia="Arial" w:hAnsi="Arial"/>
          <w:sz w:val="17"/>
          <w:szCs w:val="17"/>
          <w:color w:val="auto"/>
        </w:rPr>
        <w:t>Revenue increased $62.8 million or 12.9% during the three months ended September 30, 2021, as compared to the three months ended September 30, 2020. The increase in revenue was driven primarily by an increase in paying users, favorable foreign exchange rates across multiple currencies and an increased mix of sales towards our higher-priced subscription plans.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20" w:type="dxa"/>
            <w:vAlign w:val="bottom"/>
          </w:tcPr>
          <w:p>
            <w:pPr>
              <w:ind w:left="400"/>
              <w:spacing w:after="0"/>
              <w:rPr>
                <w:sz w:val="20"/>
                <w:szCs w:val="20"/>
                <w:color w:val="auto"/>
              </w:rPr>
            </w:pPr>
            <w:r>
              <w:rPr>
                <w:rFonts w:ascii="Arial" w:cs="Arial" w:eastAsia="Arial" w:hAnsi="Arial"/>
                <w:sz w:val="17"/>
                <w:szCs w:val="17"/>
                <w:i w:val="1"/>
                <w:iCs w:val="1"/>
                <w:color w:val="auto"/>
              </w:rPr>
              <w:t>Cost of revenue, gross profit, and gross margin</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5"/>
          </w:tcPr>
          <w:p>
            <w:pPr>
              <w:jc w:val="center"/>
              <w:ind w:right="460"/>
              <w:spacing w:after="0"/>
              <w:rPr>
                <w:sz w:val="20"/>
                <w:szCs w:val="20"/>
                <w:color w:val="auto"/>
              </w:rPr>
            </w:pPr>
            <w:r>
              <w:rPr>
                <w:rFonts w:ascii="Arial" w:cs="Arial" w:eastAsia="Arial" w:hAnsi="Arial"/>
                <w:sz w:val="17"/>
                <w:szCs w:val="17"/>
                <w:b w:val="1"/>
                <w:bCs w:val="1"/>
                <w:color w:val="auto"/>
                <w:w w:val="93"/>
              </w:rPr>
              <w:t>Three Months Ended</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1"/>
        </w:trPr>
        <w:tc>
          <w:tcPr>
            <w:tcW w:w="49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7"/>
                <w:szCs w:val="17"/>
                <w:b w:val="1"/>
                <w:bCs w:val="1"/>
                <w:color w:val="auto"/>
                <w:w w:val="91"/>
              </w:rPr>
              <w:t>September 30,</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4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4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20" w:type="dxa"/>
            <w:vAlign w:val="bottom"/>
            <w:gridSpan w:val="3"/>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112.0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8.5 %</w:t>
            </w:r>
          </w:p>
        </w:tc>
      </w:tr>
      <w:tr>
        <w:trPr>
          <w:trHeight w:val="221"/>
        </w:trPr>
        <w:tc>
          <w:tcPr>
            <w:tcW w:w="492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7"/>
                <w:szCs w:val="17"/>
                <w:color w:val="auto"/>
              </w:rPr>
              <w:t>438.2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384.2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14.1 %</w:t>
            </w:r>
          </w:p>
        </w:tc>
      </w:tr>
      <w:tr>
        <w:trPr>
          <w:trHeight w:val="221"/>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300" w:lineRule="exact"/>
        <w:rPr>
          <w:sz w:val="20"/>
          <w:szCs w:val="20"/>
          <w:color w:val="auto"/>
        </w:rPr>
      </w:pPr>
    </w:p>
    <w:p>
      <w:pPr>
        <w:jc w:val="both"/>
        <w:ind w:right="100" w:firstLine="391"/>
        <w:spacing w:after="0" w:line="271" w:lineRule="auto"/>
        <w:rPr>
          <w:sz w:val="20"/>
          <w:szCs w:val="20"/>
          <w:color w:val="auto"/>
        </w:rPr>
      </w:pPr>
      <w:r>
        <w:rPr>
          <w:rFonts w:ascii="Arial" w:cs="Arial" w:eastAsia="Arial" w:hAnsi="Arial"/>
          <w:sz w:val="17"/>
          <w:szCs w:val="17"/>
          <w:color w:val="auto"/>
        </w:rPr>
        <w:t>Cost of revenue increased $8.8 million or 8.5% during the three months ended September 30, 2021, as compared to the three months ended September 30, 2020, primarily due to increases of $6.3 million in infrastructure costs due to an increase in depreciation expense and $1.9 million in credit card transaction fees due to higher sales.</w:t>
      </w:r>
    </w:p>
    <w:p>
      <w:pPr>
        <w:spacing w:after="0" w:line="106" w:lineRule="exact"/>
        <w:rPr>
          <w:sz w:val="20"/>
          <w:szCs w:val="20"/>
          <w:color w:val="auto"/>
        </w:rPr>
      </w:pPr>
    </w:p>
    <w:p>
      <w:pPr>
        <w:ind w:firstLine="391"/>
        <w:spacing w:after="0" w:line="319" w:lineRule="auto"/>
        <w:rPr>
          <w:sz w:val="20"/>
          <w:szCs w:val="20"/>
          <w:color w:val="auto"/>
        </w:rPr>
      </w:pPr>
      <w:r>
        <w:rPr>
          <w:rFonts w:ascii="Arial" w:cs="Arial" w:eastAsia="Arial" w:hAnsi="Arial"/>
          <w:sz w:val="16"/>
          <w:szCs w:val="16"/>
          <w:color w:val="auto"/>
        </w:rPr>
        <w:t>Our gross margin increased during the three months ended September 30, 2021 compared to the three months ended September 30, 2020, primarily due to a 12.9% increase in revenue during the period, which was offset by a lower percentage increase in our cost of revenue described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Research and development</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40" w:type="dxa"/>
            <w:vAlign w:val="bottom"/>
            <w:gridSpan w:val="4"/>
          </w:tcPr>
          <w:p>
            <w:pPr>
              <w:jc w:val="center"/>
              <w:ind w:left="413"/>
              <w:spacing w:after="0"/>
              <w:rPr>
                <w:sz w:val="20"/>
                <w:szCs w:val="20"/>
                <w:color w:val="auto"/>
              </w:rPr>
            </w:pPr>
            <w:r>
              <w:rPr>
                <w:rFonts w:ascii="Arial" w:cs="Arial" w:eastAsia="Arial" w:hAnsi="Arial"/>
                <w:sz w:val="17"/>
                <w:szCs w:val="17"/>
                <w:b w:val="1"/>
                <w:bCs w:val="1"/>
                <w:color w:val="auto"/>
                <w:w w:val="93"/>
              </w:rPr>
              <w:t>Three Months Ended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1"/>
        </w:trPr>
        <w:tc>
          <w:tcPr>
            <w:tcW w:w="5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333"/>
              <w:spacing w:after="0"/>
              <w:rPr>
                <w:sz w:val="20"/>
                <w:szCs w:val="20"/>
                <w:color w:val="auto"/>
              </w:rPr>
            </w:pPr>
            <w:r>
              <w:rPr>
                <w:rFonts w:ascii="Arial" w:cs="Arial" w:eastAsia="Arial" w:hAnsi="Arial"/>
                <w:sz w:val="17"/>
                <w:szCs w:val="17"/>
                <w:b w:val="1"/>
                <w:bCs w:val="1"/>
                <w:color w:val="auto"/>
                <w:w w:val="91"/>
              </w:rPr>
              <w:t>September 30,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5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5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20" w:type="dxa"/>
            <w:vAlign w:val="bottom"/>
            <w:gridSpan w:val="3"/>
          </w:tcPr>
          <w:p>
            <w:pPr>
              <w:jc w:val="center"/>
              <w:ind w:right="333"/>
              <w:spacing w:after="0"/>
              <w:rPr>
                <w:sz w:val="20"/>
                <w:szCs w:val="20"/>
                <w:color w:val="auto"/>
              </w:rPr>
            </w:pPr>
            <w:r>
              <w:rPr>
                <w:rFonts w:ascii="Arial" w:cs="Arial" w:eastAsia="Arial" w:hAnsi="Arial"/>
                <w:sz w:val="17"/>
                <w:szCs w:val="17"/>
                <w:i w:val="1"/>
                <w:iCs w:val="1"/>
                <w:color w:val="auto"/>
                <w:w w:val="98"/>
              </w:rPr>
              <w:t>(In millions)</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187.3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183.3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r>
    </w:tbl>
    <w:p>
      <w:pPr>
        <w:spacing w:after="0" w:line="300" w:lineRule="exact"/>
        <w:rPr>
          <w:sz w:val="20"/>
          <w:szCs w:val="20"/>
          <w:color w:val="auto"/>
        </w:rPr>
      </w:pPr>
    </w:p>
    <w:p>
      <w:pPr>
        <w:ind w:right="80" w:firstLine="391"/>
        <w:spacing w:after="0" w:line="295" w:lineRule="auto"/>
        <w:rPr>
          <w:sz w:val="20"/>
          <w:szCs w:val="20"/>
          <w:color w:val="auto"/>
        </w:rPr>
      </w:pPr>
      <w:r>
        <w:rPr>
          <w:rFonts w:ascii="Arial" w:cs="Arial" w:eastAsia="Arial" w:hAnsi="Arial"/>
          <w:sz w:val="16"/>
          <w:szCs w:val="16"/>
          <w:color w:val="auto"/>
        </w:rPr>
        <w:t>Research and development expenses increased $4.0 million or 2.2% during the three months ended September 30, 2021, as compared to the three months ended September 30, 2020, primarily due to increases of $7.7 million in employee-related costs and $2.2 million in outside services. These increases were offset by a decrease of $6.3 million in allocated overhead, which includes facilities-related costs for our corporate headquarters.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5"/>
        </w:trPr>
        <w:tc>
          <w:tcPr>
            <w:tcW w:w="5100" w:type="dxa"/>
            <w:vAlign w:val="bottom"/>
            <w:gridSpan w:val="2"/>
          </w:tcPr>
          <w:p>
            <w:pPr>
              <w:spacing w:after="0"/>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Table of Contents</w:t>
              </w:r>
            </w:hyperlink>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761"/>
        </w:trPr>
        <w:tc>
          <w:tcPr>
            <w:tcW w:w="5100" w:type="dxa"/>
            <w:vAlign w:val="bottom"/>
            <w:gridSpan w:val="2"/>
          </w:tcPr>
          <w:p>
            <w:pPr>
              <w:ind w:left="400"/>
              <w:spacing w:after="0"/>
              <w:rPr>
                <w:sz w:val="20"/>
                <w:szCs w:val="20"/>
                <w:color w:val="auto"/>
              </w:rPr>
            </w:pPr>
            <w:r>
              <w:rPr>
                <w:rFonts w:ascii="Arial" w:cs="Arial" w:eastAsia="Arial" w:hAnsi="Arial"/>
                <w:sz w:val="17"/>
                <w:szCs w:val="17"/>
                <w:i w:val="1"/>
                <w:iCs w:val="1"/>
                <w:color w:val="auto"/>
              </w:rPr>
              <w:t>Sales and marketing</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7"/>
        </w:trPr>
        <w:tc>
          <w:tcPr>
            <w:tcW w:w="1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40" w:type="dxa"/>
            <w:vAlign w:val="bottom"/>
            <w:gridSpan w:val="4"/>
          </w:tcPr>
          <w:p>
            <w:pPr>
              <w:jc w:val="center"/>
              <w:ind w:left="413"/>
              <w:spacing w:after="0"/>
              <w:rPr>
                <w:sz w:val="20"/>
                <w:szCs w:val="20"/>
                <w:color w:val="auto"/>
              </w:rPr>
            </w:pPr>
            <w:r>
              <w:rPr>
                <w:rFonts w:ascii="Arial" w:cs="Arial" w:eastAsia="Arial" w:hAnsi="Arial"/>
                <w:sz w:val="17"/>
                <w:szCs w:val="17"/>
                <w:b w:val="1"/>
                <w:bCs w:val="1"/>
                <w:color w:val="auto"/>
                <w:w w:val="93"/>
              </w:rPr>
              <w:t>Three Months Ended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1"/>
        </w:trPr>
        <w:tc>
          <w:tcPr>
            <w:tcW w:w="13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333"/>
              <w:spacing w:after="0"/>
              <w:rPr>
                <w:sz w:val="20"/>
                <w:szCs w:val="20"/>
                <w:color w:val="auto"/>
              </w:rPr>
            </w:pPr>
            <w:r>
              <w:rPr>
                <w:rFonts w:ascii="Arial" w:cs="Arial" w:eastAsia="Arial" w:hAnsi="Arial"/>
                <w:sz w:val="17"/>
                <w:szCs w:val="17"/>
                <w:b w:val="1"/>
                <w:bCs w:val="1"/>
                <w:color w:val="auto"/>
                <w:w w:val="91"/>
              </w:rPr>
              <w:t>September 30,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1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13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20" w:type="dxa"/>
            <w:vAlign w:val="bottom"/>
            <w:gridSpan w:val="3"/>
          </w:tcPr>
          <w:p>
            <w:pPr>
              <w:jc w:val="center"/>
              <w:ind w:right="333"/>
              <w:spacing w:after="0"/>
              <w:rPr>
                <w:sz w:val="20"/>
                <w:szCs w:val="20"/>
                <w:color w:val="auto"/>
              </w:rPr>
            </w:pPr>
            <w:r>
              <w:rPr>
                <w:rFonts w:ascii="Arial" w:cs="Arial" w:eastAsia="Arial" w:hAnsi="Arial"/>
                <w:sz w:val="17"/>
                <w:szCs w:val="17"/>
                <w:i w:val="1"/>
                <w:iCs w:val="1"/>
                <w:color w:val="auto"/>
                <w:w w:val="98"/>
              </w:rPr>
              <w:t>(In millions)</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115.7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105.8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9.4 %</w:t>
            </w:r>
          </w:p>
        </w:tc>
      </w:tr>
    </w:tbl>
    <w:p>
      <w:pPr>
        <w:spacing w:after="0" w:line="300" w:lineRule="exact"/>
        <w:rPr>
          <w:sz w:val="20"/>
          <w:szCs w:val="20"/>
          <w:color w:val="auto"/>
        </w:rPr>
      </w:pPr>
    </w:p>
    <w:p>
      <w:pPr>
        <w:ind w:right="40" w:firstLine="391"/>
        <w:spacing w:after="0" w:line="281" w:lineRule="auto"/>
        <w:rPr>
          <w:sz w:val="20"/>
          <w:szCs w:val="20"/>
          <w:color w:val="auto"/>
        </w:rPr>
      </w:pPr>
      <w:r>
        <w:rPr>
          <w:rFonts w:ascii="Arial" w:cs="Arial" w:eastAsia="Arial" w:hAnsi="Arial"/>
          <w:sz w:val="16"/>
          <w:szCs w:val="16"/>
          <w:color w:val="auto"/>
        </w:rPr>
        <w:t>Sales and marketing expenses increased $9.9 million or 9.4% during the three months ended September 30, 2021, as compared to the three months ended September 30, 2020, primarily due to $18.4 million related to brand and other marketing related expenses primarily due to our marketing campaigns during the three months ended September 30, 2021, $1.8 million in app store fees due to increased sales and $0.5 million in amortization of intangible assets as a result of our acquisition of DocSend during the three months ended March 31, 2021. These increases were offset by decreases of $6.5 million in allocated overhead, which includes facilities-related costs for our corporate headquarters and $5.2 million in employee-related costs driven by a reduction in headcount including the impact of our reduction in force during the three months ended March 31,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General and administrative</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80" w:type="dxa"/>
            <w:vAlign w:val="bottom"/>
            <w:gridSpan w:val="4"/>
          </w:tcPr>
          <w:p>
            <w:pPr>
              <w:jc w:val="center"/>
              <w:ind w:left="373"/>
              <w:spacing w:after="0"/>
              <w:rPr>
                <w:sz w:val="20"/>
                <w:szCs w:val="20"/>
                <w:color w:val="auto"/>
              </w:rPr>
            </w:pPr>
            <w:r>
              <w:rPr>
                <w:rFonts w:ascii="Arial" w:cs="Arial" w:eastAsia="Arial" w:hAnsi="Arial"/>
                <w:sz w:val="17"/>
                <w:szCs w:val="17"/>
                <w:b w:val="1"/>
                <w:bCs w:val="1"/>
                <w:color w:val="auto"/>
                <w:w w:val="93"/>
              </w:rPr>
              <w:t>Three Months Ended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1"/>
        </w:trPr>
        <w:tc>
          <w:tcPr>
            <w:tcW w:w="5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373"/>
              <w:spacing w:after="0"/>
              <w:rPr>
                <w:sz w:val="20"/>
                <w:szCs w:val="20"/>
                <w:color w:val="auto"/>
              </w:rPr>
            </w:pPr>
            <w:r>
              <w:rPr>
                <w:rFonts w:ascii="Arial" w:cs="Arial" w:eastAsia="Arial" w:hAnsi="Arial"/>
                <w:sz w:val="17"/>
                <w:szCs w:val="17"/>
                <w:b w:val="1"/>
                <w:bCs w:val="1"/>
                <w:color w:val="auto"/>
                <w:w w:val="91"/>
              </w:rPr>
              <w:t>September 30,</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5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5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60" w:type="dxa"/>
            <w:vAlign w:val="bottom"/>
            <w:gridSpan w:val="3"/>
          </w:tcPr>
          <w:p>
            <w:pPr>
              <w:jc w:val="center"/>
              <w:ind w:right="373"/>
              <w:spacing w:after="0"/>
              <w:rPr>
                <w:sz w:val="20"/>
                <w:szCs w:val="20"/>
                <w:color w:val="auto"/>
              </w:rPr>
            </w:pPr>
            <w:r>
              <w:rPr>
                <w:rFonts w:ascii="Arial" w:cs="Arial" w:eastAsia="Arial" w:hAnsi="Arial"/>
                <w:sz w:val="17"/>
                <w:szCs w:val="17"/>
                <w:i w:val="1"/>
                <w:iCs w:val="1"/>
                <w:color w:val="auto"/>
                <w:w w:val="98"/>
              </w:rPr>
              <w:t>(In millions)</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r>
    </w:tbl>
    <w:p>
      <w:pPr>
        <w:spacing w:after="0" w:line="200" w:lineRule="exact"/>
        <w:rPr>
          <w:sz w:val="20"/>
          <w:szCs w:val="20"/>
          <w:color w:val="auto"/>
        </w:rPr>
      </w:pPr>
    </w:p>
    <w:p>
      <w:pPr>
        <w:spacing w:after="0" w:line="243" w:lineRule="exact"/>
        <w:rPr>
          <w:sz w:val="20"/>
          <w:szCs w:val="20"/>
          <w:color w:val="auto"/>
        </w:rPr>
      </w:pPr>
    </w:p>
    <w:p>
      <w:pPr>
        <w:ind w:right="60" w:firstLine="391"/>
        <w:spacing w:after="0" w:line="266" w:lineRule="auto"/>
        <w:rPr>
          <w:sz w:val="20"/>
          <w:szCs w:val="20"/>
          <w:color w:val="auto"/>
        </w:rPr>
      </w:pPr>
      <w:r>
        <w:rPr>
          <w:rFonts w:ascii="Arial" w:cs="Arial" w:eastAsia="Arial" w:hAnsi="Arial"/>
          <w:sz w:val="17"/>
          <w:szCs w:val="17"/>
          <w:color w:val="auto"/>
        </w:rPr>
        <w:t>General and administrative expenses decreased $7.2 million or 11.1% during the three months ended September 30, 2021, as compared to the three months ended September 30, 2020, primarily due to decreases of $4.3 million in allocated overhead, which includes facilities-related costs for our corporate headquarters, $2.5 million in employee-related costs due to a reduction in headcount as a result of our reduction in force during the three months ended March 31, 2021 and $2.0 million in legal fees.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Impairment related to real estate assets</w:t>
      </w:r>
    </w:p>
    <w:p>
      <w:pPr>
        <w:spacing w:after="0" w:line="24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There was no impairment related to real estate assets during the three months ended September 30, 2021.</w:t>
      </w:r>
    </w:p>
    <w:p>
      <w:pPr>
        <w:spacing w:after="0" w:line="24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Interest income (expense), net</w:t>
      </w:r>
    </w:p>
    <w:p>
      <w:pPr>
        <w:spacing w:after="0" w:line="247" w:lineRule="exact"/>
        <w:rPr>
          <w:sz w:val="20"/>
          <w:szCs w:val="20"/>
          <w:color w:val="auto"/>
        </w:rPr>
      </w:pPr>
    </w:p>
    <w:p>
      <w:pPr>
        <w:ind w:right="60" w:firstLine="391"/>
        <w:spacing w:after="0" w:line="266" w:lineRule="auto"/>
        <w:rPr>
          <w:sz w:val="20"/>
          <w:szCs w:val="20"/>
          <w:color w:val="auto"/>
        </w:rPr>
      </w:pPr>
      <w:r>
        <w:rPr>
          <w:rFonts w:ascii="Arial" w:cs="Arial" w:eastAsia="Arial" w:hAnsi="Arial"/>
          <w:sz w:val="17"/>
          <w:szCs w:val="17"/>
          <w:color w:val="auto"/>
        </w:rPr>
        <w:t>Interest income (expense), net decreased $1.8 million during the three months ended September 30, 2021, as compared to the three months ended September 30, 2020, primarily due to a decrease in interest income from our money market funds and short-term investments as a result of government-initiated interest rate reductions in response to the COVID-19 pandemic and an increase in interest expense due to the amortization of debt issuance costs incurred as part of our convertible debt offering during the three months ended March 31, 2021.</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Other income, net</w:t>
      </w:r>
    </w:p>
    <w:p>
      <w:pPr>
        <w:spacing w:after="0" w:line="247" w:lineRule="exact"/>
        <w:rPr>
          <w:sz w:val="20"/>
          <w:szCs w:val="20"/>
          <w:color w:val="auto"/>
        </w:rPr>
      </w:pPr>
    </w:p>
    <w:p>
      <w:pPr>
        <w:ind w:right="80" w:firstLine="391"/>
        <w:spacing w:after="0" w:line="271" w:lineRule="auto"/>
        <w:rPr>
          <w:sz w:val="20"/>
          <w:szCs w:val="20"/>
          <w:color w:val="auto"/>
        </w:rPr>
      </w:pPr>
      <w:r>
        <w:rPr>
          <w:rFonts w:ascii="Arial" w:cs="Arial" w:eastAsia="Arial" w:hAnsi="Arial"/>
          <w:sz w:val="17"/>
          <w:szCs w:val="17"/>
          <w:color w:val="auto"/>
        </w:rPr>
        <w:t>Other income, net decreased $3.0 million during the three months ended September 30, 2021, as compared to the three months ended September 30, 2020, primarily due to a decrease of $3.5 million in foreign currency transaction gains. This decrease was offset by $1.0 million in gains related to the disposal of infrastructure assets.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Provision for income taxes</w:t>
      </w:r>
    </w:p>
    <w:p>
      <w:pPr>
        <w:spacing w:after="0" w:line="247" w:lineRule="exact"/>
        <w:rPr>
          <w:sz w:val="20"/>
          <w:szCs w:val="20"/>
          <w:color w:val="auto"/>
        </w:rPr>
      </w:pPr>
    </w:p>
    <w:p>
      <w:pPr>
        <w:ind w:right="160" w:firstLine="391"/>
        <w:spacing w:after="0" w:line="286" w:lineRule="auto"/>
        <w:rPr>
          <w:sz w:val="20"/>
          <w:szCs w:val="20"/>
          <w:color w:val="auto"/>
        </w:rPr>
      </w:pPr>
      <w:r>
        <w:rPr>
          <w:rFonts w:ascii="Arial" w:cs="Arial" w:eastAsia="Arial" w:hAnsi="Arial"/>
          <w:sz w:val="17"/>
          <w:szCs w:val="17"/>
          <w:color w:val="auto"/>
        </w:rPr>
        <w:t>Provision for income taxes decreased $0.4 million during the three months ended September 30, 2021, as compared to the three months ended September 30, 2020, primarily due to a foreign tax reserve release during the three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54" w:name="page55"/>
    <w:bookmarkEnd w:id="5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40" w:type="dxa"/>
            <w:vAlign w:val="bottom"/>
            <w:gridSpan w:val="2"/>
          </w:tcPr>
          <w:p>
            <w:pPr>
              <w:ind w:left="400"/>
              <w:spacing w:after="0"/>
              <w:rPr>
                <w:sz w:val="20"/>
                <w:szCs w:val="20"/>
                <w:color w:val="auto"/>
              </w:rPr>
            </w:pPr>
            <w:r>
              <w:rPr>
                <w:rFonts w:ascii="Arial" w:cs="Arial" w:eastAsia="Arial" w:hAnsi="Arial"/>
                <w:sz w:val="17"/>
                <w:szCs w:val="17"/>
                <w:b w:val="1"/>
                <w:bCs w:val="1"/>
                <w:i w:val="1"/>
                <w:iCs w:val="1"/>
                <w:color w:val="auto"/>
                <w:w w:val="90"/>
              </w:rPr>
              <w:t>Comparison of the nine months ended September 30, 2021 and 2020</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43"/>
        </w:trPr>
        <w:tc>
          <w:tcPr>
            <w:tcW w:w="5080" w:type="dxa"/>
            <w:vAlign w:val="bottom"/>
          </w:tcPr>
          <w:p>
            <w:pPr>
              <w:ind w:left="400"/>
              <w:spacing w:after="0"/>
              <w:rPr>
                <w:sz w:val="20"/>
                <w:szCs w:val="20"/>
                <w:color w:val="auto"/>
              </w:rPr>
            </w:pPr>
            <w:r>
              <w:rPr>
                <w:rFonts w:ascii="Arial" w:cs="Arial" w:eastAsia="Arial" w:hAnsi="Arial"/>
                <w:sz w:val="17"/>
                <w:szCs w:val="17"/>
                <w:i w:val="1"/>
                <w:iCs w:val="1"/>
                <w:color w:val="auto"/>
              </w:rPr>
              <w:t>Revenue</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9"/>
        </w:trPr>
        <w:tc>
          <w:tcPr>
            <w:tcW w:w="5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5"/>
          </w:tcPr>
          <w:p>
            <w:pPr>
              <w:jc w:val="center"/>
              <w:ind w:right="460"/>
              <w:spacing w:after="0"/>
              <w:rPr>
                <w:sz w:val="20"/>
                <w:szCs w:val="20"/>
                <w:color w:val="auto"/>
              </w:rPr>
            </w:pPr>
            <w:r>
              <w:rPr>
                <w:rFonts w:ascii="Arial" w:cs="Arial" w:eastAsia="Arial" w:hAnsi="Arial"/>
                <w:sz w:val="17"/>
                <w:szCs w:val="17"/>
                <w:b w:val="1"/>
                <w:bCs w:val="1"/>
                <w:color w:val="auto"/>
                <w:w w:val="93"/>
              </w:rPr>
              <w:t>Nine Months Ended</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1"/>
        </w:trPr>
        <w:tc>
          <w:tcPr>
            <w:tcW w:w="5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7"/>
                <w:szCs w:val="17"/>
                <w:b w:val="1"/>
                <w:bCs w:val="1"/>
                <w:color w:val="auto"/>
                <w:w w:val="91"/>
              </w:rPr>
              <w:t>September 30,</w:t>
            </w: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5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w w:val="95"/>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5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80" w:type="dxa"/>
            <w:vAlign w:val="bottom"/>
            <w:gridSpan w:val="3"/>
          </w:tcPr>
          <w:p>
            <w:pPr>
              <w:jc w:val="center"/>
              <w:ind w:left="453"/>
              <w:spacing w:after="0"/>
              <w:rPr>
                <w:sz w:val="20"/>
                <w:szCs w:val="20"/>
                <w:color w:val="auto"/>
              </w:rPr>
            </w:pPr>
            <w:r>
              <w:rPr>
                <w:rFonts w:ascii="Arial" w:cs="Arial" w:eastAsia="Arial" w:hAnsi="Arial"/>
                <w:sz w:val="17"/>
                <w:szCs w:val="17"/>
                <w:i w:val="1"/>
                <w:iCs w:val="1"/>
                <w:color w:val="auto"/>
                <w:w w:val="98"/>
              </w:rPr>
              <w:t>(In millions)</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13.0 %</w:t>
            </w:r>
          </w:p>
        </w:tc>
      </w:tr>
    </w:tbl>
    <w:p>
      <w:pPr>
        <w:spacing w:after="0" w:line="300"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Revenue increased $182.6 million or 13.0% during the nine months ended September 30, 2021, as compared to the nine months ended September 30, 2020. The increase in revenue was driven primarily by an increase in paying users, an increased mix of sales towards our higher-priced subscription plans and favorable foreign exchange rates across multiple currencies.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20" w:type="dxa"/>
            <w:vAlign w:val="bottom"/>
          </w:tcPr>
          <w:p>
            <w:pPr>
              <w:ind w:left="400"/>
              <w:spacing w:after="0"/>
              <w:rPr>
                <w:sz w:val="20"/>
                <w:szCs w:val="20"/>
                <w:color w:val="auto"/>
              </w:rPr>
            </w:pPr>
            <w:r>
              <w:rPr>
                <w:rFonts w:ascii="Arial" w:cs="Arial" w:eastAsia="Arial" w:hAnsi="Arial"/>
                <w:sz w:val="17"/>
                <w:szCs w:val="17"/>
                <w:i w:val="1"/>
                <w:iCs w:val="1"/>
                <w:color w:val="auto"/>
              </w:rPr>
              <w:t>Cost of revenue, gross profit, and gross margin</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5"/>
          </w:tcPr>
          <w:p>
            <w:pPr>
              <w:jc w:val="center"/>
              <w:ind w:right="460"/>
              <w:spacing w:after="0"/>
              <w:rPr>
                <w:sz w:val="20"/>
                <w:szCs w:val="20"/>
                <w:color w:val="auto"/>
              </w:rPr>
            </w:pPr>
            <w:r>
              <w:rPr>
                <w:rFonts w:ascii="Arial" w:cs="Arial" w:eastAsia="Arial" w:hAnsi="Arial"/>
                <w:sz w:val="17"/>
                <w:szCs w:val="17"/>
                <w:b w:val="1"/>
                <w:bCs w:val="1"/>
                <w:color w:val="auto"/>
                <w:w w:val="94"/>
              </w:rPr>
              <w:t>Nine Months Ended</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1"/>
        </w:trPr>
        <w:tc>
          <w:tcPr>
            <w:tcW w:w="49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7"/>
                <w:szCs w:val="17"/>
                <w:b w:val="1"/>
                <w:bCs w:val="1"/>
                <w:color w:val="auto"/>
                <w:w w:val="91"/>
              </w:rPr>
              <w:t>September 30,</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4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4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20" w:type="dxa"/>
            <w:vAlign w:val="bottom"/>
            <w:gridSpan w:val="3"/>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328.4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308.8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6.3 %</w:t>
            </w:r>
          </w:p>
        </w:tc>
      </w:tr>
      <w:tr>
        <w:trPr>
          <w:trHeight w:val="221"/>
        </w:trPr>
        <w:tc>
          <w:tcPr>
            <w:tcW w:w="492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7"/>
                <w:szCs w:val="17"/>
                <w:color w:val="auto"/>
              </w:rPr>
              <w:t>1,264.0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1,101.0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163.0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14.8 %</w:t>
            </w:r>
          </w:p>
        </w:tc>
      </w:tr>
      <w:tr>
        <w:trPr>
          <w:trHeight w:val="221"/>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313" w:lineRule="exact"/>
        <w:rPr>
          <w:sz w:val="20"/>
          <w:szCs w:val="20"/>
          <w:color w:val="auto"/>
        </w:rPr>
      </w:pPr>
    </w:p>
    <w:p>
      <w:pPr>
        <w:ind w:right="60" w:firstLine="391"/>
        <w:spacing w:after="0" w:line="287" w:lineRule="auto"/>
        <w:rPr>
          <w:sz w:val="20"/>
          <w:szCs w:val="20"/>
          <w:color w:val="auto"/>
        </w:rPr>
      </w:pPr>
      <w:r>
        <w:rPr>
          <w:rFonts w:ascii="Arial" w:cs="Arial" w:eastAsia="Arial" w:hAnsi="Arial"/>
          <w:sz w:val="16"/>
          <w:szCs w:val="16"/>
          <w:color w:val="auto"/>
        </w:rPr>
        <w:t>Cost of revenue increased $19.6 million or 6.3% during the nine months ended September 30, 2021, as compared to the nine months ended September 30, 2020, primarily due to increases of $9.2 million in infrastructure costs due to an increase in depreciation expense, $5.8 million in credit card transaction fees due to higher sales and $5.4 million in employee-related costs including the impact of our reduction in force during the three months ended March 31, 2021. These increases were offset by a decrease of $3.1 million in allocated overhead, which includes facilities-related costs for our corporate headquarters.</w:t>
      </w:r>
    </w:p>
    <w:p>
      <w:pPr>
        <w:spacing w:after="0" w:line="188" w:lineRule="exact"/>
        <w:rPr>
          <w:sz w:val="20"/>
          <w:szCs w:val="20"/>
          <w:color w:val="auto"/>
        </w:rPr>
      </w:pPr>
    </w:p>
    <w:p>
      <w:pPr>
        <w:ind w:right="100" w:firstLine="391"/>
        <w:spacing w:after="0" w:line="319" w:lineRule="auto"/>
        <w:rPr>
          <w:sz w:val="20"/>
          <w:szCs w:val="20"/>
          <w:color w:val="auto"/>
        </w:rPr>
      </w:pPr>
      <w:r>
        <w:rPr>
          <w:rFonts w:ascii="Arial" w:cs="Arial" w:eastAsia="Arial" w:hAnsi="Arial"/>
          <w:sz w:val="16"/>
          <w:szCs w:val="16"/>
          <w:color w:val="auto"/>
        </w:rPr>
        <w:t>Our gross margin increased during the nine months ended September 30, 2021 compared to the nine months ended September 30, 2020, primarily due to a 13.0% increase in revenue during the period, which was offset by a lower percentage increase in our cost of revenue described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Research and development</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74"/>
        </w:trPr>
        <w:tc>
          <w:tcPr>
            <w:tcW w:w="5100" w:type="dxa"/>
            <w:vAlign w:val="bottom"/>
          </w:tcPr>
          <w:p>
            <w:pPr>
              <w:spacing w:after="0"/>
              <w:rPr>
                <w:sz w:val="23"/>
                <w:szCs w:val="23"/>
                <w:color w:val="auto"/>
              </w:rPr>
            </w:pPr>
          </w:p>
        </w:tc>
        <w:tc>
          <w:tcPr>
            <w:tcW w:w="2440" w:type="dxa"/>
            <w:vAlign w:val="bottom"/>
            <w:gridSpan w:val="4"/>
          </w:tcPr>
          <w:p>
            <w:pPr>
              <w:jc w:val="center"/>
              <w:ind w:left="413"/>
              <w:spacing w:after="0"/>
              <w:rPr>
                <w:sz w:val="20"/>
                <w:szCs w:val="20"/>
                <w:color w:val="auto"/>
              </w:rPr>
            </w:pPr>
            <w:r>
              <w:rPr>
                <w:rFonts w:ascii="Arial" w:cs="Arial" w:eastAsia="Arial" w:hAnsi="Arial"/>
                <w:sz w:val="17"/>
                <w:szCs w:val="17"/>
                <w:b w:val="1"/>
                <w:bCs w:val="1"/>
                <w:color w:val="auto"/>
                <w:w w:val="94"/>
              </w:rPr>
              <w:t>Nine Months Ended</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1"/>
        </w:trPr>
        <w:tc>
          <w:tcPr>
            <w:tcW w:w="5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333"/>
              <w:spacing w:after="0"/>
              <w:rPr>
                <w:sz w:val="20"/>
                <w:szCs w:val="20"/>
                <w:color w:val="auto"/>
              </w:rPr>
            </w:pPr>
            <w:r>
              <w:rPr>
                <w:rFonts w:ascii="Arial" w:cs="Arial" w:eastAsia="Arial" w:hAnsi="Arial"/>
                <w:sz w:val="17"/>
                <w:szCs w:val="17"/>
                <w:b w:val="1"/>
                <w:bCs w:val="1"/>
                <w:color w:val="auto"/>
                <w:w w:val="91"/>
              </w:rPr>
              <w:t>September 30,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5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5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20" w:type="dxa"/>
            <w:vAlign w:val="bottom"/>
            <w:gridSpan w:val="3"/>
          </w:tcPr>
          <w:p>
            <w:pPr>
              <w:jc w:val="center"/>
              <w:ind w:right="333"/>
              <w:spacing w:after="0"/>
              <w:rPr>
                <w:sz w:val="20"/>
                <w:szCs w:val="20"/>
                <w:color w:val="auto"/>
              </w:rPr>
            </w:pPr>
            <w:r>
              <w:rPr>
                <w:rFonts w:ascii="Arial" w:cs="Arial" w:eastAsia="Arial" w:hAnsi="Arial"/>
                <w:sz w:val="17"/>
                <w:szCs w:val="17"/>
                <w:i w:val="1"/>
                <w:iCs w:val="1"/>
                <w:color w:val="auto"/>
                <w:w w:val="98"/>
              </w:rPr>
              <w:t>(In millions)</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554.0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550.9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0.6 %</w:t>
            </w:r>
          </w:p>
        </w:tc>
      </w:tr>
    </w:tbl>
    <w:p>
      <w:pPr>
        <w:spacing w:after="0" w:line="313" w:lineRule="exact"/>
        <w:rPr>
          <w:sz w:val="20"/>
          <w:szCs w:val="20"/>
          <w:color w:val="auto"/>
        </w:rPr>
      </w:pPr>
    </w:p>
    <w:p>
      <w:pPr>
        <w:ind w:right="260" w:firstLine="391"/>
        <w:spacing w:after="0" w:line="323" w:lineRule="auto"/>
        <w:rPr>
          <w:sz w:val="20"/>
          <w:szCs w:val="20"/>
          <w:color w:val="auto"/>
        </w:rPr>
      </w:pPr>
      <w:r>
        <w:rPr>
          <w:rFonts w:ascii="Arial" w:cs="Arial" w:eastAsia="Arial" w:hAnsi="Arial"/>
          <w:sz w:val="15"/>
          <w:szCs w:val="15"/>
          <w:color w:val="auto"/>
        </w:rPr>
        <w:t>Research and development expenses increased $3.1 million or 0.6% during the nine months ended September 30, 2021, as compared to the nine months ended September 30, 2020, primarily due to an increase of $20.2 million in employee-related costs and $2.3 million in software license subscriptions. These increases were offset by a decrease of $19.8 million in allocated overhead, which includes facilities-related costs for our corporate headquarters.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Sales and marketing</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40" w:type="dxa"/>
            <w:vAlign w:val="bottom"/>
            <w:gridSpan w:val="4"/>
          </w:tcPr>
          <w:p>
            <w:pPr>
              <w:jc w:val="center"/>
              <w:ind w:left="413"/>
              <w:spacing w:after="0"/>
              <w:rPr>
                <w:sz w:val="20"/>
                <w:szCs w:val="20"/>
                <w:color w:val="auto"/>
              </w:rPr>
            </w:pPr>
            <w:r>
              <w:rPr>
                <w:rFonts w:ascii="Arial" w:cs="Arial" w:eastAsia="Arial" w:hAnsi="Arial"/>
                <w:sz w:val="17"/>
                <w:szCs w:val="17"/>
                <w:b w:val="1"/>
                <w:bCs w:val="1"/>
                <w:color w:val="auto"/>
                <w:w w:val="94"/>
              </w:rPr>
              <w:t>Nine Months Ended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1"/>
        </w:trPr>
        <w:tc>
          <w:tcPr>
            <w:tcW w:w="5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333"/>
              <w:spacing w:after="0"/>
              <w:rPr>
                <w:sz w:val="20"/>
                <w:szCs w:val="20"/>
                <w:color w:val="auto"/>
              </w:rPr>
            </w:pPr>
            <w:r>
              <w:rPr>
                <w:rFonts w:ascii="Arial" w:cs="Arial" w:eastAsia="Arial" w:hAnsi="Arial"/>
                <w:sz w:val="17"/>
                <w:szCs w:val="17"/>
                <w:b w:val="1"/>
                <w:bCs w:val="1"/>
                <w:color w:val="auto"/>
                <w:w w:val="91"/>
              </w:rPr>
              <w:t>September 30,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5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5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20" w:type="dxa"/>
            <w:vAlign w:val="bottom"/>
            <w:gridSpan w:val="3"/>
          </w:tcPr>
          <w:p>
            <w:pPr>
              <w:jc w:val="center"/>
              <w:ind w:right="333"/>
              <w:spacing w:after="0"/>
              <w:rPr>
                <w:sz w:val="20"/>
                <w:szCs w:val="20"/>
                <w:color w:val="auto"/>
              </w:rPr>
            </w:pPr>
            <w:r>
              <w:rPr>
                <w:rFonts w:ascii="Arial" w:cs="Arial" w:eastAsia="Arial" w:hAnsi="Arial"/>
                <w:sz w:val="17"/>
                <w:szCs w:val="17"/>
                <w:i w:val="1"/>
                <w:iCs w:val="1"/>
                <w:color w:val="auto"/>
                <w:w w:val="98"/>
              </w:rPr>
              <w:t>(In millions)</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319.2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312.9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r>
    </w:tbl>
    <w:p>
      <w:pPr>
        <w:spacing w:after="0" w:line="300" w:lineRule="exact"/>
        <w:rPr>
          <w:sz w:val="20"/>
          <w:szCs w:val="20"/>
          <w:color w:val="auto"/>
        </w:rPr>
      </w:pPr>
    </w:p>
    <w:p>
      <w:pPr>
        <w:ind w:right="60" w:firstLine="391"/>
        <w:spacing w:after="0" w:line="262" w:lineRule="auto"/>
        <w:rPr>
          <w:sz w:val="20"/>
          <w:szCs w:val="20"/>
          <w:color w:val="auto"/>
        </w:rPr>
      </w:pPr>
      <w:r>
        <w:rPr>
          <w:rFonts w:ascii="Arial" w:cs="Arial" w:eastAsia="Arial" w:hAnsi="Arial"/>
          <w:sz w:val="17"/>
          <w:szCs w:val="17"/>
          <w:color w:val="auto"/>
        </w:rPr>
        <w:t>Sales and marketing expenses increased $6.3 million or 2.0% during the nine months ended September 30, 2021, as compared to the nine months ended September 30, 2020, primarily due to $28.8 million related to brand and other marketing related expenses primarily due to our marketing campaigns during the three months ended September 30, 2021, $5.7 million in app store fees due to increased sales, and $1.0 million in amortization of intangible assets due to our acquisition of DocSend. These increases were offset by decreases of $22.0 million in allocated overhead, which includes facilities-related costs for our corporate headquarters and $7.4 million in employee-related costs driven by a reduction in headcount including the impact of our reduction in force during the three months ended March 31,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General and administrative</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40" w:type="dxa"/>
            <w:vAlign w:val="bottom"/>
            <w:gridSpan w:val="4"/>
          </w:tcPr>
          <w:p>
            <w:pPr>
              <w:jc w:val="center"/>
              <w:ind w:left="413"/>
              <w:spacing w:after="0"/>
              <w:rPr>
                <w:sz w:val="20"/>
                <w:szCs w:val="20"/>
                <w:color w:val="auto"/>
              </w:rPr>
            </w:pPr>
            <w:r>
              <w:rPr>
                <w:rFonts w:ascii="Arial" w:cs="Arial" w:eastAsia="Arial" w:hAnsi="Arial"/>
                <w:sz w:val="17"/>
                <w:szCs w:val="17"/>
                <w:b w:val="1"/>
                <w:bCs w:val="1"/>
                <w:color w:val="auto"/>
                <w:w w:val="94"/>
              </w:rPr>
              <w:t>Nine Months Ended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1"/>
        </w:trPr>
        <w:tc>
          <w:tcPr>
            <w:tcW w:w="5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333"/>
              <w:spacing w:after="0"/>
              <w:rPr>
                <w:sz w:val="20"/>
                <w:szCs w:val="20"/>
                <w:color w:val="auto"/>
              </w:rPr>
            </w:pPr>
            <w:r>
              <w:rPr>
                <w:rFonts w:ascii="Arial" w:cs="Arial" w:eastAsia="Arial" w:hAnsi="Arial"/>
                <w:sz w:val="17"/>
                <w:szCs w:val="17"/>
                <w:b w:val="1"/>
                <w:bCs w:val="1"/>
                <w:color w:val="auto"/>
                <w:w w:val="91"/>
              </w:rPr>
              <w:t>September 30,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4"/>
        </w:trPr>
        <w:tc>
          <w:tcPr>
            <w:tcW w:w="5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3"/>
        </w:trPr>
        <w:tc>
          <w:tcPr>
            <w:tcW w:w="5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20" w:type="dxa"/>
            <w:vAlign w:val="bottom"/>
            <w:gridSpan w:val="3"/>
          </w:tcPr>
          <w:p>
            <w:pPr>
              <w:jc w:val="center"/>
              <w:ind w:right="333"/>
              <w:spacing w:after="0"/>
              <w:rPr>
                <w:sz w:val="20"/>
                <w:szCs w:val="20"/>
                <w:color w:val="auto"/>
              </w:rPr>
            </w:pPr>
            <w:r>
              <w:rPr>
                <w:rFonts w:ascii="Arial" w:cs="Arial" w:eastAsia="Arial" w:hAnsi="Arial"/>
                <w:sz w:val="17"/>
                <w:szCs w:val="17"/>
                <w:i w:val="1"/>
                <w:iCs w:val="1"/>
                <w:color w:val="auto"/>
                <w:w w:val="98"/>
              </w:rPr>
              <w:t>(In millions)</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1"/>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169.3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167.6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r>
    </w:tbl>
    <w:p>
      <w:pPr>
        <w:spacing w:after="0" w:line="200" w:lineRule="exact"/>
        <w:rPr>
          <w:sz w:val="20"/>
          <w:szCs w:val="20"/>
          <w:color w:val="auto"/>
        </w:rPr>
      </w:pPr>
    </w:p>
    <w:p>
      <w:pPr>
        <w:spacing w:after="0" w:line="243" w:lineRule="exact"/>
        <w:rPr>
          <w:sz w:val="20"/>
          <w:szCs w:val="20"/>
          <w:color w:val="auto"/>
        </w:rPr>
      </w:pPr>
    </w:p>
    <w:p>
      <w:pPr>
        <w:ind w:right="60" w:firstLine="391"/>
        <w:spacing w:after="0" w:line="263" w:lineRule="auto"/>
        <w:rPr>
          <w:sz w:val="20"/>
          <w:szCs w:val="20"/>
          <w:color w:val="auto"/>
        </w:rPr>
      </w:pPr>
      <w:r>
        <w:rPr>
          <w:rFonts w:ascii="Arial" w:cs="Arial" w:eastAsia="Arial" w:hAnsi="Arial"/>
          <w:sz w:val="17"/>
          <w:szCs w:val="17"/>
          <w:color w:val="auto"/>
        </w:rPr>
        <w:t>General and administrative expenses increased $1.7 million or 1.0% during the nine months ended September 30, 2021, as compared to the nine months ended September 30, 2020, primarily due to an increase of $15.6 million due to employee-related costs, including $13.3 million in stock-based compensation driven by the resignation of one of the co-founders and the forfeiture of his Co-Founder Grant during the three months ended March 31, 2020. This increase was offset by decreases of $13.1 million in allocated overhead, which includes facilities-related costs for our corporate headquarters and $3.1 million in non income-based taxes and $0.1 million in legal fees and acquisition expenses.</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Impairment related to real estate assets</w:t>
      </w:r>
    </w:p>
    <w:p>
      <w:pPr>
        <w:spacing w:after="0" w:line="247" w:lineRule="exact"/>
        <w:rPr>
          <w:sz w:val="20"/>
          <w:szCs w:val="20"/>
          <w:color w:val="auto"/>
        </w:rPr>
      </w:pPr>
    </w:p>
    <w:p>
      <w:pPr>
        <w:ind w:right="20" w:firstLine="391"/>
        <w:spacing w:after="0" w:line="286" w:lineRule="auto"/>
        <w:rPr>
          <w:sz w:val="20"/>
          <w:szCs w:val="20"/>
          <w:color w:val="auto"/>
        </w:rPr>
      </w:pPr>
      <w:r>
        <w:rPr>
          <w:rFonts w:ascii="Arial" w:cs="Arial" w:eastAsia="Arial" w:hAnsi="Arial"/>
          <w:sz w:val="17"/>
          <w:szCs w:val="17"/>
          <w:color w:val="auto"/>
        </w:rPr>
        <w:t>Impairment related to real estate assets was $17.3 million during the nine months ended September 30, 2021, due to an impairment charge as a result of our continued adoption of our Virtual First strategy, including the acquisition of DocSend.</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Interest income (expense), net</w:t>
      </w:r>
    </w:p>
    <w:p>
      <w:pPr>
        <w:spacing w:after="0" w:line="247" w:lineRule="exact"/>
        <w:rPr>
          <w:sz w:val="20"/>
          <w:szCs w:val="20"/>
          <w:color w:val="auto"/>
        </w:rPr>
      </w:pPr>
    </w:p>
    <w:p>
      <w:pPr>
        <w:ind w:right="20" w:firstLine="391"/>
        <w:spacing w:after="0" w:line="266" w:lineRule="auto"/>
        <w:rPr>
          <w:sz w:val="20"/>
          <w:szCs w:val="20"/>
          <w:color w:val="auto"/>
        </w:rPr>
      </w:pPr>
      <w:r>
        <w:rPr>
          <w:rFonts w:ascii="Arial" w:cs="Arial" w:eastAsia="Arial" w:hAnsi="Arial"/>
          <w:sz w:val="17"/>
          <w:szCs w:val="17"/>
          <w:color w:val="auto"/>
        </w:rPr>
        <w:t>Interest income (expense), net decreased $6.4 million during the nine months ended September 30, 2021, as compared to the nine months ended September 30, 2020, primarily due to a decrease in interest income from our money market funds and short-term investments as a result of government-initiated interest rate reductions in response to the COVID-19 pandemic and an increase in interest expense due to the amortization of debt issuance costs incurred as part of our convertible debt offering during the three months ended March 31, 2021.</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Other income, net</w:t>
      </w:r>
    </w:p>
    <w:p>
      <w:pPr>
        <w:spacing w:after="0" w:line="247"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Other income, net decreased $10.0 million during the nine months ended September 30, 2021, as compared to the nine months ended September 30, 2020, primarily due to $17.5 million in gains related to an equity investment during the nine months ended September 30, 2020 and decreases of $2.9 million in foreign currency transaction gains, offset by $10.3 million in gains related to the disposal of infrastructure assets.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firstLine="391"/>
        <w:spacing w:after="0" w:line="357" w:lineRule="auto"/>
        <w:rPr>
          <w:sz w:val="20"/>
          <w:szCs w:val="20"/>
          <w:color w:val="auto"/>
        </w:rPr>
      </w:pPr>
      <w:r>
        <w:rPr>
          <w:rFonts w:ascii="Arial" w:cs="Arial" w:eastAsia="Arial" w:hAnsi="Arial"/>
          <w:sz w:val="15"/>
          <w:szCs w:val="15"/>
          <w:color w:val="auto"/>
        </w:rPr>
        <w:t>Provision for income taxes decreased $3.5 million during the nine months ended September 30, 2021, as compared to the nine months ended September 30, 2020, primarily due to tax benefits from the DocSend acquisition and a decrease in state taxes during the nine months ended September 30, 2021.</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3"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As of September 30, 2021, we had cash and cash equivalents of $688.9 million and short-term investments of $1,239.8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September 30, 2021, we had $147.6 million of our cash and cash equivalents held by our foreign subsidiaries. We do not expect to incur material taxes in the event we repatriate any of these amounts.</w:t>
      </w:r>
    </w:p>
    <w:p>
      <w:pPr>
        <w:spacing w:after="0" w:line="114" w:lineRule="exact"/>
        <w:rPr>
          <w:sz w:val="20"/>
          <w:szCs w:val="20"/>
          <w:color w:val="auto"/>
        </w:rPr>
      </w:pPr>
    </w:p>
    <w:p>
      <w:pPr>
        <w:ind w:right="60" w:firstLine="391"/>
        <w:spacing w:after="0" w:line="263" w:lineRule="auto"/>
        <w:rPr>
          <w:sz w:val="20"/>
          <w:szCs w:val="20"/>
          <w:color w:val="auto"/>
        </w:rPr>
      </w:pPr>
      <w:r>
        <w:rPr>
          <w:rFonts w:ascii="Arial" w:cs="Arial" w:eastAsia="Arial" w:hAnsi="Arial"/>
          <w:sz w:val="17"/>
          <w:szCs w:val="17"/>
          <w:color w:val="auto"/>
        </w:rPr>
        <w:t>Since our inception, we have financed our operations primarily through cash generated from our operations, the issuance of the Notes and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101"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In February 2021, we issued approximately $1.4 billion in aggregate principal amount of convertible senior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will not bear regular interest and the principal will not accrete. The Notes of each series may bear special interest as the remedy relating to the Company’s failure to comply with certain of its reporting obligations. These notes can be converted or repurchased prior to maturity if certain conditions are met.</w:t>
      </w:r>
    </w:p>
    <w:p>
      <w:pPr>
        <w:spacing w:after="0" w:line="113" w:lineRule="exact"/>
        <w:rPr>
          <w:sz w:val="20"/>
          <w:szCs w:val="20"/>
          <w:color w:val="auto"/>
        </w:rPr>
      </w:pPr>
    </w:p>
    <w:p>
      <w:pPr>
        <w:ind w:right="20" w:firstLine="391"/>
        <w:spacing w:after="0" w:line="276" w:lineRule="auto"/>
        <w:rPr>
          <w:sz w:val="20"/>
          <w:szCs w:val="20"/>
          <w:color w:val="auto"/>
        </w:rPr>
      </w:pPr>
      <w:r>
        <w:rPr>
          <w:rFonts w:ascii="Arial" w:cs="Arial" w:eastAsia="Arial" w:hAnsi="Arial"/>
          <w:sz w:val="16"/>
          <w:szCs w:val="16"/>
          <w:color w:val="auto"/>
        </w:rPr>
        <w:t>Our principal uses of cash in recent periods have been funding our operations, purchases of short-term investments, the satisfaction of tax withholdings in connection with the settlement of restricted stock units and awards, making principal payments on our finance lease obligations, repurchases of our Class A common stock, and capital expenditures. In February 2020, our Board of Directors approved a stock repurchase program for the repurchase of up to $600 million of the outstanding shares of our Class A common stock. In February 2021, our Board of Directors authorized the repurchase of up to an additional $1 billion of the outstanding shares of our Class A common stock.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During the three and nine months ended September 30, 2021, we repurchased and subsequently retired 5.8 million and 29.9 million shares, respectively, of our Class A common stock for an aggregate amount of $181.0 million and $763.7 million, respectively. This includes $200.0 million used to repurchase 8.6 million shares of our Class A common stock in conjunction with the issuance of the Notes, which was outside of our stock repurchase program. We previously announced, and executed on, our intention to increase the pace of our share repurchases under the current program. However, the pace of our share repurchases may vary due to various circumstances, including market conditions and our stock price.</w:t>
      </w:r>
    </w:p>
    <w:p>
      <w:pPr>
        <w:spacing w:after="0" w:line="105" w:lineRule="exact"/>
        <w:rPr>
          <w:sz w:val="20"/>
          <w:szCs w:val="20"/>
          <w:color w:val="auto"/>
        </w:rPr>
      </w:pPr>
    </w:p>
    <w:p>
      <w:pPr>
        <w:ind w:right="40" w:firstLine="391"/>
        <w:spacing w:after="0" w:line="279" w:lineRule="auto"/>
        <w:rPr>
          <w:sz w:val="20"/>
          <w:szCs w:val="20"/>
          <w:color w:val="auto"/>
        </w:rPr>
      </w:pPr>
      <w:r>
        <w:rPr>
          <w:rFonts w:ascii="Arial" w:cs="Arial" w:eastAsia="Arial" w:hAnsi="Arial"/>
          <w:sz w:val="16"/>
          <w:szCs w:val="16"/>
          <w:color w:val="auto"/>
        </w:rPr>
        <w:t>In April 2017, we entered into a $600.0 million credit facility with a syndicate of financial institutions. Pursuant to the terms of the revolving credit facility, we may issue letters of credit under the revolving credit facility, which reduce the total amount available for borrowing under such facility. The revolving credit facility terminates on April 4, 2022.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In February 2021, we amended our revolving credit facility to decrease our borrowing capacity from $725.0 million to $500.0 million. We may from time to time request increases in the borrowing capacity under the revolving credit facility of up to $250.0 million, provided no event of default has occurred or is continuing or would result from such increase.</w:t>
      </w:r>
    </w:p>
    <w:p>
      <w:pPr>
        <w:spacing w:after="0" w:line="92" w:lineRule="exact"/>
        <w:rPr>
          <w:sz w:val="20"/>
          <w:szCs w:val="20"/>
          <w:color w:val="auto"/>
        </w:rPr>
      </w:pPr>
    </w:p>
    <w:p>
      <w:pPr>
        <w:ind w:right="480" w:firstLine="391"/>
        <w:spacing w:after="0" w:line="298" w:lineRule="auto"/>
        <w:rPr>
          <w:sz w:val="20"/>
          <w:szCs w:val="20"/>
          <w:color w:val="auto"/>
        </w:rPr>
      </w:pPr>
      <w:r>
        <w:rPr>
          <w:rFonts w:ascii="Arial" w:cs="Arial" w:eastAsia="Arial" w:hAnsi="Arial"/>
          <w:sz w:val="15"/>
          <w:szCs w:val="15"/>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w:t>
      </w:r>
    </w:p>
    <w:p>
      <w:pPr>
        <w:spacing w:after="0" w:line="1"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0.20% per annum on the unused portion of the borrowing commitments under the revolving credit facility. In addition, we are required to pay a fee in connection with letters of credit issued under the revolving credit facility that accrues at a rate of 1.375% per annum on the amount of such letters of credit outstanding. There is an additional fronting fee of 0.125% per annum multiplied by the average aggregate daily maximum amount available under all letters of credit.</w:t>
      </w:r>
    </w:p>
    <w:p>
      <w:pPr>
        <w:spacing w:after="0" w:line="79" w:lineRule="exact"/>
        <w:rPr>
          <w:sz w:val="20"/>
          <w:szCs w:val="20"/>
          <w:color w:val="auto"/>
        </w:rPr>
      </w:pPr>
    </w:p>
    <w:p>
      <w:pPr>
        <w:ind w:right="220" w:firstLine="391"/>
        <w:spacing w:after="0" w:line="271"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financial covenants, including a consolidated leverage ratio incurrence covenant and a minimum liquidity balance. We were in compliance with all covenants under the revolving credit facility as of September 30, 2021.</w:t>
      </w:r>
    </w:p>
    <w:p>
      <w:pPr>
        <w:spacing w:after="0" w:line="94" w:lineRule="exact"/>
        <w:rPr>
          <w:sz w:val="20"/>
          <w:szCs w:val="20"/>
          <w:color w:val="auto"/>
        </w:rPr>
      </w:pPr>
    </w:p>
    <w:p>
      <w:pPr>
        <w:ind w:right="200" w:firstLine="391"/>
        <w:spacing w:after="0" w:line="357" w:lineRule="auto"/>
        <w:rPr>
          <w:sz w:val="20"/>
          <w:szCs w:val="20"/>
          <w:color w:val="auto"/>
        </w:rPr>
      </w:pPr>
      <w:r>
        <w:rPr>
          <w:rFonts w:ascii="Arial" w:cs="Arial" w:eastAsia="Arial" w:hAnsi="Arial"/>
          <w:sz w:val="15"/>
          <w:szCs w:val="15"/>
          <w:color w:val="auto"/>
        </w:rPr>
        <w:t>As of September 30, 2021, we had no amounts outstanding under the revolving credit facility and an aggregate of $52.2 million in letters of credit issued under the revolving credit facility. Our total available borrowing capacity under the revolving credit facility was $447.8 million as of September 30, 2021.</w:t>
      </w:r>
    </w:p>
    <w:p>
      <w:pPr>
        <w:spacing w:after="0" w:line="34" w:lineRule="exact"/>
        <w:rPr>
          <w:sz w:val="20"/>
          <w:szCs w:val="20"/>
          <w:color w:val="auto"/>
        </w:rPr>
      </w:pPr>
    </w:p>
    <w:p>
      <w:pPr>
        <w:ind w:firstLine="391"/>
        <w:spacing w:after="0" w:line="277" w:lineRule="auto"/>
        <w:rPr>
          <w:sz w:val="20"/>
          <w:szCs w:val="20"/>
          <w:color w:val="auto"/>
        </w:rPr>
      </w:pPr>
      <w:r>
        <w:rPr>
          <w:rFonts w:ascii="Arial" w:cs="Arial" w:eastAsia="Arial" w:hAnsi="Arial"/>
          <w:sz w:val="16"/>
          <w:szCs w:val="16"/>
          <w:color w:val="auto"/>
        </w:rPr>
        <w:t>We believe our existing cash and cash equivalents, together with our short-term investments,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our ability to sublease space at office locations where we have unused spaces,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and timing of our share repurchases.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cash flow activities were as follows for the periods presented:</w:t>
      </w:r>
    </w:p>
    <w:p>
      <w:pPr>
        <w:spacing w:after="0" w:line="183" w:lineRule="exact"/>
        <w:rPr>
          <w:sz w:val="20"/>
          <w:szCs w:val="20"/>
          <w:color w:val="auto"/>
        </w:rPr>
      </w:pPr>
    </w:p>
    <w:p>
      <w:pPr>
        <w:jc w:val="center"/>
        <w:ind w:left="7400"/>
        <w:spacing w:after="0"/>
        <w:rPr>
          <w:sz w:val="20"/>
          <w:szCs w:val="20"/>
          <w:color w:val="auto"/>
        </w:rPr>
      </w:pPr>
      <w:r>
        <w:rPr>
          <w:rFonts w:ascii="Arial" w:cs="Arial" w:eastAsia="Arial" w:hAnsi="Arial"/>
          <w:sz w:val="17"/>
          <w:szCs w:val="17"/>
          <w:b w:val="1"/>
          <w:bCs w:val="1"/>
          <w:color w:val="auto"/>
        </w:rPr>
        <w:t>Nine Months Ended</w:t>
      </w:r>
    </w:p>
    <w:p>
      <w:pPr>
        <w:jc w:val="center"/>
        <w:ind w:left="7400"/>
        <w:spacing w:after="0"/>
        <w:rPr>
          <w:sz w:val="20"/>
          <w:szCs w:val="20"/>
          <w:color w:val="auto"/>
        </w:rPr>
      </w:pPr>
      <w:r>
        <w:rPr>
          <w:rFonts w:ascii="Arial" w:cs="Arial" w:eastAsia="Arial" w:hAnsi="Arial"/>
          <w:sz w:val="17"/>
          <w:szCs w:val="17"/>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r>
      <w:tr>
        <w:trPr>
          <w:trHeight w:val="253"/>
        </w:trPr>
        <w:tc>
          <w:tcPr>
            <w:tcW w:w="7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60" w:type="dxa"/>
            <w:vAlign w:val="bottom"/>
            <w:gridSpan w:val="3"/>
          </w:tcPr>
          <w:p>
            <w:pPr>
              <w:jc w:val="right"/>
              <w:ind w:right="73"/>
              <w:spacing w:after="0"/>
              <w:rPr>
                <w:sz w:val="20"/>
                <w:szCs w:val="20"/>
                <w:color w:val="auto"/>
              </w:rPr>
            </w:pPr>
            <w:r>
              <w:rPr>
                <w:rFonts w:ascii="Arial" w:cs="Arial" w:eastAsia="Arial" w:hAnsi="Arial"/>
                <w:sz w:val="17"/>
                <w:szCs w:val="17"/>
                <w:i w:val="1"/>
                <w:iCs w:val="1"/>
                <w:color w:val="auto"/>
              </w:rPr>
              <w:t>(In millions)</w:t>
            </w:r>
          </w:p>
        </w:tc>
        <w:tc>
          <w:tcPr>
            <w:tcW w:w="1220" w:type="dxa"/>
            <w:vAlign w:val="bottom"/>
          </w:tcPr>
          <w:p>
            <w:pPr>
              <w:spacing w:after="0"/>
              <w:rPr>
                <w:sz w:val="22"/>
                <w:szCs w:val="22"/>
                <w:color w:val="auto"/>
              </w:rPr>
            </w:pPr>
          </w:p>
        </w:tc>
      </w:tr>
      <w:tr>
        <w:trPr>
          <w:trHeight w:val="221"/>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400.1</w:t>
            </w:r>
          </w:p>
        </w:tc>
      </w:tr>
      <w:tr>
        <w:trPr>
          <w:trHeight w:val="221"/>
        </w:trPr>
        <w:tc>
          <w:tcPr>
            <w:tcW w:w="752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(191.6)</w:t>
            </w:r>
          </w:p>
        </w:tc>
      </w:tr>
      <w:tr>
        <w:trPr>
          <w:trHeight w:val="221"/>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(307.9)</w:t>
            </w:r>
          </w:p>
        </w:tc>
      </w:tr>
      <w:tr>
        <w:trPr>
          <w:trHeight w:val="221"/>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r>
      <w:tr>
        <w:trPr>
          <w:trHeight w:val="239"/>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56" w:lineRule="exact"/>
        <w:rPr>
          <w:sz w:val="20"/>
          <w:szCs w:val="20"/>
          <w:color w:val="auto"/>
        </w:rPr>
      </w:pPr>
    </w:p>
    <w:p>
      <w:pPr>
        <w:ind w:right="80" w:firstLine="391"/>
        <w:spacing w:after="0" w:line="266" w:lineRule="auto"/>
        <w:rPr>
          <w:sz w:val="20"/>
          <w:szCs w:val="20"/>
          <w:color w:val="auto"/>
        </w:rPr>
      </w:pPr>
      <w:r>
        <w:rPr>
          <w:rFonts w:ascii="Arial" w:cs="Arial" w:eastAsia="Arial" w:hAnsi="Arial"/>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depreciation and amortization expenses, stock-based compensation, and impairment related to real estate assets, as well as the effect of changes in operating assets and liabilities.</w:t>
      </w:r>
    </w:p>
    <w:p>
      <w:pPr>
        <w:spacing w:after="0" w:line="110" w:lineRule="exact"/>
        <w:rPr>
          <w:sz w:val="20"/>
          <w:szCs w:val="20"/>
          <w:color w:val="auto"/>
        </w:rPr>
      </w:pPr>
    </w:p>
    <w:p>
      <w:pPr>
        <w:ind w:right="100" w:firstLine="391"/>
        <w:spacing w:after="0" w:line="283" w:lineRule="auto"/>
        <w:rPr>
          <w:sz w:val="20"/>
          <w:szCs w:val="20"/>
          <w:color w:val="auto"/>
        </w:rPr>
      </w:pPr>
      <w:r>
        <w:rPr>
          <w:rFonts w:ascii="Arial" w:cs="Arial" w:eastAsia="Arial" w:hAnsi="Arial"/>
          <w:sz w:val="16"/>
          <w:szCs w:val="16"/>
          <w:color w:val="auto"/>
        </w:rPr>
        <w:t>For the nine months ended September 30, 2021, net cash provided by operating activities was $567.1 million, which primarily consisted of our net income of $211.2 million, adjusted for stock-based compensation expense of $214.6 million, depreciation and amortization expenses of $110.3 million, impairment related to real estate assets of $17.3 million, and net cash outflow of $7.2 million from operating assets and liabilities. The outflow from operating assets and liabilities was primarily due to the payment of our corporate bonus and key employee holdback payments related to the acquisition of HelloSign, offset by an increase in deferred revenue from increased subscription sales, as a majority of our paying users are invoiced in advance.</w:t>
      </w:r>
    </w:p>
    <w:p>
      <w:pPr>
        <w:spacing w:after="0" w:line="87" w:lineRule="exact"/>
        <w:rPr>
          <w:sz w:val="20"/>
          <w:szCs w:val="20"/>
          <w:color w:val="auto"/>
        </w:rPr>
      </w:pPr>
    </w:p>
    <w:p>
      <w:pPr>
        <w:ind w:right="20" w:firstLine="391"/>
        <w:spacing w:after="0" w:line="295" w:lineRule="auto"/>
        <w:rPr>
          <w:sz w:val="20"/>
          <w:szCs w:val="20"/>
          <w:color w:val="auto"/>
        </w:rPr>
      </w:pPr>
      <w:r>
        <w:rPr>
          <w:rFonts w:ascii="Arial" w:cs="Arial" w:eastAsia="Arial" w:hAnsi="Arial"/>
          <w:sz w:val="16"/>
          <w:szCs w:val="16"/>
          <w:color w:val="auto"/>
        </w:rPr>
        <w:t>The increase in net cash provided by operating activities during the nine months ended September 30, 2021, compared to the nine months ended September 30, 2020, was primarily due to an increase in net income, as adjusted for stock-based compensation, depreciation and amortization expenses, and impairment related to real estate assets. This was partially offset by an increase in cash outflows from changes in operating assets and liabilities.</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56" w:lineRule="exact"/>
        <w:rPr>
          <w:sz w:val="20"/>
          <w:szCs w:val="20"/>
          <w:color w:val="auto"/>
        </w:rPr>
      </w:pPr>
    </w:p>
    <w:p>
      <w:pPr>
        <w:ind w:right="100" w:firstLine="391"/>
        <w:spacing w:after="0" w:line="271" w:lineRule="auto"/>
        <w:rPr>
          <w:sz w:val="20"/>
          <w:szCs w:val="20"/>
          <w:color w:val="auto"/>
        </w:rPr>
      </w:pPr>
      <w:r>
        <w:rPr>
          <w:rFonts w:ascii="Arial" w:cs="Arial" w:eastAsia="Arial" w:hAnsi="Arial"/>
          <w:sz w:val="17"/>
          <w:szCs w:val="17"/>
          <w:color w:val="auto"/>
        </w:rPr>
        <w:t>Net cash used in investing activities is primarily impacted by purchases of short-term investments, purchases of property and equipment to make improvements or modifications to existing and new office spaces, and for purchasing infrastructure equipment in co-location facilities that we directly lease and operate.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240" w:firstLine="391"/>
        <w:spacing w:after="0" w:line="271" w:lineRule="auto"/>
        <w:rPr>
          <w:sz w:val="20"/>
          <w:szCs w:val="20"/>
          <w:color w:val="auto"/>
        </w:rPr>
      </w:pPr>
      <w:r>
        <w:rPr>
          <w:rFonts w:ascii="Arial" w:cs="Arial" w:eastAsia="Arial" w:hAnsi="Arial"/>
          <w:sz w:val="17"/>
          <w:szCs w:val="17"/>
          <w:color w:val="auto"/>
        </w:rPr>
        <w:t>For the nine months ended September 30, 2021, net cash used in investing activities was $560.1 million, which primarily related to $442.4 million in net investment activity outflows, driven by the purchases of short-term investments, net of sales and maturities and $125.3 million related to cash paid for our acquisition of DocSend.</w:t>
      </w:r>
    </w:p>
    <w:p>
      <w:pPr>
        <w:spacing w:after="0" w:line="106" w:lineRule="exact"/>
        <w:rPr>
          <w:sz w:val="20"/>
          <w:szCs w:val="20"/>
          <w:color w:val="auto"/>
        </w:rPr>
      </w:pPr>
    </w:p>
    <w:p>
      <w:pPr>
        <w:ind w:right="60" w:firstLine="391"/>
        <w:spacing w:after="0" w:line="323" w:lineRule="auto"/>
        <w:rPr>
          <w:sz w:val="20"/>
          <w:szCs w:val="20"/>
          <w:color w:val="auto"/>
        </w:rPr>
      </w:pPr>
      <w:r>
        <w:rPr>
          <w:rFonts w:ascii="Arial" w:cs="Arial" w:eastAsia="Arial" w:hAnsi="Arial"/>
          <w:sz w:val="15"/>
          <w:szCs w:val="15"/>
          <w:color w:val="auto"/>
        </w:rPr>
        <w:t>The increase in cash used in investing activities during the nine months ended September 30, 2021, compared to the nine months ended September 30, 2020, was primarily due to higher outflows related to net investment activity during the nine months ended September 30, 2021, and the acquisition of DocSend, offset by the decrease in cash paid for capital expenditures during the nine months ended September 30, 2021 as a result of decreased spend on office build-outs.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56" w:lineRule="exact"/>
        <w:rPr>
          <w:sz w:val="20"/>
          <w:szCs w:val="20"/>
          <w:color w:val="auto"/>
        </w:rPr>
      </w:pPr>
    </w:p>
    <w:p>
      <w:pPr>
        <w:ind w:right="220" w:firstLine="391"/>
        <w:spacing w:after="0" w:line="266" w:lineRule="auto"/>
        <w:rPr>
          <w:sz w:val="20"/>
          <w:szCs w:val="20"/>
          <w:color w:val="auto"/>
        </w:rPr>
      </w:pPr>
      <w:r>
        <w:rPr>
          <w:rFonts w:ascii="Arial" w:cs="Arial" w:eastAsia="Arial" w:hAnsi="Arial"/>
          <w:sz w:val="17"/>
          <w:szCs w:val="17"/>
          <w:color w:val="auto"/>
        </w:rPr>
        <w:t>Net cash used in financing activities is primarily impacted by cash used for tax withholding obligations for the release of RSUs and RSAs, principal payments on finance lease obligations for our infrastructure equipment, and repurchases of common stock. Additionally, in connection with the issuance of convertible senior notes, proceeds from the issuance of convertible notes, proceeds from the issuance of warrants, purchases of convertible senior note hedges, and debt issuance costs impacted net cash used in financing activities.</w:t>
      </w:r>
    </w:p>
    <w:p>
      <w:pPr>
        <w:spacing w:after="0" w:line="110" w:lineRule="exact"/>
        <w:rPr>
          <w:sz w:val="20"/>
          <w:szCs w:val="20"/>
          <w:color w:val="auto"/>
        </w:rPr>
      </w:pPr>
    </w:p>
    <w:p>
      <w:pPr>
        <w:ind w:firstLine="391"/>
        <w:spacing w:after="0" w:line="266" w:lineRule="auto"/>
        <w:rPr>
          <w:sz w:val="20"/>
          <w:szCs w:val="20"/>
          <w:color w:val="auto"/>
        </w:rPr>
      </w:pPr>
      <w:r>
        <w:rPr>
          <w:rFonts w:ascii="Arial" w:cs="Arial" w:eastAsia="Arial" w:hAnsi="Arial"/>
          <w:sz w:val="17"/>
          <w:szCs w:val="17"/>
          <w:color w:val="auto"/>
        </w:rPr>
        <w:t>For the nine months ended September 30, 2021, net cash provided by financing activities was $368.5 million, which primarily consisted of $1,303.0 million in net proceeds from the 2026 Notes and 2028 Notes, offset by offering costs, and the concurrent Note Hedges and Warrants transaction, $763.7 million for the repurchase of our common stock, $98.2 million for the satisfaction of tax withholding obligations for the release of restricted stock units and awards, and $79.2 million in principal payments on finance lease obligations.</w:t>
      </w:r>
    </w:p>
    <w:p>
      <w:pPr>
        <w:spacing w:after="0" w:line="97" w:lineRule="exact"/>
        <w:rPr>
          <w:sz w:val="20"/>
          <w:szCs w:val="20"/>
          <w:color w:val="auto"/>
        </w:rPr>
      </w:pPr>
    </w:p>
    <w:p>
      <w:pPr>
        <w:ind w:right="40" w:firstLine="391"/>
        <w:spacing w:after="0" w:line="312" w:lineRule="auto"/>
        <w:rPr>
          <w:sz w:val="20"/>
          <w:szCs w:val="20"/>
          <w:color w:val="auto"/>
        </w:rPr>
      </w:pPr>
      <w:r>
        <w:rPr>
          <w:rFonts w:ascii="Arial" w:cs="Arial" w:eastAsia="Arial" w:hAnsi="Arial"/>
          <w:sz w:val="15"/>
          <w:szCs w:val="15"/>
          <w:color w:val="auto"/>
        </w:rPr>
        <w:t>The increase in cash provided by financing activities during the nine months ended September 30, 2021, compared to the nine months ended September 30, 2020, was primarily due to the net proceeds from the 2026 Notes and 2028 Notes, offset by offering costs, and the concurrent Note Hedges and Warrants transaction during the nine months ended September 30, 2021, as well as by the increase in repurchases of our common stock and the increase in the satisfaction of tax withholding obligations for the release of restricted stock units and awards during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53"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Our principal commitments consist of obligations under the Notes, operating leases for office space and data center operations, and finance leases for data center and office equipment. For additional information on the Notes, operating leases for office space and data center operations, and finance leases for data center and office equipment, see Note 8 "Debt" and Note 9 "Leases" to our condensed consolidated financial statements included elsewhere in this Quarterly Report on Form 10-Q for further information. Except for the Notes, there have been no material changes in our contractual obligations and commitments, as disclosed in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61" w:name="page62"/>
    <w:bookmarkEnd w:id="6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3"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As of September 30, 2021,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Judgments</w:t>
      </w:r>
    </w:p>
    <w:p>
      <w:pPr>
        <w:spacing w:after="0" w:line="253" w:lineRule="exact"/>
        <w:rPr>
          <w:sz w:val="20"/>
          <w:szCs w:val="20"/>
          <w:color w:val="auto"/>
        </w:rPr>
      </w:pPr>
    </w:p>
    <w:p>
      <w:pPr>
        <w:ind w:firstLine="313"/>
        <w:spacing w:after="0" w:line="357" w:lineRule="auto"/>
        <w:rPr>
          <w:sz w:val="20"/>
          <w:szCs w:val="20"/>
          <w:color w:val="auto"/>
        </w:rPr>
      </w:pPr>
      <w:r>
        <w:rPr>
          <w:rFonts w:ascii="Arial" w:cs="Arial" w:eastAsia="Arial" w:hAnsi="Arial"/>
          <w:sz w:val="15"/>
          <w:szCs w:val="15"/>
          <w:color w:val="auto"/>
        </w:rPr>
        <w:t>See Part II, Item 7, “Critical Accounting Policies and Judgments” in our Annual Report on Form 10-K for the year ended December 31, 2020. There have been no material changes to our critical accounting policies and estimates since our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63" w:name="page64"/>
    <w:bookmarkEnd w:id="6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53" w:lineRule="exact"/>
        <w:rPr>
          <w:sz w:val="20"/>
          <w:szCs w:val="20"/>
          <w:color w:val="auto"/>
        </w:rPr>
      </w:pPr>
    </w:p>
    <w:p>
      <w:pPr>
        <w:ind w:firstLine="391"/>
        <w:spacing w:after="0" w:line="357" w:lineRule="auto"/>
        <w:rPr>
          <w:sz w:val="20"/>
          <w:szCs w:val="20"/>
          <w:color w:val="auto"/>
        </w:rPr>
      </w:pPr>
      <w:r>
        <w:rPr>
          <w:rFonts w:ascii="Arial" w:cs="Arial" w:eastAsia="Arial" w:hAnsi="Arial"/>
          <w:sz w:val="15"/>
          <w:szCs w:val="15"/>
          <w:color w:val="auto"/>
        </w:rPr>
        <w:t>See Note 1 “Description of the Business and Summary of Significant Accounting Policies” to our condensed consolidated financial statements included elsewhere in this Quarterly Report on Form 10-Q for recently adopted accounting pronouncements as of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24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56" w:lineRule="exact"/>
        <w:rPr>
          <w:sz w:val="20"/>
          <w:szCs w:val="20"/>
          <w:color w:val="auto"/>
        </w:rPr>
      </w:pPr>
    </w:p>
    <w:p>
      <w:pPr>
        <w:ind w:right="80" w:firstLine="391"/>
        <w:spacing w:after="0" w:line="279" w:lineRule="auto"/>
        <w:rPr>
          <w:sz w:val="20"/>
          <w:szCs w:val="20"/>
          <w:color w:val="auto"/>
        </w:rPr>
      </w:pPr>
      <w:r>
        <w:rPr>
          <w:rFonts w:ascii="Arial" w:cs="Arial" w:eastAsia="Arial" w:hAnsi="Arial"/>
          <w:sz w:val="16"/>
          <w:szCs w:val="16"/>
          <w:color w:val="auto"/>
        </w:rPr>
        <w:t>We had cash and cash equivalents of $688.9 million and short-term investments of $1,239.8 million as of September 30, 2021.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92" w:lineRule="exact"/>
        <w:rPr>
          <w:sz w:val="20"/>
          <w:szCs w:val="20"/>
          <w:color w:val="auto"/>
        </w:rPr>
      </w:pPr>
    </w:p>
    <w:p>
      <w:pPr>
        <w:jc w:val="both"/>
        <w:ind w:right="240" w:firstLine="391"/>
        <w:spacing w:after="0" w:line="271" w:lineRule="auto"/>
        <w:rPr>
          <w:sz w:val="20"/>
          <w:szCs w:val="20"/>
          <w:color w:val="auto"/>
        </w:rPr>
      </w:pPr>
      <w:r>
        <w:rPr>
          <w:rFonts w:ascii="Arial" w:cs="Arial" w:eastAsia="Arial" w:hAnsi="Arial"/>
          <w:sz w:val="17"/>
          <w:szCs w:val="17"/>
          <w:color w:val="auto"/>
        </w:rPr>
        <w:t>Any borrowings under the revolving credit facility bear interest at a variable rate tied to the prime rate or the LIBOR rate. As of September 30, 2021, we had no amounts outstanding under the revolving credit facility. We do not have any other long-term debt or financial liabilities with floating interest rates that would subject us to interest rate fluctuations.</w:t>
      </w:r>
    </w:p>
    <w:p>
      <w:pPr>
        <w:spacing w:after="0" w:line="106" w:lineRule="exact"/>
        <w:rPr>
          <w:sz w:val="20"/>
          <w:szCs w:val="20"/>
          <w:color w:val="auto"/>
        </w:rPr>
      </w:pPr>
    </w:p>
    <w:p>
      <w:pPr>
        <w:ind w:right="80" w:firstLine="391"/>
        <w:spacing w:after="0" w:line="286" w:lineRule="auto"/>
        <w:rPr>
          <w:sz w:val="20"/>
          <w:szCs w:val="20"/>
          <w:color w:val="auto"/>
        </w:rPr>
      </w:pPr>
      <w:r>
        <w:rPr>
          <w:rFonts w:ascii="Arial" w:cs="Arial" w:eastAsia="Arial" w:hAnsi="Arial"/>
          <w:sz w:val="17"/>
          <w:szCs w:val="17"/>
          <w:color w:val="auto"/>
        </w:rPr>
        <w:t>As of September 30, 2021, a hypothetical change in interest rates by 100 basis points would not have a significant impact on our cash and cash equivalents or the fair value of our investment portfolio.</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43" w:lineRule="exact"/>
        <w:rPr>
          <w:sz w:val="20"/>
          <w:szCs w:val="20"/>
          <w:color w:val="auto"/>
        </w:rPr>
      </w:pPr>
    </w:p>
    <w:p>
      <w:pPr>
        <w:ind w:right="80" w:firstLine="391"/>
        <w:spacing w:after="0" w:line="286"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w:t>
      </w:r>
    </w:p>
    <w:p>
      <w:pPr>
        <w:spacing w:after="0" w:line="94" w:lineRule="exact"/>
        <w:rPr>
          <w:sz w:val="20"/>
          <w:szCs w:val="20"/>
          <w:color w:val="auto"/>
        </w:rPr>
      </w:pPr>
    </w:p>
    <w:p>
      <w:pPr>
        <w:ind w:right="160" w:firstLine="391"/>
        <w:spacing w:after="0" w:line="286" w:lineRule="auto"/>
        <w:rPr>
          <w:sz w:val="20"/>
          <w:szCs w:val="20"/>
          <w:color w:val="auto"/>
        </w:rPr>
      </w:pPr>
      <w:r>
        <w:rPr>
          <w:rFonts w:ascii="Arial" w:cs="Arial" w:eastAsia="Arial" w:hAnsi="Arial"/>
          <w:sz w:val="17"/>
          <w:szCs w:val="17"/>
          <w:color w:val="auto"/>
        </w:rPr>
        <w:t>Most of our revenue is generated in U.S. dollars, with the remainder generated in Euros, British pounds sterling, Australian dollars, Canadian dollars, and Japanese yen.</w:t>
      </w:r>
    </w:p>
    <w:p>
      <w:pPr>
        <w:spacing w:after="0" w:line="94" w:lineRule="exact"/>
        <w:rPr>
          <w:sz w:val="20"/>
          <w:szCs w:val="20"/>
          <w:color w:val="auto"/>
        </w:rPr>
      </w:pPr>
    </w:p>
    <w:p>
      <w:pPr>
        <w:ind w:right="60" w:firstLine="391"/>
        <w:spacing w:after="0" w:line="266" w:lineRule="auto"/>
        <w:rPr>
          <w:sz w:val="20"/>
          <w:szCs w:val="20"/>
          <w:color w:val="auto"/>
        </w:rPr>
      </w:pPr>
      <w:r>
        <w:rPr>
          <w:rFonts w:ascii="Arial" w:cs="Arial" w:eastAsia="Arial" w:hAnsi="Arial"/>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97" w:lineRule="exact"/>
        <w:rPr>
          <w:sz w:val="20"/>
          <w:szCs w:val="20"/>
          <w:color w:val="auto"/>
        </w:rPr>
      </w:pPr>
    </w:p>
    <w:p>
      <w:pPr>
        <w:ind w:firstLine="391"/>
        <w:spacing w:after="0" w:line="259" w:lineRule="auto"/>
        <w:rPr>
          <w:sz w:val="20"/>
          <w:szCs w:val="20"/>
          <w:color w:val="auto"/>
        </w:rPr>
      </w:pPr>
      <w:r>
        <w:rPr>
          <w:rFonts w:ascii="Arial" w:cs="Arial" w:eastAsia="Arial" w:hAnsi="Arial"/>
          <w:sz w:val="17"/>
          <w:szCs w:val="17"/>
          <w:color w:val="auto"/>
        </w:rPr>
        <w:t>As exchange rates may fluctuate significantly between periods, revenue and operating expenses, when converted into U.S. dollars, may also experience significant fluctuations between periods. Volatile market conditions arising from the COVID-19 pandemic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nine months ended September 30, 2021, 30%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120" w:lineRule="exact"/>
        <w:rPr>
          <w:sz w:val="20"/>
          <w:szCs w:val="20"/>
          <w:color w:val="auto"/>
        </w:rPr>
      </w:pPr>
    </w:p>
    <w:p>
      <w:pPr>
        <w:jc w:val="both"/>
        <w:ind w:right="20" w:firstLine="391"/>
        <w:spacing w:after="0" w:line="271" w:lineRule="auto"/>
        <w:rPr>
          <w:sz w:val="20"/>
          <w:szCs w:val="20"/>
          <w:color w:val="auto"/>
        </w:rPr>
      </w:pPr>
      <w:r>
        <w:rPr>
          <w:rFonts w:ascii="Arial" w:cs="Arial" w:eastAsia="Arial" w:hAnsi="Arial"/>
          <w:sz w:val="17"/>
          <w:szCs w:val="17"/>
          <w:color w:val="auto"/>
        </w:rPr>
        <w:t>We recorded $0.8 million in net foreign currency transaction losses and $2.1 million in net foreign currency transaction gains during the nine months ended September 30, 2021 and 2020, respectively. A hypothetical 10% change in foreign currency rates would not have resulted in material gains or losses for the nine months ended September 30, 2021 and 2020.</w:t>
      </w:r>
    </w:p>
    <w:p>
      <w:pPr>
        <w:spacing w:after="0" w:line="106" w:lineRule="exact"/>
        <w:rPr>
          <w:sz w:val="20"/>
          <w:szCs w:val="20"/>
          <w:color w:val="auto"/>
        </w:rPr>
      </w:pPr>
    </w:p>
    <w:p>
      <w:pPr>
        <w:ind w:right="140" w:firstLine="391"/>
        <w:spacing w:after="0" w:line="286" w:lineRule="auto"/>
        <w:rPr>
          <w:sz w:val="20"/>
          <w:szCs w:val="20"/>
          <w:color w:val="auto"/>
        </w:rPr>
      </w:pPr>
      <w:r>
        <w:rPr>
          <w:rFonts w:ascii="Arial" w:cs="Arial" w:eastAsia="Arial" w:hAnsi="Arial"/>
          <w:sz w:val="17"/>
          <w:szCs w:val="17"/>
          <w:color w:val="auto"/>
        </w:rPr>
        <w:t>To date, we have not engaged in any hedging activities. As our international operations grow, we will continue to reassess our approach to managing risks relating to fluctuations in currency rates.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Inflation risk</w:t>
      </w:r>
    </w:p>
    <w:p>
      <w:pPr>
        <w:spacing w:after="0" w:line="156" w:lineRule="exact"/>
        <w:rPr>
          <w:sz w:val="20"/>
          <w:szCs w:val="20"/>
          <w:color w:val="auto"/>
        </w:rPr>
      </w:pPr>
    </w:p>
    <w:p>
      <w:pPr>
        <w:ind w:right="340" w:firstLine="391"/>
        <w:spacing w:after="0" w:line="271" w:lineRule="auto"/>
        <w:rPr>
          <w:sz w:val="20"/>
          <w:szCs w:val="20"/>
          <w:color w:val="auto"/>
        </w:rPr>
      </w:pPr>
      <w:r>
        <w:rPr>
          <w:rFonts w:ascii="Arial" w:cs="Arial" w:eastAsia="Arial" w:hAnsi="Arial"/>
          <w:sz w:val="17"/>
          <w:szCs w:val="17"/>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3" w:lineRule="exact"/>
        <w:rPr>
          <w:sz w:val="20"/>
          <w:szCs w:val="20"/>
          <w:color w:val="auto"/>
        </w:rPr>
      </w:pPr>
    </w:p>
    <w:p>
      <w:pPr>
        <w:jc w:val="both"/>
        <w:ind w:right="160" w:firstLine="391"/>
        <w:spacing w:after="0" w:line="287"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3" w:lineRule="exact"/>
        <w:rPr>
          <w:sz w:val="20"/>
          <w:szCs w:val="20"/>
          <w:color w:val="auto"/>
        </w:rPr>
      </w:pPr>
    </w:p>
    <w:p>
      <w:pPr>
        <w:ind w:right="220" w:firstLine="391"/>
        <w:spacing w:after="0" w:line="271" w:lineRule="auto"/>
        <w:rPr>
          <w:sz w:val="20"/>
          <w:szCs w:val="20"/>
          <w:color w:val="auto"/>
        </w:rPr>
      </w:pPr>
      <w:r>
        <w:rPr>
          <w:rFonts w:ascii="Arial" w:cs="Arial" w:eastAsia="Arial" w:hAnsi="Arial"/>
          <w:sz w:val="17"/>
          <w:szCs w:val="17"/>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Disclosure Controls and Procedures</w:t>
      </w:r>
    </w:p>
    <w:p>
      <w:pPr>
        <w:spacing w:after="0" w:line="253" w:lineRule="exact"/>
        <w:rPr>
          <w:sz w:val="20"/>
          <w:szCs w:val="20"/>
          <w:color w:val="auto"/>
        </w:rPr>
      </w:pPr>
    </w:p>
    <w:p>
      <w:pPr>
        <w:ind w:firstLine="391"/>
        <w:spacing w:after="0" w:line="258"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 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PROCEEDINGS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3" w:lineRule="exact"/>
        <w:rPr>
          <w:sz w:val="20"/>
          <w:szCs w:val="20"/>
          <w:color w:val="auto"/>
        </w:rPr>
      </w:pPr>
    </w:p>
    <w:p>
      <w:pPr>
        <w:ind w:right="420" w:firstLine="391"/>
        <w:spacing w:after="0" w:line="286" w:lineRule="auto"/>
        <w:rPr>
          <w:sz w:val="20"/>
          <w:szCs w:val="20"/>
          <w:color w:val="auto"/>
        </w:rPr>
      </w:pPr>
      <w:r>
        <w:rPr>
          <w:rFonts w:ascii="Arial" w:cs="Arial" w:eastAsia="Arial" w:hAnsi="Arial"/>
          <w:sz w:val="17"/>
          <w:szCs w:val="17"/>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w:t>
      </w:r>
    </w:p>
    <w:p>
      <w:pPr>
        <w:spacing w:after="0" w:line="94" w:lineRule="exact"/>
        <w:rPr>
          <w:sz w:val="20"/>
          <w:szCs w:val="20"/>
          <w:color w:val="auto"/>
        </w:rPr>
      </w:pPr>
    </w:p>
    <w:p>
      <w:pPr>
        <w:ind w:right="100" w:firstLine="391"/>
        <w:spacing w:after="0" w:line="262" w:lineRule="auto"/>
        <w:rPr>
          <w:sz w:val="20"/>
          <w:szCs w:val="20"/>
          <w:color w:val="auto"/>
        </w:rPr>
      </w:pPr>
      <w:r>
        <w:rPr>
          <w:rFonts w:ascii="Arial" w:cs="Arial" w:eastAsia="Arial" w:hAnsi="Arial"/>
          <w:sz w:val="17"/>
          <w:szCs w:val="17"/>
          <w:color w:val="auto"/>
        </w:rPr>
        <w:t>We are currently involved in four putative class action lawsuits alleging violations of the federal securities laws were filed on August 30, 2019, September 5, 2019, September 13, 2019, and October 3, 2019, in the Superior Court of the State of California, San Mateo County, against the Dropbox Defendants. On October 4, 2019, two putative class action lawsuits alleging violations of the federal securities laws were filed against the Dropbox Defendants in the U.S. District Court for the Northern District of California. The six lawsuits each make the same or similar allegations of violations of federal securities laws, for allegedly making materially false and misleading statements in, or omitting material information from, our IPO registration statement. The plaintiffs seek unspecified monetary damages and other relief.</w:t>
      </w:r>
    </w:p>
    <w:p>
      <w:pPr>
        <w:spacing w:after="0" w:line="100" w:lineRule="exact"/>
        <w:rPr>
          <w:sz w:val="20"/>
          <w:szCs w:val="20"/>
          <w:color w:val="auto"/>
        </w:rPr>
      </w:pPr>
    </w:p>
    <w:p>
      <w:pPr>
        <w:ind w:right="20" w:firstLine="391"/>
        <w:spacing w:after="0" w:line="279" w:lineRule="auto"/>
        <w:rPr>
          <w:sz w:val="20"/>
          <w:szCs w:val="20"/>
          <w:color w:val="auto"/>
        </w:rPr>
      </w:pPr>
      <w:r>
        <w:rPr>
          <w:rFonts w:ascii="Arial" w:cs="Arial" w:eastAsia="Arial" w:hAnsi="Arial"/>
          <w:sz w:val="16"/>
          <w:szCs w:val="16"/>
          <w:color w:val="auto"/>
        </w:rPr>
        <w:t>On March 2, 2020, the Federal Plaintiffs filed a consolidated class action complaint. On April 16, 2020, the Dropbox Defendants filed a motion to dismiss the federal consolidated class action complaint. On October 21, 2020, the federal court issued an order granting our motion to dismiss the Federal Plaintiffs’ complaint with leave to amend setting a deadline of January 6, 2021 for the Federal Plaintiffs to file any amended complaint. The federal court extended this deadline to February 22, 2021 to provide time for the parties to explore resolving the case. On February 11, 2021, the parties attended mediation and reached a settlement in principle for an immaterial amount subject to final documentation and preliminary and final approval by the court. On July 22, 2021, the Court held a preliminary settlement approval hearing. On August 3, 2021, the Court entered an order preliminarily approving the settlement and providing for notice to the class. The Court set a hearing for final approval of the settlement on December 2, 2021.</w:t>
      </w:r>
    </w:p>
    <w:p>
      <w:pPr>
        <w:spacing w:after="0" w:line="105" w:lineRule="exact"/>
        <w:rPr>
          <w:sz w:val="20"/>
          <w:szCs w:val="20"/>
          <w:color w:val="auto"/>
        </w:rPr>
      </w:pPr>
    </w:p>
    <w:p>
      <w:pPr>
        <w:ind w:right="120" w:firstLine="391"/>
        <w:spacing w:after="0" w:line="266" w:lineRule="auto"/>
        <w:rPr>
          <w:sz w:val="20"/>
          <w:szCs w:val="20"/>
          <w:color w:val="auto"/>
        </w:rPr>
      </w:pPr>
      <w:r>
        <w:rPr>
          <w:rFonts w:ascii="Arial" w:cs="Arial" w:eastAsia="Arial" w:hAnsi="Arial"/>
          <w:sz w:val="17"/>
          <w:szCs w:val="17"/>
          <w:color w:val="auto"/>
        </w:rPr>
        <w:t>On May 11, 2020, the Dropbox Defendants filed a motion to dismiss the consolidated state court case based on the exclusive federal forum provisions contained in our amended and restated bylaws. On December 4, 2020, the state court issued an order granting our motion to dismiss the consolidated state court case. On December 15, 2020, the State Plaintiffs filed a notice of appeal of this order. We believe the appeal and claims are without merit and we intend to vigorously defend against them.</w:t>
      </w:r>
    </w:p>
    <w:p>
      <w:pPr>
        <w:spacing w:after="0" w:line="110" w:lineRule="exact"/>
        <w:rPr>
          <w:sz w:val="20"/>
          <w:szCs w:val="20"/>
          <w:color w:val="auto"/>
        </w:rPr>
      </w:pPr>
    </w:p>
    <w:p>
      <w:pPr>
        <w:ind w:firstLine="391"/>
        <w:spacing w:after="0" w:line="295" w:lineRule="auto"/>
        <w:rPr>
          <w:sz w:val="20"/>
          <w:szCs w:val="20"/>
          <w:color w:val="auto"/>
        </w:rPr>
      </w:pPr>
      <w:r>
        <w:rPr>
          <w:rFonts w:ascii="Arial" w:cs="Arial" w:eastAsia="Arial" w:hAnsi="Arial"/>
          <w:sz w:val="16"/>
          <w:szCs w:val="16"/>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242" w:lineRule="exact"/>
        <w:rPr>
          <w:sz w:val="20"/>
          <w:szCs w:val="20"/>
          <w:color w:val="auto"/>
        </w:rPr>
      </w:pPr>
    </w:p>
    <w:p>
      <w:pPr>
        <w:ind w:right="80" w:firstLine="391"/>
        <w:spacing w:after="0" w:line="259" w:lineRule="auto"/>
        <w:rPr>
          <w:sz w:val="20"/>
          <w:szCs w:val="20"/>
          <w:color w:val="auto"/>
        </w:rPr>
      </w:pPr>
      <w:r>
        <w:rPr>
          <w:rFonts w:ascii="Arial" w:cs="Arial" w:eastAsia="Arial" w:hAnsi="Arial"/>
          <w:sz w:val="17"/>
          <w:szCs w:val="17"/>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the impacts of COVID-19 and any worsening of the economic environment may exacerbate the risks described below, any of which could have a material impact on us. This situation is changing rapidly and additional impacts may arise that we are not currently aware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Business and Operations</w:t>
      </w:r>
    </w:p>
    <w:p>
      <w:pPr>
        <w:spacing w:after="0" w:line="25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Our business depends on our ability to retain and upgrade paying users, and any decline in renewals or upgrades could adversely affect our future results of operations.</w:t>
      </w:r>
    </w:p>
    <w:p>
      <w:pPr>
        <w:spacing w:after="0" w:line="185"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support, pricing, or mix of features, a user no longer having a need for our products, the availability of competitive products that are, or are perceived to be, less expensive, shifts in the mix of monthly and annual subscriptions or the impact of catastrophic events, such as the ongoing COVID-19 pandemic, on our paying users. In addition, some paying users downgrade or do not renew their subscriptions.</w:t>
      </w:r>
    </w:p>
    <w:p>
      <w:pPr>
        <w:spacing w:after="0" w:line="205" w:lineRule="exact"/>
        <w:rPr>
          <w:sz w:val="20"/>
          <w:szCs w:val="20"/>
          <w:color w:val="auto"/>
        </w:rPr>
      </w:pPr>
    </w:p>
    <w:p>
      <w:pPr>
        <w:ind w:right="80" w:firstLine="391"/>
        <w:spacing w:after="0" w:line="277" w:lineRule="auto"/>
        <w:rPr>
          <w:sz w:val="20"/>
          <w:szCs w:val="20"/>
          <w:color w:val="auto"/>
        </w:rPr>
      </w:pPr>
      <w:r>
        <w:rPr>
          <w:rFonts w:ascii="Arial" w:cs="Arial" w:eastAsia="Arial" w:hAnsi="Arial"/>
          <w:sz w:val="16"/>
          <w:szCs w:val="16"/>
          <w:color w:val="auto"/>
        </w:rPr>
        <w:t>We encourage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cancel their subscriptions or fail to renew, or if we fail to upgrade our paying users to premium offerings or expand within organizations, our business, results of operations, and financial condition may be harmed. Furthermore, we have and may continue to see an increase in customers opting for our monthly plans rather than our annual plans, including from users who upgrade to paid plans using mobile devices. As a result, if more of our users subscribe to our paid plans through mobile devices or otherwise opt for monthly plans, subscription renewals may fluctuate or decline.</w:t>
      </w:r>
    </w:p>
    <w:p>
      <w:pPr>
        <w:spacing w:after="0" w:line="199" w:lineRule="exact"/>
        <w:rPr>
          <w:sz w:val="20"/>
          <w:szCs w:val="20"/>
          <w:color w:val="auto"/>
        </w:rPr>
      </w:pPr>
    </w:p>
    <w:p>
      <w:pPr>
        <w:ind w:right="20" w:firstLine="391"/>
        <w:spacing w:after="0" w:line="271"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actively monitor the retention rates of our individual users. As a result, we may be unable to address any retention issues with specific users in a timely manner, which could harm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growth could be harmed if we fail to attract new users or convert registered users to paying users.</w:t>
      </w:r>
    </w:p>
    <w:p>
      <w:pPr>
        <w:spacing w:after="0" w:line="247" w:lineRule="exact"/>
        <w:rPr>
          <w:sz w:val="20"/>
          <w:szCs w:val="20"/>
          <w:color w:val="auto"/>
        </w:rPr>
      </w:pPr>
    </w:p>
    <w:p>
      <w:pPr>
        <w:jc w:val="both"/>
        <w:ind w:right="20" w:firstLine="391"/>
        <w:spacing w:after="0" w:line="271" w:lineRule="auto"/>
        <w:rPr>
          <w:sz w:val="20"/>
          <w:szCs w:val="20"/>
          <w:color w:val="auto"/>
        </w:rPr>
      </w:pPr>
      <w:r>
        <w:rPr>
          <w:rFonts w:ascii="Arial" w:cs="Arial" w:eastAsia="Arial" w:hAnsi="Arial"/>
          <w:sz w:val="17"/>
          <w:szCs w:val="17"/>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97" w:lineRule="exact"/>
        <w:rPr>
          <w:sz w:val="20"/>
          <w:szCs w:val="20"/>
          <w:color w:val="auto"/>
        </w:rPr>
      </w:pPr>
    </w:p>
    <w:p>
      <w:pPr>
        <w:ind w:right="40" w:firstLine="391"/>
        <w:spacing w:after="0" w:line="262" w:lineRule="auto"/>
        <w:rPr>
          <w:sz w:val="20"/>
          <w:szCs w:val="20"/>
          <w:color w:val="auto"/>
        </w:rPr>
      </w:pPr>
      <w:r>
        <w:rPr>
          <w:rFonts w:ascii="Arial" w:cs="Arial" w:eastAsia="Arial" w:hAnsi="Arial"/>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September 30, 2021, we served over 700 million registered users but only 16.49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In addition, our user growth rate has and may continue to slow in the future as our market penetration rates increase and we turn our focus to converting registered users to paying users rather than growing the total number of registered users. The availability of less expensive and bundled competitive products also has and may continue to slow our user growth rate and negatively impact our ability to convert registered users to paying users. If we are not able to continue to expand our user base or fail to convert our registered users to paying users, demand for our paid services and our revenue may grow more slowly than expected or decline. Furthermore, catastrophic events that financially impact our registered users and other prospective paying users, such as the ongoing COVID-19 pandemic, may cause these users to delay or reduce technology spending, which may impact our ability to convert registered users or otherwise attract new paying users.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history of operating with a Virtual First workforce and the long-term impact on our financial results and business operations is uncertain.</w:t>
      </w:r>
    </w:p>
    <w:p>
      <w:pPr>
        <w:spacing w:after="0" w:line="270" w:lineRule="exact"/>
        <w:rPr>
          <w:sz w:val="20"/>
          <w:szCs w:val="20"/>
          <w:color w:val="auto"/>
        </w:rPr>
      </w:pPr>
    </w:p>
    <w:p>
      <w:pPr>
        <w:ind w:right="20" w:firstLine="391"/>
        <w:spacing w:after="0" w:line="263" w:lineRule="auto"/>
        <w:rPr>
          <w:sz w:val="20"/>
          <w:szCs w:val="20"/>
          <w:color w:val="auto"/>
        </w:rPr>
      </w:pPr>
      <w:r>
        <w:rPr>
          <w:rFonts w:ascii="Arial" w:cs="Arial" w:eastAsia="Arial" w:hAnsi="Arial"/>
          <w:sz w:val="17"/>
          <w:szCs w:val="17"/>
          <w:color w:val="auto"/>
        </w:rPr>
        <w:t>In October 2020, we announced a new Virtual First work model pursuant to which remote work will become the primary experience for all of our employees and our intention is for our workforce to become more distributed over time. However, we have a limited history of operating with a Virtual First workforce and, although we anticipate that our shift to a new Virtual First work model will have a long-term positive impact on our financial results and business operations, the impact remains uncertain. Additionally, there is no guarantee that we will realize any anticipated benefits to our business, including any cost savings, operational efficiencies, or productivity.</w:t>
      </w:r>
    </w:p>
    <w:p>
      <w:pPr>
        <w:spacing w:after="0" w:line="205" w:lineRule="exact"/>
        <w:rPr>
          <w:sz w:val="20"/>
          <w:szCs w:val="20"/>
          <w:color w:val="auto"/>
        </w:rPr>
      </w:pPr>
    </w:p>
    <w:p>
      <w:pPr>
        <w:ind w:right="60" w:firstLine="391"/>
        <w:spacing w:after="0" w:line="287" w:lineRule="auto"/>
        <w:rPr>
          <w:sz w:val="20"/>
          <w:szCs w:val="20"/>
          <w:color w:val="auto"/>
        </w:rPr>
      </w:pPr>
      <w:r>
        <w:rPr>
          <w:rFonts w:ascii="Arial" w:cs="Arial" w:eastAsia="Arial" w:hAnsi="Arial"/>
          <w:sz w:val="16"/>
          <w:szCs w:val="16"/>
          <w:color w:val="auto"/>
        </w:rPr>
        <w:t>Our shift to Virtual First could make it increasingly difficult to manage our business and adequately oversee our employees and business functions,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involving our data or our users’ content. Any of these factors could adversely affect our financial condition and operating results.</w:t>
      </w:r>
    </w:p>
    <w:p>
      <w:pPr>
        <w:spacing w:after="0" w:line="188"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In addition, we will need less office space than we are currently contractually committed to leasing and as a result, we have recorded and may in the future record impairment charges related to the office spaces we no longer expect to need, which has impacted and may in the future impact our ability to achieve GAAP profitability in future periods. Furthermore, any prolonged recessionary period and industry shifts towards remote work, including as a result of the COVID-19 pandemic,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competitive markets, and we must continue to compete effectively.</w:t>
      </w:r>
    </w:p>
    <w:p>
      <w:pPr>
        <w:spacing w:after="0" w:line="247" w:lineRule="exact"/>
        <w:rPr>
          <w:sz w:val="20"/>
          <w:szCs w:val="20"/>
          <w:color w:val="auto"/>
        </w:rPr>
      </w:pPr>
    </w:p>
    <w:p>
      <w:pPr>
        <w:ind w:right="180" w:firstLine="391"/>
        <w:spacing w:after="0" w:line="263"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Microsoft, Amazon, Apple and Google and in the content collaboration market with products offered by Microsoft, Atlassian, Slack, and Google. We compete with Box on a more limited basis in the cloud storage market for deployments by large enterprises. We also compete with smaller private companies that offer point solutions in the cloud storage market or the content collaboration market. We believe the principal competitive factors in our markets include the following:</w:t>
      </w:r>
    </w:p>
    <w:p>
      <w:pPr>
        <w:spacing w:after="0" w:line="205" w:lineRule="exact"/>
        <w:rPr>
          <w:sz w:val="20"/>
          <w:szCs w:val="20"/>
          <w:color w:val="auto"/>
        </w:rPr>
      </w:pPr>
    </w:p>
    <w:p>
      <w:pPr>
        <w:ind w:left="1260" w:hanging="318"/>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user-centric design;</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scale of user network;</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brand;</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hanging="318"/>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 and applications;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third-party integration;</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continued innovation; and</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pricing.</w:t>
      </w:r>
    </w:p>
    <w:p>
      <w:pPr>
        <w:spacing w:after="0" w:line="247" w:lineRule="exact"/>
        <w:rPr>
          <w:sz w:val="20"/>
          <w:szCs w:val="20"/>
          <w:color w:val="auto"/>
        </w:rPr>
      </w:pPr>
    </w:p>
    <w:p>
      <w:pPr>
        <w:ind w:firstLine="391"/>
        <w:spacing w:after="0" w:line="262" w:lineRule="auto"/>
        <w:rPr>
          <w:sz w:val="20"/>
          <w:szCs w:val="20"/>
          <w:color w:val="auto"/>
        </w:rPr>
      </w:pPr>
      <w:r>
        <w:rPr>
          <w:rFonts w:ascii="Arial" w:cs="Arial" w:eastAsia="Arial" w:hAnsi="Arial"/>
          <w:sz w:val="17"/>
          <w:szCs w:val="17"/>
          <w:color w:val="auto"/>
        </w:rPr>
        <w:t>With the introduction of new technologies and market entrants, we expect competition to intensify. Many of our actual and potential competitors or alliances among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204" w:lineRule="exact"/>
        <w:rPr>
          <w:sz w:val="20"/>
          <w:szCs w:val="20"/>
          <w:color w:val="auto"/>
        </w:rPr>
      </w:pPr>
    </w:p>
    <w:p>
      <w:pPr>
        <w:ind w:right="20" w:firstLine="391"/>
        <w:spacing w:after="0" w:line="295" w:lineRule="auto"/>
        <w:rPr>
          <w:sz w:val="20"/>
          <w:szCs w:val="20"/>
          <w:color w:val="auto"/>
        </w:rPr>
      </w:pPr>
      <w:r>
        <w:rPr>
          <w:rFonts w:ascii="Arial" w:cs="Arial" w:eastAsia="Arial" w:hAnsi="Arial"/>
          <w:sz w:val="16"/>
          <w:szCs w:val="16"/>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81" w:lineRule="exact"/>
        <w:rPr>
          <w:sz w:val="20"/>
          <w:szCs w:val="20"/>
          <w:color w:val="auto"/>
        </w:rPr>
      </w:pPr>
    </w:p>
    <w:p>
      <w:pPr>
        <w:jc w:val="both"/>
        <w:ind w:firstLine="391"/>
        <w:spacing w:after="0" w:line="271" w:lineRule="auto"/>
        <w:rPr>
          <w:sz w:val="20"/>
          <w:szCs w:val="20"/>
          <w:color w:val="auto"/>
        </w:rPr>
      </w:pPr>
      <w:r>
        <w:rPr>
          <w:rFonts w:ascii="Arial" w:cs="Arial" w:eastAsia="Arial" w:hAnsi="Arial"/>
          <w:sz w:val="17"/>
          <w:szCs w:val="17"/>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9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185" w:lineRule="exact"/>
        <w:rPr>
          <w:sz w:val="20"/>
          <w:szCs w:val="20"/>
          <w:color w:val="auto"/>
        </w:rPr>
      </w:pPr>
    </w:p>
    <w:p>
      <w:pPr>
        <w:ind w:firstLine="391"/>
        <w:spacing w:after="0" w:line="297" w:lineRule="auto"/>
        <w:rPr>
          <w:sz w:val="20"/>
          <w:szCs w:val="20"/>
          <w:color w:val="auto"/>
        </w:rPr>
      </w:pPr>
      <w:r>
        <w:rPr>
          <w:rFonts w:ascii="Arial" w:cs="Arial" w:eastAsia="Arial" w:hAnsi="Arial"/>
          <w:sz w:val="15"/>
          <w:szCs w:val="15"/>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infrastructure,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infrastructure, and networks.</w:t>
      </w:r>
    </w:p>
    <w:p>
      <w:pPr>
        <w:spacing w:after="0" w:line="171" w:lineRule="exact"/>
        <w:rPr>
          <w:sz w:val="20"/>
          <w:szCs w:val="20"/>
          <w:color w:val="auto"/>
        </w:rPr>
      </w:pPr>
    </w:p>
    <w:p>
      <w:pPr>
        <w:ind w:right="20" w:firstLine="391"/>
        <w:spacing w:after="0" w:line="243" w:lineRule="auto"/>
        <w:rPr>
          <w:sz w:val="20"/>
          <w:szCs w:val="20"/>
          <w:color w:val="auto"/>
        </w:rPr>
      </w:pPr>
      <w:r>
        <w:rPr>
          <w:rFonts w:ascii="Arial" w:cs="Arial" w:eastAsia="Arial" w:hAnsi="Arial"/>
          <w:sz w:val="16"/>
          <w:szCs w:val="16"/>
          <w:color w:val="auto"/>
        </w:rPr>
        <w:t>Emerging and evolving cybersecurity threats such as the recently reported attack on SolarWinds pose unique challenges and involve sophisticated threat actors. Computer malware, ransomware, cyber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we are actively taking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our systems, networks, or data. Notwithstanding our efforts,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197" w:lineRule="exact"/>
        <w:rPr>
          <w:sz w:val="20"/>
          <w:szCs w:val="20"/>
          <w:color w:val="auto"/>
        </w:rPr>
      </w:pPr>
    </w:p>
    <w:p>
      <w:pPr>
        <w:ind w:right="80" w:firstLine="391"/>
        <w:spacing w:after="0" w:line="239" w:lineRule="auto"/>
        <w:rPr>
          <w:sz w:val="20"/>
          <w:szCs w:val="20"/>
          <w:color w:val="auto"/>
        </w:rPr>
      </w:pPr>
      <w:r>
        <w:rPr>
          <w:rFonts w:ascii="Arial" w:cs="Arial" w:eastAsia="Arial" w:hAnsi="Arial"/>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including as part of our shift to Virtual First.</w:t>
      </w:r>
    </w:p>
    <w:p>
      <w:pPr>
        <w:spacing w:after="0" w:line="210" w:lineRule="exact"/>
        <w:rPr>
          <w:sz w:val="20"/>
          <w:szCs w:val="20"/>
          <w:color w:val="auto"/>
        </w:rPr>
      </w:pPr>
    </w:p>
    <w:p>
      <w:pPr>
        <w:ind w:right="20" w:firstLine="391"/>
        <w:spacing w:after="0" w:line="271" w:lineRule="auto"/>
        <w:rPr>
          <w:sz w:val="20"/>
          <w:szCs w:val="20"/>
          <w:color w:val="auto"/>
        </w:rPr>
      </w:pPr>
      <w:r>
        <w:rPr>
          <w:rFonts w:ascii="Arial" w:cs="Arial" w:eastAsia="Arial" w:hAnsi="Arial"/>
          <w:sz w:val="17"/>
          <w:szCs w:val="17"/>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of their networks, our data or our users' data may be improperly accessed, used, or disclosed.</w:t>
      </w:r>
    </w:p>
    <w:p>
      <w:pPr>
        <w:spacing w:after="0" w:line="197" w:lineRule="exact"/>
        <w:rPr>
          <w:sz w:val="20"/>
          <w:szCs w:val="20"/>
          <w:color w:val="auto"/>
        </w:rPr>
      </w:pPr>
    </w:p>
    <w:p>
      <w:pPr>
        <w:ind w:right="200" w:firstLine="391"/>
        <w:spacing w:after="0" w:line="263" w:lineRule="auto"/>
        <w:rPr>
          <w:sz w:val="20"/>
          <w:szCs w:val="20"/>
          <w:color w:val="auto"/>
        </w:rPr>
      </w:pPr>
      <w:r>
        <w:rPr>
          <w:rFonts w:ascii="Arial" w:cs="Arial" w:eastAsia="Arial" w:hAnsi="Arial"/>
          <w:sz w:val="17"/>
          <w:szCs w:val="17"/>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This risk may be heightened as we transition to a Virtual First and increasingly distributed workforce. In addition, our users may also disclose or lose control of their passwords, or use the same or similar passwords on third parties’ systems, which could lead to unauthorized access to their accounts on our platform.</w:t>
      </w:r>
    </w:p>
    <w:p>
      <w:pPr>
        <w:spacing w:after="0" w:line="205" w:lineRule="exact"/>
        <w:rPr>
          <w:sz w:val="20"/>
          <w:szCs w:val="20"/>
          <w:color w:val="auto"/>
        </w:rPr>
      </w:pPr>
    </w:p>
    <w:p>
      <w:pPr>
        <w:ind w:right="100" w:firstLine="391"/>
        <w:spacing w:after="0" w:line="258" w:lineRule="auto"/>
        <w:rPr>
          <w:sz w:val="20"/>
          <w:szCs w:val="20"/>
          <w:color w:val="auto"/>
        </w:rPr>
      </w:pPr>
      <w:r>
        <w:rPr>
          <w:rFonts w:ascii="Arial" w:cs="Arial" w:eastAsia="Arial" w:hAnsi="Arial"/>
          <w:sz w:val="17"/>
          <w:szCs w:val="17"/>
          <w:color w:val="auto"/>
        </w:rPr>
        <w:t>Any unauthorized or inadvertent access to, or an actual or perceived security breach of, our systems, infrastructure,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by any significant disruption of service on our platform or loss of content.</w:t>
      </w:r>
    </w:p>
    <w:p>
      <w:pPr>
        <w:spacing w:after="0" w:line="247" w:lineRule="exact"/>
        <w:rPr>
          <w:sz w:val="20"/>
          <w:szCs w:val="20"/>
          <w:color w:val="auto"/>
        </w:rPr>
      </w:pPr>
    </w:p>
    <w:p>
      <w:pPr>
        <w:ind w:right="180" w:firstLine="391"/>
        <w:spacing w:after="0" w:line="262"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04"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add to our infrastructure, we may move or transfer additional content.</w:t>
      </w:r>
    </w:p>
    <w:p>
      <w:pPr>
        <w:spacing w:after="0" w:line="201" w:lineRule="exact"/>
        <w:rPr>
          <w:sz w:val="20"/>
          <w:szCs w:val="20"/>
          <w:color w:val="auto"/>
        </w:rPr>
      </w:pPr>
    </w:p>
    <w:p>
      <w:pPr>
        <w:ind w:firstLine="391"/>
        <w:spacing w:after="0" w:line="301" w:lineRule="auto"/>
        <w:rPr>
          <w:sz w:val="20"/>
          <w:szCs w:val="20"/>
          <w:color w:val="auto"/>
        </w:rPr>
      </w:pPr>
      <w:r>
        <w:rPr>
          <w:rFonts w:ascii="Arial" w:cs="Arial" w:eastAsia="Arial" w:hAnsi="Arial"/>
          <w:sz w:val="15"/>
          <w:szCs w:val="15"/>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network, and platform infrastructure equipment. Significant and unforeseen disruptions to the supply chain, including those resulting from the COVID-19 pandemic, in addition to competition for a limited supply of such equipment, may impede our ability to meet our short-term or long-term infrastructure capacity requirements.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188" w:lineRule="exact"/>
        <w:rPr>
          <w:sz w:val="20"/>
          <w:szCs w:val="20"/>
          <w:color w:val="auto"/>
        </w:rPr>
      </w:pPr>
    </w:p>
    <w:p>
      <w:pPr>
        <w:ind w:right="20" w:firstLine="391"/>
        <w:spacing w:after="0" w:line="267" w:lineRule="auto"/>
        <w:rPr>
          <w:sz w:val="20"/>
          <w:szCs w:val="20"/>
          <w:color w:val="auto"/>
        </w:rPr>
      </w:pPr>
      <w:r>
        <w:rPr>
          <w:rFonts w:ascii="Arial" w:cs="Arial" w:eastAsia="Arial" w:hAnsi="Arial"/>
          <w:sz w:val="15"/>
          <w:szCs w:val="15"/>
          <w:color w:val="auto"/>
        </w:rPr>
        <w:t>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9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The full extent of the impacts of the COVID-19 pandemic on our business is currently unknown, but it may adversely affect our financial results as well as our business operations.</w:t>
      </w:r>
    </w:p>
    <w:p>
      <w:pPr>
        <w:spacing w:after="0" w:line="172" w:lineRule="exact"/>
        <w:rPr>
          <w:sz w:val="20"/>
          <w:szCs w:val="20"/>
          <w:color w:val="auto"/>
        </w:rPr>
      </w:pPr>
    </w:p>
    <w:p>
      <w:pPr>
        <w:ind w:firstLine="391"/>
        <w:spacing w:after="0" w:line="259" w:lineRule="auto"/>
        <w:rPr>
          <w:sz w:val="20"/>
          <w:szCs w:val="20"/>
          <w:color w:val="auto"/>
        </w:rPr>
      </w:pPr>
      <w:r>
        <w:rPr>
          <w:rFonts w:ascii="Arial" w:cs="Arial" w:eastAsia="Arial" w:hAnsi="Arial"/>
          <w:sz w:val="15"/>
          <w:szCs w:val="15"/>
          <w:color w:val="auto"/>
        </w:rPr>
        <w:t>The full extent of the impacts of the COVID-19 pandemic on our financial results and business operations are currently unknown and cannot be estimated with any degree of certainty. Impacts to our financial results may include, without limitation, (1) negative impacts to our current and prospective users’ purchases or renewals of paid licenses for access to our platform, delays or defaults on payment obligations, which could negatively affect our revenues and cash flows, (2) modifications to net payment terms or invoice frequency, which could negatively affect our cash flows, (3) fluctuations in foreign currency exchange rates, which have and may in the future negatively impact our results of operations and cash flows, and (4) decreases in interest rates, which have and may continue to reduce interest income. Impacts to our business operations may include, without limitation, (1) disruptions to our sales operations and marketing efforts, (2) negative impacts to the financial condition or operations of our vendors and business partners, as well as disruptions to the supply chain of hardware needed to offer our services, (3) disruptions to our ability to conduct product development and other important business activities, and (4) potential postponement or cancellation of previously planned investments or other initiatives. In addition, economic effects related to the COVID-19 pandemic, such as ongoing supply chain disruption and labor shortages may affect us or our customers and vendors. Accordingly, the COVID-19 pandemic may have a negative impact on our financial results as well as our business operations, the magnitude and duration of which we are currently unable to predict. Additionally, concerns over the economic impact of the COVID-19 pandemic have caused extreme volatility in financial and other capital markets which may adversely impact our stock price.</w:t>
      </w:r>
    </w:p>
    <w:p>
      <w:pPr>
        <w:spacing w:after="0" w:line="202"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85" w:lineRule="exact"/>
        <w:rPr>
          <w:sz w:val="20"/>
          <w:szCs w:val="20"/>
          <w:color w:val="auto"/>
        </w:rPr>
      </w:pPr>
    </w:p>
    <w:p>
      <w:pPr>
        <w:ind w:right="180" w:firstLine="391"/>
        <w:spacing w:after="0" w:line="266"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 current shift to remote or distributed work does not materialize into a longer-term trend, demand for our platform could be negatively affected.</w:t>
      </w:r>
    </w:p>
    <w:p>
      <w:pPr>
        <w:spacing w:after="0" w:line="201" w:lineRule="exact"/>
        <w:rPr>
          <w:sz w:val="20"/>
          <w:szCs w:val="20"/>
          <w:color w:val="auto"/>
        </w:rPr>
      </w:pPr>
    </w:p>
    <w:p>
      <w:pPr>
        <w:jc w:val="both"/>
        <w:ind w:right="40" w:firstLine="391"/>
        <w:spacing w:after="0" w:line="271" w:lineRule="auto"/>
        <w:rPr>
          <w:sz w:val="20"/>
          <w:szCs w:val="20"/>
          <w:color w:val="auto"/>
        </w:rPr>
      </w:pPr>
      <w:r>
        <w:rPr>
          <w:rFonts w:ascii="Arial" w:cs="Arial" w:eastAsia="Arial" w:hAnsi="Arial"/>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97" w:lineRule="exact"/>
        <w:rPr>
          <w:sz w:val="20"/>
          <w:szCs w:val="20"/>
          <w:color w:val="auto"/>
        </w:rPr>
      </w:pPr>
    </w:p>
    <w:p>
      <w:pPr>
        <w:ind w:left="1260" w:hanging="318"/>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awareness of the content collaboration category generally;</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 scale, and duration, of trends towards or away from remote or distributed work;</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260" w:hanging="318"/>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brand;</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customer support; and</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pricing.</w:t>
      </w:r>
    </w:p>
    <w:p>
      <w:pPr>
        <w:spacing w:after="0" w:line="247" w:lineRule="exact"/>
        <w:rPr>
          <w:sz w:val="20"/>
          <w:szCs w:val="20"/>
          <w:color w:val="auto"/>
        </w:rPr>
      </w:pPr>
    </w:p>
    <w:p>
      <w:pPr>
        <w:ind w:right="140" w:firstLine="391"/>
        <w:spacing w:after="0" w:line="271" w:lineRule="auto"/>
        <w:rPr>
          <w:sz w:val="20"/>
          <w:szCs w:val="20"/>
          <w:color w:val="auto"/>
        </w:rPr>
      </w:pPr>
      <w:r>
        <w:rPr>
          <w:rFonts w:ascii="Arial" w:cs="Arial" w:eastAsia="Arial" w:hAnsi="Arial"/>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70" w:lineRule="exact"/>
        <w:rPr>
          <w:sz w:val="20"/>
          <w:szCs w:val="20"/>
          <w:color w:val="auto"/>
        </w:rPr>
      </w:pPr>
    </w:p>
    <w:p>
      <w:pPr>
        <w:ind w:right="160" w:firstLine="391"/>
        <w:spacing w:after="0" w:line="259" w:lineRule="auto"/>
        <w:rPr>
          <w:sz w:val="20"/>
          <w:szCs w:val="20"/>
          <w:color w:val="auto"/>
        </w:rPr>
      </w:pPr>
      <w:r>
        <w:rPr>
          <w:rFonts w:ascii="Arial" w:cs="Arial" w:eastAsia="Arial" w:hAnsi="Arial"/>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211" w:lineRule="exact"/>
        <w:rPr>
          <w:sz w:val="20"/>
          <w:szCs w:val="20"/>
          <w:color w:val="auto"/>
        </w:rPr>
      </w:pPr>
    </w:p>
    <w:p>
      <w:pPr>
        <w:ind w:firstLine="391"/>
        <w:spacing w:after="0" w:line="278"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9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72" w:lineRule="exact"/>
        <w:rPr>
          <w:sz w:val="20"/>
          <w:szCs w:val="20"/>
          <w:color w:val="auto"/>
        </w:rPr>
      </w:pPr>
    </w:p>
    <w:p>
      <w:pPr>
        <w:ind w:right="80" w:firstLine="391"/>
        <w:spacing w:after="0" w:line="241" w:lineRule="auto"/>
        <w:rPr>
          <w:sz w:val="20"/>
          <w:szCs w:val="20"/>
          <w:color w:val="auto"/>
        </w:rPr>
      </w:pPr>
      <w:r>
        <w:rPr>
          <w:rFonts w:ascii="Arial" w:cs="Arial" w:eastAsia="Arial" w:hAnsi="Arial"/>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In addition, while we believe current trends towards remote or distributed work will prove to be significant and long lasting, and that these trends will open up increased market opportunities for us, such trends 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For example, in 2020, we introduced Dropbox Passwords and Vault to provide additional security features for our users to safely store and access content on our platform. More recently, in 2021 we launched Dropbox Transfer as a way for users to safely and securely send large files.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16" w:lineRule="exact"/>
        <w:rPr>
          <w:sz w:val="20"/>
          <w:szCs w:val="20"/>
          <w:color w:val="auto"/>
        </w:rPr>
      </w:pPr>
    </w:p>
    <w:p>
      <w:pPr>
        <w:ind w:right="20" w:firstLine="391"/>
        <w:spacing w:after="0" w:line="286" w:lineRule="auto"/>
        <w:rPr>
          <w:sz w:val="20"/>
          <w:szCs w:val="20"/>
          <w:color w:val="auto"/>
        </w:rPr>
      </w:pPr>
      <w:r>
        <w:rPr>
          <w:rFonts w:ascii="Arial" w:cs="Arial" w:eastAsia="Arial" w:hAnsi="Arial"/>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as a result of the ongoing COVID-19 pandemic, we are temporarily requiring substantially all of our employees to work remotely, which may lead to disruptions and decreased productivity that could result in delays in our product development process. The risk of such disruptions and decreased productivity may persist as we transition to a Virtual First workforce.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successfully manage our growth or plan for future growth.</w:t>
      </w:r>
    </w:p>
    <w:p>
      <w:pPr>
        <w:spacing w:after="0" w:line="247" w:lineRule="exact"/>
        <w:rPr>
          <w:sz w:val="20"/>
          <w:szCs w:val="20"/>
          <w:color w:val="auto"/>
        </w:rPr>
      </w:pPr>
    </w:p>
    <w:p>
      <w:pPr>
        <w:ind w:right="20" w:firstLine="391"/>
        <w:spacing w:after="0" w:line="260" w:lineRule="auto"/>
        <w:rPr>
          <w:sz w:val="20"/>
          <w:szCs w:val="20"/>
          <w:color w:val="auto"/>
        </w:rPr>
      </w:pPr>
      <w:r>
        <w:rPr>
          <w:rFonts w:ascii="Arial" w:cs="Arial" w:eastAsia="Arial" w:hAnsi="Arial"/>
          <w:sz w:val="17"/>
          <w:szCs w:val="17"/>
          <w:color w:val="auto"/>
        </w:rPr>
        <w:t>Since our founding in 2007, we have experienced rapid growth. The growth and expansion of our business, including the introduction of new features and products, places a continuous significant strain on our management, operational, and financial resources. As we introduce new products and features, and our user base and third-party relationships expand, our information technology systems, organizational structures, and internal controls and procedures may not be adequate to support our operations. In addition, we face challenges of integrating, developing, and motivating an increasingly distributed employee base in various countries around the world. These challenges may be heightened as we transition to a Virtual First workforce and seek to align our resources in order to create a more nimble and streamlined organization.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207" w:lineRule="exact"/>
        <w:rPr>
          <w:sz w:val="20"/>
          <w:szCs w:val="20"/>
          <w:color w:val="auto"/>
        </w:rPr>
      </w:pPr>
    </w:p>
    <w:p>
      <w:pPr>
        <w:ind w:right="20" w:firstLine="391"/>
        <w:spacing w:after="0" w:line="263" w:lineRule="auto"/>
        <w:rPr>
          <w:sz w:val="20"/>
          <w:szCs w:val="20"/>
          <w:color w:val="auto"/>
        </w:rPr>
      </w:pPr>
      <w:r>
        <w:rPr>
          <w:rFonts w:ascii="Arial" w:cs="Arial" w:eastAsia="Arial" w:hAnsi="Arial"/>
          <w:sz w:val="17"/>
          <w:szCs w:val="17"/>
          <w:color w:val="auto"/>
        </w:rPr>
        <w:t>In addition, the expansion of our business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20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85" w:lineRule="exact"/>
        <w:rPr>
          <w:sz w:val="20"/>
          <w:szCs w:val="20"/>
          <w:color w:val="auto"/>
        </w:rPr>
      </w:pPr>
    </w:p>
    <w:p>
      <w:pPr>
        <w:ind w:right="80" w:firstLine="391"/>
        <w:spacing w:after="0" w:line="283" w:lineRule="auto"/>
        <w:rPr>
          <w:sz w:val="20"/>
          <w:szCs w:val="20"/>
          <w:color w:val="auto"/>
        </w:rPr>
      </w:pPr>
      <w:r>
        <w:rPr>
          <w:rFonts w:ascii="Arial" w:cs="Arial" w:eastAsia="Arial" w:hAnsi="Arial"/>
          <w:sz w:val="16"/>
          <w:szCs w:val="16"/>
          <w:color w:val="auto"/>
        </w:rPr>
        <w:t>We depend on the continued service and performance of our key personnel. In particular, Andrew W. Houston, our Chief Executive Officer and one of our co-founders, is critical to our vision, strategic direction, culture, and offerings. From time to 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192" w:lineRule="exact"/>
        <w:rPr>
          <w:sz w:val="20"/>
          <w:szCs w:val="20"/>
          <w:color w:val="auto"/>
        </w:rPr>
      </w:pPr>
    </w:p>
    <w:p>
      <w:pPr>
        <w:ind w:right="80" w:firstLine="391"/>
        <w:spacing w:after="0" w:line="262" w:lineRule="auto"/>
        <w:rPr>
          <w:sz w:val="20"/>
          <w:szCs w:val="20"/>
          <w:color w:val="auto"/>
        </w:rPr>
      </w:pPr>
      <w:r>
        <w:rPr>
          <w:rFonts w:ascii="Arial" w:cs="Arial" w:eastAsia="Arial" w:hAnsi="Arial"/>
          <w:sz w:val="17"/>
          <w:szCs w:val="17"/>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new Virtual First strategy will give us the opportunity to realign our resources in order to create a more nimble and streamlined organization, we can provide no assurance that we will be able to successfully execute on these plans, and failure to successfully manage these transitions may cause disruptions to our business.</w:t>
      </w:r>
    </w:p>
    <w:p>
      <w:pPr>
        <w:spacing w:after="0" w:line="204" w:lineRule="exact"/>
        <w:rPr>
          <w:sz w:val="20"/>
          <w:szCs w:val="20"/>
          <w:color w:val="auto"/>
        </w:rPr>
      </w:pPr>
    </w:p>
    <w:p>
      <w:pPr>
        <w:ind w:right="60" w:firstLine="391"/>
        <w:spacing w:after="0" w:line="266" w:lineRule="auto"/>
        <w:rPr>
          <w:sz w:val="20"/>
          <w:szCs w:val="20"/>
          <w:color w:val="auto"/>
        </w:rPr>
      </w:pPr>
      <w:r>
        <w:rPr>
          <w:rFonts w:ascii="Arial" w:cs="Arial" w:eastAsia="Arial" w:hAnsi="Arial"/>
          <w:sz w:val="17"/>
          <w:szCs w:val="17"/>
          <w:color w:val="auto"/>
        </w:rPr>
        <w:t>To execute our business plan, we must attract and retain highly qualified personnel. Competition for these employees is intense and has recently intensified as a result of industry trends and we may not be successful in attracting and retaining qualified personnel. We have experienced, and we may continue experience, difficulty in hiring and retaining highly skilled employees with appropriate qualifications. As we transition to a Virtual First workforce, our recent hires and planned hires may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Furthermore, our workforce reduction in January 2021 may result in increased attrition beyond our intended reduction-in-force, reduce employee morale and negatively impact employee recruiting and retention. If we fail to attract new personnel, or fail to retain and motivate our current personnel, our business and growth prospects could be harmed.</w:t>
      </w:r>
    </w:p>
    <w:p>
      <w:pPr>
        <w:spacing w:after="0" w:line="207" w:lineRule="exact"/>
        <w:rPr>
          <w:sz w:val="20"/>
          <w:szCs w:val="20"/>
          <w:color w:val="auto"/>
        </w:rPr>
      </w:pPr>
    </w:p>
    <w:p>
      <w:pPr>
        <w:ind w:right="100" w:firstLine="391"/>
        <w:spacing w:after="0" w:line="266" w:lineRule="auto"/>
        <w:rPr>
          <w:sz w:val="20"/>
          <w:szCs w:val="20"/>
          <w:color w:val="auto"/>
        </w:rPr>
      </w:pPr>
      <w:r>
        <w:rPr>
          <w:rFonts w:ascii="Arial" w:cs="Arial" w:eastAsia="Arial" w:hAnsi="Arial"/>
          <w:sz w:val="17"/>
          <w:szCs w:val="17"/>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transition to a Virtual First workforce.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lack of a significant outbound sales force may limit the potential growth of our business.</w:t>
      </w:r>
    </w:p>
    <w:p>
      <w:pPr>
        <w:spacing w:after="0" w:line="247" w:lineRule="exact"/>
        <w:rPr>
          <w:sz w:val="20"/>
          <w:szCs w:val="20"/>
          <w:color w:val="auto"/>
        </w:rPr>
      </w:pPr>
    </w:p>
    <w:p>
      <w:pPr>
        <w:ind w:firstLine="391"/>
        <w:spacing w:after="0" w:line="296" w:lineRule="auto"/>
        <w:rPr>
          <w:sz w:val="20"/>
          <w:szCs w:val="20"/>
          <w:color w:val="auto"/>
        </w:rPr>
      </w:pPr>
      <w:r>
        <w:rPr>
          <w:rFonts w:ascii="Arial" w:cs="Arial" w:eastAsia="Arial" w:hAnsi="Arial"/>
          <w:sz w:val="15"/>
          <w:szCs w:val="15"/>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Furthermore, as part of our workforce reduction in January 2021 we have reduced the size of our outbound sales force to simplify and drive further efficiencies in our outbound sales operations.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expand sales to large organizations, which could lengthen sales cycles and result in greater deployment challenges.</w:t>
      </w:r>
    </w:p>
    <w:p>
      <w:pPr>
        <w:spacing w:after="0" w:line="247"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catastrophic events, including public health epidemics such as the ongoing COVID-19 pandemic, that limit our ability to travel or meet in person, as well as the reduction in the size of our outbound sales force as part of our workforce reduction in January 2021. As a result, sales to large organizations may lead to greater unpredictability in our business,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offer high-quality customer support may harm our relationships with our users and our financial results.</w:t>
      </w:r>
    </w:p>
    <w:p>
      <w:pPr>
        <w:spacing w:after="0" w:line="247" w:lineRule="exact"/>
        <w:rPr>
          <w:sz w:val="20"/>
          <w:szCs w:val="20"/>
          <w:color w:val="auto"/>
        </w:rPr>
      </w:pPr>
    </w:p>
    <w:p>
      <w:pPr>
        <w:ind w:right="20" w:firstLine="391"/>
        <w:spacing w:after="0" w:line="259" w:lineRule="auto"/>
        <w:rPr>
          <w:sz w:val="20"/>
          <w:szCs w:val="20"/>
          <w:color w:val="auto"/>
        </w:rPr>
      </w:pPr>
      <w:r>
        <w:rPr>
          <w:rFonts w:ascii="Arial" w:cs="Arial" w:eastAsia="Arial" w:hAnsi="Arial"/>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8.81 million as of December 31, 2016, to 16.49 million as of September 30, 2021.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185" w:lineRule="exact"/>
        <w:rPr>
          <w:sz w:val="20"/>
          <w:szCs w:val="20"/>
          <w:color w:val="auto"/>
        </w:rPr>
      </w:pPr>
    </w:p>
    <w:p>
      <w:pPr>
        <w:ind w:right="20" w:firstLine="391"/>
        <w:spacing w:after="0" w:line="306" w:lineRule="auto"/>
        <w:rPr>
          <w:sz w:val="20"/>
          <w:szCs w:val="20"/>
          <w:color w:val="auto"/>
        </w:rPr>
      </w:pPr>
      <w:r>
        <w:rPr>
          <w:rFonts w:ascii="Arial" w:cs="Arial" w:eastAsia="Arial" w:hAnsi="Arial"/>
          <w:sz w:val="15"/>
          <w:szCs w:val="15"/>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7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85" w:lineRule="exact"/>
        <w:rPr>
          <w:sz w:val="20"/>
          <w:szCs w:val="20"/>
          <w:color w:val="auto"/>
        </w:rPr>
      </w:pPr>
    </w:p>
    <w:p>
      <w:pPr>
        <w:ind w:firstLine="391"/>
        <w:spacing w:after="0" w:line="278" w:lineRule="auto"/>
        <w:rPr>
          <w:sz w:val="20"/>
          <w:szCs w:val="20"/>
          <w:color w:val="auto"/>
        </w:rPr>
      </w:pPr>
      <w:r>
        <w:rPr>
          <w:rFonts w:ascii="Arial" w:cs="Arial" w:eastAsia="Arial" w:hAnsi="Arial"/>
          <w:sz w:val="16"/>
          <w:szCs w:val="16"/>
          <w:color w:val="auto"/>
        </w:rPr>
        <w:t>We have paying users across 180 countries and approximately half of our revenue in the year ended December 31, 2020 was generated from paying users outside the United States. We expect to continue to expand our international operations, which may include employees working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197" w:lineRule="exact"/>
        <w:rPr>
          <w:sz w:val="20"/>
          <w:szCs w:val="20"/>
          <w:color w:val="auto"/>
        </w:rPr>
      </w:pPr>
    </w:p>
    <w:p>
      <w:pPr>
        <w:ind w:left="1260" w:right="560" w:hanging="318"/>
        <w:spacing w:after="0" w:line="271" w:lineRule="auto"/>
        <w:tabs>
          <w:tab w:leader="none" w:pos="12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compliance with applicable international laws, regulations, and standards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197" w:lineRule="exact"/>
        <w:rPr>
          <w:rFonts w:ascii="Arial" w:cs="Arial" w:eastAsia="Arial" w:hAnsi="Arial"/>
          <w:sz w:val="17"/>
          <w:szCs w:val="17"/>
          <w:color w:val="auto"/>
        </w:rPr>
      </w:pPr>
    </w:p>
    <w:p>
      <w:pPr>
        <w:ind w:left="1260" w:right="480" w:hanging="318"/>
        <w:spacing w:after="0" w:line="286" w:lineRule="auto"/>
        <w:tabs>
          <w:tab w:leader="none" w:pos="12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recruiting and retaining talented and capable employees outside the United States, and maintaining our company culture across all of our locations, including as we shift to Virtual First and an increasingly distributed workforce;</w:t>
      </w:r>
    </w:p>
    <w:p>
      <w:pPr>
        <w:spacing w:after="0" w:line="185" w:lineRule="exact"/>
        <w:rPr>
          <w:rFonts w:ascii="Arial" w:cs="Arial" w:eastAsia="Arial" w:hAnsi="Arial"/>
          <w:sz w:val="17"/>
          <w:szCs w:val="17"/>
          <w:color w:val="auto"/>
        </w:rPr>
      </w:pPr>
    </w:p>
    <w:p>
      <w:pPr>
        <w:ind w:left="1260" w:right="120" w:hanging="318"/>
        <w:spacing w:after="0" w:line="357" w:lineRule="auto"/>
        <w:tabs>
          <w:tab w:leader="none" w:pos="1256"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38" w:lineRule="exact"/>
        <w:rPr>
          <w:rFonts w:ascii="Arial" w:cs="Arial" w:eastAsia="Arial" w:hAnsi="Arial"/>
          <w:sz w:val="15"/>
          <w:szCs w:val="15"/>
          <w:color w:val="auto"/>
        </w:rPr>
      </w:pPr>
    </w:p>
    <w:p>
      <w:pPr>
        <w:ind w:left="1260" w:hanging="318"/>
        <w:spacing w:after="0"/>
        <w:tabs>
          <w:tab w:leader="none" w:pos="12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management of an employee base in jurisdictions that may not give us the same employment and retention flexibility as does the United States;</w:t>
      </w:r>
    </w:p>
    <w:p>
      <w:pPr>
        <w:spacing w:after="0" w:line="270" w:lineRule="exact"/>
        <w:rPr>
          <w:rFonts w:ascii="Arial" w:cs="Arial" w:eastAsia="Arial" w:hAnsi="Arial"/>
          <w:sz w:val="15"/>
          <w:szCs w:val="15"/>
          <w:color w:val="auto"/>
        </w:rPr>
      </w:pPr>
    </w:p>
    <w:p>
      <w:pPr>
        <w:ind w:left="1260" w:hanging="318"/>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operating in jurisdictions that do not protect intellectual property rights to the same extent as does the United States;</w:t>
      </w:r>
    </w:p>
    <w:p>
      <w:pPr>
        <w:spacing w:after="0" w:line="247" w:lineRule="exact"/>
        <w:rPr>
          <w:rFonts w:ascii="Arial" w:cs="Arial" w:eastAsia="Arial" w:hAnsi="Arial"/>
          <w:sz w:val="17"/>
          <w:szCs w:val="17"/>
          <w:color w:val="auto"/>
        </w:rPr>
      </w:pPr>
    </w:p>
    <w:p>
      <w:pPr>
        <w:ind w:left="1260" w:right="660" w:hanging="318"/>
        <w:spacing w:after="0" w:line="286" w:lineRule="auto"/>
        <w:tabs>
          <w:tab w:leader="none" w:pos="12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85" w:lineRule="exact"/>
        <w:rPr>
          <w:rFonts w:ascii="Arial" w:cs="Arial" w:eastAsia="Arial" w:hAnsi="Arial"/>
          <w:sz w:val="17"/>
          <w:szCs w:val="17"/>
          <w:color w:val="auto"/>
        </w:rPr>
      </w:pPr>
    </w:p>
    <w:p>
      <w:pPr>
        <w:ind w:left="1260" w:right="20" w:hanging="318"/>
        <w:spacing w:after="0" w:line="286" w:lineRule="auto"/>
        <w:tabs>
          <w:tab w:leader="none" w:pos="12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185" w:lineRule="exact"/>
        <w:rPr>
          <w:rFonts w:ascii="Arial" w:cs="Arial" w:eastAsia="Arial" w:hAnsi="Arial"/>
          <w:sz w:val="17"/>
          <w:szCs w:val="17"/>
          <w:color w:val="auto"/>
        </w:rPr>
      </w:pPr>
    </w:p>
    <w:p>
      <w:pPr>
        <w:ind w:left="1260" w:hanging="318"/>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political and economic instability;</w:t>
      </w:r>
    </w:p>
    <w:p>
      <w:pPr>
        <w:spacing w:after="0" w:line="247" w:lineRule="exact"/>
        <w:rPr>
          <w:rFonts w:ascii="Arial" w:cs="Arial" w:eastAsia="Arial" w:hAnsi="Arial"/>
          <w:sz w:val="17"/>
          <w:szCs w:val="17"/>
          <w:color w:val="auto"/>
        </w:rPr>
      </w:pPr>
    </w:p>
    <w:p>
      <w:pPr>
        <w:ind w:left="1260" w:right="220" w:hanging="318"/>
        <w:spacing w:after="0" w:line="286" w:lineRule="auto"/>
        <w:tabs>
          <w:tab w:leader="none" w:pos="12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85" w:lineRule="exact"/>
        <w:rPr>
          <w:rFonts w:ascii="Arial" w:cs="Arial" w:eastAsia="Arial" w:hAnsi="Arial"/>
          <w:sz w:val="17"/>
          <w:szCs w:val="17"/>
          <w:color w:val="auto"/>
        </w:rPr>
      </w:pPr>
    </w:p>
    <w:p>
      <w:pPr>
        <w:ind w:left="1260" w:right="160" w:hanging="318"/>
        <w:spacing w:after="0" w:line="286" w:lineRule="auto"/>
        <w:tabs>
          <w:tab w:leader="none" w:pos="12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hanging="318"/>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 and</w:t>
      </w:r>
    </w:p>
    <w:p>
      <w:pPr>
        <w:spacing w:after="0" w:line="247" w:lineRule="exact"/>
        <w:rPr>
          <w:rFonts w:ascii="Arial" w:cs="Arial" w:eastAsia="Arial" w:hAnsi="Arial"/>
          <w:sz w:val="17"/>
          <w:szCs w:val="17"/>
          <w:color w:val="auto"/>
        </w:rPr>
      </w:pPr>
    </w:p>
    <w:p>
      <w:pPr>
        <w:ind w:left="1260" w:hanging="318"/>
        <w:spacing w:after="0" w:line="286" w:lineRule="auto"/>
        <w:tabs>
          <w:tab w:leader="none" w:pos="12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impact of natural disasters and public health epidemics on employees, travel and the global economy, including the ongoing global COVID-19 pandemic.</w:t>
      </w:r>
    </w:p>
    <w:p>
      <w:pPr>
        <w:spacing w:after="0" w:line="185" w:lineRule="exact"/>
        <w:rPr>
          <w:sz w:val="20"/>
          <w:szCs w:val="20"/>
          <w:color w:val="auto"/>
        </w:rPr>
      </w:pPr>
    </w:p>
    <w:p>
      <w:pPr>
        <w:ind w:right="20" w:firstLine="391"/>
        <w:spacing w:after="0" w:line="261" w:lineRule="auto"/>
        <w:rPr>
          <w:sz w:val="20"/>
          <w:szCs w:val="20"/>
          <w:color w:val="auto"/>
        </w:rPr>
      </w:pPr>
      <w:r>
        <w:rPr>
          <w:rFonts w:ascii="Arial" w:cs="Arial" w:eastAsia="Arial" w:hAnsi="Arial"/>
          <w:sz w:val="17"/>
          <w:szCs w:val="17"/>
          <w:color w:val="auto"/>
        </w:rPr>
        <w:t>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Any violations could result in regulatory investigations and enforcement actions, fines, civil and criminal penalties, damages, injunctions, restrictions on our ability to conduct business, or reputational harm. If we are unable comply with these laws and regulations or manage the complexity of our global operations successfully, our business, results of operations, and financial condition could be adversely affected.</w:t>
      </w:r>
    </w:p>
    <w:p>
      <w:pPr>
        <w:spacing w:after="0" w:line="20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85" w:lineRule="exact"/>
        <w:rPr>
          <w:sz w:val="20"/>
          <w:szCs w:val="20"/>
          <w:color w:val="auto"/>
        </w:rPr>
      </w:pPr>
    </w:p>
    <w:p>
      <w:pPr>
        <w:ind w:right="40" w:firstLine="391"/>
        <w:spacing w:after="0" w:line="287"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88" w:lineRule="exact"/>
        <w:rPr>
          <w:sz w:val="20"/>
          <w:szCs w:val="20"/>
          <w:color w:val="auto"/>
        </w:rPr>
      </w:pPr>
    </w:p>
    <w:p>
      <w:pPr>
        <w:ind w:right="140" w:firstLine="391"/>
        <w:spacing w:after="0" w:line="279" w:lineRule="auto"/>
        <w:rPr>
          <w:sz w:val="20"/>
          <w:szCs w:val="20"/>
          <w:color w:val="auto"/>
        </w:rPr>
      </w:pPr>
      <w:r>
        <w:rPr>
          <w:rFonts w:ascii="Arial" w:cs="Arial" w:eastAsia="Arial" w:hAnsi="Arial"/>
          <w:sz w:val="16"/>
          <w:szCs w:val="16"/>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196" w:lineRule="exact"/>
        <w:rPr>
          <w:sz w:val="20"/>
          <w:szCs w:val="20"/>
          <w:color w:val="auto"/>
        </w:rPr>
      </w:pPr>
    </w:p>
    <w:p>
      <w:pPr>
        <w:ind w:right="20" w:firstLine="391"/>
        <w:spacing w:after="0" w:line="281"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185" w:lineRule="exact"/>
        <w:rPr>
          <w:sz w:val="20"/>
          <w:szCs w:val="20"/>
          <w:color w:val="auto"/>
        </w:rPr>
      </w:pPr>
    </w:p>
    <w:p>
      <w:pPr>
        <w:ind w:right="200" w:firstLine="391"/>
        <w:spacing w:after="0" w:line="262"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204" w:lineRule="exact"/>
        <w:rPr>
          <w:sz w:val="20"/>
          <w:szCs w:val="20"/>
          <w:color w:val="auto"/>
        </w:rPr>
      </w:pPr>
    </w:p>
    <w:p>
      <w:pPr>
        <w:ind w:right="460" w:firstLine="391"/>
        <w:spacing w:after="0" w:line="271" w:lineRule="auto"/>
        <w:rPr>
          <w:sz w:val="20"/>
          <w:szCs w:val="20"/>
          <w:color w:val="auto"/>
        </w:rPr>
      </w:pPr>
      <w:r>
        <w:rPr>
          <w:rFonts w:ascii="Arial" w:cs="Arial" w:eastAsia="Arial" w:hAnsi="Arial"/>
          <w:sz w:val="17"/>
          <w:szCs w:val="17"/>
          <w:color w:val="auto"/>
        </w:rPr>
        <w:t>We also depend on our ecosystem of developers to create applications that will integrate with our platform. As of December 31, 2020, Dropbox was receiving over 60 billion API calls per month, and more than 750,000 developers had registered and built applications on our platform. Our reliance on this ecosystem of developers creates certain business risks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185" w:lineRule="exact"/>
        <w:rPr>
          <w:sz w:val="20"/>
          <w:szCs w:val="20"/>
          <w:color w:val="auto"/>
        </w:rPr>
      </w:pPr>
    </w:p>
    <w:p>
      <w:pPr>
        <w:ind w:firstLine="391"/>
        <w:spacing w:after="0" w:line="286" w:lineRule="auto"/>
        <w:rPr>
          <w:sz w:val="20"/>
          <w:szCs w:val="20"/>
          <w:color w:val="auto"/>
        </w:rPr>
      </w:pPr>
      <w:r>
        <w:rPr>
          <w:rFonts w:ascii="Arial" w:cs="Arial" w:eastAsia="Arial" w:hAnsi="Arial"/>
          <w:sz w:val="17"/>
          <w:szCs w:val="17"/>
          <w:color w:val="auto"/>
        </w:rPr>
        <w:t>We may not have the ability to control or prevent these risks. As a result, issues relating to these applications could adversely affect our business, brand, and reputation.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ability to offer and sell subscriptions to our platform and subject us to possible litigation.</w:t>
      </w:r>
    </w:p>
    <w:p>
      <w:pPr>
        <w:spacing w:after="0" w:line="270" w:lineRule="exact"/>
        <w:rPr>
          <w:sz w:val="20"/>
          <w:szCs w:val="20"/>
          <w:color w:val="auto"/>
        </w:rPr>
      </w:pPr>
    </w:p>
    <w:p>
      <w:pPr>
        <w:ind w:right="40" w:firstLine="391"/>
        <w:spacing w:after="0" w:line="277"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247" w:lineRule="exact"/>
        <w:rPr>
          <w:sz w:val="20"/>
          <w:szCs w:val="20"/>
          <w:color w:val="auto"/>
        </w:rPr>
      </w:pPr>
    </w:p>
    <w:p>
      <w:pPr>
        <w:ind w:firstLine="391"/>
        <w:spacing w:after="0" w:line="279" w:lineRule="auto"/>
        <w:rPr>
          <w:sz w:val="20"/>
          <w:szCs w:val="20"/>
          <w:color w:val="auto"/>
        </w:rPr>
      </w:pPr>
      <w:r>
        <w:rPr>
          <w:rFonts w:ascii="Arial" w:cs="Arial" w:eastAsia="Arial" w:hAnsi="Arial"/>
          <w:sz w:val="16"/>
          <w:szCs w:val="16"/>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96" w:lineRule="exact"/>
        <w:rPr>
          <w:sz w:val="20"/>
          <w:szCs w:val="20"/>
          <w:color w:val="auto"/>
        </w:rPr>
      </w:pPr>
    </w:p>
    <w:p>
      <w:pPr>
        <w:ind w:right="40" w:firstLine="391"/>
        <w:spacing w:after="0" w:line="271" w:lineRule="auto"/>
        <w:rPr>
          <w:sz w:val="20"/>
          <w:szCs w:val="20"/>
          <w:color w:val="auto"/>
        </w:rPr>
      </w:pPr>
      <w:r>
        <w:rPr>
          <w:rFonts w:ascii="Arial" w:cs="Arial" w:eastAsia="Arial" w:hAnsi="Arial"/>
          <w:sz w:val="17"/>
          <w:szCs w:val="17"/>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197" w:lineRule="exact"/>
        <w:rPr>
          <w:sz w:val="20"/>
          <w:szCs w:val="20"/>
          <w:color w:val="auto"/>
        </w:rPr>
      </w:pPr>
    </w:p>
    <w:p>
      <w:pPr>
        <w:ind w:left="1260" w:hanging="318"/>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cause a reduction in revenue or delay in market acceptance of our platform;</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us to issue refunds to our users or expose us to claims for damages;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cause us to lose existing users and make it more difficult to attract new users;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 our technical support costs; and</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harm our reputation and brand.</w:t>
      </w:r>
    </w:p>
    <w:p>
      <w:pPr>
        <w:spacing w:after="0" w:line="24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We have acquired, and may in the future acquire, other businesses, and we may also receive offers to be acquired, any of which could require significant management attention, disrupt our business, or dilute stockholder value.</w:t>
      </w:r>
    </w:p>
    <w:p>
      <w:pPr>
        <w:spacing w:after="0" w:line="185"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As part of our business strategy, we have acquired, and may in the future acquire, other companies, employee teams, or technologies to complement or expand our products, obtain personnel, or otherwise grow our business. For example, in the first fiscal quarter of 2021, we acquired DocSend, a secure document sharing platform, to expand our content collaboration capabilities to include additional business critical workflows. The pursuit of acquisitions may divert the attention of</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management and cause us to incur various expenses in identifying, investigating, and pursuing suitable acquisitions, whether or not they are consummated.</w:t>
      </w:r>
    </w:p>
    <w:p>
      <w:pPr>
        <w:spacing w:after="0" w:line="246" w:lineRule="exact"/>
        <w:rPr>
          <w:sz w:val="20"/>
          <w:szCs w:val="20"/>
          <w:color w:val="auto"/>
        </w:rPr>
      </w:pPr>
    </w:p>
    <w:p>
      <w:pPr>
        <w:ind w:right="320" w:firstLine="391"/>
        <w:spacing w:after="0" w:line="276" w:lineRule="auto"/>
        <w:rPr>
          <w:sz w:val="20"/>
          <w:szCs w:val="20"/>
          <w:color w:val="auto"/>
        </w:rPr>
      </w:pPr>
      <w:r>
        <w:rPr>
          <w:rFonts w:ascii="Arial" w:cs="Arial" w:eastAsia="Arial" w:hAnsi="Arial"/>
          <w:sz w:val="15"/>
          <w:szCs w:val="15"/>
          <w:color w:val="auto"/>
        </w:rPr>
        <w:t>We have limited experience making acquisitions. We may not be able to find suitable acquisition candidates and we may not be able to complete acquisitions on favorable terms, if at all, and even if we are able to identify suitable acquisition candidates, we may not be able to receive approval from the applicable competition authorities, or such target may be acquired by another company, including one of our competitors. If we do complete acquisitions, we may not ultimately strengthen our competitive position or achieve the anticipated benefits from such acquisitions, due to a number of factors, including:</w:t>
      </w:r>
    </w:p>
    <w:p>
      <w:pPr>
        <w:spacing w:after="0" w:line="183" w:lineRule="exact"/>
        <w:rPr>
          <w:sz w:val="20"/>
          <w:szCs w:val="20"/>
          <w:color w:val="auto"/>
        </w:rPr>
      </w:pPr>
    </w:p>
    <w:p>
      <w:pPr>
        <w:ind w:left="1260" w:hanging="318"/>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acquisition-related costs, liabilities, or tax impacts, some of which may be unanticipated;</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difficulty integrating and retaining the personnel, intellectual property, technology infrastructure, and operations of an acquired business;</w:t>
      </w:r>
    </w:p>
    <w:p>
      <w:pPr>
        <w:spacing w:after="0" w:line="258" w:lineRule="exact"/>
        <w:rPr>
          <w:rFonts w:ascii="Arial" w:cs="Arial" w:eastAsia="Arial" w:hAnsi="Arial"/>
          <w:sz w:val="16"/>
          <w:szCs w:val="16"/>
          <w:color w:val="auto"/>
        </w:rPr>
      </w:pPr>
    </w:p>
    <w:p>
      <w:pPr>
        <w:ind w:left="1260" w:hanging="318"/>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ineffective or inadequate, controls, procedures, or policies at an acquired business;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multiple product lines or services offerings, as a result of our acquisitions, that are offered, priced, and supported differently;</w:t>
      </w:r>
    </w:p>
    <w:p>
      <w:pPr>
        <w:spacing w:after="0" w:line="247" w:lineRule="exact"/>
        <w:rPr>
          <w:rFonts w:ascii="Arial" w:cs="Arial" w:eastAsia="Arial" w:hAnsi="Arial"/>
          <w:sz w:val="17"/>
          <w:szCs w:val="17"/>
          <w:color w:val="auto"/>
        </w:rPr>
      </w:pPr>
    </w:p>
    <w:p>
      <w:pPr>
        <w:ind w:left="1260" w:right="380" w:hanging="318"/>
        <w:spacing w:after="0" w:line="286" w:lineRule="auto"/>
        <w:tabs>
          <w:tab w:leader="none" w:pos="1256"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potential unknown liabilities or risks associated with an acquired business, including those arising from existing contractual obligations or litigation matters;</w:t>
      </w:r>
    </w:p>
    <w:p>
      <w:pPr>
        <w:spacing w:after="0" w:line="185" w:lineRule="exact"/>
        <w:rPr>
          <w:rFonts w:ascii="Arial" w:cs="Arial" w:eastAsia="Arial" w:hAnsi="Arial"/>
          <w:sz w:val="17"/>
          <w:szCs w:val="17"/>
          <w:color w:val="auto"/>
        </w:rPr>
      </w:pPr>
    </w:p>
    <w:p>
      <w:pPr>
        <w:ind w:left="1260" w:hanging="318"/>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inability to maintain relationships with key customers, suppliers, and partners of an acquired business;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lack of experience in new markets, products or technologies;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 and</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use of resources that are needed in other parts of our business.</w:t>
      </w:r>
    </w:p>
    <w:p>
      <w:pPr>
        <w:spacing w:after="0" w:line="247" w:lineRule="exact"/>
        <w:rPr>
          <w:sz w:val="20"/>
          <w:szCs w:val="20"/>
          <w:color w:val="auto"/>
        </w:rPr>
      </w:pPr>
    </w:p>
    <w:p>
      <w:pPr>
        <w:jc w:val="both"/>
        <w:ind w:right="120" w:firstLine="313"/>
        <w:spacing w:after="0" w:line="271"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We review goodwill for impairment at least annually. In the future, if our acquisitions do not yield expected returns, we may be required to record impairment charges based this assessment, which could adversely affect our results of operations.</w:t>
      </w:r>
    </w:p>
    <w:p>
      <w:pPr>
        <w:spacing w:after="0" w:line="197" w:lineRule="exact"/>
        <w:rPr>
          <w:sz w:val="20"/>
          <w:szCs w:val="20"/>
          <w:color w:val="auto"/>
        </w:rPr>
      </w:pPr>
    </w:p>
    <w:p>
      <w:pPr>
        <w:ind w:right="120" w:firstLine="313"/>
        <w:spacing w:after="0" w:line="312" w:lineRule="auto"/>
        <w:rPr>
          <w:sz w:val="20"/>
          <w:szCs w:val="20"/>
          <w:color w:val="auto"/>
        </w:rPr>
      </w:pPr>
      <w:r>
        <w:rPr>
          <w:rFonts w:ascii="Arial" w:cs="Arial" w:eastAsia="Arial" w:hAnsi="Arial"/>
          <w:sz w:val="15"/>
          <w:szCs w:val="15"/>
          <w:color w:val="auto"/>
        </w:rPr>
        <w:t>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171" w:lineRule="exact"/>
        <w:rPr>
          <w:sz w:val="20"/>
          <w:szCs w:val="20"/>
          <w:color w:val="auto"/>
        </w:rPr>
      </w:pPr>
    </w:p>
    <w:p>
      <w:pPr>
        <w:ind w:firstLine="313"/>
        <w:spacing w:after="0" w:line="271" w:lineRule="auto"/>
        <w:rPr>
          <w:sz w:val="20"/>
          <w:szCs w:val="20"/>
          <w:color w:val="auto"/>
        </w:rPr>
      </w:pPr>
      <w:r>
        <w:rPr>
          <w:rFonts w:ascii="Arial" w:cs="Arial" w:eastAsia="Arial" w:hAnsi="Arial"/>
          <w:sz w:val="17"/>
          <w:szCs w:val="17"/>
          <w:color w:val="auto"/>
        </w:rPr>
        <w:t>Any acquisition we complete could be viewed negatively by users, developers, partners, or investors, and could have adverse effects on our existing business relationships. In addition, we may not successfully evaluate or utilize acquired technology or accurately forecast the financial impact of an acquisition transaction, including accounting charges.</w:t>
      </w:r>
    </w:p>
    <w:p>
      <w:pPr>
        <w:spacing w:after="0" w:line="197" w:lineRule="exact"/>
        <w:rPr>
          <w:sz w:val="20"/>
          <w:szCs w:val="20"/>
          <w:color w:val="auto"/>
        </w:rPr>
      </w:pPr>
    </w:p>
    <w:p>
      <w:pPr>
        <w:ind w:right="160" w:firstLine="313"/>
        <w:spacing w:after="0" w:line="266" w:lineRule="auto"/>
        <w:rPr>
          <w:sz w:val="20"/>
          <w:szCs w:val="20"/>
          <w:color w:val="auto"/>
        </w:rPr>
      </w:pPr>
      <w:r>
        <w:rPr>
          <w:rFonts w:ascii="Arial" w:cs="Arial" w:eastAsia="Arial" w:hAnsi="Arial"/>
          <w:sz w:val="17"/>
          <w:szCs w:val="17"/>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significantly impacted by a change in the economy, including any resulting effect on consumer or business spending.</w:t>
      </w:r>
    </w:p>
    <w:p>
      <w:pPr>
        <w:spacing w:after="0" w:line="259" w:lineRule="exact"/>
        <w:rPr>
          <w:sz w:val="20"/>
          <w:szCs w:val="20"/>
          <w:color w:val="auto"/>
        </w:rPr>
      </w:pPr>
    </w:p>
    <w:p>
      <w:pPr>
        <w:jc w:val="both"/>
        <w:ind w:right="100" w:firstLine="391"/>
        <w:spacing w:after="0" w:line="283" w:lineRule="auto"/>
        <w:rPr>
          <w:sz w:val="20"/>
          <w:szCs w:val="20"/>
          <w:color w:val="auto"/>
        </w:rPr>
      </w:pPr>
      <w:r>
        <w:rPr>
          <w:rFonts w:ascii="Arial" w:cs="Arial" w:eastAsia="Arial" w:hAnsi="Arial"/>
          <w:sz w:val="16"/>
          <w:szCs w:val="16"/>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For example, the ongoing COVID-19 pandemic and efforts to control such pandemic have resulted in economic uncertainty worldwide and may cause, or have already caused, an economic recession in the United States and elsewhere, which could</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cause current and prospective paying users to delay, decrease, or cancel purchases of our products and services, or delay or default on their payment obligations.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As a result, our business, results of operations, and financial condition may be significantly affected by changes in the economy generally.</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and future indebtedness may limit our operating flexibility or otherwise affect our business.</w:t>
      </w:r>
    </w:p>
    <w:p>
      <w:pPr>
        <w:spacing w:after="0" w:line="247" w:lineRule="exact"/>
        <w:rPr>
          <w:sz w:val="20"/>
          <w:szCs w:val="20"/>
          <w:color w:val="auto"/>
        </w:rPr>
      </w:pPr>
    </w:p>
    <w:p>
      <w:pPr>
        <w:ind w:right="220" w:firstLine="391"/>
        <w:spacing w:after="0" w:line="286" w:lineRule="auto"/>
        <w:rPr>
          <w:sz w:val="20"/>
          <w:szCs w:val="20"/>
          <w:color w:val="auto"/>
        </w:rPr>
      </w:pPr>
      <w:r>
        <w:rPr>
          <w:rFonts w:ascii="Arial" w:cs="Arial" w:eastAsia="Arial" w:hAnsi="Arial"/>
          <w:sz w:val="17"/>
          <w:szCs w:val="17"/>
          <w:color w:val="auto"/>
        </w:rPr>
        <w:t>Our current indebtedness, including our 2026 Notes, 2028 Notes and our revolving credit facility, place significant restrictions on our business and could have important consequences to our stockholders and effects on our business, as could any future indebtedness.</w:t>
      </w:r>
    </w:p>
    <w:p>
      <w:pPr>
        <w:spacing w:after="0" w:line="185" w:lineRule="exact"/>
        <w:rPr>
          <w:sz w:val="20"/>
          <w:szCs w:val="20"/>
          <w:color w:val="auto"/>
        </w:rPr>
      </w:pPr>
    </w:p>
    <w:p>
      <w:pPr>
        <w:ind w:right="60" w:firstLine="391"/>
        <w:spacing w:after="0" w:line="287" w:lineRule="auto"/>
        <w:rPr>
          <w:sz w:val="20"/>
          <w:szCs w:val="20"/>
          <w:color w:val="auto"/>
        </w:rPr>
      </w:pPr>
      <w:r>
        <w:rPr>
          <w:rFonts w:ascii="Arial" w:cs="Arial" w:eastAsia="Arial" w:hAnsi="Arial"/>
          <w:sz w:val="16"/>
          <w:szCs w:val="16"/>
          <w:color w:val="auto"/>
        </w:rPr>
        <w:t>For example, the terms of our revolving credit and guarantee agreement, as amended, contain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consolidated leverage ratio incurrence covenant and a minimum liquidity balance.</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addition, such current and future indebtedness could:</w:t>
      </w:r>
    </w:p>
    <w:p>
      <w:pPr>
        <w:spacing w:after="0" w:line="247" w:lineRule="exact"/>
        <w:rPr>
          <w:sz w:val="20"/>
          <w:szCs w:val="20"/>
          <w:color w:val="auto"/>
        </w:rPr>
      </w:pPr>
    </w:p>
    <w:p>
      <w:pPr>
        <w:ind w:left="1260" w:hanging="318"/>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make it more difficult for us to satisfy our debt obligations, including the 2026 Notes and the 2028 Notes;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247" w:lineRule="exact"/>
        <w:rPr>
          <w:rFonts w:ascii="Arial" w:cs="Arial" w:eastAsia="Arial" w:hAnsi="Arial"/>
          <w:sz w:val="17"/>
          <w:szCs w:val="17"/>
          <w:color w:val="auto"/>
        </w:rPr>
      </w:pPr>
    </w:p>
    <w:p>
      <w:pPr>
        <w:ind w:left="1260" w:right="40" w:hanging="318"/>
        <w:spacing w:after="0" w:line="286" w:lineRule="auto"/>
        <w:tabs>
          <w:tab w:leader="none" w:pos="12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185" w:lineRule="exact"/>
        <w:rPr>
          <w:rFonts w:ascii="Arial" w:cs="Arial" w:eastAsia="Arial" w:hAnsi="Arial"/>
          <w:sz w:val="17"/>
          <w:szCs w:val="17"/>
          <w:color w:val="auto"/>
        </w:rPr>
      </w:pPr>
    </w:p>
    <w:p>
      <w:pPr>
        <w:ind w:left="1260" w:hanging="318"/>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industry in which we operate;</w:t>
      </w:r>
    </w:p>
    <w:p>
      <w:pPr>
        <w:spacing w:after="0" w:line="247" w:lineRule="exact"/>
        <w:rPr>
          <w:rFonts w:ascii="Arial" w:cs="Arial" w:eastAsia="Arial" w:hAnsi="Arial"/>
          <w:sz w:val="17"/>
          <w:szCs w:val="17"/>
          <w:color w:val="auto"/>
        </w:rPr>
      </w:pPr>
    </w:p>
    <w:p>
      <w:pPr>
        <w:ind w:left="1260" w:right="340" w:hanging="318"/>
        <w:spacing w:after="0" w:line="286" w:lineRule="auto"/>
        <w:tabs>
          <w:tab w:leader="none" w:pos="12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 our current and future operations, make it more difficult to successfully execute our business strategy, or restrict us from exploiting business opportunities;</w:t>
      </w:r>
    </w:p>
    <w:p>
      <w:pPr>
        <w:spacing w:after="0" w:line="185" w:lineRule="exact"/>
        <w:rPr>
          <w:rFonts w:ascii="Arial" w:cs="Arial" w:eastAsia="Arial" w:hAnsi="Arial"/>
          <w:sz w:val="17"/>
          <w:szCs w:val="17"/>
          <w:color w:val="auto"/>
        </w:rPr>
      </w:pPr>
    </w:p>
    <w:p>
      <w:pPr>
        <w:ind w:left="1260" w:hanging="318"/>
        <w:spacing w:after="0"/>
        <w:tabs>
          <w:tab w:leader="none" w:pos="12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place us at a competitive disadvantage compared to our competitors that have less indebtedness or are not subject to restrictive covenants; and</w:t>
      </w:r>
    </w:p>
    <w:p>
      <w:pPr>
        <w:spacing w:after="0" w:line="270" w:lineRule="exact"/>
        <w:rPr>
          <w:rFonts w:ascii="Arial" w:cs="Arial" w:eastAsia="Arial" w:hAnsi="Arial"/>
          <w:sz w:val="15"/>
          <w:szCs w:val="15"/>
          <w:color w:val="auto"/>
        </w:rPr>
      </w:pPr>
    </w:p>
    <w:p>
      <w:pPr>
        <w:ind w:left="1260" w:right="60" w:hanging="318"/>
        <w:spacing w:after="0" w:line="286" w:lineRule="auto"/>
        <w:tabs>
          <w:tab w:leader="none" w:pos="12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 our availability to borrow additional funds for working capital, capital expenditures, acquisitions, debt service requirements, execution of our business strategy, or other general purposes.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Any of the foregoing could have a material adverse effect on our business, cash flows, results of operations, and financial condition.</w:t>
      </w:r>
    </w:p>
    <w:p>
      <w:pPr>
        <w:spacing w:after="0" w:line="247"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185" w:lineRule="exact"/>
        <w:rPr>
          <w:sz w:val="20"/>
          <w:szCs w:val="20"/>
          <w:color w:val="auto"/>
        </w:rPr>
      </w:pPr>
    </w:p>
    <w:p>
      <w:pPr>
        <w:ind w:right="60" w:firstLine="391"/>
        <w:spacing w:after="0" w:line="287" w:lineRule="auto"/>
        <w:rPr>
          <w:sz w:val="20"/>
          <w:szCs w:val="20"/>
          <w:color w:val="auto"/>
        </w:rPr>
      </w:pPr>
      <w:r>
        <w:rPr>
          <w:rFonts w:ascii="Arial" w:cs="Arial" w:eastAsia="Arial" w:hAnsi="Arial"/>
          <w:sz w:val="16"/>
          <w:szCs w:val="16"/>
          <w:color w:val="auto"/>
        </w:rPr>
        <w:t>We finance a significant portion of our expenditures through leasing arrangements, and we may enter into additional similar arrangements in the future. As of December 31, 2020, we had an aggregate of $1,624.1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88" w:lineRule="exact"/>
        <w:rPr>
          <w:sz w:val="20"/>
          <w:szCs w:val="20"/>
          <w:color w:val="auto"/>
        </w:rPr>
      </w:pPr>
    </w:p>
    <w:p>
      <w:pPr>
        <w:ind w:left="1260" w:hanging="318"/>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 repayment of any outstanding lease obligations;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terminate our leasing arrangements;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terminate our access to the leased datacenters we utilize;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stop delivery of ordered equipment;</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sell or require us to return our leased equipment;</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hanging="318"/>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repayment of any outstanding amounts drawn on our revolving credit facility;</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terminate our revolving credit facility; or</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us to pay significant fees, penalties, or damages.</w:t>
      </w:r>
    </w:p>
    <w:p>
      <w:pPr>
        <w:spacing w:after="0" w:line="247" w:lineRule="exact"/>
        <w:rPr>
          <w:sz w:val="20"/>
          <w:szCs w:val="20"/>
          <w:color w:val="auto"/>
        </w:rPr>
      </w:pPr>
    </w:p>
    <w:p>
      <w:pPr>
        <w:ind w:right="60" w:firstLine="391"/>
        <w:spacing w:after="0" w:line="263" w:lineRule="auto"/>
        <w:rPr>
          <w:sz w:val="20"/>
          <w:szCs w:val="20"/>
          <w:color w:val="auto"/>
        </w:rPr>
      </w:pPr>
      <w:r>
        <w:rPr>
          <w:rFonts w:ascii="Arial" w:cs="Arial" w:eastAsia="Arial" w:hAnsi="Arial"/>
          <w:sz w:val="17"/>
          <w:szCs w:val="17"/>
          <w:color w:val="auto"/>
        </w:rPr>
        <w:t>If some or all of these events were to occur, our operations may be interrupted and our ability to fund our operations or obligations, as well as our business, results of operations, and financial condition, could be adversely affected. In particular,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99"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Risks Related to Our Financial Performance or Results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has declined in recent periods and may continue to slow in the future.</w:t>
      </w:r>
    </w:p>
    <w:p>
      <w:pPr>
        <w:spacing w:after="0" w:line="247" w:lineRule="exact"/>
        <w:rPr>
          <w:sz w:val="20"/>
          <w:szCs w:val="20"/>
          <w:color w:val="auto"/>
        </w:rPr>
      </w:pPr>
    </w:p>
    <w:p>
      <w:pPr>
        <w:ind w:right="60" w:firstLine="391"/>
        <w:spacing w:after="0" w:line="261" w:lineRule="auto"/>
        <w:rPr>
          <w:sz w:val="20"/>
          <w:szCs w:val="20"/>
          <w:color w:val="auto"/>
        </w:rPr>
      </w:pPr>
      <w:r>
        <w:rPr>
          <w:rFonts w:ascii="Arial" w:cs="Arial" w:eastAsia="Arial" w:hAnsi="Arial"/>
          <w:sz w:val="17"/>
          <w:szCs w:val="17"/>
          <w:color w:val="auto"/>
        </w:rPr>
        <w:t>We have experienced significant revenue growth in prior periods. However, 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 decrease in the growth of the overall content collaboration market, a failure by us to continue capitalizing on growth opportunities, the impact of catastrophic events on economic conditions or on our current and prospective paying users,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may increase expenses in the future, and we may not be able to achieve or maintain profitability.</w:t>
      </w:r>
    </w:p>
    <w:p>
      <w:pPr>
        <w:spacing w:after="0" w:line="247" w:lineRule="exact"/>
        <w:rPr>
          <w:sz w:val="20"/>
          <w:szCs w:val="20"/>
          <w:color w:val="auto"/>
        </w:rPr>
      </w:pPr>
    </w:p>
    <w:p>
      <w:pPr>
        <w:ind w:firstLine="391"/>
        <w:spacing w:after="0" w:line="293" w:lineRule="auto"/>
        <w:rPr>
          <w:sz w:val="20"/>
          <w:szCs w:val="20"/>
          <w:color w:val="auto"/>
        </w:rPr>
      </w:pPr>
      <w:r>
        <w:rPr>
          <w:rFonts w:ascii="Arial" w:cs="Arial" w:eastAsia="Arial" w:hAnsi="Arial"/>
          <w:sz w:val="15"/>
          <w:szCs w:val="15"/>
          <w:color w:val="auto"/>
        </w:rPr>
        <w:t>We have incurred net losses on an annual basis since our inception. We incurred net losses of $256.3 million, $52.7 million, and $484.9 million in the years ended December 31, 2020, 2019, and 2018, respectively, and we had an accumulated deficit of $2,241.4 million as of December 31, 2020. While we have been profitable on a GAAP basis in prior fiscal quarters, we have not been profitable for a full fiscal year, and we may not achieve or maintain profitability in future periods. As we strive to grow our business, expenses may increase, particularly as we continue to make investments to scale our business.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new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Servicing our 2026 Notes and 2028 Notes may require a significant amount of cash, and we may not have sufficient cash flow or the ability to raise the funds necessary to satisfy our obligations under the 2026 Notes or 2028 Notes.</w:t>
      </w:r>
    </w:p>
    <w:p>
      <w:pPr>
        <w:spacing w:after="0" w:line="185" w:lineRule="exact"/>
        <w:rPr>
          <w:sz w:val="20"/>
          <w:szCs w:val="20"/>
          <w:color w:val="auto"/>
        </w:rPr>
      </w:pPr>
    </w:p>
    <w:p>
      <w:pPr>
        <w:ind w:firstLine="391"/>
        <w:spacing w:after="0" w:line="299" w:lineRule="auto"/>
        <w:rPr>
          <w:sz w:val="20"/>
          <w:szCs w:val="20"/>
          <w:color w:val="auto"/>
        </w:rPr>
      </w:pPr>
      <w:r>
        <w:rPr>
          <w:rFonts w:ascii="Arial" w:cs="Arial" w:eastAsia="Arial" w:hAnsi="Arial"/>
          <w:sz w:val="15"/>
          <w:szCs w:val="15"/>
          <w:color w:val="auto"/>
        </w:rPr>
        <w:t>Our ability to make scheduled payments of the principal of, to pay interest on or to refinance our indebtedness, including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results may fluctuate significantly and may not fully reflect the underlying performance of our business.</w:t>
      </w:r>
    </w:p>
    <w:p>
      <w:pPr>
        <w:spacing w:after="0" w:line="247" w:lineRule="exact"/>
        <w:rPr>
          <w:sz w:val="20"/>
          <w:szCs w:val="20"/>
          <w:color w:val="auto"/>
        </w:rPr>
      </w:pPr>
    </w:p>
    <w:p>
      <w:pPr>
        <w:ind w:right="60" w:firstLine="391"/>
        <w:spacing w:after="0" w:line="261" w:lineRule="auto"/>
        <w:rPr>
          <w:sz w:val="20"/>
          <w:szCs w:val="20"/>
          <w:color w:val="auto"/>
        </w:rPr>
      </w:pPr>
      <w:r>
        <w:rPr>
          <w:rFonts w:ascii="Arial" w:cs="Arial" w:eastAsia="Arial" w:hAnsi="Arial"/>
          <w:sz w:val="17"/>
          <w:szCs w:val="17"/>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205" w:lineRule="exact"/>
        <w:rPr>
          <w:sz w:val="20"/>
          <w:szCs w:val="20"/>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attract new paying users and convert registered to paying users;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timing of expenses and recognition of revenue;</w:t>
      </w:r>
    </w:p>
    <w:p>
      <w:pPr>
        <w:spacing w:after="0" w:line="247" w:lineRule="exact"/>
        <w:rPr>
          <w:rFonts w:ascii="Arial" w:cs="Arial" w:eastAsia="Arial" w:hAnsi="Arial"/>
          <w:sz w:val="17"/>
          <w:szCs w:val="17"/>
          <w:color w:val="auto"/>
        </w:rPr>
      </w:pPr>
    </w:p>
    <w:p>
      <w:pPr>
        <w:ind w:left="1260" w:right="140" w:hanging="318"/>
        <w:spacing w:after="0" w:line="286" w:lineRule="auto"/>
        <w:tabs>
          <w:tab w:leader="none" w:pos="125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the maintenance and expansion of our business, operations, and infrastructure, as well as entry into operating and finance leases;</w:t>
      </w:r>
    </w:p>
    <w:p>
      <w:pPr>
        <w:spacing w:after="0" w:line="185"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timing of expenses related to acquisitions;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large indemnification payments to our users or other third parties;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timing and success of new product feature and service introductions by us or our competitors;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network outages or actual or perceived security breaches;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47" w:lineRule="exact"/>
        <w:rPr>
          <w:rFonts w:ascii="Arial" w:cs="Arial" w:eastAsia="Arial" w:hAnsi="Arial"/>
          <w:sz w:val="17"/>
          <w:szCs w:val="17"/>
          <w:color w:val="auto"/>
        </w:rPr>
      </w:pPr>
    </w:p>
    <w:p>
      <w:pPr>
        <w:ind w:left="1260" w:right="140" w:hanging="318"/>
        <w:spacing w:after="0" w:line="319" w:lineRule="auto"/>
        <w:tabs>
          <w:tab w:leader="none" w:pos="12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catastrophic events, including earthquakes, fires, floods, tsunamis, or other weather events, power loss, telecommunications failures, software or hardware malfunctions, cyber-attack, war, or terrorist attacks, and pandemics such as the ongoing COVID-19 pandemic;</w:t>
      </w:r>
    </w:p>
    <w:p>
      <w:pPr>
        <w:spacing w:after="0" w:line="162" w:lineRule="exact"/>
        <w:rPr>
          <w:rFonts w:ascii="Arial" w:cs="Arial" w:eastAsia="Arial" w:hAnsi="Arial"/>
          <w:sz w:val="16"/>
          <w:szCs w:val="16"/>
          <w:color w:val="auto"/>
        </w:rPr>
      </w:pPr>
    </w:p>
    <w:p>
      <w:pPr>
        <w:ind w:left="1260" w:right="580" w:hanging="318"/>
        <w:spacing w:after="0" w:line="319" w:lineRule="auto"/>
        <w:tabs>
          <w:tab w:leader="none" w:pos="12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reserves or other non-cash credits or charges, such as the impairment charges related to certain of our unused office space in connection with our shift to a new Virtual First work model and releases of deferred tax asset valuation allowances; and</w:t>
      </w:r>
    </w:p>
    <w:p>
      <w:pPr>
        <w:spacing w:after="0" w:line="162" w:lineRule="exact"/>
        <w:rPr>
          <w:rFonts w:ascii="Arial" w:cs="Arial" w:eastAsia="Arial" w:hAnsi="Arial"/>
          <w:sz w:val="16"/>
          <w:szCs w:val="16"/>
          <w:color w:val="auto"/>
        </w:rPr>
      </w:pPr>
    </w:p>
    <w:p>
      <w:pPr>
        <w:ind w:left="1260" w:hanging="31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other impacts of shifting our operations to a new Virtual First work model.</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85" w:lineRule="exact"/>
        <w:rPr>
          <w:sz w:val="20"/>
          <w:szCs w:val="20"/>
          <w:color w:val="auto"/>
        </w:rPr>
      </w:pPr>
    </w:p>
    <w:p>
      <w:pPr>
        <w:ind w:firstLine="391"/>
        <w:spacing w:after="0" w:line="259" w:lineRule="auto"/>
        <w:rPr>
          <w:sz w:val="20"/>
          <w:szCs w:val="20"/>
          <w:color w:val="auto"/>
        </w:rPr>
      </w:pPr>
      <w:r>
        <w:rPr>
          <w:rFonts w:ascii="Arial" w:cs="Arial" w:eastAsia="Arial" w:hAnsi="Arial"/>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70" w:lineRule="exact"/>
        <w:rPr>
          <w:sz w:val="20"/>
          <w:szCs w:val="20"/>
          <w:color w:val="auto"/>
        </w:rPr>
      </w:pPr>
    </w:p>
    <w:p>
      <w:pPr>
        <w:ind w:right="60" w:firstLine="391"/>
        <w:spacing w:after="0" w:line="259" w:lineRule="auto"/>
        <w:rPr>
          <w:sz w:val="20"/>
          <w:szCs w:val="20"/>
          <w:color w:val="auto"/>
        </w:rPr>
      </w:pPr>
      <w:r>
        <w:rPr>
          <w:rFonts w:ascii="Arial" w:cs="Arial" w:eastAsia="Arial" w:hAnsi="Arial"/>
          <w:sz w:val="17"/>
          <w:szCs w:val="17"/>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2020, 29% of our sales were denominated in currencies other than U.S. dollars. Our expenses, by contrast, are primarily denominated in U.S. dollars. As a result, any increase in the value of the U.S. dollar against these foreign currencies, including those resulting from the impact of the COVID-19 pandemic,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translation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counterparty risk with respect to the convertible note hedge transactions.</w:t>
      </w:r>
    </w:p>
    <w:p>
      <w:pPr>
        <w:spacing w:after="0" w:line="247" w:lineRule="exact"/>
        <w:rPr>
          <w:sz w:val="20"/>
          <w:szCs w:val="20"/>
          <w:color w:val="auto"/>
        </w:rPr>
      </w:pPr>
    </w:p>
    <w:p>
      <w:pPr>
        <w:ind w:right="140" w:firstLine="391"/>
        <w:spacing w:after="0" w:line="278" w:lineRule="auto"/>
        <w:rPr>
          <w:sz w:val="20"/>
          <w:szCs w:val="20"/>
          <w:color w:val="auto"/>
        </w:rPr>
      </w:pPr>
      <w:r>
        <w:rPr>
          <w:rFonts w:ascii="Arial" w:cs="Arial" w:eastAsia="Arial" w:hAnsi="Arial"/>
          <w:sz w:val="16"/>
          <w:szCs w:val="16"/>
          <w:color w:val="auto"/>
        </w:rPr>
        <w:t>In connection with the pricing of the 2026 Notes and 2028 Notes, we entered into convertible note hedge transactions with certain financial institutions or affiliates of financial institutions, which we refer to as the “option counterparties,” and we will be subject to the risk that one or more of such option counterparties may default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247" w:lineRule="exact"/>
        <w:rPr>
          <w:sz w:val="20"/>
          <w:szCs w:val="20"/>
          <w:color w:val="auto"/>
        </w:rPr>
      </w:pPr>
    </w:p>
    <w:p>
      <w:pPr>
        <w:ind w:right="40" w:firstLine="391"/>
        <w:spacing w:after="0" w:line="276" w:lineRule="auto"/>
        <w:rPr>
          <w:sz w:val="20"/>
          <w:szCs w:val="20"/>
          <w:color w:val="auto"/>
        </w:rPr>
      </w:pPr>
      <w:r>
        <w:rPr>
          <w:rFonts w:ascii="Arial" w:cs="Arial" w:eastAsia="Arial" w:hAnsi="Arial"/>
          <w:sz w:val="16"/>
          <w:szCs w:val="16"/>
          <w:color w:val="auto"/>
        </w:rPr>
        <w:t>As of December 31, 2020, we had $697.7 million of federal, $292.8 million of state, and $430.5 million of foreign net operating loss carryforwards available to reduce future taxable income. Of our federal net operating loss carryforwards, $71.8 million will begin to expire in 2032 and $625.9 million will carryforward indefinitely, while state net operating losses begin to expire in 2029. As of December 31, 2020, we had research credit carryforwards of $207.9 million and $113.8 million for federal and state income tax purposes. The federal credit carryforward will begin to expire in 2027. The state research credits have no expiration date. The Company also had $2.1 million of state enterprise zone credit carryforwards, which will begin to expire in 2023. We also had $0.5 million of foreign tax credit carryforwards,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pre-change attributes will be subject to limitation. However, we do not expect that the annual limitations will significantly impact our ability to utilize our net operating loss or tax credit carryforwards prior to expiration.</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85" w:lineRule="exact"/>
        <w:rPr>
          <w:sz w:val="20"/>
          <w:szCs w:val="20"/>
          <w:color w:val="auto"/>
        </w:rPr>
      </w:pPr>
    </w:p>
    <w:p>
      <w:pPr>
        <w:ind w:right="360" w:firstLine="391"/>
        <w:spacing w:after="0" w:line="263"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20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72" w:lineRule="exact"/>
        <w:rPr>
          <w:sz w:val="20"/>
          <w:szCs w:val="20"/>
          <w:color w:val="auto"/>
        </w:rPr>
      </w:pPr>
    </w:p>
    <w:p>
      <w:pPr>
        <w:ind w:right="80" w:firstLine="391"/>
        <w:spacing w:after="0" w:line="253" w:lineRule="auto"/>
        <w:rPr>
          <w:sz w:val="20"/>
          <w:szCs w:val="20"/>
          <w:color w:val="auto"/>
        </w:rPr>
      </w:pPr>
      <w:r>
        <w:rPr>
          <w:rFonts w:ascii="Arial" w:cs="Arial" w:eastAsia="Arial" w:hAnsi="Arial"/>
          <w:sz w:val="16"/>
          <w:szCs w:val="16"/>
          <w:color w:val="auto"/>
        </w:rPr>
        <w:t>In October 2021, an update to the Build Back Better Act (the “Bill”) was released. The Bill, as revised, includes, but is not limited to, (1) reducing benefits included in the Global Intangible Low-Taxed Income (“GILTI”) regime and Foreign-Derived Intangible Income (“FDII”) deductions, (2) amending the Base Erosion and Anti-Abuse Tax (“BEAT”) tax rates from 10% up to 18% through 2025, and (3) delaying the capitalization of research expenditures to take effect in 2022. If enacted, certain proposed changes could have an adverse impact on our business, results of operations, financial condition and cash flow.</w:t>
      </w:r>
    </w:p>
    <w:p>
      <w:pPr>
        <w:spacing w:after="0" w:line="188" w:lineRule="exact"/>
        <w:rPr>
          <w:sz w:val="20"/>
          <w:szCs w:val="20"/>
          <w:color w:val="auto"/>
        </w:rPr>
      </w:pPr>
    </w:p>
    <w:p>
      <w:pPr>
        <w:ind w:firstLine="391"/>
        <w:spacing w:after="0" w:line="231" w:lineRule="auto"/>
        <w:rPr>
          <w:sz w:val="20"/>
          <w:szCs w:val="20"/>
          <w:color w:val="auto"/>
        </w:rPr>
      </w:pPr>
      <w:r>
        <w:rPr>
          <w:rFonts w:ascii="Arial" w:cs="Arial" w:eastAsia="Arial" w:hAnsi="Arial"/>
          <w:sz w:val="17"/>
          <w:szCs w:val="17"/>
          <w:color w:val="auto"/>
        </w:rPr>
        <w:t>On June 5, 2021 the G7 Finance Ministers announced an agreement in which the participating countries committed to new taxing rights that allow countries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The meeting marked an early test of whether the US position on the OECD's Inclusive Framework (“OECD IF”) “Taxation of the Digital Economy” project would provide momentum to finding a common base for agreement. On October 8, 2021, the OECD announced that 136 member jurisdictions have politically committed to the potential changes to the international corporate tax system.</w:t>
      </w:r>
    </w:p>
    <w:p>
      <w:pPr>
        <w:spacing w:after="0" w:line="213" w:lineRule="exact"/>
        <w:rPr>
          <w:sz w:val="20"/>
          <w:szCs w:val="20"/>
          <w:color w:val="auto"/>
        </w:rPr>
      </w:pPr>
    </w:p>
    <w:p>
      <w:pPr>
        <w:ind w:right="20" w:firstLine="391"/>
        <w:spacing w:after="0" w:line="301" w:lineRule="auto"/>
        <w:rPr>
          <w:sz w:val="20"/>
          <w:szCs w:val="20"/>
          <w:color w:val="auto"/>
        </w:rPr>
      </w:pPr>
      <w:r>
        <w:rPr>
          <w:rFonts w:ascii="Arial" w:cs="Arial" w:eastAsia="Arial" w:hAnsi="Arial"/>
          <w:sz w:val="15"/>
          <w:szCs w:val="15"/>
          <w:color w:val="auto"/>
        </w:rPr>
        <w:t>In 2018, the European Commission (“EC”) introduced proposals addressing taxation of digital businesses operating within the European Union (“EU”) but has not reached an agreement on a sales tax with a scope limited to digital advertising services. As a result, certain countries, including the UK, Italy and France, unilaterally moved to introduce their own digital service tax. In January 2021, the EC released an Inception Impact Assessment to inform stakeholders about proposed legislative changes to the taxation of the digital economy. It is intended that the new initiative will help mitigate potential distortions and fragmentation of tax rules arising in the EU single market by designing a single set of rules which is consistent with the Digital Services Act package and the EC's digital strategy. In June 2021, as part of the OECD-IF's Pillar Two, there was an agreement to support efforts through the G20/OECD-IF and provide for appropriate coordination between the application of the new international tax rules and the removal of all digital services taxes, and other similar measures, on all companies.</w:t>
      </w:r>
    </w:p>
    <w:p>
      <w:pPr>
        <w:spacing w:after="0" w:line="179" w:lineRule="exact"/>
        <w:rPr>
          <w:sz w:val="20"/>
          <w:szCs w:val="20"/>
          <w:color w:val="auto"/>
        </w:rPr>
      </w:pPr>
    </w:p>
    <w:p>
      <w:pPr>
        <w:ind w:right="40" w:firstLine="391"/>
        <w:spacing w:after="0" w:line="271" w:lineRule="auto"/>
        <w:rPr>
          <w:sz w:val="20"/>
          <w:szCs w:val="20"/>
          <w:color w:val="auto"/>
        </w:rPr>
      </w:pPr>
      <w:r>
        <w:rPr>
          <w:rFonts w:ascii="Arial" w:cs="Arial" w:eastAsia="Arial" w:hAnsi="Arial"/>
          <w:sz w:val="17"/>
          <w:szCs w:val="17"/>
          <w:color w:val="auto"/>
        </w:rPr>
        <w:t>Due to the increasing focus by government taxing authorities on multinational companies, the tax laws of certain countries in which we do business could change on a prospective or retroactive basis, and any such changes could increase our liabilities for taxes, interest and penalties, lead to higher effective tax rates, and harm our cash flows, results of operations and financial condition.</w:t>
      </w:r>
    </w:p>
    <w:p>
      <w:pPr>
        <w:spacing w:after="0" w:line="197" w:lineRule="exact"/>
        <w:rPr>
          <w:sz w:val="20"/>
          <w:szCs w:val="20"/>
          <w:color w:val="auto"/>
        </w:rPr>
      </w:pPr>
    </w:p>
    <w:p>
      <w:pPr>
        <w:ind w:right="220"/>
        <w:spacing w:after="0" w:line="357"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spacing w:after="0" w:line="138"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Legal and Regulatory Compliance</w:t>
      </w:r>
    </w:p>
    <w:p>
      <w:pPr>
        <w:spacing w:after="0" w:line="253"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38" w:lineRule="exact"/>
        <w:rPr>
          <w:sz w:val="20"/>
          <w:szCs w:val="20"/>
          <w:color w:val="auto"/>
        </w:rPr>
      </w:pPr>
    </w:p>
    <w:p>
      <w:pPr>
        <w:ind w:right="180" w:firstLine="391"/>
        <w:spacing w:after="0" w:line="261"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205" w:lineRule="exact"/>
        <w:rPr>
          <w:sz w:val="20"/>
          <w:szCs w:val="20"/>
          <w:color w:val="auto"/>
        </w:rPr>
      </w:pPr>
    </w:p>
    <w:p>
      <w:pPr>
        <w:ind w:right="60" w:firstLine="391"/>
        <w:spacing w:after="0" w:line="261" w:lineRule="auto"/>
        <w:rPr>
          <w:sz w:val="20"/>
          <w:szCs w:val="20"/>
          <w:color w:val="auto"/>
        </w:rPr>
      </w:pPr>
      <w:r>
        <w:rPr>
          <w:rFonts w:ascii="Arial" w:cs="Arial" w:eastAsia="Arial" w:hAnsi="Arial"/>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policies and practices around subscriptions, billing, auto-renewal, intermediate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205" w:lineRule="exact"/>
        <w:rPr>
          <w:sz w:val="20"/>
          <w:szCs w:val="20"/>
          <w:color w:val="auto"/>
        </w:rPr>
      </w:pPr>
    </w:p>
    <w:p>
      <w:pPr>
        <w:ind w:firstLine="391"/>
        <w:spacing w:after="0" w:line="295"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81" w:lineRule="exact"/>
        <w:rPr>
          <w:sz w:val="20"/>
          <w:szCs w:val="20"/>
          <w:color w:val="auto"/>
        </w:rPr>
      </w:pPr>
    </w:p>
    <w:p>
      <w:pPr>
        <w:ind w:right="180" w:firstLine="391"/>
        <w:spacing w:after="0" w:line="283" w:lineRule="auto"/>
        <w:rPr>
          <w:sz w:val="20"/>
          <w:szCs w:val="20"/>
          <w:color w:val="auto"/>
        </w:rPr>
      </w:pPr>
      <w:r>
        <w:rPr>
          <w:rFonts w:ascii="Arial" w:cs="Arial" w:eastAsia="Arial" w:hAnsi="Arial"/>
          <w:sz w:val="16"/>
          <w:szCs w:val="16"/>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9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85" w:lineRule="exact"/>
        <w:rPr>
          <w:sz w:val="20"/>
          <w:szCs w:val="20"/>
          <w:color w:val="auto"/>
        </w:rPr>
      </w:pPr>
    </w:p>
    <w:p>
      <w:pPr>
        <w:ind w:right="40" w:firstLine="391"/>
        <w:spacing w:after="0" w:line="277" w:lineRule="auto"/>
        <w:rPr>
          <w:sz w:val="20"/>
          <w:szCs w:val="20"/>
          <w:color w:val="auto"/>
        </w:rPr>
      </w:pPr>
      <w:r>
        <w:rPr>
          <w:rFonts w:ascii="Arial" w:cs="Arial" w:eastAsia="Arial" w:hAnsi="Arial"/>
          <w:sz w:val="16"/>
          <w:szCs w:val="16"/>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spacing w:after="0" w:line="199" w:lineRule="exact"/>
        <w:rPr>
          <w:sz w:val="20"/>
          <w:szCs w:val="20"/>
          <w:color w:val="auto"/>
        </w:rPr>
      </w:pPr>
    </w:p>
    <w:p>
      <w:pPr>
        <w:ind w:right="380" w:firstLine="391"/>
        <w:spacing w:after="0" w:line="266" w:lineRule="auto"/>
        <w:rPr>
          <w:sz w:val="20"/>
          <w:szCs w:val="20"/>
          <w:color w:val="auto"/>
        </w:rPr>
      </w:pPr>
      <w:r>
        <w:rPr>
          <w:rFonts w:ascii="Arial" w:cs="Arial" w:eastAsia="Arial" w:hAnsi="Arial"/>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actual or perceived failure to comply with privacy, data protection, and information security laws, regulations, and obligations could harm our business.</w:t>
      </w:r>
    </w:p>
    <w:p>
      <w:pPr>
        <w:spacing w:after="0" w:line="270" w:lineRule="exact"/>
        <w:rPr>
          <w:sz w:val="20"/>
          <w:szCs w:val="20"/>
          <w:color w:val="auto"/>
        </w:rPr>
      </w:pPr>
    </w:p>
    <w:p>
      <w:pPr>
        <w:ind w:right="120" w:firstLine="391"/>
        <w:spacing w:after="0" w:line="260"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07" w:lineRule="exact"/>
        <w:rPr>
          <w:sz w:val="20"/>
          <w:szCs w:val="20"/>
          <w:color w:val="auto"/>
        </w:rPr>
      </w:pPr>
    </w:p>
    <w:p>
      <w:pPr>
        <w:jc w:val="both"/>
        <w:ind w:right="260" w:firstLine="391"/>
        <w:spacing w:after="0" w:line="295" w:lineRule="auto"/>
        <w:rPr>
          <w:sz w:val="20"/>
          <w:szCs w:val="20"/>
          <w:color w:val="auto"/>
        </w:rPr>
      </w:pPr>
      <w:r>
        <w:rPr>
          <w:rFonts w:ascii="Arial" w:cs="Arial" w:eastAsia="Arial" w:hAnsi="Arial"/>
          <w:sz w:val="16"/>
          <w:szCs w:val="16"/>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 The GDPR imposed more stringent data protection requirements and provides greater penalties for noncompliance than previous data protection laws.</w:t>
      </w:r>
    </w:p>
    <w:p>
      <w:pPr>
        <w:spacing w:after="0" w:line="181" w:lineRule="exact"/>
        <w:rPr>
          <w:sz w:val="20"/>
          <w:szCs w:val="20"/>
          <w:color w:val="auto"/>
        </w:rPr>
      </w:pPr>
    </w:p>
    <w:p>
      <w:pPr>
        <w:ind w:right="100" w:firstLine="391"/>
        <w:spacing w:after="0" w:line="261" w:lineRule="auto"/>
        <w:rPr>
          <w:sz w:val="20"/>
          <w:szCs w:val="20"/>
          <w:color w:val="auto"/>
        </w:rPr>
      </w:pPr>
      <w:r>
        <w:rPr>
          <w:rFonts w:ascii="Arial" w:cs="Arial" w:eastAsia="Arial" w:hAnsi="Arial"/>
          <w:sz w:val="17"/>
          <w:szCs w:val="17"/>
          <w:color w:val="auto"/>
        </w:rPr>
        <w:t>Additionally, although we have self-certified under the U.S.-EU and U.S.-Swiss Privacy Shield Frameworks with regard to our transfer of certain personal data from the European Economic Area ("EEA") and Switzerland to the United States, on July 16, 2020, the Court of Justice of the European Union invalidated Decision 2016/1250 on the adequacy of the protection provided by the U.S.-EU Privacy Shield Framework, and the Swiss Federal Data Protection and Information Commissioner has stated that it no longer considers the U.S.-Swiss Privacy Shield adequate for the purposes of transfers of personal data from Switzerland to the U.S. While we rely on additional legal mechanisms to transfer data from the EEA and Switzerland to the United States, there is some regulatory uncertainty surrounding the future of data transfers from these locations to the United States, and we are closely monitoring regulatory developments in this area.</w:t>
      </w:r>
    </w:p>
    <w:p>
      <w:pPr>
        <w:spacing w:after="0" w:line="231" w:lineRule="exact"/>
        <w:rPr>
          <w:sz w:val="20"/>
          <w:szCs w:val="20"/>
          <w:color w:val="auto"/>
        </w:rPr>
      </w:pPr>
    </w:p>
    <w:p>
      <w:pPr>
        <w:ind w:right="20" w:firstLine="391"/>
        <w:spacing w:after="0" w:line="242" w:lineRule="auto"/>
        <w:rPr>
          <w:sz w:val="20"/>
          <w:szCs w:val="20"/>
          <w:color w:val="auto"/>
        </w:rPr>
      </w:pPr>
      <w:r>
        <w:rPr>
          <w:rFonts w:ascii="Arial" w:cs="Arial" w:eastAsia="Arial" w:hAnsi="Arial"/>
          <w:sz w:val="16"/>
          <w:szCs w:val="16"/>
          <w:color w:val="auto"/>
        </w:rPr>
        <w:t>Additionally, several states in the U.S. have begun enacting new data privacy laws. For example, the California Consumer Privacy Act of 2018 (the "CCPA"), which affords consumers expanded privacy protections, went into effect on January 1, 2020. However, certain aspects of the CCPA and its enforcement remain uncertain. Additionally, a new privacy law, the California Privacy Rights Act ("CPRA"), which will go into effect on January 1, 2023, significantly modified the CCPA, potentially resulting in further uncertainty and requiring us to incur additional costs and expenses. The effects of the CCPA and the CPRA remain far-reaching, and depending on final regulatory guidance and other related developments, potentially may require us to modify our data processing practices and policies and to incur substantial costs and expenses in an effort to comply. The enactment of the CCPA has prompted similar legislative developments in other states, such as Virginia, which in March 2021 enacted a Consumer Data Protection Act that will go into effect January 1, 2023, and Colorado, which in June 2021 enacted a Colorado Privacy Act that will go into effect July 1, 2023. Similar laws are being considered by other state legislatures. These developments create the potential for a patchwork of overlapping but different state laws. Similarly, a number of legislative proposals in the European Union, the United States, at both the federal and state level, as well as other jurisdictions could impose new obligations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209"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Furthermore, the costs of compliance with, and other burdens imposed by, the laws, regulations, and policies that are applicable to the businesses of our users may limit the adoption and use of, and reduce the overall demand for, our services.</w:t>
      </w:r>
    </w:p>
    <w:p>
      <w:pPr>
        <w:spacing w:after="0" w:line="185" w:lineRule="exact"/>
        <w:rPr>
          <w:sz w:val="20"/>
          <w:szCs w:val="20"/>
          <w:color w:val="auto"/>
        </w:rPr>
      </w:pPr>
    </w:p>
    <w:p>
      <w:pPr>
        <w:ind w:right="80" w:firstLine="391"/>
        <w:spacing w:after="0" w:line="262" w:lineRule="auto"/>
        <w:rPr>
          <w:sz w:val="20"/>
          <w:szCs w:val="20"/>
          <w:color w:val="auto"/>
        </w:rPr>
      </w:pPr>
      <w:r>
        <w:rPr>
          <w:rFonts w:ascii="Arial" w:cs="Arial" w:eastAsia="Arial" w:hAnsi="Arial"/>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adversely impacted by changes in internet access for our users or laws specifically governing the internet.</w:t>
      </w:r>
    </w:p>
    <w:p>
      <w:pPr>
        <w:spacing w:after="0" w:line="247" w:lineRule="exact"/>
        <w:rPr>
          <w:sz w:val="20"/>
          <w:szCs w:val="20"/>
          <w:color w:val="auto"/>
        </w:rPr>
      </w:pPr>
    </w:p>
    <w:p>
      <w:pPr>
        <w:ind w:right="120" w:firstLine="391"/>
        <w:spacing w:after="0" w:line="266" w:lineRule="auto"/>
        <w:rPr>
          <w:sz w:val="20"/>
          <w:szCs w:val="20"/>
          <w:color w:val="auto"/>
        </w:rPr>
      </w:pPr>
      <w:r>
        <w:rPr>
          <w:rFonts w:ascii="Arial" w:cs="Arial" w:eastAsia="Arial" w:hAnsi="Arial"/>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201" w:lineRule="exact"/>
        <w:rPr>
          <w:sz w:val="20"/>
          <w:szCs w:val="20"/>
          <w:color w:val="auto"/>
        </w:rPr>
      </w:pPr>
    </w:p>
    <w:p>
      <w:pPr>
        <w:ind w:left="1260" w:hanging="318"/>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implement usage-based pricing;</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discount pricing for competitive products;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otherwise materially change their pricing rates or schemes;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charge us to deliver our traffic at certain levels or at all;</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throttle traffic based on its source or type;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implement bandwidth caps or other usage restrictions; or</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otherwise try to monetize or control access to their networks.</w:t>
      </w:r>
    </w:p>
    <w:p>
      <w:pPr>
        <w:spacing w:after="0" w:line="25"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97"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9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85" w:lineRule="exact"/>
        <w:rPr>
          <w:sz w:val="20"/>
          <w:szCs w:val="20"/>
          <w:color w:val="auto"/>
        </w:rPr>
      </w:pPr>
    </w:p>
    <w:p>
      <w:pPr>
        <w:ind w:right="520" w:firstLine="391"/>
        <w:spacing w:after="0" w:line="286" w:lineRule="auto"/>
        <w:rPr>
          <w:sz w:val="20"/>
          <w:szCs w:val="20"/>
          <w:color w:val="auto"/>
        </w:rPr>
      </w:pPr>
      <w:r>
        <w:rPr>
          <w:rFonts w:ascii="Arial" w:cs="Arial" w:eastAsia="Arial" w:hAnsi="Arial"/>
          <w:sz w:val="17"/>
          <w:szCs w:val="17"/>
          <w:color w:val="auto"/>
        </w:rPr>
        <w:t>We own a large number of patents, copyrights, trademarks, domain names, and trade secrets and, from time to time, are subject to litigation based on allegations of infringement, misappropriation or other violations of intellectual property, or other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transactions involving our securities and our platform.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47" w:lineRule="exact"/>
        <w:rPr>
          <w:sz w:val="20"/>
          <w:szCs w:val="20"/>
          <w:color w:val="auto"/>
        </w:rPr>
      </w:pPr>
    </w:p>
    <w:p>
      <w:pPr>
        <w:ind w:firstLine="391"/>
        <w:spacing w:after="0" w:line="295" w:lineRule="auto"/>
        <w:rPr>
          <w:sz w:val="20"/>
          <w:szCs w:val="20"/>
          <w:color w:val="auto"/>
        </w:rPr>
      </w:pPr>
      <w:r>
        <w:rPr>
          <w:rFonts w:ascii="Arial" w:cs="Arial" w:eastAsia="Arial" w:hAnsi="Arial"/>
          <w:sz w:val="15"/>
          <w:szCs w:val="15"/>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1,200 issued patents and more than 450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Class A common stock may be volatile, and you could lose all or part of your investment.</w:t>
      </w:r>
    </w:p>
    <w:p>
      <w:pPr>
        <w:spacing w:after="0" w:line="247" w:lineRule="exact"/>
        <w:rPr>
          <w:sz w:val="20"/>
          <w:szCs w:val="20"/>
          <w:color w:val="auto"/>
        </w:rPr>
      </w:pPr>
    </w:p>
    <w:p>
      <w:pPr>
        <w:ind w:right="460" w:firstLine="391"/>
        <w:spacing w:after="0" w:line="286"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85" w:lineRule="exact"/>
        <w:rPr>
          <w:sz w:val="20"/>
          <w:szCs w:val="20"/>
          <w:color w:val="auto"/>
        </w:rPr>
      </w:pPr>
    </w:p>
    <w:p>
      <w:pPr>
        <w:ind w:left="1260" w:hanging="318"/>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technology stocks;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technology companies generally, or those in our industry in particular;</w:t>
      </w:r>
    </w:p>
    <w:p>
      <w:pPr>
        <w:spacing w:after="0" w:line="270" w:lineRule="exact"/>
        <w:rPr>
          <w:rFonts w:ascii="Arial" w:cs="Arial" w:eastAsia="Arial" w:hAnsi="Arial"/>
          <w:sz w:val="15"/>
          <w:szCs w:val="15"/>
          <w:color w:val="auto"/>
        </w:rPr>
      </w:pPr>
    </w:p>
    <w:p>
      <w:pPr>
        <w:ind w:left="1260" w:hanging="318"/>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sales of shares of our Class A common stock by us or our stockholders;</w:t>
      </w:r>
    </w:p>
    <w:p>
      <w:pPr>
        <w:spacing w:after="0" w:line="247" w:lineRule="exact"/>
        <w:rPr>
          <w:rFonts w:ascii="Arial" w:cs="Arial" w:eastAsia="Arial" w:hAnsi="Arial"/>
          <w:sz w:val="17"/>
          <w:szCs w:val="17"/>
          <w:color w:val="auto"/>
        </w:rPr>
      </w:pPr>
    </w:p>
    <w:p>
      <w:pPr>
        <w:ind w:left="1260" w:right="180" w:hanging="318"/>
        <w:spacing w:after="0" w:line="286" w:lineRule="auto"/>
        <w:tabs>
          <w:tab w:leader="none" w:pos="12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changes in our key metrics;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perceived breaches of, or failures related to, privacy, data protection or data security;</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247" w:lineRule="exact"/>
        <w:rPr>
          <w:rFonts w:ascii="Arial" w:cs="Arial" w:eastAsia="Arial" w:hAnsi="Arial"/>
          <w:sz w:val="17"/>
          <w:szCs w:val="17"/>
          <w:color w:val="auto"/>
        </w:rPr>
      </w:pPr>
    </w:p>
    <w:p>
      <w:pPr>
        <w:ind w:left="1260" w:hanging="318"/>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significant change in our management; and</w:t>
      </w:r>
    </w:p>
    <w:p>
      <w:pPr>
        <w:spacing w:after="0" w:line="247" w:lineRule="exact"/>
        <w:rPr>
          <w:rFonts w:ascii="Arial" w:cs="Arial" w:eastAsia="Arial" w:hAnsi="Arial"/>
          <w:sz w:val="17"/>
          <w:szCs w:val="17"/>
          <w:color w:val="auto"/>
        </w:rPr>
      </w:pPr>
    </w:p>
    <w:p>
      <w:pPr>
        <w:ind w:left="1260" w:right="120" w:hanging="318"/>
        <w:spacing w:after="0" w:line="271" w:lineRule="auto"/>
        <w:tabs>
          <w:tab w:leader="none" w:pos="12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 and catastrophic events, including earthquakes, fires, floods, tsunamis, or other weather events, power loss, telecommunications failures, software or hardware malfunctions, cyber-attack, war, or terrorist attacks, and pandemics such as the ongoing COVID-19 pandemic.</w:t>
      </w:r>
    </w:p>
    <w:p>
      <w:pPr>
        <w:spacing w:after="0" w:line="197" w:lineRule="exact"/>
        <w:rPr>
          <w:sz w:val="20"/>
          <w:szCs w:val="20"/>
          <w:color w:val="auto"/>
        </w:rPr>
      </w:pPr>
    </w:p>
    <w:p>
      <w:pPr>
        <w:ind w:right="20" w:firstLine="391"/>
        <w:spacing w:after="0" w:line="306" w:lineRule="auto"/>
        <w:rPr>
          <w:sz w:val="20"/>
          <w:szCs w:val="20"/>
          <w:color w:val="auto"/>
        </w:rPr>
      </w:pPr>
      <w:r>
        <w:rPr>
          <w:rFonts w:ascii="Arial" w:cs="Arial" w:eastAsia="Arial" w:hAnsi="Arial"/>
          <w:sz w:val="15"/>
          <w:szCs w:val="15"/>
          <w:color w:val="auto"/>
        </w:rPr>
        <w:t>In addition, in the past, following periods of volatility in the overall market and the market price of a particular company’s securities, securities class action litigation has often been instituted against these companies.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This recent litigation, and any securities litigation that may be instituted against us in the future, could result in substantial costs and a diversion of our management’s attention and resources.</w:t>
      </w:r>
    </w:p>
    <w:p>
      <w:pPr>
        <w:spacing w:after="0" w:line="17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85" w:lineRule="exact"/>
        <w:rPr>
          <w:sz w:val="20"/>
          <w:szCs w:val="20"/>
          <w:color w:val="auto"/>
        </w:rPr>
      </w:pPr>
    </w:p>
    <w:p>
      <w:pPr>
        <w:ind w:firstLine="391"/>
        <w:spacing w:after="0" w:line="299" w:lineRule="auto"/>
        <w:rPr>
          <w:sz w:val="20"/>
          <w:szCs w:val="20"/>
          <w:color w:val="auto"/>
        </w:rPr>
      </w:pPr>
      <w:r>
        <w:rPr>
          <w:rFonts w:ascii="Arial" w:cs="Arial" w:eastAsia="Arial" w:hAnsi="Arial"/>
          <w:sz w:val="15"/>
          <w:szCs w:val="15"/>
          <w:color w:val="auto"/>
        </w:rPr>
        <w:t>Our Class A common stock has one vote per share, our Class B common stock has ten votes per share, and our Class C common stock has no voting rights, except as otherwise required by law. As of September 30, 2021, our directors, executive officers and holders of more than 5% of our common stock, and their respective affiliates, held in the aggregate 78.1% of the voting power of our capital stock, with Mr. Houston holding approximately 72.2% of the voting power of our capital stock. We are including Mr. Houston's Co-Founder Grant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9" w:name="page90"/>
    <w:bookmarkEnd w:id="8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201" w:lineRule="exact"/>
        <w:rPr>
          <w:sz w:val="20"/>
          <w:szCs w:val="20"/>
          <w:color w:val="auto"/>
        </w:rPr>
      </w:pPr>
    </w:p>
    <w:p>
      <w:pPr>
        <w:ind w:right="80" w:firstLine="391"/>
        <w:spacing w:after="0" w:line="275" w:lineRule="auto"/>
        <w:rPr>
          <w:sz w:val="20"/>
          <w:szCs w:val="20"/>
          <w:color w:val="auto"/>
        </w:rPr>
      </w:pPr>
      <w:r>
        <w:rPr>
          <w:rFonts w:ascii="Arial" w:cs="Arial" w:eastAsia="Arial" w:hAnsi="Arial"/>
          <w:sz w:val="16"/>
          <w:szCs w:val="16"/>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203" w:lineRule="exact"/>
        <w:rPr>
          <w:sz w:val="20"/>
          <w:szCs w:val="20"/>
          <w:color w:val="auto"/>
        </w:rPr>
      </w:pPr>
    </w:p>
    <w:p>
      <w:pPr>
        <w:jc w:val="both"/>
        <w:ind w:right="320" w:firstLine="391"/>
        <w:spacing w:after="0" w:line="323" w:lineRule="auto"/>
        <w:rPr>
          <w:sz w:val="20"/>
          <w:szCs w:val="20"/>
          <w:color w:val="auto"/>
        </w:rPr>
      </w:pPr>
      <w:r>
        <w:rPr>
          <w:rFonts w:ascii="Arial" w:cs="Arial" w:eastAsia="Arial" w:hAnsi="Arial"/>
          <w:sz w:val="15"/>
          <w:szCs w:val="15"/>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63" w:lineRule="exact"/>
        <w:rPr>
          <w:sz w:val="20"/>
          <w:szCs w:val="20"/>
          <w:color w:val="auto"/>
        </w:rPr>
      </w:pPr>
    </w:p>
    <w:p>
      <w:pPr>
        <w:ind w:right="20" w:firstLine="391"/>
        <w:spacing w:after="0" w:line="279" w:lineRule="auto"/>
        <w:rPr>
          <w:sz w:val="20"/>
          <w:szCs w:val="20"/>
          <w:color w:val="auto"/>
        </w:rPr>
      </w:pPr>
      <w:r>
        <w:rPr>
          <w:rFonts w:ascii="Arial" w:cs="Arial" w:eastAsia="Arial" w:hAnsi="Arial"/>
          <w:sz w:val="16"/>
          <w:szCs w:val="16"/>
          <w:color w:val="auto"/>
        </w:rPr>
        <w:t>Additionally,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Although we have since met the requirements to be included, and are now included, in an FTSE Russell index, our multi-class capital structure still makes us ineligible for inclusion in any of the above listed S&amp;P indices, and as a result, mutual funds, exchange-traded funds, and other investment vehicles that attempt to passively track these S&amp;P indices will not be investing in our stock. It is as of yet unclear what effect, if any, these policies will have on the valuations of publicly traded companies excluded from one or more of these indices, but it is possible that they may depress these valuations compared to those of other similar companies that are included.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could depress the market price of our Class A common stock.</w:t>
      </w:r>
    </w:p>
    <w:p>
      <w:pPr>
        <w:spacing w:after="0" w:line="247" w:lineRule="exact"/>
        <w:rPr>
          <w:sz w:val="20"/>
          <w:szCs w:val="20"/>
          <w:color w:val="auto"/>
        </w:rPr>
      </w:pPr>
    </w:p>
    <w:p>
      <w:pPr>
        <w:ind w:right="300" w:firstLine="391"/>
        <w:spacing w:after="0" w:line="286" w:lineRule="auto"/>
        <w:rPr>
          <w:sz w:val="20"/>
          <w:szCs w:val="20"/>
          <w:color w:val="auto"/>
        </w:rPr>
      </w:pPr>
      <w:r>
        <w:rPr>
          <w:rFonts w:ascii="Arial" w:cs="Arial" w:eastAsia="Arial" w:hAnsi="Arial"/>
          <w:sz w:val="17"/>
          <w:szCs w:val="17"/>
          <w:color w:val="auto"/>
        </w:rPr>
        <w:t>The market price of our Class A common stock could decline as a result of a large number of sales of shares of such stock, and the perception that these sales could occur may also depress the market price of our Class A common stock.</w:t>
      </w:r>
    </w:p>
    <w:p>
      <w:pPr>
        <w:spacing w:after="0" w:line="185" w:lineRule="exact"/>
        <w:rPr>
          <w:sz w:val="20"/>
          <w:szCs w:val="20"/>
          <w:color w:val="auto"/>
        </w:rPr>
      </w:pPr>
    </w:p>
    <w:p>
      <w:pPr>
        <w:ind w:right="80" w:firstLine="391"/>
        <w:spacing w:after="0" w:line="271" w:lineRule="auto"/>
        <w:rPr>
          <w:sz w:val="20"/>
          <w:szCs w:val="20"/>
          <w:color w:val="auto"/>
        </w:rPr>
      </w:pPr>
      <w:r>
        <w:rPr>
          <w:rFonts w:ascii="Arial" w:cs="Arial" w:eastAsia="Arial" w:hAnsi="Arial"/>
          <w:sz w:val="17"/>
          <w:szCs w:val="17"/>
          <w:color w:val="auto"/>
        </w:rPr>
        <w:t>In addition, we have filed registration statements to register shares reserved for future issuance under our equity compensation plans. As a result, subject to the satisfaction of applicable exercise periods, the shares issued upon exercise of outstanding stock options or upon settlement of outstanding RSU awards are available for immediate resale in the United States in the open market.</w:t>
      </w:r>
    </w:p>
    <w:p>
      <w:pPr>
        <w:spacing w:after="0" w:line="197" w:lineRule="exact"/>
        <w:rPr>
          <w:sz w:val="20"/>
          <w:szCs w:val="20"/>
          <w:color w:val="auto"/>
        </w:rPr>
      </w:pPr>
    </w:p>
    <w:p>
      <w:pPr>
        <w:ind w:right="40" w:firstLine="391"/>
        <w:spacing w:after="0" w:line="319"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Transactions relating to our 2026 Notes and 2028 Notes may dilute the ownership interest of stockholders, or may otherwise depress the price of our common stock.</w:t>
      </w:r>
    </w:p>
    <w:p>
      <w:pPr>
        <w:spacing w:after="0" w:line="185" w:lineRule="exact"/>
        <w:rPr>
          <w:sz w:val="20"/>
          <w:szCs w:val="20"/>
          <w:color w:val="auto"/>
        </w:rPr>
      </w:pPr>
    </w:p>
    <w:p>
      <w:pPr>
        <w:ind w:right="20" w:firstLine="391"/>
        <w:spacing w:after="0" w:line="287" w:lineRule="auto"/>
        <w:rPr>
          <w:sz w:val="20"/>
          <w:szCs w:val="20"/>
          <w:color w:val="auto"/>
        </w:rPr>
      </w:pPr>
      <w:r>
        <w:rPr>
          <w:rFonts w:ascii="Arial" w:cs="Arial" w:eastAsia="Arial" w:hAnsi="Arial"/>
          <w:sz w:val="16"/>
          <w:szCs w:val="16"/>
          <w:color w:val="auto"/>
        </w:rPr>
        <w:t>If the 2026 Notes or the 2028 Notes are converted by holders of such series, we have the ability under the applicable indenture to deliver cash, common stock, or any combination of cash or common stock, at our election upon conversion of the applicable series of convertible notes. If we elect to deliver common stock upon conversion of the 2026 Notes or the 2028 Notes, it would dilute the ownership interests of existing stockholders. Any sales in the public market of the Class A common stock issuable upon such conversion could adversely affect prevailing market prices of our Class A common stock. In addition,</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certain holders of the 2026 Notes or the 2028 Notes may engage in short selling to hedge their position in the convertible notes. Anticipated future conversions of the 2026 Notes or 2028 Notes into shares of our Class A common stock could depress the price of our Class A common stock.</w:t>
      </w:r>
    </w:p>
    <w:p>
      <w:pPr>
        <w:spacing w:after="0" w:line="18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85" w:lineRule="exact"/>
        <w:rPr>
          <w:sz w:val="20"/>
          <w:szCs w:val="20"/>
          <w:color w:val="auto"/>
        </w:rPr>
      </w:pPr>
    </w:p>
    <w:p>
      <w:pPr>
        <w:ind w:right="160" w:firstLine="391"/>
        <w:spacing w:after="0" w:line="287"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88" w:lineRule="exact"/>
        <w:rPr>
          <w:sz w:val="20"/>
          <w:szCs w:val="20"/>
          <w:color w:val="auto"/>
        </w:rPr>
      </w:pPr>
    </w:p>
    <w:p>
      <w:pPr>
        <w:ind w:left="1260" w:right="40" w:hanging="318"/>
        <w:spacing w:after="0" w:line="286"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transaction that would result in a change in control of our company requires the approval of a majority of our outstanding Class B common stock voting as a separate class;</w:t>
      </w:r>
    </w:p>
    <w:p>
      <w:pPr>
        <w:spacing w:after="0" w:line="185" w:lineRule="exact"/>
        <w:rPr>
          <w:rFonts w:ascii="Arial" w:cs="Arial" w:eastAsia="Arial" w:hAnsi="Arial"/>
          <w:sz w:val="17"/>
          <w:szCs w:val="17"/>
          <w:color w:val="auto"/>
        </w:rPr>
      </w:pPr>
    </w:p>
    <w:p>
      <w:pPr>
        <w:ind w:left="1260" w:right="80" w:hanging="318"/>
        <w:spacing w:after="0" w:line="271"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97" w:lineRule="exact"/>
        <w:rPr>
          <w:rFonts w:ascii="Arial" w:cs="Arial" w:eastAsia="Arial" w:hAnsi="Arial"/>
          <w:sz w:val="17"/>
          <w:szCs w:val="17"/>
          <w:color w:val="auto"/>
        </w:rPr>
      </w:pPr>
    </w:p>
    <w:p>
      <w:pPr>
        <w:jc w:val="both"/>
        <w:ind w:left="1260" w:right="280" w:hanging="318"/>
        <w:spacing w:after="0" w:line="271"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97" w:lineRule="exact"/>
        <w:rPr>
          <w:rFonts w:ascii="Arial" w:cs="Arial" w:eastAsia="Arial" w:hAnsi="Arial"/>
          <w:sz w:val="17"/>
          <w:szCs w:val="17"/>
          <w:color w:val="auto"/>
        </w:rPr>
      </w:pPr>
    </w:p>
    <w:p>
      <w:pPr>
        <w:ind w:left="1260" w:right="40" w:hanging="318"/>
        <w:spacing w:after="0" w:line="287" w:lineRule="auto"/>
        <w:tabs>
          <w:tab w:leader="none" w:pos="12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87" w:lineRule="exact"/>
        <w:rPr>
          <w:rFonts w:ascii="Arial" w:cs="Arial" w:eastAsia="Arial" w:hAnsi="Arial"/>
          <w:sz w:val="16"/>
          <w:szCs w:val="16"/>
          <w:color w:val="auto"/>
        </w:rPr>
      </w:pPr>
    </w:p>
    <w:p>
      <w:pPr>
        <w:ind w:left="1260" w:right="320" w:hanging="318"/>
        <w:spacing w:after="0" w:line="286"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185" w:lineRule="exact"/>
        <w:rPr>
          <w:rFonts w:ascii="Arial" w:cs="Arial" w:eastAsia="Arial" w:hAnsi="Arial"/>
          <w:sz w:val="17"/>
          <w:szCs w:val="17"/>
          <w:color w:val="auto"/>
        </w:rPr>
      </w:pPr>
    </w:p>
    <w:p>
      <w:pPr>
        <w:ind w:left="1260" w:right="440" w:hanging="318"/>
        <w:spacing w:after="0" w:line="286"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after the Voting Threshold Date our stockholders will only be able to take action at a meeting of stockholders, and will not be able to take action by written consent for any matter;</w:t>
      </w:r>
    </w:p>
    <w:p>
      <w:pPr>
        <w:spacing w:after="0" w:line="185" w:lineRule="exact"/>
        <w:rPr>
          <w:rFonts w:ascii="Arial" w:cs="Arial" w:eastAsia="Arial" w:hAnsi="Arial"/>
          <w:sz w:val="17"/>
          <w:szCs w:val="17"/>
          <w:color w:val="auto"/>
        </w:rPr>
      </w:pPr>
    </w:p>
    <w:p>
      <w:pPr>
        <w:ind w:left="1260" w:right="120" w:hanging="318"/>
        <w:spacing w:after="0" w:line="286"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until the Voting Threshold Date, our stockholders will be able to act by written consent only if the action is first recommended or approved by the Board of Directors;</w:t>
      </w:r>
    </w:p>
    <w:p>
      <w:pPr>
        <w:spacing w:after="0" w:line="185" w:lineRule="exact"/>
        <w:rPr>
          <w:rFonts w:ascii="Arial" w:cs="Arial" w:eastAsia="Arial" w:hAnsi="Arial"/>
          <w:sz w:val="17"/>
          <w:szCs w:val="17"/>
          <w:color w:val="auto"/>
        </w:rPr>
      </w:pPr>
    </w:p>
    <w:p>
      <w:pPr>
        <w:ind w:left="1260" w:hanging="318"/>
        <w:spacing w:after="0"/>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vacancies on our Board of Directors will be able to be filled only by our Board of Directors and not by stockholders;</w:t>
      </w:r>
    </w:p>
    <w:p>
      <w:pPr>
        <w:spacing w:after="0" w:line="247" w:lineRule="exact"/>
        <w:rPr>
          <w:rFonts w:ascii="Arial" w:cs="Arial" w:eastAsia="Arial" w:hAnsi="Arial"/>
          <w:sz w:val="17"/>
          <w:szCs w:val="17"/>
          <w:color w:val="auto"/>
        </w:rPr>
      </w:pPr>
    </w:p>
    <w:p>
      <w:pPr>
        <w:jc w:val="both"/>
        <w:ind w:left="1260" w:right="300" w:hanging="318"/>
        <w:spacing w:after="0" w:line="271"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97" w:lineRule="exact"/>
        <w:rPr>
          <w:rFonts w:ascii="Arial" w:cs="Arial" w:eastAsia="Arial" w:hAnsi="Arial"/>
          <w:sz w:val="17"/>
          <w:szCs w:val="17"/>
          <w:color w:val="auto"/>
        </w:rPr>
      </w:pPr>
    </w:p>
    <w:p>
      <w:pPr>
        <w:ind w:left="1260" w:hanging="318"/>
        <w:spacing w:after="0"/>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certain litigation against us may be required to be brought in Delaware;</w:t>
      </w:r>
    </w:p>
    <w:p>
      <w:pPr>
        <w:spacing w:after="0" w:line="247" w:lineRule="exact"/>
        <w:rPr>
          <w:rFonts w:ascii="Arial" w:cs="Arial" w:eastAsia="Arial" w:hAnsi="Arial"/>
          <w:sz w:val="17"/>
          <w:szCs w:val="17"/>
          <w:color w:val="auto"/>
        </w:rPr>
      </w:pPr>
    </w:p>
    <w:p>
      <w:pPr>
        <w:ind w:left="1260" w:right="300" w:hanging="318"/>
        <w:spacing w:after="0" w:line="286"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85" w:lineRule="exact"/>
        <w:rPr>
          <w:rFonts w:ascii="Arial" w:cs="Arial" w:eastAsia="Arial" w:hAnsi="Arial"/>
          <w:sz w:val="17"/>
          <w:szCs w:val="17"/>
          <w:color w:val="auto"/>
        </w:rPr>
      </w:pPr>
    </w:p>
    <w:p>
      <w:pPr>
        <w:ind w:left="1260" w:right="100" w:hanging="318"/>
        <w:spacing w:after="0" w:line="286"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60" w:firstLine="391"/>
        <w:spacing w:after="0" w:line="266"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201"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204" w:lineRule="exact"/>
        <w:rPr>
          <w:sz w:val="20"/>
          <w:szCs w:val="20"/>
          <w:color w:val="auto"/>
        </w:rPr>
      </w:pPr>
    </w:p>
    <w:p>
      <w:pPr>
        <w:ind w:right="60" w:firstLine="391"/>
        <w:spacing w:after="0" w:line="286" w:lineRule="auto"/>
        <w:rPr>
          <w:sz w:val="20"/>
          <w:szCs w:val="20"/>
          <w:color w:val="auto"/>
        </w:rPr>
      </w:pPr>
      <w:r>
        <w:rPr>
          <w:rFonts w:ascii="Arial" w:cs="Arial" w:eastAsia="Arial" w:hAnsi="Arial"/>
          <w:sz w:val="17"/>
          <w:szCs w:val="17"/>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85" w:lineRule="exact"/>
        <w:rPr>
          <w:sz w:val="20"/>
          <w:szCs w:val="20"/>
          <w:color w:val="auto"/>
        </w:rPr>
      </w:pPr>
    </w:p>
    <w:p>
      <w:pPr>
        <w:ind w:right="400" w:firstLine="391"/>
        <w:spacing w:after="0" w:line="295"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81" w:lineRule="exact"/>
        <w:rPr>
          <w:sz w:val="20"/>
          <w:szCs w:val="20"/>
          <w:color w:val="auto"/>
        </w:rPr>
      </w:pPr>
    </w:p>
    <w:p>
      <w:pPr>
        <w:ind w:right="540" w:firstLine="391"/>
        <w:spacing w:after="0" w:line="286" w:lineRule="auto"/>
        <w:rPr>
          <w:sz w:val="20"/>
          <w:szCs w:val="20"/>
          <w:color w:val="auto"/>
        </w:rPr>
      </w:pPr>
      <w:r>
        <w:rPr>
          <w:rFonts w:ascii="Arial" w:cs="Arial" w:eastAsia="Arial" w:hAnsi="Arial"/>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guarantee that our stock repurchase program will be fully implemented or that it will enhance long-term stockholder value.</w:t>
      </w:r>
    </w:p>
    <w:p>
      <w:pPr>
        <w:spacing w:after="0" w:line="247" w:lineRule="exact"/>
        <w:rPr>
          <w:sz w:val="20"/>
          <w:szCs w:val="20"/>
          <w:color w:val="auto"/>
        </w:rPr>
      </w:pPr>
    </w:p>
    <w:p>
      <w:pPr>
        <w:ind w:firstLine="391"/>
        <w:spacing w:after="0" w:line="259" w:lineRule="auto"/>
        <w:rPr>
          <w:sz w:val="20"/>
          <w:szCs w:val="20"/>
          <w:color w:val="auto"/>
        </w:rPr>
      </w:pPr>
      <w:r>
        <w:rPr>
          <w:rFonts w:ascii="Arial" w:cs="Arial" w:eastAsia="Arial" w:hAnsi="Arial"/>
          <w:sz w:val="17"/>
          <w:szCs w:val="17"/>
          <w:color w:val="auto"/>
        </w:rPr>
        <w:t>In February 2020, our Board of Directors approved a stock repurchase program for the repurchase of up to $600 million of the outstanding shares of our Class A common stock, and in February 2021 our Board of Directors authorized the repurchase of up to an additional $1 billion of the outstanding shares of our Class A common stock. The repurchase program does not have an expiration date and we are not obligated to repurchase a specified number or dollar value of shares. Share repurchases will be made from time to time in private transactions or open market purchases, as permitted by securities laws and other legal requirements. Although we have previously announced an intention to increase the pace of our share repurchases, any share repurchases remain subject to the circumstances in place at that time, including prevailing market prices. As a result, there can be no guarantee around the timing of our share repurchases, or that the volume of such repurchases will increase.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247" w:lineRule="exact"/>
        <w:rPr>
          <w:sz w:val="20"/>
          <w:szCs w:val="20"/>
          <w:color w:val="auto"/>
        </w:rPr>
      </w:pPr>
    </w:p>
    <w:p>
      <w:pPr>
        <w:ind w:right="260" w:firstLine="391"/>
        <w:spacing w:after="0" w:line="266"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2" w:name="page93"/>
    <w:bookmarkEnd w:id="9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Risk Factors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disrupted by catastrophic events.</w:t>
      </w:r>
    </w:p>
    <w:p>
      <w:pPr>
        <w:spacing w:after="0" w:line="247" w:lineRule="exact"/>
        <w:rPr>
          <w:sz w:val="20"/>
          <w:szCs w:val="20"/>
          <w:color w:val="auto"/>
        </w:rPr>
      </w:pPr>
    </w:p>
    <w:p>
      <w:pPr>
        <w:ind w:right="40" w:firstLine="391"/>
        <w:spacing w:after="0" w:line="262" w:lineRule="auto"/>
        <w:rPr>
          <w:sz w:val="20"/>
          <w:szCs w:val="20"/>
          <w:color w:val="auto"/>
        </w:rPr>
      </w:pPr>
      <w:r>
        <w:rPr>
          <w:rFonts w:ascii="Arial" w:cs="Arial" w:eastAsia="Arial" w:hAnsi="Arial"/>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such as COVID-19, or the fear of such events, have resulted in responses, including government-imposed travel restrictions, grounding of flights, and shutdown of workplaces. As a result, we are conducting business with substantial modifications, including modifications to employee travel and employee work locations. These modifications may disrupt important business operations, such as our product development and sales and marketing activities, and the productivity of our employees.</w:t>
      </w:r>
    </w:p>
    <w:p>
      <w:pPr>
        <w:spacing w:after="0" w:line="204" w:lineRule="exact"/>
        <w:rPr>
          <w:sz w:val="20"/>
          <w:szCs w:val="20"/>
          <w:color w:val="auto"/>
        </w:rPr>
      </w:pPr>
    </w:p>
    <w:p>
      <w:pPr>
        <w:ind w:right="60" w:firstLine="391"/>
        <w:spacing w:after="0" w:line="279" w:lineRule="auto"/>
        <w:rPr>
          <w:sz w:val="20"/>
          <w:szCs w:val="20"/>
          <w:color w:val="auto"/>
        </w:rPr>
      </w:pPr>
      <w:r>
        <w:rPr>
          <w:rFonts w:ascii="Arial" w:cs="Arial" w:eastAsia="Arial" w:hAnsi="Arial"/>
          <w:sz w:val="16"/>
          <w:szCs w:val="16"/>
          <w:color w:val="auto"/>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exposure to greater than anticipated tax liabilities, which could adversely impact our results of operations.</w:t>
      </w:r>
    </w:p>
    <w:p>
      <w:pPr>
        <w:spacing w:after="0" w:line="247" w:lineRule="exact"/>
        <w:rPr>
          <w:sz w:val="20"/>
          <w:szCs w:val="20"/>
          <w:color w:val="auto"/>
        </w:rPr>
      </w:pPr>
    </w:p>
    <w:p>
      <w:pPr>
        <w:ind w:right="120" w:firstLine="391"/>
        <w:spacing w:after="0" w:line="312" w:lineRule="auto"/>
        <w:rPr>
          <w:sz w:val="20"/>
          <w:szCs w:val="20"/>
          <w:color w:val="auto"/>
        </w:rPr>
      </w:pPr>
      <w:r>
        <w:rPr>
          <w:rFonts w:ascii="Arial" w:cs="Arial" w:eastAsia="Arial" w:hAnsi="Arial"/>
          <w:sz w:val="15"/>
          <w:szCs w:val="15"/>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71"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Our tax provision could also be impacted by changes in accounting principles, changes in U.S. federal, state, or international tax laws applicable to corporate multinationals such as the recent legislation enacted in the United States, other fundamental law changes currently being considered by many countries, and changes in taxing jurisdictions’ administrative interpretations, decisions, policies, and positions. Additionally, the Organization for Economic Co-Operation and Development has released guidance covering various topics, including digital economy, transfer pricing, country-by-country reporting, and definitional changes to permanent establishment that could ultimately impact our tax liabilities.</w:t>
      </w:r>
    </w:p>
    <w:p>
      <w:pPr>
        <w:spacing w:after="0" w:line="205" w:lineRule="exact"/>
        <w:rPr>
          <w:sz w:val="20"/>
          <w:szCs w:val="20"/>
          <w:color w:val="auto"/>
        </w:rPr>
      </w:pPr>
    </w:p>
    <w:p>
      <w:pPr>
        <w:ind w:right="40" w:firstLine="391"/>
        <w:spacing w:after="0" w:line="262" w:lineRule="auto"/>
        <w:rPr>
          <w:sz w:val="20"/>
          <w:szCs w:val="20"/>
          <w:color w:val="auto"/>
        </w:rPr>
      </w:pPr>
      <w:r>
        <w:rPr>
          <w:rFonts w:ascii="Arial" w:cs="Arial" w:eastAsia="Arial" w:hAnsi="Arial"/>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 income-based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204"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5"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1" w:lineRule="exact"/>
        <w:rPr>
          <w:sz w:val="20"/>
          <w:szCs w:val="20"/>
          <w:color w:val="auto"/>
        </w:rPr>
      </w:pPr>
    </w:p>
    <w:p>
      <w:pPr>
        <w:ind w:right="160" w:firstLine="391"/>
        <w:spacing w:after="0" w:line="266"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195" w:lineRule="exact"/>
        <w:rPr>
          <w:sz w:val="20"/>
          <w:szCs w:val="20"/>
          <w:color w:val="auto"/>
        </w:rPr>
      </w:pPr>
    </w:p>
    <w:p>
      <w:pPr>
        <w:ind w:right="40" w:firstLine="391"/>
        <w:spacing w:after="0" w:line="277"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47" w:lineRule="exact"/>
        <w:rPr>
          <w:sz w:val="20"/>
          <w:szCs w:val="20"/>
          <w:color w:val="auto"/>
        </w:rPr>
      </w:pPr>
    </w:p>
    <w:p>
      <w:pPr>
        <w:ind w:right="20" w:firstLine="391"/>
        <w:spacing w:after="0" w:line="263"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247" w:lineRule="exact"/>
        <w:rPr>
          <w:sz w:val="20"/>
          <w:szCs w:val="20"/>
          <w:color w:val="auto"/>
        </w:rPr>
      </w:pPr>
    </w:p>
    <w:p>
      <w:pPr>
        <w:ind w:right="40" w:firstLine="391"/>
        <w:spacing w:after="0" w:line="301" w:lineRule="auto"/>
        <w:rPr>
          <w:sz w:val="20"/>
          <w:szCs w:val="20"/>
          <w:color w:val="auto"/>
        </w:rPr>
      </w:pPr>
      <w:r>
        <w:rPr>
          <w:rFonts w:ascii="Arial" w:cs="Arial" w:eastAsia="Arial" w:hAnsi="Arial"/>
          <w:sz w:val="15"/>
          <w:szCs w:val="15"/>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7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85" w:lineRule="exact"/>
        <w:rPr>
          <w:sz w:val="20"/>
          <w:szCs w:val="20"/>
          <w:color w:val="auto"/>
        </w:rPr>
      </w:pPr>
    </w:p>
    <w:p>
      <w:pPr>
        <w:jc w:val="both"/>
        <w:ind w:firstLine="391"/>
        <w:spacing w:after="0" w:line="287"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260"/>
          </w:cols>
          <w:pgMar w:left="320" w:top="121" w:right="1319" w:bottom="1440" w:gutter="0" w:footer="0" w:header="0"/>
        </w:sectPr>
      </w:pPr>
    </w:p>
    <w:bookmarkStart w:id="95" w:name="page96"/>
    <w:bookmarkEnd w:id="9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UNREGISTERED SALES OF EQUITY SECURITIES AND USE OF PROCEEDS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information with respect to Dropbox's repurchases of Class A common stock during the quarter ended September 30, 2021.</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vMerge w:val="restart"/>
          </w:tcPr>
          <w:p>
            <w:pPr>
              <w:jc w:val="center"/>
              <w:spacing w:after="0"/>
              <w:rPr>
                <w:sz w:val="20"/>
                <w:szCs w:val="20"/>
                <w:color w:val="auto"/>
              </w:rPr>
            </w:pPr>
            <w:r>
              <w:rPr>
                <w:rFonts w:ascii="Arial" w:cs="Arial" w:eastAsia="Arial" w:hAnsi="Arial"/>
                <w:sz w:val="16"/>
                <w:szCs w:val="16"/>
                <w:color w:val="auto"/>
                <w:w w:val="87"/>
              </w:rPr>
              <w:t>Total Number 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jc w:val="center"/>
              <w:ind w:right="59"/>
              <w:spacing w:after="0"/>
              <w:rPr>
                <w:sz w:val="20"/>
                <w:szCs w:val="20"/>
                <w:color w:val="auto"/>
              </w:rPr>
            </w:pPr>
            <w:r>
              <w:rPr>
                <w:rFonts w:ascii="Arial" w:cs="Arial" w:eastAsia="Arial" w:hAnsi="Arial"/>
                <w:sz w:val="16"/>
                <w:szCs w:val="16"/>
                <w:color w:val="auto"/>
                <w:w w:val="92"/>
              </w:rPr>
              <w:t>Approximate Dollar Value of</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9"/>
              <w:spacing w:after="0" w:line="156" w:lineRule="exact"/>
              <w:rPr>
                <w:sz w:val="20"/>
                <w:szCs w:val="20"/>
                <w:color w:val="auto"/>
              </w:rPr>
            </w:pPr>
            <w:r>
              <w:rPr>
                <w:rFonts w:ascii="Arial" w:cs="Arial" w:eastAsia="Arial" w:hAnsi="Arial"/>
                <w:sz w:val="16"/>
                <w:szCs w:val="16"/>
                <w:color w:val="auto"/>
                <w:w w:val="87"/>
              </w:rPr>
              <w:t>Shares that May Yet Be</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vMerge w:val="restart"/>
          </w:tcPr>
          <w:p>
            <w:pPr>
              <w:jc w:val="right"/>
              <w:ind w:right="236"/>
              <w:spacing w:after="0"/>
              <w:rPr>
                <w:sz w:val="20"/>
                <w:szCs w:val="20"/>
                <w:color w:val="auto"/>
              </w:rPr>
            </w:pPr>
            <w:r>
              <w:rPr>
                <w:rFonts w:ascii="Arial" w:cs="Arial" w:eastAsia="Arial" w:hAnsi="Arial"/>
                <w:sz w:val="16"/>
                <w:szCs w:val="16"/>
                <w:color w:val="auto"/>
              </w:rPr>
              <w:t>Total Number of Shares</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spacing w:after="0" w:line="156" w:lineRule="exact"/>
              <w:rPr>
                <w:sz w:val="20"/>
                <w:szCs w:val="20"/>
                <w:color w:val="auto"/>
              </w:rPr>
            </w:pPr>
            <w:r>
              <w:rPr>
                <w:rFonts w:ascii="Arial" w:cs="Arial" w:eastAsia="Arial" w:hAnsi="Arial"/>
                <w:sz w:val="16"/>
                <w:szCs w:val="16"/>
                <w:color w:val="auto"/>
                <w:w w:val="88"/>
              </w:rPr>
              <w:t>Purchased as Part of Publicly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9"/>
              <w:spacing w:after="0" w:line="156" w:lineRule="exact"/>
              <w:rPr>
                <w:sz w:val="20"/>
                <w:szCs w:val="20"/>
                <w:color w:val="auto"/>
              </w:rPr>
            </w:pPr>
            <w:r>
              <w:rPr>
                <w:rFonts w:ascii="Arial" w:cs="Arial" w:eastAsia="Arial" w:hAnsi="Arial"/>
                <w:sz w:val="16"/>
                <w:szCs w:val="16"/>
                <w:color w:val="auto"/>
                <w:w w:val="89"/>
              </w:rPr>
              <w:t>Purchased Under Publicly</w:t>
            </w:r>
          </w:p>
        </w:tc>
        <w:tc>
          <w:tcPr>
            <w:tcW w:w="0" w:type="dxa"/>
            <w:vAlign w:val="bottom"/>
          </w:tcPr>
          <w:p>
            <w:pPr>
              <w:spacing w:after="0"/>
              <w:rPr>
                <w:sz w:val="1"/>
                <w:szCs w:val="1"/>
                <w:color w:val="auto"/>
              </w:rPr>
            </w:pPr>
          </w:p>
        </w:tc>
      </w:tr>
      <w:tr>
        <w:trPr>
          <w:trHeight w:val="156"/>
        </w:trPr>
        <w:tc>
          <w:tcPr>
            <w:tcW w:w="2140" w:type="dxa"/>
            <w:vAlign w:val="bottom"/>
            <w:vMerge w:val="restart"/>
          </w:tcPr>
          <w:p>
            <w:pPr>
              <w:ind w:left="860"/>
              <w:spacing w:after="0"/>
              <w:rPr>
                <w:sz w:val="20"/>
                <w:szCs w:val="20"/>
                <w:color w:val="auto"/>
              </w:rPr>
            </w:pPr>
            <w:r>
              <w:rPr>
                <w:rFonts w:ascii="Arial" w:cs="Arial" w:eastAsia="Arial" w:hAnsi="Arial"/>
                <w:sz w:val="16"/>
                <w:szCs w:val="16"/>
                <w:color w:val="auto"/>
              </w:rPr>
              <w:t>Period</w:t>
            </w:r>
          </w:p>
        </w:tc>
        <w:tc>
          <w:tcPr>
            <w:tcW w:w="100" w:type="dxa"/>
            <w:vAlign w:val="bottom"/>
            <w:vMerge w:val="restart"/>
          </w:tcPr>
          <w:p>
            <w:pPr>
              <w:spacing w:after="0"/>
              <w:rPr>
                <w:sz w:val="13"/>
                <w:szCs w:val="13"/>
                <w:color w:val="auto"/>
              </w:rPr>
            </w:pPr>
          </w:p>
        </w:tc>
        <w:tc>
          <w:tcPr>
            <w:tcW w:w="2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2"/>
            <w:vMerge w:val="restart"/>
          </w:tcPr>
          <w:p>
            <w:pPr>
              <w:jc w:val="right"/>
              <w:ind w:right="13"/>
              <w:spacing w:after="0"/>
              <w:rPr>
                <w:sz w:val="20"/>
                <w:szCs w:val="20"/>
                <w:color w:val="auto"/>
              </w:rPr>
            </w:pPr>
            <w:r>
              <w:rPr>
                <w:rFonts w:ascii="Arial" w:cs="Arial" w:eastAsia="Arial" w:hAnsi="Arial"/>
                <w:sz w:val="16"/>
                <w:szCs w:val="16"/>
                <w:color w:val="auto"/>
                <w:w w:val="88"/>
              </w:rPr>
              <w:t>Average Price Paid per Share</w:t>
            </w:r>
            <w:r>
              <w:rPr>
                <w:rFonts w:ascii="Arial" w:cs="Arial" w:eastAsia="Arial" w:hAnsi="Arial"/>
                <w:sz w:val="20"/>
                <w:szCs w:val="20"/>
                <w:color w:val="auto"/>
                <w:w w:val="88"/>
                <w:vertAlign w:val="superscript"/>
              </w:rPr>
              <w:t>(2)</w:t>
            </w:r>
          </w:p>
        </w:tc>
        <w:tc>
          <w:tcPr>
            <w:tcW w:w="100" w:type="dxa"/>
            <w:vAlign w:val="bottom"/>
            <w:vMerge w:val="restart"/>
          </w:tcPr>
          <w:p>
            <w:pPr>
              <w:spacing w:after="0"/>
              <w:rPr>
                <w:sz w:val="13"/>
                <w:szCs w:val="13"/>
                <w:color w:val="auto"/>
              </w:rPr>
            </w:pPr>
          </w:p>
        </w:tc>
        <w:tc>
          <w:tcPr>
            <w:tcW w:w="2160" w:type="dxa"/>
            <w:vAlign w:val="bottom"/>
          </w:tcPr>
          <w:p>
            <w:pPr>
              <w:jc w:val="center"/>
              <w:spacing w:after="0" w:line="156" w:lineRule="exact"/>
              <w:rPr>
                <w:sz w:val="20"/>
                <w:szCs w:val="20"/>
                <w:color w:val="auto"/>
              </w:rPr>
            </w:pPr>
            <w:r>
              <w:rPr>
                <w:rFonts w:ascii="Arial" w:cs="Arial" w:eastAsia="Arial" w:hAnsi="Arial"/>
                <w:sz w:val="16"/>
                <w:szCs w:val="16"/>
                <w:color w:val="auto"/>
                <w:w w:val="87"/>
              </w:rPr>
              <w:t>Announced Programs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9"/>
              <w:spacing w:after="0" w:line="156" w:lineRule="exact"/>
              <w:rPr>
                <w:sz w:val="20"/>
                <w:szCs w:val="20"/>
                <w:color w:val="auto"/>
              </w:rPr>
            </w:pPr>
            <w:r>
              <w:rPr>
                <w:rFonts w:ascii="Arial" w:cs="Arial" w:eastAsia="Arial" w:hAnsi="Arial"/>
                <w:sz w:val="16"/>
                <w:szCs w:val="16"/>
                <w:color w:val="auto"/>
                <w:w w:val="87"/>
              </w:rPr>
              <w:t>Announced Programs</w:t>
            </w:r>
          </w:p>
        </w:tc>
        <w:tc>
          <w:tcPr>
            <w:tcW w:w="0" w:type="dxa"/>
            <w:vAlign w:val="bottom"/>
          </w:tcPr>
          <w:p>
            <w:pPr>
              <w:spacing w:after="0"/>
              <w:rPr>
                <w:sz w:val="1"/>
                <w:szCs w:val="1"/>
                <w:color w:val="auto"/>
              </w:rPr>
            </w:pPr>
          </w:p>
        </w:tc>
      </w:tr>
      <w:tr>
        <w:trPr>
          <w:trHeight w:val="205"/>
        </w:trPr>
        <w:tc>
          <w:tcPr>
            <w:tcW w:w="21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140" w:type="dxa"/>
            <w:vAlign w:val="bottom"/>
            <w:tcBorders>
              <w:bottom w:val="single" w:sz="8" w:color="auto"/>
            </w:tcBorders>
          </w:tcPr>
          <w:p>
            <w:pPr>
              <w:jc w:val="right"/>
              <w:ind w:right="196"/>
              <w:spacing w:after="0" w:line="206" w:lineRule="exact"/>
              <w:rPr>
                <w:sz w:val="20"/>
                <w:szCs w:val="20"/>
                <w:color w:val="auto"/>
              </w:rPr>
            </w:pPr>
            <w:r>
              <w:rPr>
                <w:rFonts w:ascii="Arial" w:cs="Arial" w:eastAsia="Arial" w:hAnsi="Arial"/>
                <w:sz w:val="16"/>
                <w:szCs w:val="16"/>
                <w:color w:val="auto"/>
              </w:rPr>
              <w:t>Purchased (in millions)</w:t>
            </w:r>
            <w:r>
              <w:rPr>
                <w:rFonts w:ascii="Arial" w:cs="Arial" w:eastAsia="Arial" w:hAnsi="Arial"/>
                <w:sz w:val="20"/>
                <w:szCs w:val="20"/>
                <w:color w:val="auto"/>
                <w:vertAlign w:val="superscript"/>
              </w:rPr>
              <w:t>(1)</w:t>
            </w:r>
          </w:p>
        </w:tc>
        <w:tc>
          <w:tcPr>
            <w:tcW w:w="100" w:type="dxa"/>
            <w:vAlign w:val="bottom"/>
          </w:tcPr>
          <w:p>
            <w:pPr>
              <w:spacing w:after="0"/>
              <w:rPr>
                <w:sz w:val="17"/>
                <w:szCs w:val="17"/>
                <w:color w:val="auto"/>
              </w:rPr>
            </w:pPr>
          </w:p>
        </w:tc>
        <w:tc>
          <w:tcPr>
            <w:tcW w:w="2140" w:type="dxa"/>
            <w:vAlign w:val="bottom"/>
            <w:tcBorders>
              <w:bottom w:val="single" w:sz="8" w:color="auto"/>
            </w:tcBorders>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16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6"/>
                <w:szCs w:val="16"/>
                <w:color w:val="auto"/>
                <w:w w:val="90"/>
              </w:rPr>
              <w:t>(in millions)</w:t>
            </w:r>
            <w:r>
              <w:rPr>
                <w:rFonts w:ascii="Arial" w:cs="Arial" w:eastAsia="Arial" w:hAnsi="Arial"/>
                <w:sz w:val="20"/>
                <w:szCs w:val="20"/>
                <w:color w:val="auto"/>
                <w:w w:val="90"/>
                <w:vertAlign w:val="superscript"/>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79"/>
              <w:spacing w:after="0" w:line="206" w:lineRule="exact"/>
              <w:rPr>
                <w:sz w:val="20"/>
                <w:szCs w:val="20"/>
                <w:color w:val="auto"/>
              </w:rPr>
            </w:pPr>
            <w:r>
              <w:rPr>
                <w:rFonts w:ascii="Arial" w:cs="Arial" w:eastAsia="Arial" w:hAnsi="Arial"/>
                <w:sz w:val="16"/>
                <w:szCs w:val="16"/>
                <w:color w:val="auto"/>
                <w:w w:val="92"/>
              </w:rPr>
              <w:t>(in millions)</w:t>
            </w:r>
            <w:r>
              <w:rPr>
                <w:rFonts w:ascii="Arial" w:cs="Arial" w:eastAsia="Arial" w:hAnsi="Arial"/>
                <w:sz w:val="20"/>
                <w:szCs w:val="20"/>
                <w:color w:val="auto"/>
                <w:w w:val="92"/>
                <w:vertAlign w:val="superscript"/>
              </w:rPr>
              <w:t>(1)</w:t>
            </w:r>
          </w:p>
        </w:tc>
        <w:tc>
          <w:tcPr>
            <w:tcW w:w="0" w:type="dxa"/>
            <w:vAlign w:val="bottom"/>
          </w:tcPr>
          <w:p>
            <w:pPr>
              <w:spacing w:after="0"/>
              <w:rPr>
                <w:sz w:val="1"/>
                <w:szCs w:val="1"/>
                <w:color w:val="auto"/>
              </w:rPr>
            </w:pPr>
          </w:p>
        </w:tc>
      </w:tr>
      <w:tr>
        <w:trPr>
          <w:trHeight w:val="214"/>
        </w:trPr>
        <w:tc>
          <w:tcPr>
            <w:tcW w:w="2240" w:type="dxa"/>
            <w:vAlign w:val="bottom"/>
            <w:gridSpan w:val="2"/>
          </w:tcPr>
          <w:p>
            <w:pPr>
              <w:spacing w:after="0"/>
              <w:rPr>
                <w:sz w:val="20"/>
                <w:szCs w:val="20"/>
                <w:color w:val="auto"/>
              </w:rPr>
            </w:pPr>
            <w:r>
              <w:rPr>
                <w:rFonts w:ascii="Arial" w:cs="Arial" w:eastAsia="Arial" w:hAnsi="Arial"/>
                <w:sz w:val="17"/>
                <w:szCs w:val="17"/>
                <w:color w:val="auto"/>
              </w:rPr>
              <w:t>July 1 - 31</w:t>
            </w:r>
          </w:p>
        </w:tc>
        <w:tc>
          <w:tcPr>
            <w:tcW w:w="2140" w:type="dxa"/>
            <w:vAlign w:val="bottom"/>
          </w:tcPr>
          <w:p>
            <w:pPr>
              <w:jc w:val="right"/>
              <w:spacing w:after="0"/>
              <w:rPr>
                <w:sz w:val="20"/>
                <w:szCs w:val="20"/>
                <w:color w:val="auto"/>
              </w:rPr>
            </w:pPr>
            <w:r>
              <w:rPr>
                <w:rFonts w:ascii="Arial" w:cs="Arial" w:eastAsia="Arial" w:hAnsi="Arial"/>
                <w:sz w:val="17"/>
                <w:szCs w:val="17"/>
                <w:color w:val="auto"/>
              </w:rPr>
              <w:t>1.03</w:t>
            </w:r>
          </w:p>
        </w:tc>
        <w:tc>
          <w:tcPr>
            <w:tcW w:w="1000" w:type="dxa"/>
            <w:vAlign w:val="bottom"/>
            <w:gridSpan w:val="2"/>
          </w:tcPr>
          <w:p>
            <w:pPr>
              <w:jc w:val="right"/>
              <w:ind w:right="722"/>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30.67</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1.03</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787.96</w:t>
            </w:r>
          </w:p>
        </w:tc>
        <w:tc>
          <w:tcPr>
            <w:tcW w:w="0" w:type="dxa"/>
            <w:vAlign w:val="bottom"/>
          </w:tcPr>
          <w:p>
            <w:pPr>
              <w:spacing w:after="0"/>
              <w:rPr>
                <w:sz w:val="1"/>
                <w:szCs w:val="1"/>
                <w:color w:val="auto"/>
              </w:rPr>
            </w:pPr>
          </w:p>
        </w:tc>
      </w:tr>
      <w:tr>
        <w:trPr>
          <w:trHeight w:val="221"/>
        </w:trPr>
        <w:tc>
          <w:tcPr>
            <w:tcW w:w="2240" w:type="dxa"/>
            <w:vAlign w:val="bottom"/>
            <w:gridSpan w:val="2"/>
          </w:tcPr>
          <w:p>
            <w:pPr>
              <w:spacing w:after="0"/>
              <w:rPr>
                <w:sz w:val="20"/>
                <w:szCs w:val="20"/>
                <w:color w:val="auto"/>
              </w:rPr>
            </w:pPr>
            <w:r>
              <w:rPr>
                <w:rFonts w:ascii="Arial" w:cs="Arial" w:eastAsia="Arial" w:hAnsi="Arial"/>
                <w:sz w:val="17"/>
                <w:szCs w:val="17"/>
                <w:color w:val="auto"/>
              </w:rPr>
              <w:t>August 1 - 31</w:t>
            </w:r>
          </w:p>
        </w:tc>
        <w:tc>
          <w:tcPr>
            <w:tcW w:w="2140" w:type="dxa"/>
            <w:vAlign w:val="bottom"/>
          </w:tcPr>
          <w:p>
            <w:pPr>
              <w:jc w:val="right"/>
              <w:spacing w:after="0"/>
              <w:rPr>
                <w:sz w:val="20"/>
                <w:szCs w:val="20"/>
                <w:color w:val="auto"/>
              </w:rPr>
            </w:pPr>
            <w:r>
              <w:rPr>
                <w:rFonts w:ascii="Arial" w:cs="Arial" w:eastAsia="Arial" w:hAnsi="Arial"/>
                <w:sz w:val="17"/>
                <w:szCs w:val="17"/>
                <w:color w:val="auto"/>
              </w:rPr>
              <w:t>2.15</w:t>
            </w:r>
          </w:p>
        </w:tc>
        <w:tc>
          <w:tcPr>
            <w:tcW w:w="1000" w:type="dxa"/>
            <w:vAlign w:val="bottom"/>
            <w:gridSpan w:val="2"/>
          </w:tcPr>
          <w:p>
            <w:pPr>
              <w:jc w:val="right"/>
              <w:ind w:right="722"/>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31.31</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2.15</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720.52</w:t>
            </w:r>
          </w:p>
        </w:tc>
        <w:tc>
          <w:tcPr>
            <w:tcW w:w="0" w:type="dxa"/>
            <w:vAlign w:val="bottom"/>
          </w:tcPr>
          <w:p>
            <w:pPr>
              <w:spacing w:after="0"/>
              <w:rPr>
                <w:sz w:val="1"/>
                <w:szCs w:val="1"/>
                <w:color w:val="auto"/>
              </w:rPr>
            </w:pPr>
          </w:p>
        </w:tc>
      </w:tr>
      <w:tr>
        <w:trPr>
          <w:trHeight w:val="221"/>
        </w:trPr>
        <w:tc>
          <w:tcPr>
            <w:tcW w:w="2240" w:type="dxa"/>
            <w:vAlign w:val="bottom"/>
            <w:gridSpan w:val="2"/>
          </w:tcPr>
          <w:p>
            <w:pPr>
              <w:spacing w:after="0"/>
              <w:rPr>
                <w:sz w:val="20"/>
                <w:szCs w:val="20"/>
                <w:color w:val="auto"/>
              </w:rPr>
            </w:pPr>
            <w:r>
              <w:rPr>
                <w:rFonts w:ascii="Arial" w:cs="Arial" w:eastAsia="Arial" w:hAnsi="Arial"/>
                <w:sz w:val="17"/>
                <w:szCs w:val="17"/>
                <w:color w:val="auto"/>
              </w:rPr>
              <w:t>September 1 - 30</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w:t>
            </w:r>
          </w:p>
        </w:tc>
        <w:tc>
          <w:tcPr>
            <w:tcW w:w="1000" w:type="dxa"/>
            <w:vAlign w:val="bottom"/>
            <w:gridSpan w:val="2"/>
          </w:tcPr>
          <w:p>
            <w:pPr>
              <w:jc w:val="right"/>
              <w:ind w:right="722"/>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30.91</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638.50</w:t>
            </w:r>
          </w:p>
        </w:tc>
        <w:tc>
          <w:tcPr>
            <w:tcW w:w="0" w:type="dxa"/>
            <w:vAlign w:val="bottom"/>
          </w:tcPr>
          <w:p>
            <w:pPr>
              <w:spacing w:after="0"/>
              <w:rPr>
                <w:sz w:val="1"/>
                <w:szCs w:val="1"/>
                <w:color w:val="auto"/>
              </w:rPr>
            </w:pPr>
          </w:p>
        </w:tc>
      </w:tr>
      <w:tr>
        <w:trPr>
          <w:trHeight w:val="214"/>
        </w:trPr>
        <w:tc>
          <w:tcPr>
            <w:tcW w:w="2240" w:type="dxa"/>
            <w:vAlign w:val="bottom"/>
            <w:gridSpan w:val="2"/>
          </w:tcPr>
          <w:p>
            <w:pPr>
              <w:spacing w:after="0"/>
              <w:rPr>
                <w:sz w:val="20"/>
                <w:szCs w:val="20"/>
                <w:color w:val="auto"/>
              </w:rPr>
            </w:pPr>
            <w:r>
              <w:rPr>
                <w:rFonts w:ascii="Arial" w:cs="Arial" w:eastAsia="Arial" w:hAnsi="Arial"/>
                <w:sz w:val="17"/>
                <w:szCs w:val="17"/>
                <w:color w:val="auto"/>
              </w:rPr>
              <w:t>Total</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000" w:type="dxa"/>
            <w:vAlign w:val="bottom"/>
            <w:gridSpan w:val="2"/>
          </w:tcPr>
          <w:p>
            <w:pPr>
              <w:jc w:val="right"/>
              <w:ind w:right="722"/>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31.00</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right="100" w:firstLine="4"/>
        <w:spacing w:after="0" w:line="265" w:lineRule="auto"/>
        <w:tabs>
          <w:tab w:leader="none" w:pos="16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On February 20, 2020, we announced that our Board of Directors approved a stock repurchase program for the repurchase of up to $600 million of the Company's outstanding shares of Class A common stock. On February 18, 2021, we announced that our Board of Directors authorized the repurchase of an additional $1 billion of the outstanding shares of our Class A common stock. We completed the February 2020 authorization of $600 million during the three months ended March 31, 2021 and continued stock repurchases under the February 2021 authorization.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Equity" of this Quarterly Report on Form 10-Q for additional information related to share repurchases.</w:t>
      </w:r>
    </w:p>
    <w:p>
      <w:pPr>
        <w:spacing w:after="0" w:line="183" w:lineRule="exact"/>
        <w:rPr>
          <w:rFonts w:ascii="Arial" w:cs="Arial" w:eastAsia="Arial" w:hAnsi="Arial"/>
          <w:sz w:val="19"/>
          <w:szCs w:val="19"/>
          <w:color w:val="auto"/>
          <w:vertAlign w:val="superscript"/>
        </w:rPr>
      </w:pPr>
    </w:p>
    <w:p>
      <w:pPr>
        <w:ind w:left="160" w:hanging="156"/>
        <w:spacing w:after="0"/>
        <w:tabs>
          <w:tab w:leader="none" w:pos="16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Average price paid per share includes costs associated with the repurchases.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We have filed the exhibits listed on the accompanying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EXHIBIT INDEX</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Incorporated by</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880" w:type="dxa"/>
            <w:vAlign w:val="bottom"/>
            <w:gridSpan w:val="6"/>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7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Reference from</w:t>
            </w:r>
          </w:p>
        </w:tc>
        <w:tc>
          <w:tcPr>
            <w:tcW w:w="120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0"/>
              </w:rPr>
              <w:t>Filed with SEC</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4880" w:type="dxa"/>
            <w:vAlign w:val="bottom"/>
            <w:gridSpan w:val="6"/>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Exhibit Number</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1060" w:type="dxa"/>
            <w:vAlign w:val="bottom"/>
          </w:tcPr>
          <w:p>
            <w:pPr>
              <w:spacing w:after="0"/>
              <w:rPr>
                <w:sz w:val="20"/>
                <w:szCs w:val="20"/>
                <w:color w:val="auto"/>
              </w:rPr>
            </w:pPr>
            <w:r>
              <w:rPr>
                <w:rFonts w:ascii="Arial" w:cs="Arial" w:eastAsia="Arial" w:hAnsi="Arial"/>
                <w:sz w:val="14"/>
                <w:szCs w:val="14"/>
                <w:color w:val="auto"/>
              </w:rPr>
              <w:t>31.1</w:t>
            </w:r>
          </w:p>
        </w:tc>
        <w:tc>
          <w:tcPr>
            <w:tcW w:w="5200" w:type="dxa"/>
            <w:vAlign w:val="bottom"/>
            <w:gridSpan w:val="7"/>
          </w:tcPr>
          <w:p>
            <w:pPr>
              <w:spacing w:after="0"/>
              <w:rPr>
                <w:rFonts w:ascii="Arial" w:cs="Arial" w:eastAsia="Arial" w:hAnsi="Arial"/>
                <w:sz w:val="14"/>
                <w:szCs w:val="14"/>
                <w:color w:val="0000FF"/>
                <w:w w:val="93"/>
              </w:rPr>
            </w:pPr>
            <w:hyperlink w:anchor="page99">
              <w:r>
                <w:rPr>
                  <w:rFonts w:ascii="Arial" w:cs="Arial" w:eastAsia="Arial" w:hAnsi="Arial"/>
                  <w:sz w:val="14"/>
                  <w:szCs w:val="14"/>
                  <w:color w:val="0000FF"/>
                  <w:w w:val="93"/>
                </w:rPr>
                <w:t>Certification of Principal Executive Officer pursuant to Exchange Act Rules 13a-14(a) and</w:t>
              </w:r>
            </w:hyperlink>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60" w:type="dxa"/>
            <w:vAlign w:val="bottom"/>
          </w:tcPr>
          <w:p>
            <w:pPr>
              <w:spacing w:after="0"/>
              <w:rPr>
                <w:sz w:val="9"/>
                <w:szCs w:val="9"/>
                <w:color w:val="auto"/>
              </w:rPr>
            </w:pPr>
          </w:p>
        </w:tc>
        <w:tc>
          <w:tcPr>
            <w:tcW w:w="4580" w:type="dxa"/>
            <w:vAlign w:val="bottom"/>
            <w:tcBorders>
              <w:top w:val="single" w:sz="8" w:color="0000FF"/>
              <w:bottom w:val="single" w:sz="8" w:color="0000FF"/>
            </w:tcBorders>
            <w:gridSpan w:val="2"/>
          </w:tcPr>
          <w:p>
            <w:pPr>
              <w:spacing w:after="0" w:line="110" w:lineRule="exact"/>
              <w:rPr>
                <w:rFonts w:ascii="Arial" w:cs="Arial" w:eastAsia="Arial" w:hAnsi="Arial"/>
                <w:sz w:val="12"/>
                <w:szCs w:val="12"/>
                <w:color w:val="0000FF"/>
              </w:rPr>
            </w:pPr>
            <w:hyperlink w:anchor="page99">
              <w:r>
                <w:rPr>
                  <w:rFonts w:ascii="Arial" w:cs="Arial" w:eastAsia="Arial" w:hAnsi="Arial"/>
                  <w:sz w:val="12"/>
                  <w:szCs w:val="12"/>
                  <w:color w:val="0000FF"/>
                </w:rPr>
                <w:t>15d-14(a), as adopted pursuant to Section 302 of the Sarbanes-Oxley Act of 2002.</w:t>
              </w:r>
            </w:hyperlink>
          </w:p>
        </w:tc>
        <w:tc>
          <w:tcPr>
            <w:tcW w:w="480" w:type="dxa"/>
            <w:vAlign w:val="bottom"/>
            <w:tcBorders>
              <w:top w:val="single" w:sz="8" w:color="0000FF"/>
            </w:tcBorders>
            <w:gridSpan w:val="4"/>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060" w:type="dxa"/>
            <w:vAlign w:val="bottom"/>
          </w:tcPr>
          <w:p>
            <w:pPr>
              <w:spacing w:after="0"/>
              <w:rPr>
                <w:sz w:val="20"/>
                <w:szCs w:val="20"/>
                <w:color w:val="auto"/>
              </w:rPr>
            </w:pPr>
            <w:r>
              <w:rPr>
                <w:rFonts w:ascii="Arial" w:cs="Arial" w:eastAsia="Arial" w:hAnsi="Arial"/>
                <w:sz w:val="14"/>
                <w:szCs w:val="14"/>
                <w:color w:val="auto"/>
              </w:rPr>
              <w:t>31.2</w:t>
            </w:r>
          </w:p>
        </w:tc>
        <w:tc>
          <w:tcPr>
            <w:tcW w:w="5200" w:type="dxa"/>
            <w:vAlign w:val="bottom"/>
            <w:gridSpan w:val="7"/>
          </w:tcPr>
          <w:p>
            <w:pPr>
              <w:spacing w:after="0"/>
              <w:rPr>
                <w:rFonts w:ascii="Arial" w:cs="Arial" w:eastAsia="Arial" w:hAnsi="Arial"/>
                <w:sz w:val="14"/>
                <w:szCs w:val="14"/>
                <w:color w:val="0000FF"/>
                <w:w w:val="94"/>
              </w:rPr>
            </w:pPr>
            <w:hyperlink w:anchor="page100">
              <w:r>
                <w:rPr>
                  <w:rFonts w:ascii="Arial" w:cs="Arial" w:eastAsia="Arial" w:hAnsi="Arial"/>
                  <w:sz w:val="14"/>
                  <w:szCs w:val="14"/>
                  <w:color w:val="0000FF"/>
                  <w:w w:val="94"/>
                </w:rPr>
                <w:t>Certification of Principal Financial Officer pursuant to Exchange Act Rules 13a-14(a) and</w:t>
              </w:r>
            </w:hyperlink>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60" w:type="dxa"/>
            <w:vAlign w:val="bottom"/>
          </w:tcPr>
          <w:p>
            <w:pPr>
              <w:spacing w:after="0"/>
              <w:rPr>
                <w:sz w:val="9"/>
                <w:szCs w:val="9"/>
                <w:color w:val="auto"/>
              </w:rPr>
            </w:pPr>
          </w:p>
        </w:tc>
        <w:tc>
          <w:tcPr>
            <w:tcW w:w="4580" w:type="dxa"/>
            <w:vAlign w:val="bottom"/>
            <w:tcBorders>
              <w:top w:val="single" w:sz="8" w:color="0000FF"/>
              <w:bottom w:val="single" w:sz="8" w:color="0000FF"/>
            </w:tcBorders>
            <w:gridSpan w:val="2"/>
          </w:tcPr>
          <w:p>
            <w:pPr>
              <w:spacing w:after="0" w:line="110" w:lineRule="exact"/>
              <w:rPr>
                <w:rFonts w:ascii="Arial" w:cs="Arial" w:eastAsia="Arial" w:hAnsi="Arial"/>
                <w:sz w:val="12"/>
                <w:szCs w:val="12"/>
                <w:color w:val="0000FF"/>
              </w:rPr>
            </w:pPr>
            <w:hyperlink w:anchor="page100">
              <w:r>
                <w:rPr>
                  <w:rFonts w:ascii="Arial" w:cs="Arial" w:eastAsia="Arial" w:hAnsi="Arial"/>
                  <w:sz w:val="12"/>
                  <w:szCs w:val="12"/>
                  <w:color w:val="0000FF"/>
                </w:rPr>
                <w:t>15d-14(a), as adopted pursuant to Section 302 of the Sarbanes-Oxley Act of 2002.</w:t>
              </w:r>
            </w:hyperlink>
          </w:p>
        </w:tc>
        <w:tc>
          <w:tcPr>
            <w:tcW w:w="440" w:type="dxa"/>
            <w:vAlign w:val="bottom"/>
            <w:tcBorders>
              <w:top w:val="single" w:sz="8" w:color="0000FF"/>
            </w:tcBorders>
            <w:gridSpan w:val="3"/>
          </w:tcPr>
          <w:p>
            <w:pPr>
              <w:spacing w:after="0"/>
              <w:rPr>
                <w:sz w:val="9"/>
                <w:szCs w:val="9"/>
                <w:color w:val="auto"/>
              </w:rPr>
            </w:pPr>
          </w:p>
        </w:tc>
        <w:tc>
          <w:tcPr>
            <w:tcW w:w="18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060" w:type="dxa"/>
            <w:vAlign w:val="bottom"/>
          </w:tcPr>
          <w:p>
            <w:pPr>
              <w:spacing w:after="0"/>
              <w:rPr>
                <w:sz w:val="20"/>
                <w:szCs w:val="20"/>
                <w:color w:val="auto"/>
              </w:rPr>
            </w:pPr>
            <w:r>
              <w:rPr>
                <w:rFonts w:ascii="Arial" w:cs="Arial" w:eastAsia="Arial" w:hAnsi="Arial"/>
                <w:sz w:val="14"/>
                <w:szCs w:val="14"/>
                <w:color w:val="auto"/>
              </w:rPr>
              <w:t>32.1†</w:t>
            </w:r>
          </w:p>
        </w:tc>
        <w:tc>
          <w:tcPr>
            <w:tcW w:w="5200" w:type="dxa"/>
            <w:vAlign w:val="bottom"/>
            <w:gridSpan w:val="7"/>
          </w:tcPr>
          <w:p>
            <w:pPr>
              <w:spacing w:after="0"/>
              <w:rPr>
                <w:rFonts w:ascii="Arial" w:cs="Arial" w:eastAsia="Arial" w:hAnsi="Arial"/>
                <w:sz w:val="14"/>
                <w:szCs w:val="14"/>
                <w:color w:val="0000FF"/>
                <w:w w:val="98"/>
              </w:rPr>
            </w:pPr>
            <w:hyperlink w:anchor="page101">
              <w:r>
                <w:rPr>
                  <w:rFonts w:ascii="Arial" w:cs="Arial" w:eastAsia="Arial" w:hAnsi="Arial"/>
                  <w:sz w:val="14"/>
                  <w:szCs w:val="14"/>
                  <w:color w:val="0000FF"/>
                  <w:w w:val="98"/>
                </w:rPr>
                <w:t>Certifications of Principal Executive Officer and Principal Financial Officer pursuant to</w:t>
              </w:r>
            </w:hyperlink>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tcPr>
          <w:p>
            <w:pPr>
              <w:spacing w:after="0"/>
              <w:rPr>
                <w:sz w:val="9"/>
                <w:szCs w:val="9"/>
                <w:color w:val="auto"/>
              </w:rPr>
            </w:pPr>
          </w:p>
        </w:tc>
        <w:tc>
          <w:tcPr>
            <w:tcW w:w="5200" w:type="dxa"/>
            <w:vAlign w:val="bottom"/>
            <w:gridSpan w:val="7"/>
          </w:tcPr>
          <w:p>
            <w:pPr>
              <w:spacing w:after="0" w:line="110" w:lineRule="exact"/>
              <w:rPr>
                <w:rFonts w:ascii="Arial" w:cs="Arial" w:eastAsia="Arial" w:hAnsi="Arial"/>
                <w:sz w:val="12"/>
                <w:szCs w:val="12"/>
                <w:color w:val="0000FF"/>
              </w:rPr>
            </w:pPr>
            <w:hyperlink w:anchor="page101">
              <w:r>
                <w:rPr>
                  <w:rFonts w:ascii="Arial" w:cs="Arial" w:eastAsia="Arial" w:hAnsi="Arial"/>
                  <w:sz w:val="12"/>
                  <w:szCs w:val="12"/>
                  <w:color w:val="0000FF"/>
                </w:rPr>
                <w:t>18 U.S.C. Section 1350 as adopted pursuant to Section 906 of the Sarbanes-Oxley Act of</w:t>
              </w:r>
            </w:hyperlink>
          </w:p>
        </w:tc>
        <w:tc>
          <w:tcPr>
            <w:tcW w:w="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60" w:type="dxa"/>
            <w:vAlign w:val="bottom"/>
          </w:tcPr>
          <w:p>
            <w:pPr>
              <w:spacing w:after="0"/>
              <w:rPr>
                <w:sz w:val="9"/>
                <w:szCs w:val="9"/>
                <w:color w:val="auto"/>
              </w:rPr>
            </w:pPr>
          </w:p>
        </w:tc>
        <w:tc>
          <w:tcPr>
            <w:tcW w:w="320" w:type="dxa"/>
            <w:vAlign w:val="bottom"/>
            <w:tcBorders>
              <w:top w:val="single" w:sz="8" w:color="0000FF"/>
              <w:bottom w:val="single" w:sz="8" w:color="0000FF"/>
            </w:tcBorders>
          </w:tcPr>
          <w:p>
            <w:pPr>
              <w:spacing w:after="0" w:line="110" w:lineRule="exact"/>
              <w:rPr>
                <w:rFonts w:ascii="Arial" w:cs="Arial" w:eastAsia="Arial" w:hAnsi="Arial"/>
                <w:sz w:val="12"/>
                <w:szCs w:val="12"/>
                <w:color w:val="0000FF"/>
                <w:w w:val="99"/>
              </w:rPr>
            </w:pPr>
            <w:hyperlink w:anchor="page101">
              <w:r>
                <w:rPr>
                  <w:rFonts w:ascii="Arial" w:cs="Arial" w:eastAsia="Arial" w:hAnsi="Arial"/>
                  <w:sz w:val="12"/>
                  <w:szCs w:val="12"/>
                  <w:color w:val="0000FF"/>
                  <w:w w:val="99"/>
                </w:rPr>
                <w:t>2002.</w:t>
              </w:r>
            </w:hyperlink>
          </w:p>
        </w:tc>
        <w:tc>
          <w:tcPr>
            <w:tcW w:w="426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1080" w:right="5020" w:hanging="1059"/>
        <w:spacing w:after="0" w:line="257" w:lineRule="auto"/>
        <w:tabs>
          <w:tab w:leader="none" w:pos="10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following financial statements from the Company's Quarterly Report on Form 10-Q for the quarter ended September 30, 2021,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Equity, and (vi) Notes to Unaudited Condensed Consolidated Financial Statements.</w:t>
      </w:r>
    </w:p>
    <w:p>
      <w:pPr>
        <w:spacing w:after="0" w:line="273" w:lineRule="exact"/>
        <w:rPr>
          <w:sz w:val="20"/>
          <w:szCs w:val="20"/>
          <w:color w:val="auto"/>
        </w:rPr>
      </w:pPr>
    </w:p>
    <w:p>
      <w:pPr>
        <w:ind w:left="1080" w:hanging="1059"/>
        <w:spacing w:after="0"/>
        <w:tabs>
          <w:tab w:leader="none" w:pos="10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320" w:lineRule="exact"/>
        <w:rPr>
          <w:rFonts w:ascii="Arial" w:cs="Arial" w:eastAsia="Arial" w:hAnsi="Arial"/>
          <w:sz w:val="14"/>
          <w:szCs w:val="14"/>
          <w:color w:val="auto"/>
        </w:rPr>
      </w:pPr>
    </w:p>
    <w:p>
      <w:pPr>
        <w:ind w:firstLine="4"/>
        <w:spacing w:after="0" w:line="243" w:lineRule="auto"/>
        <w:tabs>
          <w:tab w:leader="none" w:pos="104"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53" w:lineRule="exact"/>
        <w:rPr>
          <w:sz w:val="20"/>
          <w:szCs w:val="20"/>
          <w:color w:val="auto"/>
        </w:rPr>
      </w:pPr>
    </w:p>
    <w:p>
      <w:pPr>
        <w:ind w:right="260" w:firstLine="174"/>
        <w:spacing w:after="0" w:line="28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940" w:type="dxa"/>
            <w:vAlign w:val="bottom"/>
            <w:gridSpan w:val="3"/>
          </w:tcPr>
          <w:p>
            <w:pPr>
              <w:ind w:left="320"/>
              <w:spacing w:after="0"/>
              <w:rPr>
                <w:sz w:val="20"/>
                <w:szCs w:val="20"/>
                <w:color w:val="auto"/>
              </w:rPr>
            </w:pPr>
            <w:r>
              <w:rPr>
                <w:rFonts w:ascii="Arial" w:cs="Arial" w:eastAsia="Arial" w:hAnsi="Arial"/>
                <w:sz w:val="17"/>
                <w:szCs w:val="17"/>
                <w:b w:val="1"/>
                <w:bCs w:val="1"/>
                <w:color w:val="auto"/>
              </w:rPr>
              <w:t>DROPBOX, INC.</w:t>
            </w:r>
          </w:p>
        </w:tc>
        <w:tc>
          <w:tcPr>
            <w:tcW w:w="40" w:type="dxa"/>
            <w:vAlign w:val="bottom"/>
          </w:tcPr>
          <w:p>
            <w:pPr>
              <w:spacing w:after="0"/>
              <w:rPr>
                <w:sz w:val="19"/>
                <w:szCs w:val="19"/>
                <w:color w:val="auto"/>
              </w:rPr>
            </w:pPr>
          </w:p>
        </w:tc>
      </w:tr>
      <w:tr>
        <w:trPr>
          <w:trHeight w:val="482"/>
        </w:trPr>
        <w:tc>
          <w:tcPr>
            <w:tcW w:w="500" w:type="dxa"/>
            <w:vAlign w:val="bottom"/>
          </w:tcPr>
          <w:p>
            <w:pPr>
              <w:spacing w:after="0"/>
              <w:rPr>
                <w:sz w:val="20"/>
                <w:szCs w:val="20"/>
                <w:color w:val="auto"/>
              </w:rPr>
            </w:pPr>
            <w:r>
              <w:rPr>
                <w:rFonts w:ascii="Arial" w:cs="Arial" w:eastAsia="Arial" w:hAnsi="Arial"/>
                <w:sz w:val="17"/>
                <w:szCs w:val="17"/>
                <w:color w:val="auto"/>
              </w:rPr>
              <w:t>Date:</w:t>
            </w:r>
          </w:p>
        </w:tc>
        <w:tc>
          <w:tcPr>
            <w:tcW w:w="1740" w:type="dxa"/>
            <w:vAlign w:val="bottom"/>
          </w:tcPr>
          <w:p>
            <w:pPr>
              <w:ind w:left="100"/>
              <w:spacing w:after="0"/>
              <w:rPr>
                <w:sz w:val="20"/>
                <w:szCs w:val="20"/>
                <w:color w:val="auto"/>
              </w:rPr>
            </w:pPr>
            <w:r>
              <w:rPr>
                <w:rFonts w:ascii="Arial" w:cs="Arial" w:eastAsia="Arial" w:hAnsi="Arial"/>
                <w:sz w:val="17"/>
                <w:szCs w:val="17"/>
                <w:color w:val="auto"/>
              </w:rPr>
              <w:t>November 5, 2021</w:t>
            </w:r>
          </w:p>
        </w:tc>
        <w:tc>
          <w:tcPr>
            <w:tcW w:w="1400" w:type="dxa"/>
            <w:vAlign w:val="bottom"/>
          </w:tcPr>
          <w:p>
            <w:pPr>
              <w:ind w:left="320"/>
              <w:spacing w:after="0"/>
              <w:rPr>
                <w:sz w:val="20"/>
                <w:szCs w:val="20"/>
                <w:color w:val="auto"/>
              </w:rPr>
            </w:pPr>
            <w:r>
              <w:rPr>
                <w:rFonts w:ascii="Arial" w:cs="Arial" w:eastAsia="Arial" w:hAnsi="Arial"/>
                <w:sz w:val="17"/>
                <w:szCs w:val="17"/>
                <w:color w:val="auto"/>
              </w:rPr>
              <w:t>By:</w:t>
            </w:r>
          </w:p>
        </w:tc>
        <w:tc>
          <w:tcPr>
            <w:tcW w:w="7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/s/Andrew W. Houston</w:t>
            </w:r>
          </w:p>
        </w:tc>
        <w:tc>
          <w:tcPr>
            <w:tcW w:w="40" w:type="dxa"/>
            <w:vAlign w:val="bottom"/>
          </w:tcPr>
          <w:p>
            <w:pPr>
              <w:spacing w:after="0"/>
              <w:rPr>
                <w:sz w:val="24"/>
                <w:szCs w:val="24"/>
                <w:color w:val="auto"/>
              </w:rPr>
            </w:pPr>
          </w:p>
        </w:tc>
      </w:tr>
      <w:tr>
        <w:trPr>
          <w:trHeight w:val="214"/>
        </w:trPr>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7"/>
                <w:szCs w:val="17"/>
                <w:color w:val="auto"/>
              </w:rPr>
              <w:t>Andrew W. Houston</w:t>
            </w:r>
          </w:p>
        </w:tc>
        <w:tc>
          <w:tcPr>
            <w:tcW w:w="40" w:type="dxa"/>
            <w:vAlign w:val="bottom"/>
          </w:tcPr>
          <w:p>
            <w:pPr>
              <w:spacing w:after="0"/>
              <w:rPr>
                <w:sz w:val="18"/>
                <w:szCs w:val="18"/>
                <w:color w:val="auto"/>
              </w:rPr>
            </w:pPr>
          </w:p>
        </w:tc>
      </w:tr>
      <w:tr>
        <w:trPr>
          <w:trHeight w:val="221"/>
        </w:trPr>
        <w:tc>
          <w:tcPr>
            <w:tcW w:w="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c>
          <w:tcPr>
            <w:tcW w:w="40" w:type="dxa"/>
            <w:vAlign w:val="bottom"/>
          </w:tcPr>
          <w:p>
            <w:pPr>
              <w:spacing w:after="0"/>
              <w:rPr>
                <w:sz w:val="19"/>
                <w:szCs w:val="19"/>
                <w:color w:val="auto"/>
              </w:rPr>
            </w:pPr>
          </w:p>
        </w:tc>
      </w:tr>
      <w:tr>
        <w:trPr>
          <w:trHeight w:val="221"/>
        </w:trPr>
        <w:tc>
          <w:tcPr>
            <w:tcW w:w="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7"/>
                <w:szCs w:val="17"/>
                <w:i w:val="1"/>
                <w:iCs w:val="1"/>
                <w:color w:val="auto"/>
              </w:rPr>
              <w:t>(Principal Executive Officer)</w:t>
            </w:r>
          </w:p>
        </w:tc>
        <w:tc>
          <w:tcPr>
            <w:tcW w:w="40" w:type="dxa"/>
            <w:vAlign w:val="bottom"/>
          </w:tcPr>
          <w:p>
            <w:pPr>
              <w:spacing w:after="0"/>
              <w:rPr>
                <w:sz w:val="19"/>
                <w:szCs w:val="19"/>
                <w:color w:val="auto"/>
              </w:rPr>
            </w:pPr>
          </w:p>
        </w:tc>
      </w:tr>
      <w:tr>
        <w:trPr>
          <w:trHeight w:val="690"/>
        </w:trPr>
        <w:tc>
          <w:tcPr>
            <w:tcW w:w="500" w:type="dxa"/>
            <w:vAlign w:val="bottom"/>
          </w:tcPr>
          <w:p>
            <w:pPr>
              <w:ind w:left="20"/>
              <w:spacing w:after="0"/>
              <w:rPr>
                <w:sz w:val="20"/>
                <w:szCs w:val="20"/>
                <w:color w:val="auto"/>
              </w:rPr>
            </w:pPr>
            <w:r>
              <w:rPr>
                <w:rFonts w:ascii="Arial" w:cs="Arial" w:eastAsia="Arial" w:hAnsi="Arial"/>
                <w:sz w:val="17"/>
                <w:szCs w:val="17"/>
                <w:color w:val="auto"/>
              </w:rPr>
              <w:t>Date:</w:t>
            </w:r>
          </w:p>
        </w:tc>
        <w:tc>
          <w:tcPr>
            <w:tcW w:w="1740" w:type="dxa"/>
            <w:vAlign w:val="bottom"/>
          </w:tcPr>
          <w:p>
            <w:pPr>
              <w:ind w:left="120"/>
              <w:spacing w:after="0"/>
              <w:rPr>
                <w:sz w:val="20"/>
                <w:szCs w:val="20"/>
                <w:color w:val="auto"/>
              </w:rPr>
            </w:pPr>
            <w:r>
              <w:rPr>
                <w:rFonts w:ascii="Arial" w:cs="Arial" w:eastAsia="Arial" w:hAnsi="Arial"/>
                <w:sz w:val="17"/>
                <w:szCs w:val="17"/>
                <w:color w:val="auto"/>
              </w:rPr>
              <w:t>November 5, 2021</w:t>
            </w:r>
          </w:p>
        </w:tc>
        <w:tc>
          <w:tcPr>
            <w:tcW w:w="1400" w:type="dxa"/>
            <w:vAlign w:val="bottom"/>
          </w:tcPr>
          <w:p>
            <w:pPr>
              <w:ind w:left="340"/>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Timothy J. Regan</w:t>
            </w:r>
          </w:p>
        </w:tc>
        <w:tc>
          <w:tcPr>
            <w:tcW w:w="40" w:type="dxa"/>
            <w:vAlign w:val="bottom"/>
            <w:tcBorders>
              <w:bottom w:val="single" w:sz="8" w:color="auto"/>
            </w:tcBorders>
          </w:tcPr>
          <w:p>
            <w:pPr>
              <w:spacing w:after="0"/>
              <w:rPr>
                <w:sz w:val="24"/>
                <w:szCs w:val="24"/>
                <w:color w:val="auto"/>
              </w:rPr>
            </w:pPr>
          </w:p>
        </w:tc>
      </w:tr>
      <w:tr>
        <w:trPr>
          <w:trHeight w:val="214"/>
        </w:trPr>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Timothy J. Regan</w:t>
            </w:r>
          </w:p>
        </w:tc>
        <w:tc>
          <w:tcPr>
            <w:tcW w:w="40" w:type="dxa"/>
            <w:vAlign w:val="bottom"/>
          </w:tcPr>
          <w:p>
            <w:pPr>
              <w:spacing w:after="0"/>
              <w:rPr>
                <w:sz w:val="18"/>
                <w:szCs w:val="18"/>
                <w:color w:val="auto"/>
              </w:rPr>
            </w:pPr>
          </w:p>
        </w:tc>
      </w:tr>
      <w:tr>
        <w:trPr>
          <w:trHeight w:val="221"/>
        </w:trPr>
        <w:tc>
          <w:tcPr>
            <w:tcW w:w="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40" w:type="dxa"/>
            <w:vAlign w:val="bottom"/>
          </w:tcPr>
          <w:p>
            <w:pPr>
              <w:spacing w:after="0"/>
              <w:rPr>
                <w:sz w:val="19"/>
                <w:szCs w:val="19"/>
                <w:color w:val="auto"/>
              </w:rPr>
            </w:pPr>
          </w:p>
        </w:tc>
      </w:tr>
      <w:tr>
        <w:trPr>
          <w:trHeight w:val="221"/>
        </w:trPr>
        <w:tc>
          <w:tcPr>
            <w:tcW w:w="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7"/>
                <w:szCs w:val="17"/>
                <w:i w:val="1"/>
                <w:iCs w:val="1"/>
                <w:color w:val="auto"/>
              </w:rPr>
              <w:t>(Principal Accounting and Financial Officer)</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7"/>
          <w:szCs w:val="17"/>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 Andrew W. Houston, certify that:</w:t>
      </w:r>
    </w:p>
    <w:p>
      <w:pPr>
        <w:spacing w:after="0" w:line="221" w:lineRule="exact"/>
        <w:rPr>
          <w:sz w:val="20"/>
          <w:szCs w:val="20"/>
          <w:color w:val="auto"/>
        </w:rPr>
      </w:pPr>
    </w:p>
    <w:p>
      <w:pPr>
        <w:ind w:left="320" w:hanging="316"/>
        <w:spacing w:after="0"/>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Dropbox, Inc.;</w:t>
      </w:r>
    </w:p>
    <w:p>
      <w:pPr>
        <w:spacing w:after="0" w:line="221" w:lineRule="exact"/>
        <w:rPr>
          <w:rFonts w:ascii="Arial" w:cs="Arial" w:eastAsia="Arial" w:hAnsi="Arial"/>
          <w:sz w:val="17"/>
          <w:szCs w:val="17"/>
          <w:color w:val="auto"/>
        </w:rPr>
      </w:pPr>
    </w:p>
    <w:p>
      <w:pPr>
        <w:ind w:left="320" w:right="40" w:hanging="316"/>
        <w:spacing w:after="0" w:line="319"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6"/>
          <w:szCs w:val="16"/>
          <w:color w:val="auto"/>
        </w:rPr>
      </w:pPr>
    </w:p>
    <w:p>
      <w:pPr>
        <w:ind w:left="320" w:right="140" w:hanging="316"/>
        <w:spacing w:after="0" w:line="286"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20" w:right="120" w:hanging="316"/>
        <w:spacing w:after="0" w:line="286"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9" w:lineRule="exact"/>
        <w:rPr>
          <w:rFonts w:ascii="Arial" w:cs="Arial" w:eastAsia="Arial" w:hAnsi="Arial"/>
          <w:sz w:val="17"/>
          <w:szCs w:val="17"/>
          <w:color w:val="auto"/>
        </w:rPr>
      </w:pPr>
    </w:p>
    <w:p>
      <w:pPr>
        <w:ind w:left="620" w:right="260" w:hanging="303"/>
        <w:spacing w:after="0" w:line="271" w:lineRule="auto"/>
        <w:tabs>
          <w:tab w:leader="none" w:pos="617"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ind w:left="620" w:right="140" w:hanging="303"/>
        <w:spacing w:after="0" w:line="286" w:lineRule="auto"/>
        <w:tabs>
          <w:tab w:leader="none" w:pos="614"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7"/>
          <w:szCs w:val="17"/>
          <w:color w:val="auto"/>
        </w:rPr>
      </w:pPr>
    </w:p>
    <w:p>
      <w:pPr>
        <w:ind w:left="620" w:right="180" w:hanging="303"/>
        <w:spacing w:after="0" w:line="271" w:lineRule="auto"/>
        <w:tabs>
          <w:tab w:leader="none" w:pos="617"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320" w:right="560" w:hanging="316"/>
        <w:spacing w:after="0" w:line="319"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6"/>
          <w:szCs w:val="16"/>
          <w:color w:val="auto"/>
        </w:rPr>
      </w:pPr>
    </w:p>
    <w:p>
      <w:pPr>
        <w:ind w:left="620" w:right="60" w:hanging="303"/>
        <w:spacing w:after="0" w:line="286" w:lineRule="auto"/>
        <w:tabs>
          <w:tab w:leader="none" w:pos="617"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620" w:right="300" w:hanging="303"/>
        <w:spacing w:after="0" w:line="286" w:lineRule="auto"/>
        <w:tabs>
          <w:tab w:leader="none" w:pos="614"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Date: November 5, 2021</w:t>
      </w:r>
    </w:p>
    <w:p>
      <w:pPr>
        <w:spacing w:after="0" w:line="143"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DROPBOX, INC.</w:t>
      </w:r>
    </w:p>
    <w:p>
      <w:pPr>
        <w:spacing w:after="0" w:line="273" w:lineRule="exact"/>
        <w:rPr>
          <w:sz w:val="20"/>
          <w:szCs w:val="20"/>
          <w:color w:val="auto"/>
        </w:rPr>
      </w:pPr>
    </w:p>
    <w:tbl>
      <w:tblPr>
        <w:tblLayout w:type="fixed"/>
        <w:tblInd w:w="6680" w:type="dxa"/>
        <w:tblCellMar>
          <w:top w:w="0" w:type="dxa"/>
          <w:left w:w="0" w:type="dxa"/>
          <w:bottom w:w="0" w:type="dxa"/>
          <w:right w:w="0" w:type="dxa"/>
        </w:tblCellMar>
      </w:tblPr>
      <w:tr>
        <w:trPr>
          <w:trHeight w:val="221"/>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/s/Andrew W. Houston</w:t>
            </w:r>
          </w:p>
        </w:tc>
      </w:tr>
      <w:tr>
        <w:trPr>
          <w:trHeight w:val="214"/>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840" w:type="dxa"/>
            <w:vAlign w:val="bottom"/>
          </w:tcPr>
          <w:p>
            <w:pPr>
              <w:ind w:left="20"/>
              <w:spacing w:after="0"/>
              <w:rPr>
                <w:sz w:val="20"/>
                <w:szCs w:val="20"/>
                <w:color w:val="auto"/>
              </w:rPr>
            </w:pPr>
            <w:r>
              <w:rPr>
                <w:rFonts w:ascii="Arial" w:cs="Arial" w:eastAsia="Arial" w:hAnsi="Arial"/>
                <w:sz w:val="17"/>
                <w:szCs w:val="17"/>
                <w:color w:val="auto"/>
              </w:rPr>
              <w:t>Andrew W. Houston</w:t>
            </w:r>
          </w:p>
        </w:tc>
      </w:t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384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21"/>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059"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 Timothy J. Regan, certify that:</w:t>
      </w:r>
    </w:p>
    <w:p>
      <w:pPr>
        <w:spacing w:after="0" w:line="221" w:lineRule="exact"/>
        <w:rPr>
          <w:sz w:val="20"/>
          <w:szCs w:val="20"/>
          <w:color w:val="auto"/>
        </w:rPr>
      </w:pPr>
    </w:p>
    <w:p>
      <w:pPr>
        <w:ind w:left="320" w:hanging="316"/>
        <w:spacing w:after="0"/>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Dropbox, Inc.;</w:t>
      </w:r>
    </w:p>
    <w:p>
      <w:pPr>
        <w:spacing w:after="0" w:line="221" w:lineRule="exact"/>
        <w:rPr>
          <w:rFonts w:ascii="Arial" w:cs="Arial" w:eastAsia="Arial" w:hAnsi="Arial"/>
          <w:sz w:val="17"/>
          <w:szCs w:val="17"/>
          <w:color w:val="auto"/>
        </w:rPr>
      </w:pPr>
    </w:p>
    <w:p>
      <w:pPr>
        <w:ind w:left="320" w:right="40" w:hanging="316"/>
        <w:spacing w:after="0" w:line="319" w:lineRule="auto"/>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6"/>
          <w:szCs w:val="16"/>
          <w:color w:val="auto"/>
        </w:rPr>
      </w:pPr>
    </w:p>
    <w:p>
      <w:pPr>
        <w:ind w:left="320" w:right="140" w:hanging="316"/>
        <w:spacing w:after="0" w:line="286" w:lineRule="auto"/>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20" w:right="120" w:hanging="316"/>
        <w:spacing w:after="0" w:line="286" w:lineRule="auto"/>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9" w:lineRule="exact"/>
        <w:rPr>
          <w:rFonts w:ascii="Arial" w:cs="Arial" w:eastAsia="Arial" w:hAnsi="Arial"/>
          <w:sz w:val="17"/>
          <w:szCs w:val="17"/>
          <w:color w:val="auto"/>
        </w:rPr>
      </w:pPr>
    </w:p>
    <w:p>
      <w:pPr>
        <w:ind w:left="620" w:right="260" w:hanging="303"/>
        <w:spacing w:after="0" w:line="271" w:lineRule="auto"/>
        <w:tabs>
          <w:tab w:leader="none" w:pos="617"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ind w:left="620" w:right="140" w:hanging="303"/>
        <w:spacing w:after="0" w:line="286" w:lineRule="auto"/>
        <w:tabs>
          <w:tab w:leader="none" w:pos="614"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7"/>
          <w:szCs w:val="17"/>
          <w:color w:val="auto"/>
        </w:rPr>
      </w:pPr>
    </w:p>
    <w:p>
      <w:pPr>
        <w:ind w:left="620" w:right="180" w:hanging="303"/>
        <w:spacing w:after="0" w:line="271" w:lineRule="auto"/>
        <w:tabs>
          <w:tab w:leader="none" w:pos="617"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320" w:right="560" w:hanging="316"/>
        <w:spacing w:after="0" w:line="319" w:lineRule="auto"/>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6"/>
          <w:szCs w:val="16"/>
          <w:color w:val="auto"/>
        </w:rPr>
      </w:pPr>
    </w:p>
    <w:p>
      <w:pPr>
        <w:ind w:left="620" w:right="60" w:hanging="303"/>
        <w:spacing w:after="0" w:line="286" w:lineRule="auto"/>
        <w:tabs>
          <w:tab w:leader="none" w:pos="617"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620" w:right="300" w:hanging="303"/>
        <w:spacing w:after="0" w:line="286" w:lineRule="auto"/>
        <w:tabs>
          <w:tab w:leader="none" w:pos="614"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Date: November 5, 2021</w:t>
      </w:r>
    </w:p>
    <w:p>
      <w:pPr>
        <w:spacing w:after="0" w:line="260"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DROPBOX, INC.</w:t>
      </w:r>
    </w:p>
    <w:p>
      <w:pPr>
        <w:spacing w:after="0" w:line="221" w:lineRule="exact"/>
        <w:rPr>
          <w:sz w:val="20"/>
          <w:szCs w:val="20"/>
          <w:color w:val="auto"/>
        </w:rPr>
      </w:pPr>
    </w:p>
    <w:p>
      <w:pPr>
        <w:ind w:left="4900"/>
        <w:spacing w:after="0"/>
        <w:tabs>
          <w:tab w:leader="none" w:pos="54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15875</wp:posOffset>
            </wp:positionV>
            <wp:extent cx="14306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9"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Name: Timothy J. Regan</w:t>
      </w:r>
    </w:p>
    <w:p>
      <w:pPr>
        <w:spacing w:after="0" w:line="26" w:lineRule="exact"/>
        <w:rPr>
          <w:sz w:val="20"/>
          <w:szCs w:val="20"/>
          <w:color w:val="auto"/>
        </w:rPr>
      </w:pPr>
    </w:p>
    <w:p>
      <w:pPr>
        <w:ind w:left="4900"/>
        <w:spacing w:after="0"/>
        <w:tabs>
          <w:tab w:leader="none" w:pos="54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Chief Financial Officer</w:t>
      </w:r>
    </w:p>
    <w:p>
      <w:pPr>
        <w:spacing w:after="0" w:line="38" w:lineRule="exact"/>
        <w:rPr>
          <w:sz w:val="20"/>
          <w:szCs w:val="20"/>
          <w:color w:val="auto"/>
        </w:rPr>
      </w:pPr>
    </w:p>
    <w:p>
      <w:pPr>
        <w:ind w:left="5420"/>
        <w:spacing w:after="0"/>
        <w:tabs>
          <w:tab w:leader="none" w:pos="6320" w:val="left"/>
          <w:tab w:leader="none" w:pos="7360" w:val="left"/>
        </w:tabs>
        <w:rPr>
          <w:sz w:val="20"/>
          <w:szCs w:val="20"/>
          <w:color w:val="auto"/>
        </w:rPr>
      </w:pPr>
      <w:r>
        <w:rPr>
          <w:rFonts w:ascii="Arial" w:cs="Arial" w:eastAsia="Arial" w:hAnsi="Arial"/>
          <w:sz w:val="17"/>
          <w:szCs w:val="17"/>
          <w:color w:val="auto"/>
        </w:rPr>
        <w:t>(Principal</w:t>
        <w:tab/>
        <w:t>Accounting</w:t>
      </w:r>
      <w:r>
        <w:rPr>
          <w:sz w:val="20"/>
          <w:szCs w:val="20"/>
          <w:color w:val="auto"/>
        </w:rPr>
        <w:tab/>
      </w:r>
      <w:r>
        <w:rPr>
          <w:rFonts w:ascii="Arial" w:cs="Arial" w:eastAsia="Arial" w:hAnsi="Arial"/>
          <w:sz w:val="14"/>
          <w:szCs w:val="14"/>
          <w:color w:val="auto"/>
        </w:rPr>
        <w:t>and</w:t>
      </w:r>
    </w:p>
    <w:p>
      <w:pPr>
        <w:spacing w:after="0" w:line="1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Financial Officer)</w:t>
      </w:r>
    </w:p>
    <w:p>
      <w:pPr>
        <w:sectPr>
          <w:pgSz w:w="11900" w:h="16838" w:orient="portrait"/>
          <w:cols w:equalWidth="0" w:num="1">
            <w:col w:w="11240"/>
          </w:cols>
          <w:pgMar w:left="320" w:top="1059"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9"/>
          <w:szCs w:val="19"/>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CERTIFICATIONS OF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I, Andrew W. Houston, certify, pursuant to 18 U.S.C. Section 1350, as adopted pursuant to Section 906 of the Sarbanes-Oxley Act of 2002, that the Quarterly Report on Form 10-Q of Dropbox, Inc. for the fiscal quarter ended September 30, 2021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November 5, 2021</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/s/Andrew W. Houston</w:t>
            </w:r>
          </w:p>
        </w:tc>
      </w:tr>
      <w:tr>
        <w:trPr>
          <w:trHeight w:val="227"/>
        </w:trPr>
        <w:tc>
          <w:tcPr>
            <w:tcW w:w="1120" w:type="dxa"/>
            <w:vAlign w:val="bottom"/>
            <w:shd w:val="clear" w:color="auto" w:fill="FEFEFE"/>
          </w:tcPr>
          <w:p>
            <w:pPr>
              <w:spacing w:after="0"/>
              <w:rPr>
                <w:sz w:val="19"/>
                <w:szCs w:val="19"/>
                <w:color w:val="auto"/>
              </w:rPr>
            </w:pPr>
          </w:p>
        </w:tc>
        <w:tc>
          <w:tcPr>
            <w:tcW w:w="4880" w:type="dxa"/>
            <w:vAlign w:val="bottom"/>
            <w:shd w:val="clear" w:color="auto" w:fill="FEFEFE"/>
          </w:tcPr>
          <w:p>
            <w:pPr>
              <w:spacing w:after="0"/>
              <w:rPr>
                <w:sz w:val="19"/>
                <w:szCs w:val="19"/>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Andrew W. Houston</w:t>
            </w:r>
          </w:p>
        </w:tc>
      </w:tr>
      <w:tr>
        <w:trPr>
          <w:trHeight w:val="234"/>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Executive Officer</w:t>
            </w:r>
          </w:p>
        </w:tc>
      </w:tr>
      <w:tr>
        <w:trPr>
          <w:trHeight w:val="264"/>
        </w:trPr>
        <w:tc>
          <w:tcPr>
            <w:tcW w:w="1120" w:type="dxa"/>
            <w:vAlign w:val="bottom"/>
            <w:shd w:val="clear" w:color="auto" w:fill="FEFEFE"/>
          </w:tcPr>
          <w:p>
            <w:pPr>
              <w:spacing w:after="0"/>
              <w:rPr>
                <w:sz w:val="22"/>
                <w:szCs w:val="22"/>
                <w:color w:val="auto"/>
              </w:rPr>
            </w:pPr>
          </w:p>
        </w:tc>
        <w:tc>
          <w:tcPr>
            <w:tcW w:w="4880" w:type="dxa"/>
            <w:vAlign w:val="bottom"/>
            <w:shd w:val="clear" w:color="auto" w:fill="FEFEFE"/>
          </w:tcPr>
          <w:p>
            <w:pPr>
              <w:spacing w:after="0"/>
              <w:rPr>
                <w:sz w:val="22"/>
                <w:szCs w:val="22"/>
                <w:color w:val="auto"/>
              </w:rPr>
            </w:pPr>
          </w:p>
        </w:tc>
        <w:tc>
          <w:tcPr>
            <w:tcW w:w="840" w:type="dxa"/>
            <w:vAlign w:val="bottom"/>
            <w:shd w:val="clear" w:color="auto" w:fill="FEFEFE"/>
          </w:tcPr>
          <w:p>
            <w:pPr>
              <w:spacing w:after="0"/>
              <w:rPr>
                <w:sz w:val="22"/>
                <w:szCs w:val="22"/>
                <w:color w:val="auto"/>
              </w:rPr>
            </w:pP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Executive Officer)</w:t>
            </w:r>
          </w:p>
        </w:tc>
      </w:tr>
      <w:tr>
        <w:trPr>
          <w:trHeight w:val="283"/>
        </w:trPr>
        <w:tc>
          <w:tcPr>
            <w:tcW w:w="1120" w:type="dxa"/>
            <w:vAlign w:val="bottom"/>
            <w:shd w:val="clear" w:color="auto" w:fill="FEFEFE"/>
          </w:tcPr>
          <w:p>
            <w:pPr>
              <w:spacing w:after="0"/>
              <w:rPr>
                <w:sz w:val="24"/>
                <w:szCs w:val="24"/>
                <w:color w:val="auto"/>
              </w:rPr>
            </w:pPr>
          </w:p>
        </w:tc>
        <w:tc>
          <w:tcPr>
            <w:tcW w:w="4880" w:type="dxa"/>
            <w:vAlign w:val="bottom"/>
            <w:shd w:val="clear" w:color="auto" w:fill="FEFEFE"/>
          </w:tcPr>
          <w:p>
            <w:pPr>
              <w:spacing w:after="0"/>
              <w:rPr>
                <w:sz w:val="24"/>
                <w:szCs w:val="24"/>
                <w:color w:val="auto"/>
              </w:rPr>
            </w:pPr>
          </w:p>
        </w:tc>
        <w:tc>
          <w:tcPr>
            <w:tcW w:w="840" w:type="dxa"/>
            <w:vAlign w:val="bottom"/>
            <w:shd w:val="clear" w:color="auto" w:fill="FEFEFE"/>
          </w:tcPr>
          <w:p>
            <w:pPr>
              <w:spacing w:after="0"/>
              <w:rPr>
                <w:sz w:val="24"/>
                <w:szCs w:val="24"/>
                <w:color w:val="auto"/>
              </w:rPr>
            </w:pPr>
          </w:p>
        </w:tc>
        <w:tc>
          <w:tcPr>
            <w:tcW w:w="4400" w:type="dxa"/>
            <w:vAlign w:val="bottom"/>
            <w:shd w:val="clear" w:color="auto" w:fill="FEFEFE"/>
          </w:tcPr>
          <w:p>
            <w:pPr>
              <w:spacing w:after="0"/>
              <w:rPr>
                <w:sz w:val="24"/>
                <w:szCs w:val="24"/>
                <w:color w:val="auto"/>
              </w:rPr>
            </w:pPr>
          </w:p>
        </w:tc>
      </w:tr>
    </w:tbl>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I, Timothy J. Regan, certify, pursuant to 18 U.S.C. Section 1350, as adopted pursuant to Section 906 of the Sarbanes-Oxley Act of 2002, that the Quarterly Report on Form 10-Q of Dropbox, Inc. for the fiscal quarter ended September 30, 2021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November 5, 2021</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/s/Timothy J. Regan</w:t>
            </w:r>
          </w:p>
        </w:tc>
      </w:tr>
      <w:tr>
        <w:trPr>
          <w:trHeight w:val="227"/>
        </w:trPr>
        <w:tc>
          <w:tcPr>
            <w:tcW w:w="1120" w:type="dxa"/>
            <w:vAlign w:val="bottom"/>
            <w:shd w:val="clear" w:color="auto" w:fill="FEFEFE"/>
          </w:tcPr>
          <w:p>
            <w:pPr>
              <w:spacing w:after="0"/>
              <w:rPr>
                <w:sz w:val="19"/>
                <w:szCs w:val="19"/>
                <w:color w:val="auto"/>
              </w:rPr>
            </w:pPr>
          </w:p>
        </w:tc>
        <w:tc>
          <w:tcPr>
            <w:tcW w:w="4880" w:type="dxa"/>
            <w:vAlign w:val="bottom"/>
            <w:shd w:val="clear" w:color="auto" w:fill="FEFEFE"/>
          </w:tcPr>
          <w:p>
            <w:pPr>
              <w:spacing w:after="0"/>
              <w:rPr>
                <w:sz w:val="19"/>
                <w:szCs w:val="19"/>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Timothy J. Regan</w:t>
            </w:r>
          </w:p>
        </w:tc>
      </w:tr>
      <w:tr>
        <w:trPr>
          <w:trHeight w:val="234"/>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Financial Officer</w:t>
            </w:r>
          </w:p>
        </w:tc>
      </w:tr>
      <w:tr>
        <w:trPr>
          <w:trHeight w:val="234"/>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spacing w:after="0"/>
              <w:rPr>
                <w:sz w:val="20"/>
                <w:szCs w:val="20"/>
                <w:color w:val="auto"/>
              </w:rPr>
            </w:pP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Accounting and Financial Officer)</w:t>
            </w:r>
          </w:p>
        </w:tc>
      </w:tr>
    </w:tbl>
    <w:p>
      <w:pPr>
        <w:spacing w:after="0" w:line="1" w:lineRule="exact"/>
        <w:rPr>
          <w:sz w:val="20"/>
          <w:szCs w:val="20"/>
          <w:color w:val="auto"/>
        </w:rPr>
      </w:pPr>
    </w:p>
    <w:sectPr>
      <w:pgSz w:w="11900" w:h="16838" w:orient="portrait"/>
      <w:cols w:equalWidth="0" w:num="1">
        <w:col w:w="11240"/>
      </w:cols>
      <w:pgMar w:left="320" w:top="10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2"/>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2"/>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2"/>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2"/>
    </w:lvl>
  </w:abstractNum>
  <w:abstractNum w:abstractNumId="18">
    <w:nsid w:val="3A95F874"/>
    <w:multiLevelType w:val="hybridMultilevel"/>
    <w:lvl w:ilvl="0">
      <w:lvlJc w:val="left"/>
      <w:lvlText w:val="(%1)"/>
      <w:numFmt w:val="decimal"/>
      <w:start w:val="2"/>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01"/>
    </w:lvl>
  </w:abstractNum>
  <w:abstractNum w:abstractNumId="37">
    <w:nsid w:val="5E884ADC"/>
    <w:multiLevelType w:val="hybridMultilevel"/>
    <w:lvl w:ilvl="0">
      <w:lvlJc w:val="left"/>
      <w:lvlText w:val="†"/>
      <w:numFmt w:val="bullet"/>
      <w:start w:val="1"/>
    </w:lvl>
    <w:lvl w:ilvl="1">
      <w:lvlJc w:val="left"/>
      <w:lvlText w:val="%2"/>
      <w:numFmt w:val="decimal"/>
      <w:start w:val="104"/>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2021-11-05T16:15:22Z</dcterms:created>
  <dcterms:modified xsi:type="dcterms:W3CDTF">2021-11-05T16:15:22Z</dcterms:modified>
</cp:coreProperties>
</file>