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Regan Timothy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1800 OWENS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Accounting Officer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 w:righ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5"/>
          <w:szCs w:val="35"/>
          <w:color w:val="0000FF"/>
          <w:vertAlign w:val="superscript"/>
        </w:rPr>
        <w:t>SAN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 CA 94158 FRANCISCO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60" w:space="72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18.28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101,532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02/21/2020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22.5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100,532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sold pursuant to a Rule 10b5-1 trading plan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4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2023. In the event the Reporting Person ceases to be a Service Provider, the unvested restricted stock units will be cancelled by the Issuer.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Mary Anne Becking,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440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2020-02-24T16:03:30Z</dcterms:created>
  <dcterms:modified xsi:type="dcterms:W3CDTF">2020-02-24T16:03:30Z</dcterms:modified>
</cp:coreProperties>
</file>