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4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Form 8-K</w:t>
      </w:r>
    </w:p>
    <w:p>
      <w:pPr>
        <w:spacing w:after="0" w:line="27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CURRENT REPORT</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2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May 5, 2022</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Date of Report (date of earliest event reported)</w:t>
      </w: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DROPBOX, INC.</w:t>
      </w:r>
    </w:p>
    <w:p>
      <w:pPr>
        <w:spacing w:after="0" w:line="4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40"/>
          </w:cols>
          <w:pgMar w:left="320" w:top="975" w:right="239" w:bottom="1440" w:gutter="0" w:footer="0" w:header="0"/>
        </w:sectPr>
      </w:pPr>
    </w:p>
    <w:p>
      <w:pPr>
        <w:spacing w:after="0" w:line="25" w:lineRule="exact"/>
        <w:rPr>
          <w:sz w:val="24"/>
          <w:szCs w:val="24"/>
          <w:color w:val="auto"/>
        </w:rPr>
      </w:pPr>
    </w:p>
    <w:p>
      <w:pPr>
        <w:jc w:val="center"/>
        <w:ind w:left="80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jc w:val="center"/>
        <w:ind w:left="800"/>
        <w:spacing w:after="0"/>
        <w:rPr>
          <w:sz w:val="20"/>
          <w:szCs w:val="20"/>
          <w:color w:val="auto"/>
        </w:rPr>
      </w:pPr>
      <w:r>
        <w:rPr>
          <w:rFonts w:ascii="Arial" w:cs="Arial" w:eastAsia="Arial" w:hAnsi="Arial"/>
          <w:sz w:val="15"/>
          <w:szCs w:val="15"/>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001-38434</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5"/>
          <w:szCs w:val="15"/>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26-0138832</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5"/>
          <w:szCs w:val="15"/>
          <w:b w:val="1"/>
          <w:bCs w:val="1"/>
          <w:color w:val="auto"/>
        </w:rPr>
        <w:t>(I. R. S. Employer Identification No.)</w:t>
      </w:r>
    </w:p>
    <w:p>
      <w:pPr>
        <w:spacing w:after="0" w:line="53" w:lineRule="exact"/>
        <w:rPr>
          <w:sz w:val="24"/>
          <w:szCs w:val="24"/>
          <w:color w:val="auto"/>
        </w:rPr>
      </w:pPr>
    </w:p>
    <w:p>
      <w:pPr>
        <w:sectPr>
          <w:pgSz w:w="11900" w:h="16838" w:orient="portrait"/>
          <w:cols w:equalWidth="0" w:num="3">
            <w:col w:w="3860" w:space="720"/>
            <w:col w:w="2200" w:space="720"/>
            <w:col w:w="3840"/>
          </w:cols>
          <w:pgMar w:left="320" w:top="975" w:right="239" w:bottom="1440" w:gutter="0" w:footer="0" w:header="0"/>
          <w:type w:val="continuous"/>
        </w:sectPr>
      </w:pPr>
    </w:p>
    <w:p>
      <w:pPr>
        <w:ind w:left="1780"/>
        <w:spacing w:after="0"/>
        <w:rPr>
          <w:sz w:val="20"/>
          <w:szCs w:val="20"/>
          <w:color w:val="auto"/>
        </w:rPr>
      </w:pPr>
      <w:r>
        <w:rPr>
          <w:rFonts w:ascii="Arial" w:cs="Arial" w:eastAsia="Arial" w:hAnsi="Arial"/>
          <w:sz w:val="15"/>
          <w:szCs w:val="15"/>
          <w:b w:val="1"/>
          <w:bCs w:val="1"/>
          <w:color w:val="auto"/>
        </w:rPr>
        <w:t>incorporation)</w:t>
      </w:r>
    </w:p>
    <w:p>
      <w:pPr>
        <w:sectPr>
          <w:pgSz w:w="11900" w:h="16838" w:orient="portrait"/>
          <w:cols w:equalWidth="0" w:num="1">
            <w:col w:w="11340"/>
          </w:cols>
          <w:pgMar w:left="320" w:top="975" w:right="239" w:bottom="1440" w:gutter="0" w:footer="0" w:header="0"/>
          <w:type w:val="continuous"/>
        </w:sectPr>
      </w:pPr>
    </w:p>
    <w:p>
      <w:pPr>
        <w:spacing w:after="0" w:line="31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1800 Owens St.</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94158</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0" w:lineRule="exact"/>
        <w:rPr>
          <w:sz w:val="24"/>
          <w:szCs w:val="24"/>
          <w:color w:val="auto"/>
        </w:rPr>
      </w:pPr>
    </w:p>
    <w:p>
      <w:pPr>
        <w:spacing w:after="0" w:line="272" w:lineRule="exact"/>
        <w:rPr>
          <w:sz w:val="24"/>
          <w:szCs w:val="24"/>
          <w:color w:val="auto"/>
        </w:rPr>
      </w:pPr>
    </w:p>
    <w:p>
      <w:pPr>
        <w:ind w:right="220"/>
        <w:spacing w:after="0" w:line="26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47"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wp:posOffset>
            </wp:positionH>
            <wp:positionV relativeFrom="paragraph">
              <wp:posOffset>78740</wp:posOffset>
            </wp:positionV>
            <wp:extent cx="6266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142" w:lineRule="exact"/>
        <w:rPr>
          <w:sz w:val="24"/>
          <w:szCs w:val="24"/>
          <w:color w:val="auto"/>
        </w:rPr>
      </w:pPr>
    </w:p>
    <w:tbl>
      <w:tblPr>
        <w:tblLayout w:type="fixed"/>
        <w:tblInd w:w="7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60" w:type="dxa"/>
            <w:vAlign w:val="bottom"/>
            <w:gridSpan w:val="2"/>
          </w:tcPr>
          <w:p>
            <w:pPr>
              <w:jc w:val="center"/>
              <w:ind w:right="2200"/>
              <w:spacing w:after="0"/>
              <w:rPr>
                <w:sz w:val="20"/>
                <w:szCs w:val="20"/>
                <w:color w:val="auto"/>
              </w:rPr>
            </w:pPr>
            <w:r>
              <w:rPr>
                <w:rFonts w:ascii="Arial" w:cs="Arial" w:eastAsia="Arial" w:hAnsi="Arial"/>
                <w:sz w:val="14"/>
                <w:szCs w:val="14"/>
                <w:b w:val="1"/>
                <w:bCs w:val="1"/>
                <w:color w:val="auto"/>
                <w:w w:val="87"/>
              </w:rPr>
              <w:t>Title of each class</w:t>
            </w:r>
          </w:p>
        </w:tc>
        <w:tc>
          <w:tcPr>
            <w:tcW w:w="268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91"/>
              </w:rPr>
              <w:t>Trading Symbol(s)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exchange on which registered</w:t>
            </w: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195"/>
        </w:trPr>
        <w:tc>
          <w:tcPr>
            <w:tcW w:w="4260" w:type="dxa"/>
            <w:vAlign w:val="bottom"/>
            <w:gridSpan w:val="3"/>
          </w:tcPr>
          <w:p>
            <w:pPr>
              <w:jc w:val="center"/>
              <w:ind w:right="1200"/>
              <w:spacing w:after="0"/>
              <w:rPr>
                <w:sz w:val="20"/>
                <w:szCs w:val="20"/>
                <w:color w:val="auto"/>
              </w:rPr>
            </w:pPr>
            <w:r>
              <w:rPr>
                <w:rFonts w:ascii="Arial" w:cs="Arial" w:eastAsia="Arial" w:hAnsi="Arial"/>
                <w:sz w:val="14"/>
                <w:szCs w:val="14"/>
                <w:color w:val="auto"/>
                <w:w w:val="90"/>
              </w:rPr>
              <w:t>Class A Common Stock, par value $0.00001 per share</w:t>
            </w:r>
          </w:p>
        </w:tc>
        <w:tc>
          <w:tcPr>
            <w:tcW w:w="2680" w:type="dxa"/>
            <w:vAlign w:val="bottom"/>
            <w:gridSpan w:val="2"/>
          </w:tcPr>
          <w:p>
            <w:pPr>
              <w:jc w:val="center"/>
              <w:ind w:right="1580"/>
              <w:spacing w:after="0"/>
              <w:rPr>
                <w:sz w:val="20"/>
                <w:szCs w:val="20"/>
                <w:color w:val="auto"/>
              </w:rPr>
            </w:pPr>
            <w:r>
              <w:rPr>
                <w:rFonts w:ascii="Arial" w:cs="Arial" w:eastAsia="Arial" w:hAnsi="Arial"/>
                <w:sz w:val="14"/>
                <w:szCs w:val="14"/>
                <w:color w:val="auto"/>
              </w:rPr>
              <w:t>DBX</w:t>
            </w:r>
          </w:p>
        </w:tc>
        <w:tc>
          <w:tcPr>
            <w:tcW w:w="2320" w:type="dxa"/>
            <w:vAlign w:val="bottom"/>
          </w:tcPr>
          <w:p>
            <w:pPr>
              <w:jc w:val="center"/>
              <w:spacing w:after="0"/>
              <w:rPr>
                <w:sz w:val="20"/>
                <w:szCs w:val="20"/>
                <w:color w:val="auto"/>
              </w:rPr>
            </w:pPr>
            <w:r>
              <w:rPr>
                <w:rFonts w:ascii="Arial" w:cs="Arial" w:eastAsia="Arial" w:hAnsi="Arial"/>
                <w:sz w:val="14"/>
                <w:szCs w:val="14"/>
                <w:color w:val="auto"/>
                <w:w w:val="96"/>
              </w:rPr>
              <w:t>The NASDAQ Stock Market LLC</w:t>
            </w:r>
          </w:p>
        </w:tc>
      </w:tr>
      <w:tr>
        <w:trPr>
          <w:trHeight w:val="186"/>
        </w:trPr>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91"/>
              </w:rPr>
              <w:t>(Nasdaq Global Select Market)</w:t>
            </w:r>
          </w:p>
        </w:tc>
      </w:tr>
    </w:tbl>
    <w:p>
      <w:pPr>
        <w:spacing w:after="0" w:line="384"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1"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86" w:lineRule="exact"/>
        <w:rPr>
          <w:sz w:val="24"/>
          <w:szCs w:val="24"/>
          <w:color w:val="auto"/>
        </w:rPr>
      </w:pPr>
    </w:p>
    <w:p>
      <w:pPr>
        <w:ind w:right="260"/>
        <w:spacing w:after="0" w:line="25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667385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97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On May 5, 2022, Dropbox, Inc. (“Dropbox” or the "Company") issued a press release and will hold a conference call announcing its financial results for the quarter ended March 31, 2022. A copy of the press release is attached as Exhibit 99.1 to this current report on Form 8-K and is incorporated by reference herein.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251" w:lineRule="exact"/>
        <w:rPr>
          <w:sz w:val="20"/>
          <w:szCs w:val="20"/>
          <w:color w:val="auto"/>
        </w:rPr>
      </w:pPr>
    </w:p>
    <w:p>
      <w:pPr>
        <w:ind w:right="260"/>
        <w:spacing w:after="0" w:line="366" w:lineRule="auto"/>
        <w:rPr>
          <w:sz w:val="20"/>
          <w:szCs w:val="20"/>
          <w:color w:val="auto"/>
        </w:rPr>
      </w:pPr>
      <w:r>
        <w:rPr>
          <w:rFonts w:ascii="Arial" w:cs="Arial" w:eastAsia="Arial" w:hAnsi="Arial"/>
          <w:sz w:val="15"/>
          <w:szCs w:val="15"/>
          <w:color w:val="auto"/>
        </w:rPr>
        <w:t>On May 5, 2022,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138" w:lineRule="exact"/>
        <w:rPr>
          <w:sz w:val="20"/>
          <w:szCs w:val="20"/>
          <w:color w:val="auto"/>
        </w:rPr>
      </w:pPr>
    </w:p>
    <w:p>
      <w:pPr>
        <w:ind w:right="240"/>
        <w:spacing w:after="0" w:line="331" w:lineRule="auto"/>
        <w:rPr>
          <w:sz w:val="20"/>
          <w:szCs w:val="20"/>
          <w:color w:val="auto"/>
        </w:rPr>
      </w:pPr>
      <w:r>
        <w:rPr>
          <w:rFonts w:ascii="Arial" w:cs="Arial" w:eastAsia="Arial" w:hAnsi="Arial"/>
          <w:sz w:val="15"/>
          <w:szCs w:val="15"/>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3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2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40" w:type="dxa"/>
            <w:vAlign w:val="bottom"/>
          </w:tcPr>
          <w:p>
            <w:pPr>
              <w:spacing w:after="0"/>
              <w:rPr>
                <w:sz w:val="24"/>
                <w:szCs w:val="24"/>
                <w:color w:val="auto"/>
              </w:rPr>
            </w:pPr>
          </w:p>
        </w:tc>
        <w:tc>
          <w:tcPr>
            <w:tcW w:w="9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20" w:type="dxa"/>
            <w:vAlign w:val="bottom"/>
          </w:tcPr>
          <w:p>
            <w:pPr>
              <w:spacing w:after="0"/>
              <w:rPr>
                <w:sz w:val="24"/>
                <w:szCs w:val="24"/>
                <w:color w:val="auto"/>
              </w:rPr>
            </w:pPr>
          </w:p>
        </w:tc>
      </w:tr>
      <w:tr>
        <w:trPr>
          <w:trHeight w:val="180"/>
        </w:trPr>
        <w:tc>
          <w:tcPr>
            <w:tcW w:w="1100" w:type="dxa"/>
            <w:vAlign w:val="bottom"/>
            <w:gridSpan w:val="2"/>
          </w:tcPr>
          <w:p>
            <w:pPr>
              <w:jc w:val="right"/>
              <w:ind w:right="291"/>
              <w:spacing w:after="0" w:line="180"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5"/>
                <w:szCs w:val="15"/>
                <w:color w:val="auto"/>
              </w:rPr>
            </w:pPr>
          </w:p>
        </w:tc>
        <w:tc>
          <w:tcPr>
            <w:tcW w:w="9900" w:type="dxa"/>
            <w:vAlign w:val="bottom"/>
            <w:gridSpan w:val="4"/>
          </w:tcPr>
          <w:p>
            <w:pPr>
              <w:ind w:left="20"/>
              <w:spacing w:after="0" w:line="180"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entitled "Dropbox Announces Fiscal 2022 First Quarter Results" dated May 5, 2022</w:t>
              </w:r>
            </w:hyperlink>
          </w:p>
        </w:tc>
      </w:tr>
      <w:tr>
        <w:trPr>
          <w:trHeight w:val="1208"/>
        </w:trPr>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960" w:type="dxa"/>
            <w:vAlign w:val="bottom"/>
            <w:tcBorders>
              <w:top w:val="single" w:sz="8" w:color="0000FF"/>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Dated: May 5, 2022</w:t>
      </w:r>
    </w:p>
    <w:p>
      <w:pPr>
        <w:spacing w:after="0" w:line="34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Dropbox, Inc.</w:t>
      </w:r>
    </w:p>
    <w:p>
      <w:pPr>
        <w:spacing w:after="0" w:line="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11430</wp:posOffset>
            </wp:positionV>
            <wp:extent cx="2783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1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Timothy J. Regan</w:t>
      </w:r>
    </w:p>
    <w:p>
      <w:pPr>
        <w:spacing w:after="0" w:line="1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00"/>
          </w:cols>
          <w:pgMar w:left="320" w:top="878" w:right="479" w:bottom="1440" w:gutter="0" w:footer="0" w:header="0"/>
        </w:sectPr>
      </w:pPr>
    </w:p>
    <w:bookmarkStart w:id="3" w:name="page4"/>
    <w:bookmarkEnd w:id="3"/>
    <w:p>
      <w:pPr>
        <w:ind w:left="3900"/>
        <w:spacing w:after="0"/>
        <w:rPr>
          <w:sz w:val="20"/>
          <w:szCs w:val="20"/>
          <w:color w:val="auto"/>
        </w:rPr>
      </w:pPr>
      <w:r>
        <w:rPr>
          <w:rFonts w:ascii="Arial" w:cs="Arial" w:eastAsia="Arial" w:hAnsi="Arial"/>
          <w:sz w:val="18"/>
          <w:szCs w:val="18"/>
          <w:b w:val="1"/>
          <w:bCs w:val="1"/>
          <w:color w:val="auto"/>
        </w:rPr>
        <w:t>Dropbox Announces Fiscal 2022 First Quarter Results</w:t>
      </w:r>
    </w:p>
    <w:p>
      <w:pPr>
        <w:spacing w:after="0" w:line="251" w:lineRule="exact"/>
        <w:rPr>
          <w:sz w:val="20"/>
          <w:szCs w:val="20"/>
          <w:color w:val="auto"/>
        </w:rPr>
      </w:pPr>
    </w:p>
    <w:p>
      <w:pPr>
        <w:jc w:val="center"/>
        <w:spacing w:after="0" w:line="278" w:lineRule="auto"/>
        <w:rPr>
          <w:sz w:val="20"/>
          <w:szCs w:val="20"/>
          <w:color w:val="auto"/>
        </w:rPr>
      </w:pPr>
      <w:r>
        <w:rPr>
          <w:rFonts w:ascii="Arial" w:cs="Arial" w:eastAsia="Arial" w:hAnsi="Arial"/>
          <w:sz w:val="17"/>
          <w:szCs w:val="17"/>
          <w:color w:val="auto"/>
        </w:rPr>
        <w:t>First Quarter Revenue of $562.4 Million, Up 9.9% Year-over-year; on a constant currency basis, Up 9.7% Year-over-year GAAP and Non-GAAP Operating Income of $89.5 Million and $170.3 Million, Up 110.6% and 14.6% Year-over-year Net Cash Provided by Operating Activities of $141.4 Million and Free Cash Flow of $130.7 Million</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SAN FRANCISCO, Calif. </w:t>
      </w:r>
      <w:r>
        <w:rPr>
          <w:rFonts w:ascii="Arial" w:cs="Arial" w:eastAsia="Arial" w:hAnsi="Arial"/>
          <w:sz w:val="15"/>
          <w:szCs w:val="15"/>
          <w:color w:val="auto"/>
        </w:rPr>
        <w:t>- May 5, 2022 - Dropbox, Inc. (NASDAQ: DBX), today announced financial results for its first quarter ended March 31, 2022.</w:t>
      </w:r>
    </w:p>
    <w:p>
      <w:pPr>
        <w:spacing w:after="0" w:line="2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“2022 is off to a strong start as we launched new functionality and features across Backup, Shop and document workflows with HelloSign, DocSend and PDF editing; all designed to help customers organize, secure, and do more with their digital content,” said Dropbox Co-Founder and Chief Executive Officer Drew Houston. “I’m pleased with our team’s execution and performance in Q1, including strong profitability and improved user retention, reflecting our resilience in a challenging macro-environment. Looking ahead, I’m excited to build on this momentum as we continue to drive value for our customers and shareholders and work towards our vision of building one organized place for content and all the workflows around it.”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2022 Results</w:t>
      </w:r>
    </w:p>
    <w:p>
      <w:pPr>
        <w:spacing w:after="0" w:line="251" w:lineRule="exact"/>
        <w:rPr>
          <w:sz w:val="20"/>
          <w:szCs w:val="20"/>
          <w:color w:val="auto"/>
        </w:rPr>
      </w:pPr>
    </w:p>
    <w:p>
      <w:pPr>
        <w:ind w:left="640" w:right="280" w:hanging="315"/>
        <w:spacing w:after="0" w:line="270"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revenue was $562.4 million, an increase of 9.9% from the same period last year. On a constant currency basis, year-over-year growth would have been 9.7%.</w:t>
      </w:r>
      <w:r>
        <w:rPr>
          <w:rFonts w:ascii="Arial" w:cs="Arial" w:eastAsia="Arial" w:hAnsi="Arial"/>
          <w:sz w:val="23"/>
          <w:szCs w:val="23"/>
          <w:color w:val="auto"/>
          <w:vertAlign w:val="superscript"/>
        </w:rPr>
        <w:t>(1)</w:t>
      </w:r>
    </w:p>
    <w:p>
      <w:pPr>
        <w:spacing w:after="0" w:line="133" w:lineRule="exact"/>
        <w:rPr>
          <w:rFonts w:ascii="Arial" w:cs="Arial" w:eastAsia="Arial" w:hAnsi="Arial"/>
          <w:sz w:val="18"/>
          <w:szCs w:val="18"/>
          <w:color w:val="auto"/>
        </w:rPr>
      </w:pPr>
    </w:p>
    <w:p>
      <w:pPr>
        <w:ind w:left="640" w:right="260" w:hanging="315"/>
        <w:spacing w:after="0" w:line="270"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ARR ended at $2.290 billion, an increase of 8.4% from the same period last year. On a constant currency basis, Total ARR grew $40 million quarter-over-quarter, and year-over-year growth would have been 8.9%.</w:t>
      </w:r>
      <w:r>
        <w:rPr>
          <w:rFonts w:ascii="Arial" w:cs="Arial" w:eastAsia="Arial" w:hAnsi="Arial"/>
          <w:sz w:val="23"/>
          <w:szCs w:val="23"/>
          <w:color w:val="auto"/>
          <w:vertAlign w:val="superscript"/>
        </w:rPr>
        <w:t>(2)</w:t>
      </w:r>
    </w:p>
    <w:p>
      <w:pPr>
        <w:spacing w:after="0" w:line="133" w:lineRule="exact"/>
        <w:rPr>
          <w:rFonts w:ascii="Arial" w:cs="Arial" w:eastAsia="Arial" w:hAnsi="Arial"/>
          <w:sz w:val="18"/>
          <w:szCs w:val="18"/>
          <w:color w:val="auto"/>
        </w:rPr>
      </w:pPr>
    </w:p>
    <w:p>
      <w:pPr>
        <w:ind w:left="640" w:right="280" w:hanging="315"/>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Paying users ended at 17.09 million, as compared to 15.83 million for the same period last year. Average revenue per paying user was $134.63, as compared to $132.55 for the same period last year.</w:t>
      </w:r>
    </w:p>
    <w:p>
      <w:pPr>
        <w:spacing w:after="0" w:line="206" w:lineRule="exact"/>
        <w:rPr>
          <w:rFonts w:ascii="Arial" w:cs="Arial" w:eastAsia="Arial" w:hAnsi="Arial"/>
          <w:sz w:val="18"/>
          <w:szCs w:val="18"/>
          <w:color w:val="auto"/>
        </w:rPr>
      </w:pPr>
    </w:p>
    <w:p>
      <w:pPr>
        <w:ind w:left="640" w:hanging="315"/>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gross margin was 79.9%, as compared to 78.6% for the same period last year. Non-GAAP gross margin was 81.3%, as compared to 80.2% for the same period last year.</w:t>
      </w:r>
    </w:p>
    <w:p>
      <w:pPr>
        <w:spacing w:after="0" w:line="206" w:lineRule="exact"/>
        <w:rPr>
          <w:rFonts w:ascii="Arial" w:cs="Arial" w:eastAsia="Arial" w:hAnsi="Arial"/>
          <w:sz w:val="18"/>
          <w:szCs w:val="18"/>
          <w:color w:val="auto"/>
        </w:rPr>
      </w:pPr>
    </w:p>
    <w:p>
      <w:pPr>
        <w:ind w:left="640" w:right="260" w:hanging="315"/>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operating margin was 15.9%, as compared to 8.3% for the same period last year. Non-GAAP operating margin was 30.3%, as compared to 29.1% for the same period last year.</w:t>
      </w:r>
    </w:p>
    <w:p>
      <w:pPr>
        <w:spacing w:after="0" w:line="206" w:lineRule="exact"/>
        <w:rPr>
          <w:rFonts w:ascii="Arial" w:cs="Arial" w:eastAsia="Arial" w:hAnsi="Arial"/>
          <w:sz w:val="18"/>
          <w:szCs w:val="18"/>
          <w:color w:val="auto"/>
        </w:rPr>
      </w:pPr>
    </w:p>
    <w:p>
      <w:pPr>
        <w:ind w:left="640" w:right="380" w:hanging="315"/>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net income was $79.7 million, as compared to $47.6 million for the same period last year. Non-GAAP net income was $141.5 million, as compared to $141.8 million for the same period last year.</w:t>
      </w:r>
    </w:p>
    <w:p>
      <w:pPr>
        <w:spacing w:after="0" w:line="206" w:lineRule="exact"/>
        <w:rPr>
          <w:rFonts w:ascii="Arial" w:cs="Arial" w:eastAsia="Arial" w:hAnsi="Arial"/>
          <w:sz w:val="18"/>
          <w:szCs w:val="18"/>
          <w:color w:val="auto"/>
        </w:rPr>
      </w:pPr>
    </w:p>
    <w:p>
      <w:pPr>
        <w:ind w:left="640" w:right="20" w:hanging="315"/>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Net cash provided by operating activities was $141.4 million, as compared to $115.7 million for the same period last year. Free cash flow was $130.7 million, as compared to $108.8 million for the same period last year.</w:t>
      </w:r>
    </w:p>
    <w:p>
      <w:pPr>
        <w:spacing w:after="0" w:line="206" w:lineRule="exact"/>
        <w:rPr>
          <w:rFonts w:ascii="Arial" w:cs="Arial" w:eastAsia="Arial" w:hAnsi="Arial"/>
          <w:sz w:val="18"/>
          <w:szCs w:val="18"/>
          <w:color w:val="auto"/>
        </w:rPr>
      </w:pPr>
    </w:p>
    <w:p>
      <w:pPr>
        <w:ind w:left="640" w:right="100" w:hanging="315"/>
        <w:spacing w:after="0" w:line="319" w:lineRule="auto"/>
        <w:tabs>
          <w:tab w:leader="none" w:pos="635" w:val="left"/>
        </w:tabs>
        <w:numPr>
          <w:ilvl w:val="1"/>
          <w:numId w:val="2"/>
        </w:numPr>
        <w:rPr>
          <w:rFonts w:ascii="Arial" w:cs="Arial" w:eastAsia="Arial" w:hAnsi="Arial"/>
          <w:sz w:val="16"/>
          <w:szCs w:val="16"/>
          <w:color w:val="auto"/>
        </w:rPr>
      </w:pPr>
      <w:r>
        <w:rPr>
          <w:rFonts w:ascii="Arial" w:cs="Arial" w:eastAsia="Arial" w:hAnsi="Arial"/>
          <w:sz w:val="16"/>
          <w:szCs w:val="16"/>
          <w:color w:val="auto"/>
        </w:rPr>
        <w:t>GAAP diluted net income per share attributable to common stockholders was $0.21, as compared to $0.12 for the same period last year. Non-GAAP diluted net income per share attributable to common stockholders was $0.38, as compared to $0.35 for the same period last year.</w:t>
      </w:r>
      <w:r>
        <w:rPr>
          <w:rFonts w:ascii="Arial" w:cs="Arial" w:eastAsia="Arial" w:hAnsi="Arial"/>
          <w:sz w:val="21"/>
          <w:szCs w:val="21"/>
          <w:color w:val="auto"/>
          <w:vertAlign w:val="superscript"/>
        </w:rPr>
        <w:t>(3)</w:t>
      </w:r>
    </w:p>
    <w:p>
      <w:pPr>
        <w:spacing w:after="0" w:line="98" w:lineRule="exact"/>
        <w:rPr>
          <w:rFonts w:ascii="Arial" w:cs="Arial" w:eastAsia="Arial" w:hAnsi="Arial"/>
          <w:sz w:val="16"/>
          <w:szCs w:val="16"/>
          <w:color w:val="auto"/>
        </w:rPr>
      </w:pPr>
    </w:p>
    <w:p>
      <w:pPr>
        <w:ind w:left="640" w:hanging="315"/>
        <w:spacing w:after="0"/>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Cash, cash equivalents and short-term investments ended at $1.496 billion.</w:t>
      </w:r>
    </w:p>
    <w:p>
      <w:pPr>
        <w:spacing w:after="0" w:line="244" w:lineRule="exact"/>
        <w:rPr>
          <w:rFonts w:ascii="Arial" w:cs="Arial" w:eastAsia="Arial" w:hAnsi="Arial"/>
          <w:sz w:val="18"/>
          <w:szCs w:val="18"/>
          <w:color w:val="auto"/>
        </w:rPr>
      </w:pPr>
    </w:p>
    <w:p>
      <w:pPr>
        <w:ind w:left="160" w:hanging="154"/>
        <w:spacing w:after="0"/>
        <w:tabs>
          <w:tab w:leader="none" w:pos="16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We calculate constant currency revenue growth rates by applying the prior period weighted average exchange rates to current period results.</w:t>
      </w:r>
    </w:p>
    <w:p>
      <w:pPr>
        <w:spacing w:after="0" w:line="220" w:lineRule="exact"/>
        <w:rPr>
          <w:rFonts w:ascii="Arial" w:cs="Arial" w:eastAsia="Arial" w:hAnsi="Arial"/>
          <w:sz w:val="18"/>
          <w:szCs w:val="18"/>
          <w:color w:val="auto"/>
          <w:vertAlign w:val="superscript"/>
        </w:rPr>
      </w:pPr>
    </w:p>
    <w:p>
      <w:pPr>
        <w:ind w:right="140" w:firstLine="6"/>
        <w:spacing w:after="0" w:line="296" w:lineRule="auto"/>
        <w:tabs>
          <w:tab w:leader="none" w:pos="147" w:val="left"/>
        </w:tabs>
        <w:numPr>
          <w:ilvl w:val="0"/>
          <w:numId w:val="2"/>
        </w:numPr>
        <w:rPr>
          <w:rFonts w:ascii="Arial" w:cs="Arial" w:eastAsia="Arial" w:hAnsi="Arial"/>
          <w:sz w:val="17"/>
          <w:szCs w:val="17"/>
          <w:color w:val="auto"/>
          <w:vertAlign w:val="superscript"/>
        </w:rPr>
      </w:pPr>
      <w:r>
        <w:rPr>
          <w:rFonts w:ascii="Arial" w:cs="Arial" w:eastAsia="Arial" w:hAnsi="Arial"/>
          <w:sz w:val="13"/>
          <w:szCs w:val="13"/>
          <w:color w:val="auto"/>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exchange rate to prior period results.</w:t>
      </w:r>
    </w:p>
    <w:p>
      <w:pPr>
        <w:spacing w:after="0" w:line="187" w:lineRule="exact"/>
        <w:rPr>
          <w:rFonts w:ascii="Arial" w:cs="Arial" w:eastAsia="Arial" w:hAnsi="Arial"/>
          <w:sz w:val="17"/>
          <w:szCs w:val="17"/>
          <w:color w:val="auto"/>
          <w:vertAlign w:val="superscript"/>
        </w:rPr>
      </w:pPr>
    </w:p>
    <w:p>
      <w:pPr>
        <w:ind w:right="160" w:firstLine="6"/>
        <w:spacing w:after="0" w:line="275" w:lineRule="auto"/>
        <w:tabs>
          <w:tab w:leader="none" w:pos="163" w:val="left"/>
        </w:tabs>
        <w:numPr>
          <w:ilvl w:val="0"/>
          <w:numId w:val="2"/>
        </w:numPr>
        <w:rPr>
          <w:rFonts w:ascii="Arial" w:cs="Arial" w:eastAsia="Arial" w:hAnsi="Arial"/>
          <w:sz w:val="19"/>
          <w:szCs w:val="19"/>
          <w:color w:val="auto"/>
          <w:vertAlign w:val="superscript"/>
        </w:rPr>
      </w:pPr>
      <w:r>
        <w:rPr>
          <w:rFonts w:ascii="Arial" w:cs="Arial" w:eastAsia="Arial" w:hAnsi="Arial"/>
          <w:sz w:val="13"/>
          <w:szCs w:val="13"/>
          <w:color w:val="auto"/>
        </w:rPr>
        <w:t>Non-GAAP diluted net income per share attributable to common stockholders is calculated based upon 372.9 million and 405.4 million diluted weighted-average shares of common stock for the three months ended March 31, 2022 and 2021, respectively.</w:t>
      </w:r>
    </w:p>
    <w:p>
      <w:pPr>
        <w:sectPr>
          <w:pgSz w:w="11900" w:h="16838" w:orient="portrait"/>
          <w:cols w:equalWidth="0" w:num="1">
            <w:col w:w="11240"/>
          </w:cols>
          <w:pgMar w:left="320" w:top="87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Outlook</w:t>
      </w:r>
    </w:p>
    <w:p>
      <w:pPr>
        <w:spacing w:after="0" w:line="251"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 xml:space="preserve">Dropbox will provide forward-looking guidance in connection with this quarterly earnings announcement on its conference call, webcast, and on its investor relations website at </w:t>
      </w:r>
      <w:r>
        <w:rPr>
          <w:rFonts w:ascii="Arial" w:cs="Arial" w:eastAsia="Arial" w:hAnsi="Arial"/>
          <w:sz w:val="18"/>
          <w:szCs w:val="18"/>
          <w:u w:val="single" w:color="auto"/>
          <w:color w:val="auto"/>
        </w:rPr>
        <w:t>http://investors.dropbox.com</w:t>
      </w:r>
      <w:r>
        <w:rPr>
          <w:rFonts w:ascii="Arial" w:cs="Arial" w:eastAsia="Arial" w:hAnsi="Arial"/>
          <w:sz w:val="18"/>
          <w:szCs w:val="18"/>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51" w:lineRule="exact"/>
        <w:rPr>
          <w:sz w:val="20"/>
          <w:szCs w:val="20"/>
          <w:color w:val="auto"/>
        </w:rPr>
      </w:pPr>
    </w:p>
    <w:p>
      <w:pPr>
        <w:ind w:right="120"/>
        <w:spacing w:after="0" w:line="313" w:lineRule="auto"/>
        <w:rPr>
          <w:sz w:val="20"/>
          <w:szCs w:val="20"/>
          <w:color w:val="auto"/>
        </w:rPr>
      </w:pPr>
      <w:r>
        <w:rPr>
          <w:rFonts w:ascii="Arial" w:cs="Arial" w:eastAsia="Arial" w:hAnsi="Arial"/>
          <w:sz w:val="15"/>
          <w:szCs w:val="15"/>
          <w:color w:val="auto"/>
        </w:rPr>
        <w:t xml:space="preserve">Dropbox plans to host a conference call today to review its first quarter financial results and to discuss its financial outlook. This call is scheduled to begin at 2:00 p.m. PT / 5:00 p.m. ET and can be accessed by dialing (877) 300-7844 from the United States or (786) 815-8440 internationally with reference to the company name and conference title, and a live webcast and replay of the conference call can be accessed from the Dropbox investor relations website at </w:t>
      </w:r>
      <w:r>
        <w:rPr>
          <w:rFonts w:ascii="Arial" w:cs="Arial" w:eastAsia="Arial" w:hAnsi="Arial"/>
          <w:sz w:val="15"/>
          <w:szCs w:val="15"/>
          <w:u w:val="single" w:color="auto"/>
          <w:color w:val="auto"/>
        </w:rPr>
        <w:t>http://investors.dropbox.com</w:t>
      </w:r>
      <w:r>
        <w:rPr>
          <w:rFonts w:ascii="Arial" w:cs="Arial" w:eastAsia="Arial" w:hAnsi="Arial"/>
          <w:sz w:val="15"/>
          <w:szCs w:val="15"/>
          <w:color w:val="auto"/>
        </w:rPr>
        <w:t>. Following the completion of the call, a telephonic replay will be available through 5:00 p.m. PT / 8:00 p.m. ET on May 12, 2022 at (855) 859-2056 from the United States or (404) 537-3406 internationally with recording access code 5338719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Upcoming Events</w:t>
      </w:r>
    </w:p>
    <w:p>
      <w:pPr>
        <w:spacing w:after="0" w:line="251" w:lineRule="exact"/>
        <w:rPr>
          <w:sz w:val="20"/>
          <w:szCs w:val="20"/>
          <w:color w:val="auto"/>
        </w:rPr>
      </w:pPr>
    </w:p>
    <w:p>
      <w:pPr>
        <w:ind w:left="640" w:hanging="31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Timothy Young, President, will be presenting at the Jefferies Software Conference on Thursday, June 2</w:t>
      </w:r>
    </w:p>
    <w:p>
      <w:pPr>
        <w:spacing w:after="0" w:line="245" w:lineRule="exact"/>
        <w:rPr>
          <w:sz w:val="20"/>
          <w:szCs w:val="20"/>
          <w:color w:val="auto"/>
        </w:rPr>
      </w:pPr>
    </w:p>
    <w:p>
      <w:pPr>
        <w:ind w:right="340"/>
        <w:spacing w:after="0" w:line="265" w:lineRule="auto"/>
        <w:rPr>
          <w:sz w:val="20"/>
          <w:szCs w:val="20"/>
          <w:color w:val="auto"/>
        </w:rPr>
      </w:pPr>
      <w:r>
        <w:rPr>
          <w:rFonts w:ascii="Arial" w:cs="Arial" w:eastAsia="Arial" w:hAnsi="Arial"/>
          <w:sz w:val="18"/>
          <w:szCs w:val="18"/>
          <w:color w:val="auto"/>
        </w:rPr>
        <w:t>During these events, a live webcast will be accessible from the Dropbox investor relations website at http://investors.dropbox.com. Following the event, a replay will be made available at the same location.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Dropbox</w:t>
      </w:r>
    </w:p>
    <w:p>
      <w:pPr>
        <w:spacing w:after="0" w:line="2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Dropbox is the one place to keep life organized and keep work moving. With more than 700 million registered users across 180 countries, we're on a mission to design a more enlightened way of working. Dropbox is headquartered in San Francisco, CA, and has offices around the world. For more information on our mission and products, visit </w:t>
      </w:r>
      <w:r>
        <w:rPr>
          <w:rFonts w:ascii="Arial" w:cs="Arial" w:eastAsia="Arial" w:hAnsi="Arial"/>
          <w:sz w:val="18"/>
          <w:szCs w:val="18"/>
          <w:u w:val="single" w:color="auto"/>
          <w:color w:val="auto"/>
        </w:rPr>
        <w:t>http://dropbox.com</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51"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1"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including, among other things, our expectations regarding distributed work trends, related market opportunities and our ability to capitalize on those opportunities. Words such as "believe," "may," "will," "estimate," "continue," "anticipate," "intend," "expect," "plans," and similar expressions are intended to identify forward-looking statements. Dropbox has based these forward-looking statements largely on its current expectations and projections about future events and financial trends that Dropbox believes may affect its business, financial condition, and results of operations. These forward-looking statements speak only as of the date of this press release and are subject to risks, uncertainties, and assumptions including, but not limited to: (i) our ability to realize anticipated benefits to our business from our shift to a Virtual First work model as well as impacts to our financial results and business operations as a result of this shift, (ii) impacts to our financial results, business operations and the business of our customers, suppliers, partners and the economy as a result of the COVID-19 pandemic, and related public health measures, as well as the potential for a more permanent global shift to remote work, (iii) our ability to retain and upgrade paying users, and increase our recurring revenue; (iv) our ability to attract new users or convert registered users to paying users; (v) our future financial performance, including trends in revenue, costs of revenue, gross profit or gross margin, operating expenses, paying users, and free cash flow; (vi) our history of net losses and our ability to achieve or maintain profitability; (vii) our liability for any unauthorized access to our data or our users’ content, including through privacy and data security breaches; (viii) significant disruption of service on our platform or loss of content; (ix) any decline in demand for our platform or for content collaboration solutions in general; (x) changes in the interoperability of our platform across devices, operating systems, and third-party applications that we do not control; (xi) competition in our markets; (xii) our ability to respond to rapid technological changes, extend our platform, develop new features or products, or gain market acceptance for such new features or products, particularly in light of potential disruptions to the productivity of our employees that may result from our shift to a Virtual First work model; (xiii) our ability to manage our growth or plan for future growth; (xiv) our acquisition of other businesses and the potential of such acquisitions to require significant management attention, disrupt our business, or dilute stockholder value; (xv) our ability to attract and retain key personnel and highly qualified personnel; (xvi) our capital allocation</w:t>
      </w:r>
    </w:p>
    <w:p>
      <w:pPr>
        <w:sectPr>
          <w:pgSz w:w="11900" w:h="16838" w:orient="portrait"/>
          <w:cols w:equalWidth="0" w:num="1">
            <w:col w:w="11240"/>
          </w:cols>
          <w:pgMar w:left="320" w:top="878" w:right="339" w:bottom="1440" w:gutter="0" w:footer="0" w:header="0"/>
        </w:sectPr>
      </w:pPr>
    </w:p>
    <w:bookmarkStart w:id="5" w:name="page6"/>
    <w:bookmarkEnd w:id="5"/>
    <w:p>
      <w:pPr>
        <w:spacing w:after="0" w:line="307" w:lineRule="auto"/>
        <w:rPr>
          <w:sz w:val="20"/>
          <w:szCs w:val="20"/>
          <w:color w:val="auto"/>
        </w:rPr>
      </w:pPr>
      <w:r>
        <w:rPr>
          <w:rFonts w:ascii="Arial" w:cs="Arial" w:eastAsia="Arial" w:hAnsi="Arial"/>
          <w:sz w:val="15"/>
          <w:szCs w:val="15"/>
          <w:color w:val="auto"/>
        </w:rPr>
        <w:t>plans with respect to our stock repurchase program and other investments; and (xvii)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10-K for the year ended December 31, 2021. Additional information will be made available in our quarterly report on Form 10-Q for the quarter ended March 31, 2022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pgSz w:w="11900" w:h="16838" w:orient="portrait"/>
          <w:cols w:equalWidth="0" w:num="1">
            <w:col w:w="11160"/>
          </w:cols>
          <w:pgMar w:left="320" w:top="884" w:right="419" w:bottom="1440" w:gutter="0" w:footer="0" w:header="0"/>
        </w:sectPr>
      </w:pPr>
    </w:p>
    <w:bookmarkStart w:id="6" w:name="page7"/>
    <w:bookmarkEnd w:id="6"/>
    <w:p>
      <w:pPr>
        <w:jc w:val="center"/>
        <w:ind w:right="-1094"/>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ind w:right="-1094"/>
        <w:spacing w:after="0"/>
        <w:rPr>
          <w:sz w:val="20"/>
          <w:szCs w:val="20"/>
          <w:color w:val="auto"/>
        </w:rPr>
      </w:pPr>
      <w:r>
        <w:rPr>
          <w:rFonts w:ascii="Arial" w:cs="Arial" w:eastAsia="Arial" w:hAnsi="Arial"/>
          <w:sz w:val="21"/>
          <w:szCs w:val="21"/>
          <w:b w:val="1"/>
          <w:bCs w:val="1"/>
          <w:color w:val="auto"/>
        </w:rPr>
        <w:t>Condensed Consolidated Statements of Operations</w:t>
      </w:r>
    </w:p>
    <w:p>
      <w:pPr>
        <w:spacing w:after="0" w:line="3" w:lineRule="exact"/>
        <w:rPr>
          <w:sz w:val="20"/>
          <w:szCs w:val="20"/>
          <w:color w:val="auto"/>
        </w:rPr>
      </w:pPr>
    </w:p>
    <w:p>
      <w:pPr>
        <w:jc w:val="center"/>
        <w:ind w:right="-1094"/>
        <w:spacing w:after="0"/>
        <w:rPr>
          <w:sz w:val="20"/>
          <w:szCs w:val="20"/>
          <w:color w:val="auto"/>
        </w:rPr>
      </w:pPr>
      <w:r>
        <w:rPr>
          <w:rFonts w:ascii="Arial" w:cs="Arial" w:eastAsia="Arial" w:hAnsi="Arial"/>
          <w:sz w:val="18"/>
          <w:szCs w:val="18"/>
          <w:i w:val="1"/>
          <w:iCs w:val="1"/>
          <w:color w:val="auto"/>
        </w:rPr>
        <w:t>(In millions, except per share data)</w:t>
      </w:r>
    </w:p>
    <w:p>
      <w:pPr>
        <w:spacing w:after="0" w:line="3" w:lineRule="exact"/>
        <w:rPr>
          <w:sz w:val="20"/>
          <w:szCs w:val="20"/>
          <w:color w:val="auto"/>
        </w:rPr>
      </w:pPr>
    </w:p>
    <w:p>
      <w:pPr>
        <w:jc w:val="center"/>
        <w:ind w:right="-1094"/>
        <w:spacing w:after="0"/>
        <w:rPr>
          <w:sz w:val="20"/>
          <w:szCs w:val="20"/>
          <w:color w:val="auto"/>
        </w:rPr>
      </w:pPr>
      <w:r>
        <w:rPr>
          <w:rFonts w:ascii="Arial" w:cs="Arial" w:eastAsia="Arial" w:hAnsi="Arial"/>
          <w:sz w:val="18"/>
          <w:szCs w:val="18"/>
          <w:i w:val="1"/>
          <w:iCs w:val="1"/>
          <w:color w:val="auto"/>
        </w:rPr>
        <w:t>(Unaudited)</w:t>
      </w:r>
    </w:p>
    <w:p>
      <w:pPr>
        <w:spacing w:after="0" w:line="107" w:lineRule="exact"/>
        <w:rPr>
          <w:sz w:val="20"/>
          <w:szCs w:val="20"/>
          <w:color w:val="auto"/>
        </w:rPr>
      </w:pPr>
    </w:p>
    <w:p>
      <w:pPr>
        <w:jc w:val="center"/>
        <w:ind w:left="3680"/>
        <w:spacing w:after="0"/>
        <w:rPr>
          <w:sz w:val="20"/>
          <w:szCs w:val="20"/>
          <w:color w:val="auto"/>
        </w:rPr>
      </w:pPr>
      <w:r>
        <w:rPr>
          <w:rFonts w:ascii="Arial" w:cs="Arial" w:eastAsia="Arial" w:hAnsi="Arial"/>
          <w:sz w:val="18"/>
          <w:szCs w:val="18"/>
          <w:b w:val="1"/>
          <w:bCs w:val="1"/>
          <w:color w:val="auto"/>
        </w:rPr>
        <w:t>Three Months Ended</w:t>
      </w:r>
    </w:p>
    <w:p>
      <w:pPr>
        <w:jc w:val="center"/>
        <w:ind w:left="3680"/>
        <w:spacing w:after="0"/>
        <w:rPr>
          <w:sz w:val="20"/>
          <w:szCs w:val="20"/>
          <w:color w:val="auto"/>
        </w:rPr>
      </w:pPr>
      <w:r>
        <w:rPr>
          <w:rFonts w:ascii="Arial" w:cs="Arial" w:eastAsia="Arial" w:hAnsi="Arial"/>
          <w:sz w:val="18"/>
          <w:szCs w:val="18"/>
          <w:b w:val="1"/>
          <w:bCs w:val="1"/>
          <w:color w:val="auto"/>
        </w:rPr>
        <w:t>March 31,</w:t>
      </w:r>
    </w:p>
    <w:p>
      <w:pPr>
        <w:spacing w:after="0" w:line="3" w:lineRule="exact"/>
        <w:rPr>
          <w:sz w:val="20"/>
          <w:szCs w:val="20"/>
          <w:color w:val="auto"/>
        </w:rPr>
      </w:pPr>
    </w:p>
    <w:tbl>
      <w:tblPr>
        <w:tblLayout w:type="fixed"/>
        <w:tblInd w:w="1914" w:type="dxa"/>
        <w:tblCellMar>
          <w:top w:w="0" w:type="dxa"/>
          <w:left w:w="0" w:type="dxa"/>
          <w:bottom w:w="0" w:type="dxa"/>
          <w:right w:w="0" w:type="dxa"/>
        </w:tblCellMar>
      </w:tblPr>
      <w:tr>
        <w:trPr>
          <w:trHeight w:val="220"/>
        </w:trPr>
        <w:tc>
          <w:tcPr>
            <w:tcW w:w="370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Revenue</w:t>
            </w:r>
          </w:p>
        </w:tc>
        <w:tc>
          <w:tcPr>
            <w:tcW w:w="1200" w:type="dxa"/>
            <w:vAlign w:val="bottom"/>
            <w:shd w:val="clear" w:color="auto" w:fill="CCEEFF"/>
          </w:tcPr>
          <w:p>
            <w:pPr>
              <w:jc w:val="right"/>
              <w:ind w:right="101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0" w:type="dxa"/>
            <w:vAlign w:val="bottom"/>
          </w:tcPr>
          <w:p>
            <w:pPr>
              <w:spacing w:after="0"/>
              <w:rPr>
                <w:sz w:val="1"/>
                <w:szCs w:val="1"/>
                <w:color w:val="auto"/>
              </w:rPr>
            </w:pPr>
          </w:p>
        </w:tc>
      </w:tr>
      <w:tr>
        <w:trPr>
          <w:trHeight w:val="226"/>
        </w:trPr>
        <w:tc>
          <w:tcPr>
            <w:tcW w:w="3700" w:type="dxa"/>
            <w:vAlign w:val="bottom"/>
            <w:tcBorders>
              <w:bottom w:val="single" w:sz="8" w:color="CCEEFF"/>
            </w:tcBorders>
          </w:tcPr>
          <w:p>
            <w:pPr>
              <w:ind w:left="240"/>
              <w:spacing w:after="0" w:line="225"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1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226"/>
        </w:trPr>
        <w:tc>
          <w:tcPr>
            <w:tcW w:w="3700" w:type="dxa"/>
            <w:vAlign w:val="bottom"/>
          </w:tcPr>
          <w:p>
            <w:pPr>
              <w:spacing w:after="0" w:line="225"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25"/>
        </w:trPr>
        <w:tc>
          <w:tcPr>
            <w:tcW w:w="370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26"/>
        </w:trPr>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26"/>
        </w:trPr>
        <w:tc>
          <w:tcPr>
            <w:tcW w:w="3700" w:type="dxa"/>
            <w:vAlign w:val="bottom"/>
          </w:tcPr>
          <w:p>
            <w:pPr>
              <w:ind w:left="200"/>
              <w:spacing w:after="0" w:line="225" w:lineRule="exact"/>
              <w:rPr>
                <w:sz w:val="20"/>
                <w:szCs w:val="20"/>
                <w:color w:val="auto"/>
              </w:rPr>
            </w:pPr>
            <w:r>
              <w:rPr>
                <w:rFonts w:ascii="Arial" w:cs="Arial" w:eastAsia="Arial" w:hAnsi="Arial"/>
                <w:sz w:val="18"/>
                <w:szCs w:val="18"/>
                <w:color w:val="auto"/>
              </w:rPr>
              <w:t>Impairment related to real estate assets</w:t>
            </w:r>
            <w:r>
              <w:rPr>
                <w:rFonts w:ascii="Arial" w:cs="Arial" w:eastAsia="Arial" w:hAnsi="Arial"/>
                <w:sz w:val="23"/>
                <w:szCs w:val="23"/>
                <w:color w:val="auto"/>
                <w:vertAlign w:val="superscript"/>
              </w:rPr>
              <w:t>(2)</w:t>
            </w:r>
          </w:p>
        </w:tc>
        <w:tc>
          <w:tcPr>
            <w:tcW w:w="12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9"/>
        </w:trPr>
        <w:tc>
          <w:tcPr>
            <w:tcW w:w="37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Total operating expenses</w:t>
            </w:r>
          </w:p>
        </w:tc>
        <w:tc>
          <w:tcPr>
            <w:tcW w:w="12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18"/>
        </w:trPr>
        <w:tc>
          <w:tcPr>
            <w:tcW w:w="3700" w:type="dxa"/>
            <w:vAlign w:val="bottom"/>
          </w:tcPr>
          <w:p>
            <w:pPr>
              <w:spacing w:after="0" w:line="205" w:lineRule="exact"/>
              <w:rPr>
                <w:sz w:val="20"/>
                <w:szCs w:val="20"/>
                <w:color w:val="auto"/>
              </w:rPr>
            </w:pPr>
            <w:r>
              <w:rPr>
                <w:rFonts w:ascii="Arial" w:cs="Arial" w:eastAsia="Arial" w:hAnsi="Arial"/>
                <w:sz w:val="18"/>
                <w:szCs w:val="18"/>
                <w:color w:val="auto"/>
              </w:rPr>
              <w:t>Income from operations</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5"/>
        </w:trPr>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1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0"/>
        </w:trPr>
        <w:tc>
          <w:tcPr>
            <w:tcW w:w="37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Income before income taxes</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25"/>
        </w:trPr>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benefit from income taxes</w:t>
            </w:r>
          </w:p>
        </w:tc>
        <w:tc>
          <w:tcPr>
            <w:tcW w:w="1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Net income</w:t>
            </w:r>
          </w:p>
        </w:tc>
        <w:tc>
          <w:tcPr>
            <w:tcW w:w="1200" w:type="dxa"/>
            <w:vAlign w:val="bottom"/>
            <w:tcBorders>
              <w:bottom w:val="single" w:sz="8" w:color="auto"/>
            </w:tcBorders>
            <w:shd w:val="clear" w:color="auto" w:fill="CCEEFF"/>
          </w:tcPr>
          <w:p>
            <w:pPr>
              <w:jc w:val="right"/>
              <w:ind w:right="101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net income per share</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700" w:type="dxa"/>
            <w:vAlign w:val="bottom"/>
            <w:vMerge w:val="continue"/>
          </w:tcPr>
          <w:p>
            <w:pPr>
              <w:spacing w:after="0"/>
              <w:rPr>
                <w:sz w:val="17"/>
                <w:szCs w:val="17"/>
                <w:color w:val="auto"/>
              </w:rPr>
            </w:pPr>
          </w:p>
        </w:tc>
        <w:tc>
          <w:tcPr>
            <w:tcW w:w="1200" w:type="dxa"/>
            <w:vAlign w:val="bottom"/>
            <w:tcBorders>
              <w:bottom w:val="single" w:sz="8" w:color="auto"/>
            </w:tcBorders>
          </w:tcPr>
          <w:p>
            <w:pPr>
              <w:jc w:val="right"/>
              <w:ind w:right="1011"/>
              <w:spacing w:after="0" w:line="199"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0.22</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1"/>
              <w:spacing w:after="0" w:line="199"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700" w:type="dxa"/>
            <w:vAlign w:val="bottom"/>
            <w:tcBorders>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Diluted net income per share</w:t>
            </w:r>
          </w:p>
        </w:tc>
        <w:tc>
          <w:tcPr>
            <w:tcW w:w="1200" w:type="dxa"/>
            <w:vAlign w:val="bottom"/>
            <w:tcBorders>
              <w:bottom w:val="single" w:sz="8" w:color="auto"/>
            </w:tcBorders>
            <w:shd w:val="clear" w:color="auto" w:fill="CCEEFF"/>
          </w:tcPr>
          <w:p>
            <w:pPr>
              <w:jc w:val="right"/>
              <w:ind w:right="101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spacing w:after="0" w:line="161" w:lineRule="exact"/>
              <w:rPr>
                <w:sz w:val="20"/>
                <w:szCs w:val="20"/>
                <w:color w:val="auto"/>
              </w:rPr>
            </w:pPr>
            <w:r>
              <w:rPr>
                <w:rFonts w:ascii="Arial" w:cs="Arial" w:eastAsia="Arial" w:hAnsi="Arial"/>
                <w:sz w:val="18"/>
                <w:szCs w:val="18"/>
                <w:color w:val="auto"/>
                <w:w w:val="95"/>
              </w:rPr>
              <w:t>Weighted-average shares used in computing net</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70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00" w:type="dxa"/>
            <w:vAlign w:val="bottom"/>
          </w:tcPr>
          <w:p>
            <w:pPr>
              <w:ind w:left="160"/>
              <w:spacing w:after="0" w:line="173" w:lineRule="exact"/>
              <w:rPr>
                <w:sz w:val="20"/>
                <w:szCs w:val="20"/>
                <w:color w:val="auto"/>
              </w:rPr>
            </w:pPr>
            <w:r>
              <w:rPr>
                <w:rFonts w:ascii="Arial" w:cs="Arial" w:eastAsia="Arial" w:hAnsi="Arial"/>
                <w:sz w:val="18"/>
                <w:szCs w:val="18"/>
                <w:color w:val="auto"/>
              </w:rPr>
              <w:t>income per share attributable to common</w:t>
            </w:r>
          </w:p>
        </w:tc>
        <w:tc>
          <w:tcPr>
            <w:tcW w:w="12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370.7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198"/>
        </w:trPr>
        <w:tc>
          <w:tcPr>
            <w:tcW w:w="3700" w:type="dxa"/>
            <w:vAlign w:val="bottom"/>
          </w:tcPr>
          <w:p>
            <w:pPr>
              <w:ind w:left="160"/>
              <w:spacing w:after="0" w:line="198" w:lineRule="exact"/>
              <w:rPr>
                <w:sz w:val="20"/>
                <w:szCs w:val="20"/>
                <w:color w:val="auto"/>
              </w:rPr>
            </w:pPr>
            <w:r>
              <w:rPr>
                <w:rFonts w:ascii="Arial" w:cs="Arial" w:eastAsia="Arial" w:hAnsi="Arial"/>
                <w:sz w:val="18"/>
                <w:szCs w:val="18"/>
                <w:color w:val="auto"/>
              </w:rPr>
              <w:t>stockholders, basic</w:t>
            </w:r>
          </w:p>
        </w:tc>
        <w:tc>
          <w:tcPr>
            <w:tcW w:w="1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700" w:type="dxa"/>
            <w:vAlign w:val="bottom"/>
            <w:shd w:val="clear" w:color="auto" w:fill="CCEEFF"/>
          </w:tcPr>
          <w:p>
            <w:pPr>
              <w:spacing w:after="0" w:line="140" w:lineRule="exact"/>
              <w:rPr>
                <w:sz w:val="20"/>
                <w:szCs w:val="20"/>
                <w:color w:val="auto"/>
              </w:rPr>
            </w:pPr>
            <w:r>
              <w:rPr>
                <w:rFonts w:ascii="Arial" w:cs="Arial" w:eastAsia="Arial" w:hAnsi="Arial"/>
                <w:sz w:val="15"/>
                <w:szCs w:val="15"/>
                <w:color w:val="auto"/>
              </w:rPr>
              <w:t>Weighted-average shares used in computing net</w:t>
            </w:r>
          </w:p>
        </w:tc>
        <w:tc>
          <w:tcPr>
            <w:tcW w:w="1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00" w:type="dxa"/>
            <w:vAlign w:val="bottom"/>
            <w:shd w:val="clear" w:color="auto" w:fill="CCEEFF"/>
          </w:tcPr>
          <w:p>
            <w:pPr>
              <w:ind w:left="160"/>
              <w:spacing w:after="0" w:line="173" w:lineRule="exact"/>
              <w:rPr>
                <w:sz w:val="20"/>
                <w:szCs w:val="20"/>
                <w:color w:val="auto"/>
              </w:rPr>
            </w:pPr>
            <w:r>
              <w:rPr>
                <w:rFonts w:ascii="Arial" w:cs="Arial" w:eastAsia="Arial" w:hAnsi="Arial"/>
                <w:sz w:val="18"/>
                <w:szCs w:val="18"/>
                <w:color w:val="auto"/>
              </w:rPr>
              <w:t>income per share attributable to common</w:t>
            </w:r>
          </w:p>
        </w:tc>
        <w:tc>
          <w:tcPr>
            <w:tcW w:w="12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0" w:type="dxa"/>
            <w:vAlign w:val="bottom"/>
          </w:tcPr>
          <w:p>
            <w:pPr>
              <w:spacing w:after="0"/>
              <w:rPr>
                <w:sz w:val="1"/>
                <w:szCs w:val="1"/>
                <w:color w:val="auto"/>
              </w:rPr>
            </w:pPr>
          </w:p>
        </w:tc>
      </w:tr>
      <w:tr>
        <w:trPr>
          <w:trHeight w:val="218"/>
        </w:trPr>
        <w:tc>
          <w:tcPr>
            <w:tcW w:w="3700" w:type="dxa"/>
            <w:vAlign w:val="bottom"/>
            <w:tcBorders>
              <w:bottom w:val="single" w:sz="8" w:color="CCEEFF"/>
            </w:tcBorders>
            <w:shd w:val="clear" w:color="auto" w:fill="CCEEFF"/>
          </w:tcPr>
          <w:p>
            <w:pPr>
              <w:ind w:left="160"/>
              <w:spacing w:after="0" w:line="198" w:lineRule="exact"/>
              <w:rPr>
                <w:sz w:val="20"/>
                <w:szCs w:val="20"/>
                <w:color w:val="auto"/>
              </w:rPr>
            </w:pPr>
            <w:r>
              <w:rPr>
                <w:rFonts w:ascii="Arial" w:cs="Arial" w:eastAsia="Arial" w:hAnsi="Arial"/>
                <w:sz w:val="18"/>
                <w:szCs w:val="18"/>
                <w:color w:val="auto"/>
              </w:rPr>
              <w:t>stockholders, diluted</w:t>
            </w:r>
          </w:p>
        </w:tc>
        <w:tc>
          <w:tcPr>
            <w:tcW w:w="1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left="174" w:hanging="174"/>
        <w:spacing w:after="0"/>
        <w:tabs>
          <w:tab w:leader="none" w:pos="174"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Includes stock-based compensation expense as follows:</w:t>
      </w:r>
    </w:p>
    <w:p>
      <w:pPr>
        <w:spacing w:after="0" w:line="105" w:lineRule="exact"/>
        <w:rPr>
          <w:sz w:val="20"/>
          <w:szCs w:val="20"/>
          <w:color w:val="auto"/>
        </w:rPr>
      </w:pPr>
    </w:p>
    <w:p>
      <w:pPr>
        <w:jc w:val="center"/>
        <w:ind w:left="3680"/>
        <w:spacing w:after="0"/>
        <w:rPr>
          <w:sz w:val="20"/>
          <w:szCs w:val="20"/>
          <w:color w:val="auto"/>
        </w:rPr>
      </w:pPr>
      <w:r>
        <w:rPr>
          <w:rFonts w:ascii="Arial" w:cs="Arial" w:eastAsia="Arial" w:hAnsi="Arial"/>
          <w:sz w:val="18"/>
          <w:szCs w:val="18"/>
          <w:b w:val="1"/>
          <w:bCs w:val="1"/>
          <w:color w:val="auto"/>
        </w:rPr>
        <w:t>Three Months Ended</w:t>
      </w:r>
    </w:p>
    <w:p>
      <w:pPr>
        <w:jc w:val="center"/>
        <w:ind w:left="3680"/>
        <w:spacing w:after="0"/>
        <w:rPr>
          <w:sz w:val="20"/>
          <w:szCs w:val="20"/>
          <w:color w:val="auto"/>
        </w:rPr>
      </w:pPr>
      <w:r>
        <w:rPr>
          <w:rFonts w:ascii="Arial" w:cs="Arial" w:eastAsia="Arial" w:hAnsi="Arial"/>
          <w:sz w:val="18"/>
          <w:szCs w:val="18"/>
          <w:b w:val="1"/>
          <w:bCs w:val="1"/>
          <w:color w:val="auto"/>
        </w:rPr>
        <w:t>March 31,</w:t>
      </w:r>
    </w:p>
    <w:p>
      <w:pPr>
        <w:spacing w:after="0" w:line="3" w:lineRule="exact"/>
        <w:rPr>
          <w:sz w:val="20"/>
          <w:szCs w:val="20"/>
          <w:color w:val="auto"/>
        </w:rPr>
      </w:pPr>
    </w:p>
    <w:tbl>
      <w:tblPr>
        <w:tblLayout w:type="fixed"/>
        <w:tblInd w:w="1914" w:type="dxa"/>
        <w:tblCellMar>
          <w:top w:w="0" w:type="dxa"/>
          <w:left w:w="0" w:type="dxa"/>
          <w:bottom w:w="0" w:type="dxa"/>
          <w:right w:w="0" w:type="dxa"/>
        </w:tblCellMar>
      </w:tblPr>
      <w:tr>
        <w:trPr>
          <w:trHeight w:val="220"/>
        </w:trPr>
        <w:tc>
          <w:tcPr>
            <w:tcW w:w="370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2021</w:t>
            </w:r>
          </w:p>
        </w:tc>
      </w:tr>
      <w:tr>
        <w:trPr>
          <w:trHeight w:val="219"/>
        </w:trPr>
        <w:tc>
          <w:tcPr>
            <w:tcW w:w="3700" w:type="dxa"/>
            <w:vAlign w:val="bottom"/>
            <w:shd w:val="clear" w:color="auto" w:fill="CCEEFF"/>
          </w:tcPr>
          <w:p>
            <w:pPr>
              <w:ind w:left="200"/>
              <w:spacing w:after="0" w:line="205" w:lineRule="exact"/>
              <w:rPr>
                <w:sz w:val="20"/>
                <w:szCs w:val="20"/>
                <w:color w:val="auto"/>
              </w:rPr>
            </w:pPr>
            <w:r>
              <w:rPr>
                <w:rFonts w:ascii="Arial" w:cs="Arial" w:eastAsia="Arial" w:hAnsi="Arial"/>
                <w:sz w:val="18"/>
                <w:szCs w:val="18"/>
                <w:color w:val="auto"/>
              </w:rPr>
              <w:t>Cost of revenue</w:t>
            </w:r>
          </w:p>
        </w:tc>
        <w:tc>
          <w:tcPr>
            <w:tcW w:w="1240" w:type="dxa"/>
            <w:vAlign w:val="bottom"/>
            <w:shd w:val="clear" w:color="auto" w:fill="CCEEFF"/>
          </w:tcPr>
          <w:p>
            <w:pPr>
              <w:jc w:val="right"/>
              <w:ind w:right="105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5"/>
        </w:trPr>
        <w:tc>
          <w:tcPr>
            <w:tcW w:w="37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26"/>
        </w:trPr>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5"/>
        </w:trPr>
        <w:tc>
          <w:tcPr>
            <w:tcW w:w="37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w:t>
            </w:r>
          </w:p>
        </w:tc>
      </w:tr>
    </w:tbl>
    <w:p>
      <w:pPr>
        <w:spacing w:after="0" w:line="320" w:lineRule="exact"/>
        <w:rPr>
          <w:sz w:val="20"/>
          <w:szCs w:val="20"/>
          <w:color w:val="auto"/>
        </w:rPr>
      </w:pPr>
    </w:p>
    <w:p>
      <w:pPr>
        <w:ind w:left="154" w:hanging="154"/>
        <w:spacing w:after="0"/>
        <w:tabs>
          <w:tab w:leader="none" w:pos="154"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Includes impairment charges related to real estate assets as a result of our decision to shift to a Virtual First work model.</w:t>
      </w:r>
    </w:p>
    <w:p>
      <w:pPr>
        <w:sectPr>
          <w:pgSz w:w="11900" w:h="16838" w:orient="portrait"/>
          <w:cols w:equalWidth="0" w:num="1">
            <w:col w:w="10133"/>
          </w:cols>
          <w:pgMar w:left="326" w:top="882"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(In millions)</w:t>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8"/>
                <w:szCs w:val="18"/>
                <w:b w:val="1"/>
                <w:bCs w:val="1"/>
                <w:color w:val="auto"/>
              </w:rPr>
              <w:t>As of</w:t>
            </w:r>
          </w:p>
        </w:tc>
        <w:tc>
          <w:tcPr>
            <w:tcW w:w="1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2022</w:t>
            </w:r>
          </w:p>
        </w:tc>
        <w:tc>
          <w:tcPr>
            <w:tcW w:w="260" w:type="dxa"/>
            <w:vAlign w:val="bottom"/>
          </w:tcPr>
          <w:p>
            <w:pPr>
              <w:spacing w:after="0"/>
              <w:rPr>
                <w:sz w:val="19"/>
                <w:szCs w:val="19"/>
                <w:color w:val="auto"/>
              </w:rPr>
            </w:pPr>
          </w:p>
        </w:tc>
        <w:tc>
          <w:tcPr>
            <w:tcW w:w="1940" w:type="dxa"/>
            <w:vAlign w:val="bottom"/>
          </w:tcPr>
          <w:p>
            <w:pPr>
              <w:jc w:val="right"/>
              <w:ind w:right="291"/>
              <w:spacing w:after="0"/>
              <w:rPr>
                <w:sz w:val="20"/>
                <w:szCs w:val="20"/>
                <w:color w:val="auto"/>
              </w:rPr>
            </w:pPr>
            <w:r>
              <w:rPr>
                <w:rFonts w:ascii="Arial" w:cs="Arial" w:eastAsia="Arial" w:hAnsi="Arial"/>
                <w:sz w:val="18"/>
                <w:szCs w:val="18"/>
                <w:b w:val="1"/>
                <w:bCs w:val="1"/>
                <w:color w:val="auto"/>
                <w:w w:val="94"/>
              </w:rPr>
              <w:t>December 31, 2021</w:t>
            </w:r>
          </w:p>
        </w:tc>
        <w:tc>
          <w:tcPr>
            <w:tcW w:w="0" w:type="dxa"/>
            <w:vAlign w:val="bottom"/>
          </w:tcPr>
          <w:p>
            <w:pPr>
              <w:spacing w:after="0"/>
              <w:rPr>
                <w:sz w:val="1"/>
                <w:szCs w:val="1"/>
                <w:color w:val="auto"/>
              </w:rPr>
            </w:pPr>
          </w:p>
        </w:tc>
      </w:tr>
      <w:tr>
        <w:trPr>
          <w:trHeight w:val="206"/>
        </w:trPr>
        <w:tc>
          <w:tcPr>
            <w:tcW w:w="666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1,050.1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1,185.1</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and other receivables, net</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0"/>
        </w:trPr>
        <w:tc>
          <w:tcPr>
            <w:tcW w:w="66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1,849.8</w:t>
            </w: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316.1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3,091.3</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deficit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6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and other current liabilities</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liability</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Finance lease obligation</w:t>
            </w: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18"/>
        </w:trPr>
        <w:tc>
          <w:tcPr>
            <w:tcW w:w="6660" w:type="dxa"/>
            <w:vAlign w:val="bottom"/>
          </w:tcPr>
          <w:p>
            <w:pPr>
              <w:ind w:left="20"/>
              <w:spacing w:after="0" w:line="205" w:lineRule="exact"/>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1,117.4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1,175.8</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liability, non-current</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25"/>
        </w:trPr>
        <w:tc>
          <w:tcPr>
            <w:tcW w:w="6660" w:type="dxa"/>
            <w:vAlign w:val="bottom"/>
          </w:tcPr>
          <w:p>
            <w:pPr>
              <w:ind w:left="120"/>
              <w:spacing w:after="0"/>
              <w:rPr>
                <w:sz w:val="20"/>
                <w:szCs w:val="20"/>
                <w:color w:val="auto"/>
              </w:rPr>
            </w:pPr>
            <w:r>
              <w:rPr>
                <w:rFonts w:ascii="Arial" w:cs="Arial" w:eastAsia="Arial" w:hAnsi="Arial"/>
                <w:sz w:val="18"/>
                <w:szCs w:val="18"/>
                <w:color w:val="auto"/>
              </w:rPr>
              <w:t>Finance lease obligation, non-current</w:t>
            </w: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Convertible senior notes, net, non-current</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1,370.3</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0"/>
        </w:trPr>
        <w:tc>
          <w:tcPr>
            <w:tcW w:w="66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3,385.2</w:t>
            </w:r>
          </w:p>
        </w:tc>
        <w:tc>
          <w:tcPr>
            <w:tcW w:w="0" w:type="dxa"/>
            <w:vAlign w:val="bottom"/>
          </w:tcPr>
          <w:p>
            <w:pPr>
              <w:spacing w:after="0"/>
              <w:rPr>
                <w:sz w:val="1"/>
                <w:szCs w:val="1"/>
                <w:color w:val="auto"/>
              </w:rPr>
            </w:pPr>
          </w:p>
        </w:tc>
      </w:tr>
      <w:tr>
        <w:trPr>
          <w:trHeight w:val="205"/>
        </w:trPr>
        <w:tc>
          <w:tcPr>
            <w:tcW w:w="6660" w:type="dxa"/>
            <w:vAlign w:val="bottom"/>
          </w:tcPr>
          <w:p>
            <w:pPr>
              <w:ind w:left="20"/>
              <w:spacing w:after="0" w:line="205" w:lineRule="exact"/>
              <w:rPr>
                <w:sz w:val="20"/>
                <w:szCs w:val="20"/>
                <w:color w:val="auto"/>
              </w:rPr>
            </w:pPr>
            <w:r>
              <w:rPr>
                <w:rFonts w:ascii="Arial" w:cs="Arial" w:eastAsia="Arial" w:hAnsi="Arial"/>
                <w:sz w:val="18"/>
                <w:szCs w:val="18"/>
                <w:color w:val="auto"/>
              </w:rPr>
              <w:t>Stockholders' deficit:</w:t>
            </w:r>
          </w:p>
        </w:tc>
        <w:tc>
          <w:tcPr>
            <w:tcW w:w="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paid-in-capital</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2,448.1</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(2,854.9)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(2,739.4)</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8"/>
        </w:trPr>
        <w:tc>
          <w:tcPr>
            <w:tcW w:w="6660" w:type="dxa"/>
            <w:vAlign w:val="bottom"/>
            <w:tcBorders>
              <w:bottom w:val="single" w:sz="8" w:color="CCEEFF"/>
            </w:tcBorders>
          </w:tcPr>
          <w:p>
            <w:pPr>
              <w:ind w:left="20"/>
              <w:spacing w:after="0" w:line="205" w:lineRule="exact"/>
              <w:rPr>
                <w:sz w:val="20"/>
                <w:szCs w:val="20"/>
                <w:color w:val="auto"/>
              </w:rPr>
            </w:pPr>
            <w:r>
              <w:rPr>
                <w:rFonts w:ascii="Arial" w:cs="Arial" w:eastAsia="Arial" w:hAnsi="Arial"/>
                <w:sz w:val="18"/>
                <w:szCs w:val="18"/>
                <w:color w:val="auto"/>
              </w:rPr>
              <w:t>Total stockholders' deficit</w:t>
            </w: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deficit</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3,091.3</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40" w:top="882"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Cash Flows</w:t>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i w:val="1"/>
          <w:iCs w:val="1"/>
          <w:color w:val="auto"/>
        </w:rPr>
        <w:t>(In millions)</w:t>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i w:val="1"/>
          <w:iCs w:val="1"/>
          <w:color w:val="auto"/>
        </w:rPr>
        <w:t>(Unaudited)</w:t>
      </w:r>
    </w:p>
    <w:p>
      <w:pPr>
        <w:spacing w:after="0" w:line="119" w:lineRule="exact"/>
        <w:rPr>
          <w:sz w:val="20"/>
          <w:szCs w:val="20"/>
          <w:color w:val="auto"/>
        </w:rPr>
      </w:pPr>
    </w:p>
    <w:p>
      <w:pPr>
        <w:jc w:val="center"/>
        <w:ind w:left="7060"/>
        <w:spacing w:after="0"/>
        <w:rPr>
          <w:sz w:val="20"/>
          <w:szCs w:val="20"/>
          <w:color w:val="auto"/>
        </w:rPr>
      </w:pPr>
      <w:r>
        <w:rPr>
          <w:rFonts w:ascii="Arial" w:cs="Arial" w:eastAsia="Arial" w:hAnsi="Arial"/>
          <w:sz w:val="16"/>
          <w:szCs w:val="16"/>
          <w:b w:val="1"/>
          <w:bCs w:val="1"/>
          <w:color w:val="auto"/>
        </w:rPr>
        <w:t>Three Months Ended</w:t>
      </w:r>
    </w:p>
    <w:p>
      <w:pPr>
        <w:jc w:val="center"/>
        <w:ind w:left="7060"/>
        <w:spacing w:after="0"/>
        <w:rPr>
          <w:sz w:val="20"/>
          <w:szCs w:val="20"/>
          <w:color w:val="auto"/>
        </w:rPr>
      </w:pPr>
      <w:r>
        <w:rPr>
          <w:rFonts w:ascii="Arial" w:cs="Arial" w:eastAsia="Arial" w:hAnsi="Arial"/>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8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6"/>
                <w:szCs w:val="16"/>
                <w:b w:val="1"/>
                <w:bCs w:val="1"/>
                <w:color w:val="auto"/>
              </w:rPr>
              <w:t>2021</w:t>
            </w:r>
          </w:p>
        </w:tc>
      </w:tr>
      <w:tr>
        <w:trPr>
          <w:trHeight w:val="194"/>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10"/>
        </w:trPr>
        <w:tc>
          <w:tcPr>
            <w:tcW w:w="7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18"/>
                <w:szCs w:val="18"/>
                <w:color w:val="auto"/>
              </w:rPr>
            </w:pP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47.6</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0"/>
        </w:trPr>
        <w:tc>
          <w:tcPr>
            <w:tcW w:w="70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215"/>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r>
      <w:tr>
        <w:trPr>
          <w:trHeight w:val="210"/>
        </w:trPr>
        <w:tc>
          <w:tcPr>
            <w:tcW w:w="7080" w:type="dxa"/>
            <w:vAlign w:val="bottom"/>
          </w:tcPr>
          <w:p>
            <w:pPr>
              <w:ind w:left="220"/>
              <w:spacing w:after="0"/>
              <w:rPr>
                <w:sz w:val="20"/>
                <w:szCs w:val="20"/>
                <w:color w:val="auto"/>
              </w:rPr>
            </w:pPr>
            <w:r>
              <w:rPr>
                <w:rFonts w:ascii="Arial" w:cs="Arial" w:eastAsia="Arial" w:hAnsi="Arial"/>
                <w:sz w:val="16"/>
                <w:szCs w:val="16"/>
                <w:color w:val="auto"/>
              </w:rPr>
              <w:t>Impairment related to real estate assets</w:t>
            </w:r>
          </w:p>
        </w:tc>
        <w:tc>
          <w:tcPr>
            <w:tcW w:w="1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15"/>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0"/>
        </w:trPr>
        <w:tc>
          <w:tcPr>
            <w:tcW w:w="7080" w:type="dxa"/>
            <w:vAlign w:val="bottom"/>
          </w:tcPr>
          <w:p>
            <w:pPr>
              <w:ind w:left="220"/>
              <w:spacing w:after="0"/>
              <w:rPr>
                <w:sz w:val="20"/>
                <w:szCs w:val="20"/>
                <w:color w:val="auto"/>
              </w:rPr>
            </w:pPr>
            <w:r>
              <w:rPr>
                <w:rFonts w:ascii="Arial" w:cs="Arial" w:eastAsia="Arial" w:hAnsi="Arial"/>
                <w:sz w:val="16"/>
                <w:szCs w:val="16"/>
                <w:color w:val="auto"/>
              </w:rPr>
              <w:t>Amortization of deferred commissions</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5"/>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0"/>
        </w:trPr>
        <w:tc>
          <w:tcPr>
            <w:tcW w:w="708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Trade and other receivables, net</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0"/>
        </w:trPr>
        <w:tc>
          <w:tcPr>
            <w:tcW w:w="708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5"/>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10"/>
        </w:trPr>
        <w:tc>
          <w:tcPr>
            <w:tcW w:w="70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15"/>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and other current liabilities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0"/>
        </w:trPr>
        <w:tc>
          <w:tcPr>
            <w:tcW w:w="7080" w:type="dxa"/>
            <w:vAlign w:val="bottom"/>
          </w:tcPr>
          <w:p>
            <w:pPr>
              <w:ind w:left="220"/>
              <w:spacing w:after="0"/>
              <w:rPr>
                <w:sz w:val="20"/>
                <w:szCs w:val="20"/>
                <w:color w:val="auto"/>
              </w:rPr>
            </w:pPr>
            <w:r>
              <w:rPr>
                <w:rFonts w:ascii="Arial" w:cs="Arial" w:eastAsia="Arial" w:hAnsi="Arial"/>
                <w:sz w:val="16"/>
                <w:szCs w:val="16"/>
                <w:color w:val="auto"/>
              </w:rPr>
              <w:t>Accrued compensation and benefits</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(70.6)</w:t>
            </w:r>
          </w:p>
        </w:tc>
      </w:tr>
      <w:tr>
        <w:trPr>
          <w:trHeight w:val="215"/>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10"/>
        </w:trPr>
        <w:tc>
          <w:tcPr>
            <w:tcW w:w="7080" w:type="dxa"/>
            <w:vAlign w:val="bottom"/>
          </w:tcPr>
          <w:p>
            <w:pPr>
              <w:ind w:left="220"/>
              <w:spacing w:after="0"/>
              <w:rPr>
                <w:sz w:val="20"/>
                <w:szCs w:val="20"/>
                <w:color w:val="auto"/>
              </w:rPr>
            </w:pPr>
            <w:r>
              <w:rPr>
                <w:rFonts w:ascii="Arial" w:cs="Arial" w:eastAsia="Arial" w:hAnsi="Arial"/>
                <w:sz w:val="16"/>
                <w:szCs w:val="16"/>
                <w:color w:val="auto"/>
              </w:rPr>
              <w:t>Other non-current liabilities</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215"/>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Tenant improvement allowance reimbursement</w:t>
            </w: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3"/>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w:t>
            </w:r>
          </w:p>
        </w:tc>
      </w:tr>
      <w:tr>
        <w:trPr>
          <w:trHeight w:val="19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10"/>
        </w:trPr>
        <w:tc>
          <w:tcPr>
            <w:tcW w:w="708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5"/>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Business combinations, net of cash acquired</w:t>
            </w: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w:t>
            </w:r>
          </w:p>
        </w:tc>
      </w:tr>
      <w:tr>
        <w:trPr>
          <w:trHeight w:val="210"/>
        </w:trPr>
        <w:tc>
          <w:tcPr>
            <w:tcW w:w="7080" w:type="dxa"/>
            <w:vAlign w:val="bottom"/>
          </w:tcPr>
          <w:p>
            <w:pPr>
              <w:ind w:left="220"/>
              <w:spacing w:after="0"/>
              <w:rPr>
                <w:sz w:val="20"/>
                <w:szCs w:val="20"/>
                <w:color w:val="auto"/>
              </w:rPr>
            </w:pPr>
            <w:r>
              <w:rPr>
                <w:rFonts w:ascii="Arial" w:cs="Arial" w:eastAsia="Arial" w:hAnsi="Arial"/>
                <w:sz w:val="16"/>
                <w:szCs w:val="16"/>
                <w:color w:val="auto"/>
              </w:rPr>
              <w:t>Purchases of short-term investments</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(513.9)</w:t>
            </w:r>
          </w:p>
        </w:tc>
      </w:tr>
      <w:tr>
        <w:trPr>
          <w:trHeight w:val="215"/>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sales of short-term investments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w:t>
            </w:r>
          </w:p>
        </w:tc>
      </w:tr>
      <w:tr>
        <w:trPr>
          <w:trHeight w:val="210"/>
        </w:trPr>
        <w:tc>
          <w:tcPr>
            <w:tcW w:w="7080" w:type="dxa"/>
            <w:vAlign w:val="bottom"/>
          </w:tcPr>
          <w:p>
            <w:pPr>
              <w:ind w:left="220"/>
              <w:spacing w:after="0"/>
              <w:rPr>
                <w:sz w:val="20"/>
                <w:szCs w:val="20"/>
                <w:color w:val="auto"/>
              </w:rPr>
            </w:pPr>
            <w:r>
              <w:rPr>
                <w:rFonts w:ascii="Arial" w:cs="Arial" w:eastAsia="Arial" w:hAnsi="Arial"/>
                <w:sz w:val="16"/>
                <w:szCs w:val="16"/>
                <w:color w:val="auto"/>
              </w:rPr>
              <w:t>Proceeds from maturities of short-term investments</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129.9</w:t>
            </w:r>
          </w:p>
        </w:tc>
      </w:tr>
      <w:tr>
        <w:trPr>
          <w:trHeight w:val="215"/>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3"/>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(398.8)</w:t>
            </w:r>
          </w:p>
        </w:tc>
      </w:tr>
      <w:tr>
        <w:trPr>
          <w:trHeight w:val="19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10"/>
        </w:trPr>
        <w:tc>
          <w:tcPr>
            <w:tcW w:w="7080" w:type="dxa"/>
            <w:vAlign w:val="bottom"/>
          </w:tcPr>
          <w:p>
            <w:pPr>
              <w:ind w:left="220"/>
              <w:spacing w:after="0"/>
              <w:rPr>
                <w:sz w:val="20"/>
                <w:szCs w:val="20"/>
                <w:color w:val="auto"/>
              </w:rPr>
            </w:pPr>
            <w:r>
              <w:rPr>
                <w:rFonts w:ascii="Arial" w:cs="Arial" w:eastAsia="Arial" w:hAnsi="Arial"/>
                <w:sz w:val="16"/>
                <w:szCs w:val="16"/>
                <w:color w:val="auto"/>
              </w:rPr>
              <w:t>Proceeds from issuance of convertible senior notes</w:t>
            </w:r>
          </w:p>
        </w:tc>
        <w:tc>
          <w:tcPr>
            <w:tcW w:w="1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1,389.1</w:t>
            </w:r>
          </w:p>
        </w:tc>
      </w:tr>
      <w:tr>
        <w:trPr>
          <w:trHeight w:val="215"/>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convertible note hedge in connection with issuance of convertible senior notes</w:t>
            </w: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(265.3)</w:t>
            </w:r>
          </w:p>
        </w:tc>
      </w:tr>
      <w:tr>
        <w:trPr>
          <w:trHeight w:val="210"/>
        </w:trPr>
        <w:tc>
          <w:tcPr>
            <w:tcW w:w="7080" w:type="dxa"/>
            <w:vAlign w:val="bottom"/>
          </w:tcPr>
          <w:p>
            <w:pPr>
              <w:ind w:left="220"/>
              <w:spacing w:after="0"/>
              <w:rPr>
                <w:sz w:val="20"/>
                <w:szCs w:val="20"/>
                <w:color w:val="auto"/>
              </w:rPr>
            </w:pPr>
            <w:r>
              <w:rPr>
                <w:rFonts w:ascii="Arial" w:cs="Arial" w:eastAsia="Arial" w:hAnsi="Arial"/>
                <w:sz w:val="16"/>
                <w:szCs w:val="16"/>
                <w:color w:val="auto"/>
              </w:rPr>
              <w:t>Proceeds from sale of warrants in connection with issuance of convertible senior notes</w:t>
            </w:r>
          </w:p>
        </w:tc>
        <w:tc>
          <w:tcPr>
            <w:tcW w:w="1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202.9</w:t>
            </w:r>
          </w:p>
        </w:tc>
      </w:tr>
      <w:tr>
        <w:trPr>
          <w:trHeight w:val="215"/>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debt issuance costs</w:t>
            </w: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10"/>
        </w:trPr>
        <w:tc>
          <w:tcPr>
            <w:tcW w:w="7080" w:type="dxa"/>
            <w:vAlign w:val="bottom"/>
          </w:tcPr>
          <w:p>
            <w:pPr>
              <w:ind w:left="220"/>
              <w:spacing w:after="0"/>
              <w:rPr>
                <w:sz w:val="20"/>
                <w:szCs w:val="20"/>
                <w:color w:val="auto"/>
              </w:rPr>
            </w:pPr>
            <w:r>
              <w:rPr>
                <w:rFonts w:ascii="Arial" w:cs="Arial" w:eastAsia="Arial" w:hAnsi="Arial"/>
                <w:sz w:val="16"/>
                <w:szCs w:val="16"/>
                <w:color w:val="auto"/>
              </w:rPr>
              <w:t>Payments for taxes related to net share settlement of restricted stock units and awards</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(35.8)</w:t>
            </w:r>
          </w:p>
        </w:tc>
      </w:tr>
      <w:tr>
        <w:trPr>
          <w:trHeight w:val="215"/>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common stock, net of taxes withheld</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0"/>
        </w:trPr>
        <w:tc>
          <w:tcPr>
            <w:tcW w:w="7080" w:type="dxa"/>
            <w:vAlign w:val="bottom"/>
          </w:tcPr>
          <w:p>
            <w:pPr>
              <w:ind w:left="220"/>
              <w:spacing w:after="0"/>
              <w:rPr>
                <w:sz w:val="20"/>
                <w:szCs w:val="20"/>
                <w:color w:val="auto"/>
              </w:rPr>
            </w:pPr>
            <w:r>
              <w:rPr>
                <w:rFonts w:ascii="Arial" w:cs="Arial" w:eastAsia="Arial" w:hAnsi="Arial"/>
                <w:sz w:val="16"/>
                <w:szCs w:val="16"/>
                <w:color w:val="auto"/>
              </w:rPr>
              <w:t>Principal payments on finance lease obligations</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5"/>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repurchases</w:t>
            </w: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(431.9)</w:t>
            </w:r>
          </w:p>
        </w:tc>
      </w:tr>
      <w:tr>
        <w:trPr>
          <w:trHeight w:val="203"/>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814.6</w:t>
            </w:r>
          </w:p>
        </w:tc>
      </w:tr>
      <w:tr>
        <w:trPr>
          <w:trHeight w:val="208"/>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03"/>
        </w:trPr>
        <w:tc>
          <w:tcPr>
            <w:tcW w:w="7080" w:type="dxa"/>
            <w:vAlign w:val="bottom"/>
          </w:tcPr>
          <w:p>
            <w:pPr>
              <w:ind w:left="20"/>
              <w:spacing w:after="0"/>
              <w:rPr>
                <w:sz w:val="20"/>
                <w:szCs w:val="20"/>
                <w:color w:val="auto"/>
              </w:rPr>
            </w:pPr>
            <w:r>
              <w:rPr>
                <w:rFonts w:ascii="Arial" w:cs="Arial" w:eastAsia="Arial" w:hAnsi="Arial"/>
                <w:sz w:val="16"/>
                <w:szCs w:val="16"/>
                <w:color w:val="auto"/>
              </w:rPr>
              <w:t>Change in cash and cash equivalents</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530.6</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 beginning of period</w:t>
            </w: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314.9</w:t>
            </w:r>
          </w:p>
        </w:tc>
      </w:tr>
      <w:tr>
        <w:trPr>
          <w:trHeight w:val="203"/>
        </w:trPr>
        <w:tc>
          <w:tcPr>
            <w:tcW w:w="70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 end of period</w:t>
            </w:r>
          </w:p>
        </w:tc>
        <w:tc>
          <w:tcPr>
            <w:tcW w:w="1100" w:type="dxa"/>
            <w:vAlign w:val="bottom"/>
            <w:tcBorders>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845.5</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r>
      <w:tr>
        <w:trPr>
          <w:trHeight w:val="210"/>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Supplemental cash flow data:</w:t>
            </w: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30"/>
        </w:trPr>
        <w:tc>
          <w:tcPr>
            <w:tcW w:w="70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Property and equipment acquired under finance leases</w:t>
            </w:r>
          </w:p>
        </w:tc>
        <w:tc>
          <w:tcPr>
            <w:tcW w:w="1100" w:type="dxa"/>
            <w:vAlign w:val="bottom"/>
            <w:tcBorders>
              <w:bottom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0600"/>
          </w:cols>
          <w:pgMar w:left="640" w:top="882" w:right="65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Three Months Ended March 31, 2022</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tbl>
      <w:tblPr>
        <w:tblLayout w:type="fixed"/>
        <w:tblInd w:w="0" w:type="dxa"/>
        <w:tblCellMar>
          <w:top w:w="0" w:type="dxa"/>
          <w:left w:w="0" w:type="dxa"/>
          <w:bottom w:w="0" w:type="dxa"/>
          <w:right w:w="0" w:type="dxa"/>
        </w:tblCellMar>
      </w:tblPr>
      <w:tr>
        <w:trPr>
          <w:trHeight w:val="206"/>
        </w:trPr>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vMerge w:val="restart"/>
          </w:tcPr>
          <w:p>
            <w:pPr>
              <w:jc w:val="right"/>
              <w:ind w:right="331"/>
              <w:spacing w:after="0"/>
              <w:rPr>
                <w:sz w:val="20"/>
                <w:szCs w:val="20"/>
                <w:color w:val="auto"/>
              </w:rPr>
            </w:pPr>
            <w:r>
              <w:rPr>
                <w:rFonts w:ascii="Arial" w:cs="Arial" w:eastAsia="Arial" w:hAnsi="Arial"/>
                <w:sz w:val="18"/>
                <w:szCs w:val="18"/>
                <w:b w:val="1"/>
                <w:bCs w:val="1"/>
                <w:color w:val="auto"/>
              </w:rPr>
              <w:t>GAAP</w:t>
            </w:r>
          </w:p>
        </w:tc>
        <w:tc>
          <w:tcPr>
            <w:tcW w:w="12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ind w:left="120"/>
              <w:spacing w:after="0" w:line="206" w:lineRule="exact"/>
              <w:rPr>
                <w:sz w:val="20"/>
                <w:szCs w:val="20"/>
                <w:color w:val="auto"/>
              </w:rPr>
            </w:pPr>
            <w:r>
              <w:rPr>
                <w:rFonts w:ascii="Arial" w:cs="Arial" w:eastAsia="Arial" w:hAnsi="Arial"/>
                <w:sz w:val="18"/>
                <w:szCs w:val="18"/>
                <w:b w:val="1"/>
                <w:bCs w:val="1"/>
                <w:color w:val="auto"/>
              </w:rPr>
              <w:t>Stock-based</w:t>
            </w:r>
          </w:p>
        </w:tc>
        <w:tc>
          <w:tcPr>
            <w:tcW w:w="1820" w:type="dxa"/>
            <w:vAlign w:val="bottom"/>
            <w:gridSpan w:val="5"/>
          </w:tcPr>
          <w:p>
            <w:pPr>
              <w:ind w:left="40"/>
              <w:spacing w:after="0" w:line="206" w:lineRule="exact"/>
              <w:rPr>
                <w:sz w:val="20"/>
                <w:szCs w:val="20"/>
                <w:color w:val="auto"/>
              </w:rPr>
            </w:pPr>
            <w:r>
              <w:rPr>
                <w:rFonts w:ascii="Arial" w:cs="Arial" w:eastAsia="Arial" w:hAnsi="Arial"/>
                <w:sz w:val="18"/>
                <w:szCs w:val="18"/>
                <w:b w:val="1"/>
                <w:bCs w:val="1"/>
                <w:color w:val="auto"/>
              </w:rPr>
              <w:t>Acquisition-related</w:t>
            </w:r>
          </w:p>
        </w:tc>
        <w:tc>
          <w:tcPr>
            <w:tcW w:w="1120" w:type="dxa"/>
            <w:vAlign w:val="bottom"/>
          </w:tcPr>
          <w:p>
            <w:pPr>
              <w:jc w:val="right"/>
              <w:ind w:right="51"/>
              <w:spacing w:after="0" w:line="206" w:lineRule="exact"/>
              <w:rPr>
                <w:sz w:val="20"/>
                <w:szCs w:val="20"/>
                <w:color w:val="auto"/>
              </w:rPr>
            </w:pPr>
            <w:r>
              <w:rPr>
                <w:rFonts w:ascii="Arial" w:cs="Arial" w:eastAsia="Arial" w:hAnsi="Arial"/>
                <w:sz w:val="18"/>
                <w:szCs w:val="18"/>
                <w:b w:val="1"/>
                <w:bCs w:val="1"/>
                <w:color w:val="auto"/>
              </w:rPr>
              <w:t>Intangibles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w w:val="98"/>
              </w:rPr>
              <w:t>Non-GAAP</w:t>
            </w:r>
          </w:p>
        </w:tc>
        <w:tc>
          <w:tcPr>
            <w:tcW w:w="0" w:type="dxa"/>
            <w:vAlign w:val="bottom"/>
          </w:tcPr>
          <w:p>
            <w:pPr>
              <w:spacing w:after="0"/>
              <w:rPr>
                <w:sz w:val="1"/>
                <w:szCs w:val="1"/>
                <w:color w:val="auto"/>
              </w:rPr>
            </w:pPr>
          </w:p>
        </w:tc>
      </w:tr>
      <w:tr>
        <w:trPr>
          <w:trHeight w:val="226"/>
        </w:trPr>
        <w:tc>
          <w:tcPr>
            <w:tcW w:w="24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88"/>
              </w:rPr>
              <w:t>compensation</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86"/>
              </w:rPr>
              <w:t>and other expenses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amortization</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25"/>
        </w:trPr>
        <w:tc>
          <w:tcPr>
            <w:tcW w:w="2480" w:type="dxa"/>
            <w:vAlign w:val="bottom"/>
          </w:tcPr>
          <w:p>
            <w:pPr>
              <w:spacing w:after="0"/>
              <w:rPr>
                <w:sz w:val="20"/>
                <w:szCs w:val="20"/>
                <w:color w:val="auto"/>
              </w:rPr>
            </w:pPr>
            <w:r>
              <w:rPr>
                <w:rFonts w:ascii="Arial" w:cs="Arial" w:eastAsia="Arial" w:hAnsi="Arial"/>
                <w:sz w:val="18"/>
                <w:szCs w:val="18"/>
                <w:i w:val="1"/>
                <w:iCs w:val="1"/>
                <w:color w:val="auto"/>
              </w:rPr>
              <w:t>Cost of revenue margin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(0.4 %)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2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449.5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25"/>
        </w:trPr>
        <w:tc>
          <w:tcPr>
            <w:tcW w:w="2480" w:type="dxa"/>
            <w:vAlign w:val="bottom"/>
          </w:tcPr>
          <w:p>
            <w:pPr>
              <w:spacing w:after="0"/>
              <w:rPr>
                <w:sz w:val="20"/>
                <w:szCs w:val="20"/>
                <w:color w:val="auto"/>
              </w:rPr>
            </w:pPr>
            <w:r>
              <w:rPr>
                <w:rFonts w:ascii="Arial" w:cs="Arial" w:eastAsia="Arial" w:hAnsi="Arial"/>
                <w:sz w:val="18"/>
                <w:szCs w:val="18"/>
                <w:i w:val="1"/>
                <w:iCs w:val="1"/>
                <w:color w:val="auto"/>
              </w:rPr>
              <w:t>Gross margin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79.9 %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gridSpan w:val="4"/>
          </w:tcPr>
          <w:p>
            <w:pPr>
              <w:jc w:val="right"/>
              <w:ind w:right="32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81.3 %</w:t>
            </w:r>
          </w:p>
        </w:tc>
        <w:tc>
          <w:tcPr>
            <w:tcW w:w="0" w:type="dxa"/>
            <w:vAlign w:val="bottom"/>
          </w:tcPr>
          <w:p>
            <w:pPr>
              <w:spacing w:after="0"/>
              <w:rPr>
                <w:sz w:val="1"/>
                <w:szCs w:val="1"/>
                <w:color w:val="auto"/>
              </w:rPr>
            </w:pPr>
          </w:p>
        </w:tc>
      </w:tr>
      <w:tr>
        <w:trPr>
          <w:trHeight w:val="22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210.8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25"/>
        </w:trPr>
        <w:tc>
          <w:tcPr>
            <w:tcW w:w="2480" w:type="dxa"/>
            <w:vAlign w:val="bottom"/>
          </w:tcPr>
          <w:p>
            <w:pPr>
              <w:spacing w:after="0"/>
              <w:rPr>
                <w:sz w:val="20"/>
                <w:szCs w:val="20"/>
                <w:color w:val="auto"/>
              </w:rPr>
            </w:pPr>
            <w:r>
              <w:rPr>
                <w:rFonts w:ascii="Arial" w:cs="Arial" w:eastAsia="Arial" w:hAnsi="Arial"/>
                <w:sz w:val="18"/>
                <w:szCs w:val="18"/>
                <w:i w:val="1"/>
                <w:iCs w:val="1"/>
                <w:color w:val="auto"/>
                <w:w w:val="87"/>
              </w:rPr>
              <w:t>Research and development margin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27.9 %</w:t>
            </w:r>
          </w:p>
        </w:tc>
        <w:tc>
          <w:tcPr>
            <w:tcW w:w="0" w:type="dxa"/>
            <w:vAlign w:val="bottom"/>
          </w:tcPr>
          <w:p>
            <w:pPr>
              <w:spacing w:after="0"/>
              <w:rPr>
                <w:sz w:val="1"/>
                <w:szCs w:val="1"/>
                <w:color w:val="auto"/>
              </w:rPr>
            </w:pPr>
          </w:p>
        </w:tc>
      </w:tr>
      <w:tr>
        <w:trPr>
          <w:trHeight w:val="22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25"/>
        </w:trPr>
        <w:tc>
          <w:tcPr>
            <w:tcW w:w="2480" w:type="dxa"/>
            <w:vAlign w:val="bottom"/>
          </w:tcPr>
          <w:p>
            <w:pPr>
              <w:spacing w:after="0"/>
              <w:rPr>
                <w:sz w:val="20"/>
                <w:szCs w:val="20"/>
                <w:color w:val="auto"/>
              </w:rPr>
            </w:pPr>
            <w:r>
              <w:rPr>
                <w:rFonts w:ascii="Arial" w:cs="Arial" w:eastAsia="Arial" w:hAnsi="Arial"/>
                <w:sz w:val="18"/>
                <w:szCs w:val="18"/>
                <w:i w:val="1"/>
                <w:iCs w:val="1"/>
                <w:color w:val="auto"/>
              </w:rPr>
              <w:t>Sales and marketing margin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2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174"/>
        </w:trPr>
        <w:tc>
          <w:tcPr>
            <w:tcW w:w="2480" w:type="dxa"/>
            <w:vAlign w:val="bottom"/>
          </w:tcPr>
          <w:p>
            <w:pPr>
              <w:spacing w:after="0" w:line="174" w:lineRule="exact"/>
              <w:rPr>
                <w:sz w:val="20"/>
                <w:szCs w:val="20"/>
                <w:color w:val="auto"/>
              </w:rPr>
            </w:pPr>
            <w:r>
              <w:rPr>
                <w:rFonts w:ascii="Arial" w:cs="Arial" w:eastAsia="Arial" w:hAnsi="Arial"/>
                <w:sz w:val="18"/>
                <w:szCs w:val="18"/>
                <w:i w:val="1"/>
                <w:iCs w:val="1"/>
                <w:color w:val="auto"/>
              </w:rPr>
              <w:t>General and administrative</w:t>
            </w: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9.5 %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gridSpan w:val="4"/>
            <w:vMerge w:val="restart"/>
          </w:tcPr>
          <w:p>
            <w:pPr>
              <w:jc w:val="right"/>
              <w:ind w:right="380"/>
              <w:spacing w:after="0"/>
              <w:rPr>
                <w:sz w:val="20"/>
                <w:szCs w:val="20"/>
                <w:color w:val="auto"/>
              </w:rPr>
            </w:pPr>
            <w:r>
              <w:rPr>
                <w:rFonts w:ascii="Arial" w:cs="Arial" w:eastAsia="Arial" w:hAnsi="Arial"/>
                <w:sz w:val="18"/>
                <w:szCs w:val="18"/>
                <w:color w:val="auto"/>
              </w:rPr>
              <w:t>— %</w:t>
            </w:r>
          </w:p>
        </w:tc>
        <w:tc>
          <w:tcPr>
            <w:tcW w:w="156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24"/>
        </w:trPr>
        <w:tc>
          <w:tcPr>
            <w:tcW w:w="2480" w:type="dxa"/>
            <w:vAlign w:val="bottom"/>
          </w:tcPr>
          <w:p>
            <w:pPr>
              <w:spacing w:after="0"/>
              <w:rPr>
                <w:sz w:val="20"/>
                <w:szCs w:val="20"/>
                <w:color w:val="auto"/>
              </w:rPr>
            </w:pPr>
            <w:r>
              <w:rPr>
                <w:rFonts w:ascii="Arial" w:cs="Arial" w:eastAsia="Arial" w:hAnsi="Arial"/>
                <w:sz w:val="18"/>
                <w:szCs w:val="18"/>
                <w:i w:val="1"/>
                <w:iCs w:val="1"/>
                <w:color w:val="auto"/>
              </w:rPr>
              <w:t>margin</w:t>
            </w:r>
          </w:p>
        </w:tc>
        <w:tc>
          <w:tcPr>
            <w:tcW w:w="2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gridSpan w:val="4"/>
            <w:vMerge w:val="continue"/>
          </w:tcPr>
          <w:p>
            <w:pPr>
              <w:spacing w:after="0"/>
              <w:rPr>
                <w:sz w:val="19"/>
                <w:szCs w:val="19"/>
                <w:color w:val="auto"/>
              </w:rPr>
            </w:pPr>
          </w:p>
        </w:tc>
        <w:tc>
          <w:tcPr>
            <w:tcW w:w="1560" w:type="dxa"/>
            <w:vAlign w:val="bottom"/>
            <w:gridSpan w:val="4"/>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25"/>
        </w:trPr>
        <w:tc>
          <w:tcPr>
            <w:tcW w:w="2480" w:type="dxa"/>
            <w:vAlign w:val="bottom"/>
          </w:tcPr>
          <w:p>
            <w:pPr>
              <w:spacing w:after="0"/>
              <w:rPr>
                <w:sz w:val="20"/>
                <w:szCs w:val="20"/>
                <w:color w:val="auto"/>
              </w:rPr>
            </w:pPr>
            <w:r>
              <w:rPr>
                <w:rFonts w:ascii="Arial" w:cs="Arial" w:eastAsia="Arial" w:hAnsi="Arial"/>
                <w:sz w:val="18"/>
                <w:szCs w:val="18"/>
                <w:i w:val="1"/>
                <w:iCs w:val="1"/>
                <w:color w:val="auto"/>
              </w:rPr>
              <w:t>Operating margin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30.3 %</w:t>
            </w:r>
          </w:p>
        </w:tc>
        <w:tc>
          <w:tcPr>
            <w:tcW w:w="0" w:type="dxa"/>
            <w:vAlign w:val="bottom"/>
          </w:tcPr>
          <w:p>
            <w:pPr>
              <w:spacing w:after="0"/>
              <w:rPr>
                <w:sz w:val="1"/>
                <w:szCs w:val="1"/>
                <w:color w:val="auto"/>
              </w:rPr>
            </w:pPr>
          </w:p>
        </w:tc>
      </w:tr>
    </w:tbl>
    <w:p>
      <w:pPr>
        <w:sectPr>
          <w:pgSz w:w="11900" w:h="16838" w:orient="portrait"/>
          <w:cols w:equalWidth="0" w:num="1">
            <w:col w:w="10140"/>
          </w:cols>
          <w:pgMar w:left="880" w:top="874" w:right="879" w:bottom="1440" w:gutter="0" w:footer="0" w:header="0"/>
        </w:sectPr>
      </w:pPr>
    </w:p>
    <w:bookmarkStart w:id="10" w:name="page11"/>
    <w:bookmarkEnd w:id="10"/>
    <w:p>
      <w:pPr>
        <w:jc w:val="center"/>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Three Months Ended March 31, 2021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tbl>
      <w:tblPr>
        <w:tblLayout w:type="fixed"/>
        <w:tblInd w:w="20" w:type="dxa"/>
        <w:tblCellMar>
          <w:top w:w="0" w:type="dxa"/>
          <w:left w:w="0" w:type="dxa"/>
          <w:bottom w:w="0" w:type="dxa"/>
          <w:right w:w="0" w:type="dxa"/>
        </w:tblCellMar>
      </w:tblPr>
      <w:tr>
        <w:trPr>
          <w:trHeight w:val="206"/>
        </w:trPr>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3"/>
              </w:rPr>
              <w:t>Stock-based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6" w:lineRule="exact"/>
              <w:rPr>
                <w:sz w:val="20"/>
                <w:szCs w:val="20"/>
                <w:color w:val="auto"/>
              </w:rPr>
            </w:pPr>
            <w:r>
              <w:rPr>
                <w:rFonts w:ascii="Arial" w:cs="Arial" w:eastAsia="Arial" w:hAnsi="Arial"/>
                <w:sz w:val="18"/>
                <w:szCs w:val="18"/>
                <w:b w:val="1"/>
                <w:bCs w:val="1"/>
                <w:color w:val="auto"/>
                <w:w w:val="92"/>
              </w:rPr>
              <w:t>Acquisition-</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6"/>
              </w:rPr>
              <w:t>Intangibles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92"/>
              </w:rPr>
              <w:t>Impairment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line="206" w:lineRule="exact"/>
              <w:rPr>
                <w:sz w:val="20"/>
                <w:szCs w:val="20"/>
                <w:color w:val="auto"/>
              </w:rPr>
            </w:pPr>
            <w:r>
              <w:rPr>
                <w:rFonts w:ascii="Arial" w:cs="Arial" w:eastAsia="Arial" w:hAnsi="Arial"/>
                <w:sz w:val="18"/>
                <w:szCs w:val="18"/>
                <w:b w:val="1"/>
                <w:bCs w:val="1"/>
                <w:color w:val="auto"/>
                <w:w w:val="92"/>
              </w:rPr>
              <w:t>Workforce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GAAP</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5"/>
          </w:tcPr>
          <w:p>
            <w:pPr>
              <w:spacing w:after="0" w:line="173" w:lineRule="exact"/>
              <w:rPr>
                <w:sz w:val="20"/>
                <w:szCs w:val="20"/>
                <w:color w:val="auto"/>
              </w:rPr>
            </w:pPr>
            <w:r>
              <w:rPr>
                <w:rFonts w:ascii="Arial" w:cs="Arial" w:eastAsia="Arial" w:hAnsi="Arial"/>
                <w:sz w:val="18"/>
                <w:szCs w:val="18"/>
                <w:b w:val="1"/>
                <w:bCs w:val="1"/>
                <w:color w:val="auto"/>
              </w:rPr>
              <w:t>related and other</w:t>
            </w:r>
          </w:p>
        </w:tc>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4"/>
          </w:tcPr>
          <w:p>
            <w:pPr>
              <w:jc w:val="center"/>
              <w:ind w:right="360"/>
              <w:spacing w:after="0" w:line="173" w:lineRule="exact"/>
              <w:rPr>
                <w:sz w:val="20"/>
                <w:szCs w:val="20"/>
                <w:color w:val="auto"/>
              </w:rPr>
            </w:pPr>
            <w:r>
              <w:rPr>
                <w:rFonts w:ascii="Arial" w:cs="Arial" w:eastAsia="Arial" w:hAnsi="Arial"/>
                <w:sz w:val="18"/>
                <w:szCs w:val="18"/>
                <w:b w:val="1"/>
                <w:bCs w:val="1"/>
                <w:color w:val="auto"/>
                <w:w w:val="89"/>
              </w:rPr>
              <w:t>related to real</w:t>
            </w:r>
          </w:p>
        </w:tc>
        <w:tc>
          <w:tcPr>
            <w:tcW w:w="1200" w:type="dxa"/>
            <w:vAlign w:val="bottom"/>
            <w:gridSpan w:val="2"/>
          </w:tcPr>
          <w:p>
            <w:pPr>
              <w:jc w:val="center"/>
              <w:ind w:right="240"/>
              <w:spacing w:after="0" w:line="173" w:lineRule="exact"/>
              <w:rPr>
                <w:sz w:val="20"/>
                <w:szCs w:val="20"/>
                <w:color w:val="auto"/>
              </w:rPr>
            </w:pPr>
            <w:r>
              <w:rPr>
                <w:rFonts w:ascii="Arial" w:cs="Arial" w:eastAsia="Arial" w:hAnsi="Arial"/>
                <w:sz w:val="18"/>
                <w:szCs w:val="18"/>
                <w:b w:val="1"/>
                <w:bCs w:val="1"/>
                <w:color w:val="auto"/>
                <w:w w:val="87"/>
              </w:rPr>
              <w:t>reduction</w:t>
            </w:r>
          </w:p>
        </w:tc>
        <w:tc>
          <w:tcPr>
            <w:tcW w:w="120" w:type="dxa"/>
            <w:vAlign w:val="bottom"/>
          </w:tcPr>
          <w:p>
            <w:pPr>
              <w:spacing w:after="0"/>
              <w:rPr>
                <w:sz w:val="15"/>
                <w:szCs w:val="15"/>
                <w:color w:val="auto"/>
              </w:rPr>
            </w:pPr>
          </w:p>
        </w:tc>
        <w:tc>
          <w:tcPr>
            <w:tcW w:w="100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w w:val="92"/>
              </w:rPr>
              <w:t>Non-GAAP</w:t>
            </w:r>
          </w:p>
        </w:tc>
        <w:tc>
          <w:tcPr>
            <w:tcW w:w="0" w:type="dxa"/>
            <w:vAlign w:val="bottom"/>
          </w:tcPr>
          <w:p>
            <w:pPr>
              <w:spacing w:after="0"/>
              <w:rPr>
                <w:sz w:val="1"/>
                <w:szCs w:val="1"/>
                <w:color w:val="auto"/>
              </w:rPr>
            </w:pPr>
          </w:p>
        </w:tc>
      </w:tr>
      <w:tr>
        <w:trPr>
          <w:trHeight w:val="226"/>
        </w:trPr>
        <w:tc>
          <w:tcPr>
            <w:tcW w:w="17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compensation</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9"/>
              </w:rPr>
              <w:t>expenses</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amortization</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51"/>
              <w:spacing w:after="0" w:line="225" w:lineRule="exact"/>
              <w:rPr>
                <w:sz w:val="20"/>
                <w:szCs w:val="20"/>
                <w:color w:val="auto"/>
              </w:rPr>
            </w:pPr>
            <w:r>
              <w:rPr>
                <w:rFonts w:ascii="Arial" w:cs="Arial" w:eastAsia="Arial" w:hAnsi="Arial"/>
                <w:sz w:val="18"/>
                <w:szCs w:val="18"/>
                <w:b w:val="1"/>
                <w:bCs w:val="1"/>
                <w:color w:val="auto"/>
                <w:w w:val="78"/>
              </w:rPr>
              <w:t>estate assets</w:t>
            </w:r>
            <w:r>
              <w:rPr>
                <w:rFonts w:ascii="Arial" w:cs="Arial" w:eastAsia="Arial" w:hAnsi="Arial"/>
                <w:sz w:val="23"/>
                <w:szCs w:val="23"/>
                <w:b w:val="1"/>
                <w:bCs w:val="1"/>
                <w:color w:val="auto"/>
                <w:w w:val="78"/>
                <w:vertAlign w:val="superscript"/>
              </w:rPr>
              <w:t>(1)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71"/>
              <w:spacing w:after="0" w:line="225" w:lineRule="exact"/>
              <w:rPr>
                <w:sz w:val="20"/>
                <w:szCs w:val="20"/>
                <w:color w:val="auto"/>
              </w:rPr>
            </w:pPr>
            <w:r>
              <w:rPr>
                <w:rFonts w:ascii="Arial" w:cs="Arial" w:eastAsia="Arial" w:hAnsi="Arial"/>
                <w:sz w:val="18"/>
                <w:szCs w:val="18"/>
                <w:b w:val="1"/>
                <w:bCs w:val="1"/>
                <w:color w:val="auto"/>
                <w:w w:val="79"/>
              </w:rPr>
              <w:t>expense</w:t>
            </w:r>
            <w:r>
              <w:rPr>
                <w:rFonts w:ascii="Arial" w:cs="Arial" w:eastAsia="Arial" w:hAnsi="Arial"/>
                <w:sz w:val="23"/>
                <w:szCs w:val="23"/>
                <w:b w:val="1"/>
                <w:bCs w:val="1"/>
                <w:color w:val="auto"/>
                <w:w w:val="79"/>
                <w:vertAlign w:val="superscript"/>
              </w:rPr>
              <w:t>(2)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25"/>
        </w:trPr>
        <w:tc>
          <w:tcPr>
            <w:tcW w:w="1760" w:type="dxa"/>
            <w:vAlign w:val="bottom"/>
          </w:tcPr>
          <w:p>
            <w:pPr>
              <w:ind w:left="20"/>
              <w:spacing w:after="0"/>
              <w:rPr>
                <w:sz w:val="20"/>
                <w:szCs w:val="20"/>
                <w:color w:val="auto"/>
              </w:rPr>
            </w:pPr>
            <w:r>
              <w:rPr>
                <w:rFonts w:ascii="Arial" w:cs="Arial" w:eastAsia="Arial" w:hAnsi="Arial"/>
                <w:sz w:val="18"/>
                <w:szCs w:val="18"/>
                <w:i w:val="1"/>
                <w:iCs w:val="1"/>
                <w:color w:val="auto"/>
                <w:w w:val="91"/>
              </w:rPr>
              <w:t>Cost of revenue margin</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jc w:val="right"/>
              <w:ind w:right="32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26"/>
        </w:trPr>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225"/>
        </w:trPr>
        <w:tc>
          <w:tcPr>
            <w:tcW w:w="176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78.6 %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4"/>
          </w:tcPr>
          <w:p>
            <w:pPr>
              <w:jc w:val="right"/>
              <w:ind w:right="240"/>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80.2 %</w:t>
            </w:r>
          </w:p>
        </w:tc>
        <w:tc>
          <w:tcPr>
            <w:tcW w:w="0" w:type="dxa"/>
            <w:vAlign w:val="bottom"/>
          </w:tcPr>
          <w:p>
            <w:pPr>
              <w:spacing w:after="0"/>
              <w:rPr>
                <w:sz w:val="1"/>
                <w:szCs w:val="1"/>
                <w:color w:val="auto"/>
              </w:rPr>
            </w:pPr>
          </w:p>
        </w:tc>
      </w:tr>
      <w:tr>
        <w:trPr>
          <w:trHeight w:val="174"/>
        </w:trPr>
        <w:tc>
          <w:tcPr>
            <w:tcW w:w="17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Research and</w:t>
            </w: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181.2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25"/>
        </w:trPr>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6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Research and</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35.4 %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(8.5 %)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(0.8 %)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(0.5 %)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r>
        <w:trPr>
          <w:trHeight w:val="224"/>
        </w:trPr>
        <w:tc>
          <w:tcPr>
            <w:tcW w:w="1760" w:type="dxa"/>
            <w:vAlign w:val="bottom"/>
          </w:tcPr>
          <w:p>
            <w:pPr>
              <w:ind w:left="20"/>
              <w:spacing w:after="0"/>
              <w:rPr>
                <w:sz w:val="20"/>
                <w:szCs w:val="20"/>
                <w:color w:val="auto"/>
              </w:rPr>
            </w:pPr>
            <w:r>
              <w:rPr>
                <w:rFonts w:ascii="Arial" w:cs="Arial" w:eastAsia="Arial" w:hAnsi="Arial"/>
                <w:sz w:val="18"/>
                <w:szCs w:val="18"/>
                <w:i w:val="1"/>
                <w:iCs w:val="1"/>
                <w:color w:val="auto"/>
              </w:rPr>
              <w:t>development margin</w:t>
            </w: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174"/>
        </w:trPr>
        <w:tc>
          <w:tcPr>
            <w:tcW w:w="176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Sales and marketing</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20.1 %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(1.3 %)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4"/>
            <w:vMerge w:val="restart"/>
          </w:tcPr>
          <w:p>
            <w:pPr>
              <w:jc w:val="right"/>
              <w:ind w:right="320"/>
              <w:spacing w:after="0"/>
              <w:rPr>
                <w:sz w:val="20"/>
                <w:szCs w:val="20"/>
                <w:color w:val="auto"/>
              </w:rPr>
            </w:pPr>
            <w:r>
              <w:rPr>
                <w:rFonts w:ascii="Arial" w:cs="Arial" w:eastAsia="Arial" w:hAnsi="Arial"/>
                <w:sz w:val="18"/>
                <w:szCs w:val="18"/>
                <w:color w:val="auto"/>
              </w:rPr>
              <w:t>— %</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24"/>
        </w:trPr>
        <w:tc>
          <w:tcPr>
            <w:tcW w:w="176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General and</w:t>
            </w: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58.6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5"/>
        </w:trPr>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6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General and</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11.5 %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(2.4 %)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(0.4 %)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24"/>
        </w:trPr>
        <w:tc>
          <w:tcPr>
            <w:tcW w:w="1760" w:type="dxa"/>
            <w:vAlign w:val="bottom"/>
          </w:tcPr>
          <w:p>
            <w:pPr>
              <w:ind w:left="20"/>
              <w:spacing w:after="0"/>
              <w:rPr>
                <w:sz w:val="20"/>
                <w:szCs w:val="20"/>
                <w:color w:val="auto"/>
              </w:rPr>
            </w:pPr>
            <w:r>
              <w:rPr>
                <w:rFonts w:ascii="Arial" w:cs="Arial" w:eastAsia="Arial" w:hAnsi="Arial"/>
                <w:sz w:val="18"/>
                <w:szCs w:val="18"/>
                <w:i w:val="1"/>
                <w:iCs w:val="1"/>
                <w:color w:val="auto"/>
              </w:rPr>
              <w:t>administrative margin</w:t>
            </w: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Impairment related to</w:t>
            </w: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assets</w:t>
            </w: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6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Impairment related to</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6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real estate assets</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3.4 %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3"/>
            <w:vMerge w:val="restart"/>
          </w:tcPr>
          <w:p>
            <w:pPr>
              <w:ind w:left="84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5"/>
                <w:szCs w:val="15"/>
                <w:color w:val="auto"/>
              </w:rPr>
            </w:pPr>
          </w:p>
        </w:tc>
        <w:tc>
          <w:tcPr>
            <w:tcW w:w="1420" w:type="dxa"/>
            <w:vAlign w:val="bottom"/>
            <w:gridSpan w:val="4"/>
            <w:vMerge w:val="restart"/>
          </w:tcPr>
          <w:p>
            <w:pPr>
              <w:jc w:val="right"/>
              <w:ind w:right="300"/>
              <w:spacing w:after="0"/>
              <w:rPr>
                <w:sz w:val="20"/>
                <w:szCs w:val="20"/>
                <w:color w:val="auto"/>
              </w:rPr>
            </w:pPr>
            <w:r>
              <w:rPr>
                <w:rFonts w:ascii="Arial" w:cs="Arial" w:eastAsia="Arial" w:hAnsi="Arial"/>
                <w:sz w:val="18"/>
                <w:szCs w:val="18"/>
                <w:color w:val="auto"/>
              </w:rPr>
              <w:t>— %</w:t>
            </w:r>
          </w:p>
        </w:tc>
        <w:tc>
          <w:tcPr>
            <w:tcW w:w="1400" w:type="dxa"/>
            <w:vAlign w:val="bottom"/>
            <w:gridSpan w:val="4"/>
            <w:vMerge w:val="restart"/>
          </w:tcPr>
          <w:p>
            <w:pPr>
              <w:jc w:val="right"/>
              <w:ind w:right="220"/>
              <w:spacing w:after="0"/>
              <w:rPr>
                <w:sz w:val="20"/>
                <w:szCs w:val="20"/>
                <w:color w:val="auto"/>
              </w:rPr>
            </w:pPr>
            <w:r>
              <w:rPr>
                <w:rFonts w:ascii="Arial" w:cs="Arial" w:eastAsia="Arial" w:hAnsi="Arial"/>
                <w:sz w:val="18"/>
                <w:szCs w:val="18"/>
                <w:color w:val="auto"/>
              </w:rPr>
              <w:t>— %</w:t>
            </w: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(3.4 %)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restart"/>
          </w:tcPr>
          <w:p>
            <w:pPr>
              <w:ind w:left="68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176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4"/>
            <w:vMerge w:val="continue"/>
          </w:tcPr>
          <w:p>
            <w:pPr>
              <w:spacing w:after="0"/>
              <w:rPr>
                <w:sz w:val="19"/>
                <w:szCs w:val="19"/>
                <w:color w:val="auto"/>
              </w:rPr>
            </w:pPr>
          </w:p>
        </w:tc>
        <w:tc>
          <w:tcPr>
            <w:tcW w:w="1400" w:type="dxa"/>
            <w:vAlign w:val="bottom"/>
            <w:gridSpan w:val="4"/>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Income from operations $</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25"/>
        </w:trPr>
        <w:tc>
          <w:tcPr>
            <w:tcW w:w="176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29.1 %</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160" w:hanging="154"/>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3"/>
          <w:szCs w:val="13"/>
          <w:color w:val="auto"/>
        </w:rPr>
        <w:t>Includes impairment charges related to real estate assets as a result of our decision to shift to a Virtual First work model.</w:t>
      </w:r>
    </w:p>
    <w:p>
      <w:pPr>
        <w:spacing w:after="0" w:line="217" w:lineRule="exact"/>
        <w:rPr>
          <w:rFonts w:ascii="Arial" w:cs="Arial" w:eastAsia="Arial" w:hAnsi="Arial"/>
          <w:sz w:val="18"/>
          <w:szCs w:val="18"/>
          <w:color w:val="auto"/>
          <w:vertAlign w:val="superscript"/>
        </w:rPr>
      </w:pPr>
    </w:p>
    <w:p>
      <w:pPr>
        <w:ind w:left="160" w:hanging="154"/>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expenses related to workforce reduction such as severance, benefits, and other related items.</w:t>
      </w:r>
    </w:p>
    <w:p>
      <w:pPr>
        <w:sectPr>
          <w:pgSz w:w="11900" w:h="16838" w:orient="portrait"/>
          <w:cols w:equalWidth="0" w:num="1">
            <w:col w:w="11240"/>
          </w:cols>
          <w:pgMar w:left="320" w:top="87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Three Months Ended March 31, 2022 and 2021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GAAP net income to Non-GAAP net income and Non-GAAP diluted net income per share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data)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4" w:lineRule="exact"/>
        <w:rPr>
          <w:sz w:val="20"/>
          <w:szCs w:val="20"/>
          <w:color w:val="auto"/>
        </w:rPr>
      </w:pPr>
    </w:p>
    <w:p>
      <w:pPr>
        <w:jc w:val="center"/>
        <w:ind w:left="4220"/>
        <w:spacing w:after="0"/>
        <w:rPr>
          <w:sz w:val="20"/>
          <w:szCs w:val="20"/>
          <w:color w:val="auto"/>
        </w:rPr>
      </w:pPr>
      <w:r>
        <w:rPr>
          <w:rFonts w:ascii="Arial" w:cs="Arial" w:eastAsia="Arial" w:hAnsi="Arial"/>
          <w:sz w:val="18"/>
          <w:szCs w:val="18"/>
          <w:b w:val="1"/>
          <w:bCs w:val="1"/>
          <w:color w:val="auto"/>
        </w:rPr>
        <w:t>Three Months Ended</w:t>
      </w:r>
    </w:p>
    <w:p>
      <w:pPr>
        <w:jc w:val="center"/>
        <w:ind w:left="4220"/>
        <w:spacing w:after="0"/>
        <w:rPr>
          <w:sz w:val="20"/>
          <w:szCs w:val="20"/>
          <w:color w:val="auto"/>
        </w:rPr>
      </w:pPr>
      <w:r>
        <w:rPr>
          <w:rFonts w:ascii="Arial" w:cs="Arial" w:eastAsia="Arial" w:hAnsi="Arial"/>
          <w:sz w:val="18"/>
          <w:szCs w:val="18"/>
          <w:b w:val="1"/>
          <w:bCs w:val="1"/>
          <w:color w:val="auto"/>
        </w:rPr>
        <w:t>March 31,</w:t>
      </w:r>
    </w:p>
    <w:p>
      <w:pPr>
        <w:spacing w:after="0" w:line="3" w:lineRule="exact"/>
        <w:rPr>
          <w:sz w:val="20"/>
          <w:szCs w:val="20"/>
          <w:color w:val="auto"/>
        </w:rPr>
      </w:pPr>
    </w:p>
    <w:tbl>
      <w:tblPr>
        <w:tblLayout w:type="fixed"/>
        <w:tblInd w:w="1680" w:type="dxa"/>
        <w:tblCellMar>
          <w:top w:w="0" w:type="dxa"/>
          <w:left w:w="0" w:type="dxa"/>
          <w:bottom w:w="0" w:type="dxa"/>
          <w:right w:w="0" w:type="dxa"/>
        </w:tblCellMar>
      </w:tblPr>
      <w:tr>
        <w:trPr>
          <w:trHeight w:val="220"/>
        </w:trPr>
        <w:tc>
          <w:tcPr>
            <w:tcW w:w="424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income</w:t>
            </w:r>
          </w:p>
        </w:tc>
        <w:tc>
          <w:tcPr>
            <w:tcW w:w="1180" w:type="dxa"/>
            <w:vAlign w:val="bottom"/>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5"/>
        </w:trPr>
        <w:tc>
          <w:tcPr>
            <w:tcW w:w="42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and other expenses</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5"/>
        </w:trPr>
        <w:tc>
          <w:tcPr>
            <w:tcW w:w="4240" w:type="dxa"/>
            <w:vAlign w:val="bottom"/>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related to real estate assets</w:t>
            </w:r>
          </w:p>
        </w:tc>
        <w:tc>
          <w:tcPr>
            <w:tcW w:w="1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5"/>
        </w:trPr>
        <w:tc>
          <w:tcPr>
            <w:tcW w:w="4240" w:type="dxa"/>
            <w:vAlign w:val="bottom"/>
          </w:tcPr>
          <w:p>
            <w:pPr>
              <w:ind w:left="20"/>
              <w:spacing w:after="0"/>
              <w:rPr>
                <w:sz w:val="20"/>
                <w:szCs w:val="20"/>
                <w:color w:val="auto"/>
              </w:rPr>
            </w:pPr>
            <w:r>
              <w:rPr>
                <w:rFonts w:ascii="Arial" w:cs="Arial" w:eastAsia="Arial" w:hAnsi="Arial"/>
                <w:sz w:val="18"/>
                <w:szCs w:val="18"/>
                <w:color w:val="auto"/>
              </w:rPr>
              <w:t>Workforce reduction expense</w:t>
            </w:r>
          </w:p>
        </w:tc>
        <w:tc>
          <w:tcPr>
            <w:tcW w:w="11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effects of non-GAAP adjustments</w:t>
            </w: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0"/>
        </w:trPr>
        <w:tc>
          <w:tcPr>
            <w:tcW w:w="4240" w:type="dxa"/>
            <w:vAlign w:val="bottom"/>
          </w:tcPr>
          <w:p>
            <w:pPr>
              <w:ind w:left="20"/>
              <w:spacing w:after="0"/>
              <w:rPr>
                <w:sz w:val="20"/>
                <w:szCs w:val="20"/>
                <w:color w:val="auto"/>
              </w:rPr>
            </w:pPr>
            <w:r>
              <w:rPr>
                <w:rFonts w:ascii="Arial" w:cs="Arial" w:eastAsia="Arial" w:hAnsi="Arial"/>
                <w:sz w:val="18"/>
                <w:szCs w:val="18"/>
                <w:color w:val="auto"/>
              </w:rPr>
              <w:t>Non-GAAP net income</w:t>
            </w:r>
          </w:p>
        </w:tc>
        <w:tc>
          <w:tcPr>
            <w:tcW w:w="1180" w:type="dxa"/>
            <w:vAlign w:val="bottom"/>
            <w:tcBorders>
              <w:bottom w:val="single" w:sz="8" w:color="auto"/>
            </w:tcBorders>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diluted net income per share</w:t>
            </w:r>
          </w:p>
        </w:tc>
        <w:tc>
          <w:tcPr>
            <w:tcW w:w="1180" w:type="dxa"/>
            <w:vAlign w:val="bottom"/>
            <w:tcBorders>
              <w:bottom w:val="single" w:sz="8" w:color="auto"/>
            </w:tcBorders>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8"/>
                <w:szCs w:val="18"/>
                <w:color w:val="auto"/>
                <w:w w:val="95"/>
              </w:rPr>
              <w:t>Weighted-average shares used to compute Non-GAAP</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24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405.4</w:t>
            </w:r>
          </w:p>
        </w:tc>
        <w:tc>
          <w:tcPr>
            <w:tcW w:w="0" w:type="dxa"/>
            <w:vAlign w:val="bottom"/>
          </w:tcPr>
          <w:p>
            <w:pPr>
              <w:spacing w:after="0"/>
              <w:rPr>
                <w:sz w:val="1"/>
                <w:szCs w:val="1"/>
                <w:color w:val="auto"/>
              </w:rPr>
            </w:pPr>
          </w:p>
        </w:tc>
      </w:tr>
      <w:tr>
        <w:trPr>
          <w:trHeight w:val="198"/>
        </w:trPr>
        <w:tc>
          <w:tcPr>
            <w:tcW w:w="4240" w:type="dxa"/>
            <w:vAlign w:val="bottom"/>
          </w:tcPr>
          <w:p>
            <w:pPr>
              <w:ind w:left="20"/>
              <w:spacing w:after="0" w:line="198" w:lineRule="exact"/>
              <w:rPr>
                <w:sz w:val="20"/>
                <w:szCs w:val="20"/>
                <w:color w:val="auto"/>
              </w:rPr>
            </w:pPr>
            <w:r>
              <w:rPr>
                <w:rFonts w:ascii="Arial" w:cs="Arial" w:eastAsia="Arial" w:hAnsi="Arial"/>
                <w:sz w:val="18"/>
                <w:szCs w:val="18"/>
                <w:color w:val="auto"/>
              </w:rPr>
              <w:t>diluted net income per share</w:t>
            </w:r>
          </w:p>
        </w:tc>
        <w:tc>
          <w:tcPr>
            <w:tcW w:w="1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Three Months Ended March 31, 2022 and 2021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free cash flow and supplemental cash flow disclosure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4" w:lineRule="exact"/>
        <w:rPr>
          <w:sz w:val="20"/>
          <w:szCs w:val="20"/>
          <w:color w:val="auto"/>
        </w:rPr>
      </w:pPr>
    </w:p>
    <w:p>
      <w:pPr>
        <w:jc w:val="center"/>
        <w:ind w:left="4060"/>
        <w:spacing w:after="0"/>
        <w:rPr>
          <w:sz w:val="20"/>
          <w:szCs w:val="20"/>
          <w:color w:val="auto"/>
        </w:rPr>
      </w:pPr>
      <w:r>
        <w:rPr>
          <w:rFonts w:ascii="Arial" w:cs="Arial" w:eastAsia="Arial" w:hAnsi="Arial"/>
          <w:sz w:val="18"/>
          <w:szCs w:val="18"/>
          <w:b w:val="1"/>
          <w:bCs w:val="1"/>
          <w:color w:val="auto"/>
        </w:rPr>
        <w:t>Three Months Ended</w:t>
      </w:r>
    </w:p>
    <w:p>
      <w:pPr>
        <w:jc w:val="center"/>
        <w:ind w:left="4060"/>
        <w:spacing w:after="0"/>
        <w:rPr>
          <w:sz w:val="20"/>
          <w:szCs w:val="20"/>
          <w:color w:val="auto"/>
        </w:rPr>
      </w:pPr>
      <w:r>
        <w:rPr>
          <w:rFonts w:ascii="Arial" w:cs="Arial" w:eastAsia="Arial" w:hAnsi="Arial"/>
          <w:sz w:val="18"/>
          <w:szCs w:val="18"/>
          <w:b w:val="1"/>
          <w:bCs w:val="1"/>
          <w:color w:val="auto"/>
        </w:rPr>
        <w:t>March 31,</w:t>
      </w:r>
    </w:p>
    <w:p>
      <w:pPr>
        <w:spacing w:after="0" w:line="3" w:lineRule="exact"/>
        <w:rPr>
          <w:sz w:val="20"/>
          <w:szCs w:val="20"/>
          <w:color w:val="auto"/>
        </w:rPr>
      </w:pPr>
    </w:p>
    <w:tbl>
      <w:tblPr>
        <w:tblLayout w:type="fixed"/>
        <w:tblInd w:w="1680" w:type="dxa"/>
        <w:tblCellMar>
          <w:top w:w="0" w:type="dxa"/>
          <w:left w:w="0" w:type="dxa"/>
          <w:bottom w:w="0" w:type="dxa"/>
          <w:right w:w="0" w:type="dxa"/>
        </w:tblCellMar>
      </w:tblPr>
      <w:tr>
        <w:trPr>
          <w:trHeight w:val="220"/>
        </w:trPr>
        <w:tc>
          <w:tcPr>
            <w:tcW w:w="408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1"/>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Free cash flow reconciliation:</w:t>
            </w: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160" w:type="dxa"/>
            <w:vAlign w:val="bottom"/>
          </w:tcPr>
          <w:p>
            <w:pPr>
              <w:jc w:val="right"/>
              <w:ind w:right="97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31"/>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Capital expenditures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5"/>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1160" w:type="dxa"/>
            <w:vAlign w:val="bottom"/>
            <w:tcBorders>
              <w:bottom w:val="single" w:sz="8" w:color="auto"/>
            </w:tcBorders>
            <w:shd w:val="clear" w:color="auto" w:fill="CCEEFF"/>
          </w:tcPr>
          <w:p>
            <w:pPr>
              <w:jc w:val="right"/>
              <w:ind w:right="97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130.7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Free cash flow margin</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8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jc w:val="right"/>
              <w:spacing w:after="0" w:line="198" w:lineRule="exact"/>
              <w:rPr>
                <w:sz w:val="20"/>
                <w:szCs w:val="20"/>
                <w:color w:val="auto"/>
              </w:rPr>
            </w:pPr>
            <w:r>
              <w:rPr>
                <w:rFonts w:ascii="Arial" w:cs="Arial" w:eastAsia="Arial" w:hAnsi="Arial"/>
                <w:sz w:val="18"/>
                <w:szCs w:val="18"/>
                <w:color w:val="auto"/>
              </w:rPr>
              <w:t>23.2 %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line="198" w:lineRule="exact"/>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80" w:type="dxa"/>
            <w:vAlign w:val="bottom"/>
          </w:tcPr>
          <w:p>
            <w:pPr>
              <w:ind w:left="200"/>
              <w:spacing w:after="0" w:line="173" w:lineRule="exact"/>
              <w:rPr>
                <w:sz w:val="20"/>
                <w:szCs w:val="20"/>
                <w:color w:val="auto"/>
              </w:rPr>
            </w:pPr>
            <w:r>
              <w:rPr>
                <w:rFonts w:ascii="Arial" w:cs="Arial" w:eastAsia="Arial" w:hAnsi="Arial"/>
                <w:sz w:val="18"/>
                <w:szCs w:val="18"/>
                <w:color w:val="auto"/>
              </w:rPr>
              <w:t>Key employee holdback payments related to</w:t>
            </w:r>
          </w:p>
        </w:tc>
        <w:tc>
          <w:tcPr>
            <w:tcW w:w="1160" w:type="dxa"/>
            <w:vAlign w:val="bottom"/>
            <w:vMerge w:val="restart"/>
          </w:tcPr>
          <w:p>
            <w:pPr>
              <w:jc w:val="right"/>
              <w:ind w:right="971"/>
              <w:spacing w:after="0"/>
              <w:rPr>
                <w:sz w:val="20"/>
                <w:szCs w:val="20"/>
                <w:color w:val="auto"/>
              </w:rPr>
            </w:pPr>
            <w:r>
              <w:rPr>
                <w:rFonts w:ascii="Arial" w:cs="Arial" w:eastAsia="Arial" w:hAnsi="Arial"/>
                <w:sz w:val="18"/>
                <w:szCs w:val="18"/>
                <w:color w:val="auto"/>
                <w:w w:val="79"/>
              </w:rPr>
              <w:t>$</w:t>
            </w:r>
          </w:p>
        </w:tc>
        <w:tc>
          <w:tcPr>
            <w:tcW w:w="700" w:type="dxa"/>
            <w:vAlign w:val="bottom"/>
            <w:vMerge w:val="restart"/>
          </w:tcPr>
          <w:p>
            <w:pPr>
              <w:jc w:val="right"/>
              <w:ind w:right="13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5"/>
                <w:szCs w:val="15"/>
                <w:color w:val="auto"/>
              </w:rPr>
            </w:pPr>
          </w:p>
        </w:tc>
        <w:tc>
          <w:tcPr>
            <w:tcW w:w="420" w:type="dxa"/>
            <w:vAlign w:val="bottom"/>
            <w:vMerge w:val="restart"/>
          </w:tcPr>
          <w:p>
            <w:pPr>
              <w:jc w:val="right"/>
              <w:ind w:right="231"/>
              <w:spacing w:after="0"/>
              <w:rPr>
                <w:sz w:val="20"/>
                <w:szCs w:val="20"/>
                <w:color w:val="auto"/>
              </w:rPr>
            </w:pPr>
            <w:r>
              <w:rPr>
                <w:rFonts w:ascii="Arial" w:cs="Arial" w:eastAsia="Arial" w:hAnsi="Arial"/>
                <w:sz w:val="18"/>
                <w:szCs w:val="18"/>
                <w:color w:val="auto"/>
                <w:w w:val="79"/>
              </w:rPr>
              <w:t>$</w:t>
            </w:r>
          </w:p>
        </w:tc>
        <w:tc>
          <w:tcPr>
            <w:tcW w:w="1440" w:type="dxa"/>
            <w:vAlign w:val="bottom"/>
            <w:vMerge w:val="restart"/>
          </w:tcPr>
          <w:p>
            <w:pPr>
              <w:jc w:val="right"/>
              <w:ind w:right="13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4"/>
        </w:trPr>
        <w:tc>
          <w:tcPr>
            <w:tcW w:w="4080" w:type="dxa"/>
            <w:vAlign w:val="bottom"/>
          </w:tcPr>
          <w:p>
            <w:pPr>
              <w:ind w:left="200"/>
              <w:spacing w:after="0" w:line="199" w:lineRule="exact"/>
              <w:rPr>
                <w:sz w:val="20"/>
                <w:szCs w:val="20"/>
                <w:color w:val="auto"/>
              </w:rPr>
            </w:pPr>
            <w:r>
              <w:rPr>
                <w:rFonts w:ascii="Arial" w:cs="Arial" w:eastAsia="Arial" w:hAnsi="Arial"/>
                <w:sz w:val="18"/>
                <w:szCs w:val="18"/>
                <w:color w:val="auto"/>
              </w:rPr>
              <w:t>acquisitions</w:t>
            </w:r>
            <w:r>
              <w:rPr>
                <w:rFonts w:ascii="Arial" w:cs="Arial" w:eastAsia="Arial" w:hAnsi="Arial"/>
                <w:sz w:val="23"/>
                <w:szCs w:val="23"/>
                <w:color w:val="auto"/>
                <w:vertAlign w:val="superscript"/>
              </w:rPr>
              <w:t>(1)</w:t>
            </w:r>
          </w:p>
        </w:tc>
        <w:tc>
          <w:tcPr>
            <w:tcW w:w="116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080" w:type="dxa"/>
            <w:vAlign w:val="bottom"/>
            <w:shd w:val="clear" w:color="auto" w:fill="CCEEFF"/>
          </w:tcPr>
          <w:p>
            <w:pPr>
              <w:ind w:left="200"/>
              <w:spacing w:after="0" w:line="219" w:lineRule="exact"/>
              <w:rPr>
                <w:sz w:val="20"/>
                <w:szCs w:val="20"/>
                <w:color w:val="auto"/>
              </w:rPr>
            </w:pPr>
            <w:r>
              <w:rPr>
                <w:rFonts w:ascii="Arial" w:cs="Arial" w:eastAsia="Arial" w:hAnsi="Arial"/>
                <w:sz w:val="18"/>
                <w:szCs w:val="18"/>
                <w:color w:val="auto"/>
              </w:rPr>
              <w:t>Payments related to workforce reduction</w:t>
            </w:r>
            <w:r>
              <w:rPr>
                <w:rFonts w:ascii="Arial" w:cs="Arial" w:eastAsia="Arial" w:hAnsi="Arial"/>
                <w:sz w:val="23"/>
                <w:szCs w:val="23"/>
                <w:color w:val="auto"/>
                <w:vertAlign w:val="superscript"/>
              </w:rPr>
              <w:t>(2)</w:t>
            </w:r>
          </w:p>
        </w:tc>
        <w:tc>
          <w:tcPr>
            <w:tcW w:w="1160" w:type="dxa"/>
            <w:vAlign w:val="bottom"/>
            <w:shd w:val="clear" w:color="auto" w:fill="CCEEFF"/>
          </w:tcPr>
          <w:p>
            <w:pPr>
              <w:jc w:val="right"/>
              <w:ind w:right="971"/>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firstLine="6"/>
        <w:spacing w:after="0" w:line="315"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 xml:space="preserve">For the </w:t>
      </w:r>
      <w:r>
        <w:rPr>
          <w:rFonts w:ascii="Arial" w:cs="Arial" w:eastAsia="Arial" w:hAnsi="Arial"/>
          <w:sz w:val="15"/>
          <w:szCs w:val="15"/>
          <w:color w:val="auto"/>
        </w:rPr>
        <w:t>first</w:t>
      </w:r>
      <w:r>
        <w:rPr>
          <w:rFonts w:ascii="Arial" w:cs="Arial" w:eastAsia="Arial" w:hAnsi="Arial"/>
          <w:sz w:val="14"/>
          <w:szCs w:val="14"/>
          <w:color w:val="auto"/>
        </w:rPr>
        <w:t xml:space="preserve"> quarter ended March 31, 2022, we made payments in the amount of $14.3 million for the 2022 installments of deal consideration employee holdbacks pertaining to our acquisitions. The related expenses are recognized within research and development and sales and marketing expenses over the required service period.</w:t>
      </w:r>
    </w:p>
    <w:p>
      <w:pPr>
        <w:spacing w:after="0" w:line="153" w:lineRule="exact"/>
        <w:rPr>
          <w:rFonts w:ascii="Arial" w:cs="Arial" w:eastAsia="Arial" w:hAnsi="Arial"/>
          <w:sz w:val="18"/>
          <w:szCs w:val="18"/>
          <w:color w:val="auto"/>
          <w:vertAlign w:val="superscript"/>
        </w:rPr>
      </w:pPr>
    </w:p>
    <w:p>
      <w:pPr>
        <w:ind w:left="160" w:hanging="154"/>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Includes payments made related to workforce reduction such as severance, benefits, and other related items.</w:t>
      </w:r>
    </w:p>
    <w:p>
      <w:pPr>
        <w:sectPr>
          <w:pgSz w:w="11900" w:h="16838" w:orient="portrait"/>
          <w:cols w:equalWidth="0" w:num="1">
            <w:col w:w="11240"/>
          </w:cols>
          <w:pgMar w:left="320" w:top="87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About Non-GAAP Financial Measures</w:t>
      </w:r>
    </w:p>
    <w:p>
      <w:pPr>
        <w:spacing w:after="0" w:line="251"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To provide investors and others with additional information regarding Dropbox's results, we have disclosed the following non-GAAP financial measures: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 from GAAP in that they exclude stock-based compensation expense, amortization of acquired intangible assets, other acquisition-related expenses, which include third-party diligence costs and expenses related to key employee holdback agreements, impairment charges related to real estate assets, expenses related to our reduction in force and the income tax effect of the aforementioned adjustments. FCF differs from GAAP net cash provided by operating activities in that it treats capital expenditures as a reduction to net cash provided by operating activities. Free cash flow margin is calculated as FCF divided by revenue. For periods that we are in a GAAP net income position, the weighted average shares used in the computation are the same as the shares used in our non-GAAP diluted net income per share computation. In order to present revenue on a constant currency basis for the quarter ended March 31, 2022, Dropbox calculates constant currency revenue growth rates by applying the prior period weighted average exchange rates to current period results. Dropbox calculates constant currency Total ARR growth rates by applying the current period rate to prior period results. Dropbox presents constant currency information to provide a framework for assessing how our underlying business performed excluding the effect of foreign currency rate fluctuations.</w:t>
      </w:r>
    </w:p>
    <w:p>
      <w:pPr>
        <w:spacing w:after="0" w:line="398"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22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214"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182"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mitigates these limitations by reconciling the non-GAAP financial measures to the most comparable GAAP financial measures. Additionally, we have provided supplemental disclosures in our reconciliation of net cash provided by operating activities to free cash flow to include expenses related to reduction in workforce and key employee holdback payments related to its acquisitions.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220"/>
          </w:cols>
          <w:pgMar w:left="320" w:top="878"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Kern Kapoor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ir@dropbox.com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Alissa Stewart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press@dropbox.com</w:t>
      </w:r>
    </w:p>
    <w:sectPr>
      <w:pgSz w:w="11900" w:h="16838" w:orient="portrait"/>
      <w:cols w:equalWidth="0" w:num="1">
        <w:col w:w="10139"/>
      </w:cols>
      <w:pgMar w:left="320" w:top="8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lvl>
    <w:lvl w:ilvl="1">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2022-05-06T12:30:03Z</dcterms:created>
  <dcterms:modified xsi:type="dcterms:W3CDTF">2022-05-06T12:30:03Z</dcterms:modified>
</cp:coreProperties>
</file>