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Vashee Ajay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04/01/2020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228,658</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615,739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awards. Each restricted stock award represents the Reporting Person's right to receive one share of Class A Common Stock. The restricted stock awards vest as to 1/16th of the shares on May 15, 2020 and each three-month anniversary thereafter through February 15, 2024.</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260" w:type="dxa"/>
            <w:vAlign w:val="bottom"/>
          </w:tcPr>
          <w:p>
            <w:pPr>
              <w:spacing w:after="0"/>
              <w:rPr>
                <w:sz w:val="16"/>
                <w:szCs w:val="16"/>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04/03/2020</w:t>
            </w:r>
          </w:p>
        </w:tc>
        <w:tc>
          <w:tcPr>
            <w:tcW w:w="0" w:type="dxa"/>
            <w:vAlign w:val="bottom"/>
          </w:tcPr>
          <w:p>
            <w:pPr>
              <w:spacing w:after="0"/>
              <w:rPr>
                <w:sz w:val="1"/>
                <w:szCs w:val="1"/>
                <w:color w:val="auto"/>
              </w:rPr>
            </w:pPr>
          </w:p>
        </w:tc>
      </w:tr>
      <w:tr>
        <w:trPr>
          <w:trHeight w:val="87"/>
        </w:trPr>
        <w:tc>
          <w:tcPr>
            <w:tcW w:w="19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28"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2020-04-03T18:10:42Z</dcterms:created>
  <dcterms:modified xsi:type="dcterms:W3CDTF">2020-04-03T18:10:42Z</dcterms:modified>
</cp:coreProperties>
</file>