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-175895</wp:posOffset>
            </wp:positionV>
            <wp:extent cx="1775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-130175</wp:posOffset>
            </wp:positionV>
            <wp:extent cx="1775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 w:lineRule="exact"/>
        <w:rPr>
          <w:sz w:val="24"/>
          <w:szCs w:val="24"/>
          <w:color w:val="auto"/>
        </w:rPr>
      </w:pPr>
    </w:p>
    <w:p>
      <w:pPr>
        <w:ind w:left="4020" w:right="2120" w:hanging="4016"/>
        <w:spacing w:after="0" w:line="261"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r>
        <w:rPr>
          <w:rFonts w:ascii="Arial" w:cs="Arial" w:eastAsia="Arial" w:hAnsi="Arial"/>
          <w:sz w:val="18"/>
          <w:szCs w:val="18"/>
          <w:color w:val="auto"/>
        </w:rPr>
        <w:t xml:space="preserve"> For the quarterly period ended March 31, 2018</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760" w:right="2040" w:hanging="3752"/>
        <w:spacing w:after="0" w:line="266" w:lineRule="auto"/>
        <w:tabs>
          <w:tab w:leader="none" w:pos="2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001-38434</w:t>
      </w: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-254635</wp:posOffset>
            </wp:positionV>
            <wp:extent cx="32759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167640</wp:posOffset>
            </wp:positionV>
            <wp:extent cx="32759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0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26-0138832</w:t>
      </w:r>
    </w:p>
    <w:p>
      <w:pPr>
        <w:spacing w:after="0" w:line="188" w:lineRule="exact"/>
        <w:rPr>
          <w:sz w:val="24"/>
          <w:szCs w:val="24"/>
          <w:color w:val="auto"/>
        </w:rPr>
      </w:pPr>
    </w:p>
    <w:p>
      <w:pPr>
        <w:sectPr>
          <w:pgSz w:w="11900" w:h="16838" w:orient="portrait"/>
          <w:cols w:equalWidth="0" w:num="2">
            <w:col w:w="8700" w:space="720"/>
            <w:col w:w="2000"/>
          </w:cols>
          <w:pgMar w:left="240" w:top="472" w:right="239" w:bottom="1440" w:gutter="0" w:footer="0" w:header="0"/>
          <w:type w:val="continuous"/>
        </w:sectPr>
      </w:pPr>
    </w:p>
    <w:p>
      <w:pPr>
        <w:ind w:left="5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7800" w:space="720"/>
            <w:col w:w="2900"/>
          </w:cols>
          <w:pgMar w:left="240" w:top="472" w:right="239" w:bottom="1440" w:gutter="0" w:footer="0" w:header="0"/>
          <w:type w:val="continuous"/>
        </w:sectPr>
      </w:pP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-127635</wp:posOffset>
            </wp:positionV>
            <wp:extent cx="3009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Brannan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California 94107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168910</wp:posOffset>
            </wp:positionV>
            <wp:extent cx="3009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27" w:lineRule="exact"/>
        <w:rPr>
          <w:sz w:val="24"/>
          <w:szCs w:val="24"/>
          <w:color w:val="auto"/>
        </w:rPr>
      </w:pPr>
    </w:p>
    <w:p>
      <w:pPr>
        <w:ind w:right="6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spacing w:after="0" w:line="126" w:lineRule="exact"/>
        <w:rPr>
          <w:sz w:val="24"/>
          <w:szCs w:val="24"/>
          <w:color w:val="auto"/>
        </w:rPr>
      </w:pPr>
    </w:p>
    <w:p>
      <w:pPr>
        <w:ind w:right="28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4"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80" w:type="dxa"/>
            <w:vAlign w:val="bottom"/>
          </w:tcPr>
          <w:p>
            <w:pPr>
              <w:jc w:val="right"/>
              <w:ind w:right="128"/>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3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580" w:type="dxa"/>
            <w:vAlign w:val="bottom"/>
          </w:tcPr>
          <w:p>
            <w:pPr>
              <w:jc w:val="right"/>
              <w:ind w:right="128"/>
              <w:spacing w:after="0"/>
              <w:rPr>
                <w:sz w:val="20"/>
                <w:szCs w:val="20"/>
                <w:color w:val="auto"/>
              </w:rPr>
            </w:pPr>
            <w:r>
              <w:rPr>
                <w:rFonts w:ascii="Arial" w:cs="Arial" w:eastAsia="Arial" w:hAnsi="Arial"/>
                <w:sz w:val="14"/>
                <w:szCs w:val="14"/>
                <w:color w:val="auto"/>
              </w:rPr>
              <w:t>x</w:t>
            </w:r>
          </w:p>
        </w:tc>
        <w:tc>
          <w:tcPr>
            <w:tcW w:w="374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32"/>
        </w:trPr>
        <w:tc>
          <w:tcPr>
            <w:tcW w:w="394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1580" w:type="dxa"/>
            <w:vAlign w:val="bottom"/>
          </w:tcPr>
          <w:p>
            <w:pPr>
              <w:spacing w:after="0"/>
              <w:rPr>
                <w:sz w:val="24"/>
                <w:szCs w:val="24"/>
                <w:color w:val="auto"/>
              </w:rPr>
            </w:pPr>
          </w:p>
        </w:tc>
        <w:tc>
          <w:tcPr>
            <w:tcW w:w="3740" w:type="dxa"/>
            <w:vAlign w:val="bottom"/>
          </w:tcPr>
          <w:p>
            <w:pPr>
              <w:ind w:left="200"/>
              <w:spacing w:after="0"/>
              <w:rPr>
                <w:sz w:val="20"/>
                <w:szCs w:val="20"/>
                <w:color w:val="auto"/>
              </w:rPr>
            </w:pPr>
            <w:r>
              <w:rPr>
                <w:rFonts w:ascii="Arial" w:cs="Arial" w:eastAsia="Arial" w:hAnsi="Arial"/>
                <w:sz w:val="14"/>
                <w:szCs w:val="14"/>
                <w:color w:val="auto"/>
              </w:rPr>
              <w:t>Emerging growth company</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7"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0" w:lineRule="exact"/>
        <w:rPr>
          <w:sz w:val="24"/>
          <w:szCs w:val="24"/>
          <w:color w:val="auto"/>
        </w:rPr>
      </w:pPr>
    </w:p>
    <w:p>
      <w:pPr>
        <w:spacing w:after="0" w:line="257" w:lineRule="auto"/>
        <w:rPr>
          <w:sz w:val="20"/>
          <w:szCs w:val="20"/>
          <w:color w:val="auto"/>
        </w:rPr>
      </w:pPr>
      <w:r>
        <w:rPr>
          <w:rFonts w:ascii="Arial" w:cs="Arial" w:eastAsia="Arial" w:hAnsi="Arial"/>
          <w:sz w:val="14"/>
          <w:szCs w:val="14"/>
          <w:color w:val="auto"/>
        </w:rPr>
        <w:t>As of April 30, 2018, there were 73,796,324 shares of the registrants’ Class A common stock outstanding (which excludes 14,733,333 shares of Class A common stock subject to restricted stock awards that were granted pursuant to the Co-Founder Grants, and vest upon the satisfaction of a service condition and achievement of certain stock price goals), 326,601,175 shares of the registrant’s Class B common stock outstanding, and no shares of the registrant’s Class C common stock outstanding.</w:t>
      </w:r>
    </w:p>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2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PART I. FINANCIAL INFORMATION</w:t>
        </w:r>
      </w:hyperlink>
    </w:p>
    <w:p>
      <w:pPr>
        <w:spacing w:after="0" w:line="86"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1.</w:t>
      </w:r>
      <w:r>
        <w:rPr>
          <w:sz w:val="20"/>
          <w:szCs w:val="20"/>
          <w:color w:val="auto"/>
        </w:rPr>
        <w:tab/>
      </w:r>
      <w:hyperlink w:anchor="page5">
        <w:r>
          <w:rPr>
            <w:rFonts w:ascii="Arial" w:cs="Arial" w:eastAsia="Arial" w:hAnsi="Arial"/>
            <w:sz w:val="14"/>
            <w:szCs w:val="14"/>
            <w:u w:val="single" w:color="auto"/>
            <w:color w:val="0000EE"/>
          </w:rPr>
          <w:t>Condensed Consolidated Financial Statements (Unaudited)</w:t>
        </w:r>
      </w:hyperlink>
    </w:p>
    <w:p>
      <w:pPr>
        <w:spacing w:after="0" w:line="73" w:lineRule="exact"/>
        <w:rPr>
          <w:sz w:val="20"/>
          <w:szCs w:val="20"/>
          <w:color w:val="auto"/>
        </w:rPr>
      </w:pPr>
    </w:p>
    <w:p>
      <w:pPr>
        <w:ind w:left="108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Balance Sheets as of March 31, 2018 and December 31, 2017</w:t>
        </w:r>
      </w:hyperlink>
    </w:p>
    <w:p>
      <w:pPr>
        <w:spacing w:after="0" w:line="86" w:lineRule="exact"/>
        <w:rPr>
          <w:sz w:val="20"/>
          <w:szCs w:val="20"/>
          <w:color w:val="auto"/>
        </w:rPr>
      </w:pPr>
    </w:p>
    <w:p>
      <w:pPr>
        <w:ind w:left="1080"/>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Condensed Consolidated Statements of Operations for the Three Months ended March 31, 2018 and 2017</w:t>
        </w:r>
      </w:hyperlink>
    </w:p>
    <w:p>
      <w:pPr>
        <w:spacing w:after="0" w:line="98" w:lineRule="exact"/>
        <w:rPr>
          <w:sz w:val="20"/>
          <w:szCs w:val="20"/>
          <w:color w:val="auto"/>
        </w:rPr>
      </w:pPr>
    </w:p>
    <w:p>
      <w:pPr>
        <w:ind w:left="10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Condensed Consolidated Statements of Comprehensive Loss for the Three Months Ended March 31, 2018 and 2017</w:t>
        </w:r>
      </w:hyperlink>
    </w:p>
    <w:p>
      <w:pPr>
        <w:spacing w:after="0" w:line="109" w:lineRule="exact"/>
        <w:rPr>
          <w:sz w:val="20"/>
          <w:szCs w:val="20"/>
          <w:color w:val="auto"/>
        </w:rPr>
      </w:pPr>
    </w:p>
    <w:p>
      <w:pPr>
        <w:ind w:left="1080"/>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Condensed Consolidated Statements of Cash Flows for the Three Months Ended March 31, 2018 and 2017</w:t>
        </w:r>
      </w:hyperlink>
    </w:p>
    <w:p>
      <w:pPr>
        <w:spacing w:after="0" w:line="98" w:lineRule="exact"/>
        <w:rPr>
          <w:sz w:val="20"/>
          <w:szCs w:val="20"/>
          <w:color w:val="auto"/>
        </w:rPr>
      </w:pPr>
    </w:p>
    <w:p>
      <w:pPr>
        <w:ind w:left="108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Notes to Condensed Consolidated Financial Statements</w:t>
        </w:r>
      </w:hyperlink>
    </w:p>
    <w:p>
      <w:pPr>
        <w:spacing w:after="0" w:line="86"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2.</w:t>
      </w:r>
      <w:r>
        <w:rPr>
          <w:sz w:val="20"/>
          <w:szCs w:val="20"/>
          <w:color w:val="auto"/>
        </w:rPr>
        <w:tab/>
      </w:r>
      <w:hyperlink w:anchor="page28">
        <w:r>
          <w:rPr>
            <w:rFonts w:ascii="Arial" w:cs="Arial" w:eastAsia="Arial" w:hAnsi="Arial"/>
            <w:sz w:val="14"/>
            <w:szCs w:val="14"/>
            <w:u w:val="single" w:color="auto"/>
            <w:color w:val="0000EE"/>
          </w:rPr>
          <w:t>Management's Discussion and Analysis of Financial Condition and Results of Operations</w:t>
        </w:r>
      </w:hyperlink>
    </w:p>
    <w:p>
      <w:pPr>
        <w:spacing w:after="0" w:line="73"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3.</w:t>
      </w:r>
      <w:r>
        <w:rPr>
          <w:sz w:val="20"/>
          <w:szCs w:val="20"/>
          <w:color w:val="auto"/>
        </w:rPr>
        <w:tab/>
      </w:r>
      <w:hyperlink w:anchor="page48">
        <w:r>
          <w:rPr>
            <w:rFonts w:ascii="Arial" w:cs="Arial" w:eastAsia="Arial" w:hAnsi="Arial"/>
            <w:sz w:val="14"/>
            <w:szCs w:val="14"/>
            <w:u w:val="single" w:color="auto"/>
            <w:color w:val="0000EE"/>
          </w:rPr>
          <w:t>Quantitative and Qualitative Disclosures About Market Risk</w:t>
        </w:r>
      </w:hyperlink>
    </w:p>
    <w:p>
      <w:pPr>
        <w:spacing w:after="0" w:line="73"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4.</w:t>
      </w:r>
      <w:r>
        <w:rPr>
          <w:sz w:val="20"/>
          <w:szCs w:val="20"/>
          <w:color w:val="auto"/>
        </w:rPr>
        <w:tab/>
      </w:r>
      <w:hyperlink w:anchor="page49">
        <w:r>
          <w:rPr>
            <w:rFonts w:ascii="Arial" w:cs="Arial" w:eastAsia="Arial" w:hAnsi="Arial"/>
            <w:sz w:val="14"/>
            <w:szCs w:val="14"/>
            <w:u w:val="single" w:color="auto"/>
            <w:color w:val="0000EE"/>
          </w:rPr>
          <w:t>Controls and Procedures</w:t>
        </w:r>
      </w:hyperlink>
    </w:p>
    <w:p>
      <w:pPr>
        <w:spacing w:after="0" w:line="397" w:lineRule="exact"/>
        <w:rPr>
          <w:sz w:val="20"/>
          <w:szCs w:val="20"/>
          <w:color w:val="auto"/>
        </w:rPr>
      </w:pPr>
    </w:p>
    <w:p>
      <w:pPr>
        <w:jc w:val="center"/>
        <w:ind w:left="112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PART II.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370" w:lineRule="exact"/>
        <w:rPr>
          <w:sz w:val="20"/>
          <w:szCs w:val="20"/>
          <w:color w:val="auto"/>
        </w:rPr>
      </w:pPr>
    </w:p>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9</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28</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48</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49</w:t>
        </w:r>
      </w:hyperlink>
    </w:p>
    <w:p>
      <w:pPr>
        <w:spacing w:after="0" w:line="654" w:lineRule="exact"/>
        <w:rPr>
          <w:sz w:val="20"/>
          <w:szCs w:val="20"/>
          <w:color w:val="auto"/>
        </w:rPr>
      </w:pPr>
    </w:p>
    <w:p>
      <w:pPr>
        <w:sectPr>
          <w:pgSz w:w="11900" w:h="16838" w:orient="portrait"/>
          <w:cols w:equalWidth="0" w:num="2">
            <w:col w:w="10340" w:space="720"/>
            <w:col w:w="340"/>
          </w:cols>
          <w:pgMar w:left="240" w:top="121" w:right="259" w:bottom="1440" w:gutter="0" w:footer="0" w:header="0"/>
        </w:sectPr>
      </w:pPr>
    </w:p>
    <w:tbl>
      <w:tblPr>
        <w:tblLayout w:type="fixed"/>
        <w:tblInd w:w="4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200" w:type="dxa"/>
            <w:vAlign w:val="bottom"/>
            <w:gridSpan w:val="5"/>
          </w:tcPr>
          <w:p>
            <w:pPr>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Legal Proceedings</w:t>
              </w:r>
            </w:hyperlink>
          </w:p>
        </w:tc>
        <w:tc>
          <w:tcPr>
            <w:tcW w:w="5840" w:type="dxa"/>
            <w:vAlign w:val="bottom"/>
            <w:gridSpan w:val="2"/>
          </w:tcPr>
          <w:p>
            <w:pPr>
              <w:spacing w:after="0"/>
              <w:rPr>
                <w:sz w:val="16"/>
                <w:szCs w:val="16"/>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50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1200" w:type="dxa"/>
            <w:vAlign w:val="bottom"/>
            <w:gridSpan w:val="5"/>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Risk Factors</w:t>
              </w:r>
            </w:hyperlink>
          </w:p>
        </w:tc>
        <w:tc>
          <w:tcPr>
            <w:tcW w:w="5840" w:type="dxa"/>
            <w:vAlign w:val="bottom"/>
            <w:gridSpan w:val="2"/>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51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3920" w:type="dxa"/>
            <w:vAlign w:val="bottom"/>
            <w:gridSpan w:val="6"/>
          </w:tcPr>
          <w:p>
            <w:pPr>
              <w:spacing w:after="0"/>
              <w:rPr>
                <w:rFonts w:ascii="Arial" w:cs="Arial" w:eastAsia="Arial" w:hAnsi="Arial"/>
                <w:sz w:val="16"/>
                <w:szCs w:val="16"/>
                <w:color w:val="0000EE"/>
                <w:w w:val="90"/>
              </w:rPr>
            </w:pPr>
            <w:hyperlink w:anchor="page74">
              <w:r>
                <w:rPr>
                  <w:rFonts w:ascii="Arial" w:cs="Arial" w:eastAsia="Arial" w:hAnsi="Arial"/>
                  <w:sz w:val="16"/>
                  <w:szCs w:val="16"/>
                  <w:color w:val="0000EE"/>
                  <w:w w:val="90"/>
                </w:rPr>
                <w:t>Unregistered Sales of Equity Securities and Use of Proceeds</w:t>
              </w:r>
            </w:hyperlink>
          </w:p>
        </w:tc>
        <w:tc>
          <w:tcPr>
            <w:tcW w:w="3120" w:type="dxa"/>
            <w:vAlign w:val="bottom"/>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74">
              <w:r>
                <w:rPr>
                  <w:rFonts w:ascii="Arial" w:cs="Arial" w:eastAsia="Arial" w:hAnsi="Arial"/>
                  <w:sz w:val="16"/>
                  <w:szCs w:val="16"/>
                  <w:color w:val="0000EE"/>
                </w:rPr>
                <w:t>74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540" w:type="dxa"/>
            <w:vAlign w:val="bottom"/>
          </w:tcPr>
          <w:p>
            <w:pPr>
              <w:spacing w:after="0"/>
              <w:rPr>
                <w:rFonts w:ascii="Arial" w:cs="Arial" w:eastAsia="Arial" w:hAnsi="Arial"/>
                <w:sz w:val="16"/>
                <w:szCs w:val="16"/>
                <w:color w:val="0000EE"/>
                <w:w w:val="92"/>
              </w:rPr>
            </w:pPr>
            <w:hyperlink w:anchor="page75">
              <w:r>
                <w:rPr>
                  <w:rFonts w:ascii="Arial" w:cs="Arial" w:eastAsia="Arial" w:hAnsi="Arial"/>
                  <w:sz w:val="16"/>
                  <w:szCs w:val="16"/>
                  <w:color w:val="0000EE"/>
                  <w:w w:val="92"/>
                </w:rPr>
                <w:t>Exhibits</w:t>
              </w:r>
            </w:hyperlink>
          </w:p>
        </w:tc>
        <w:tc>
          <w:tcPr>
            <w:tcW w:w="3380" w:type="dxa"/>
            <w:vAlign w:val="bottom"/>
            <w:gridSpan w:val="5"/>
          </w:tcPr>
          <w:p>
            <w:pPr>
              <w:spacing w:after="0"/>
              <w:rPr>
                <w:sz w:val="20"/>
                <w:szCs w:val="20"/>
                <w:color w:val="auto"/>
              </w:rPr>
            </w:pPr>
          </w:p>
        </w:tc>
        <w:tc>
          <w:tcPr>
            <w:tcW w:w="3120" w:type="dxa"/>
            <w:vAlign w:val="bottom"/>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75">
              <w:r>
                <w:rPr>
                  <w:rFonts w:ascii="Arial" w:cs="Arial" w:eastAsia="Arial" w:hAnsi="Arial"/>
                  <w:sz w:val="16"/>
                  <w:szCs w:val="16"/>
                  <w:color w:val="0000EE"/>
                </w:rPr>
                <w:t>75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7040" w:type="dxa"/>
            <w:vAlign w:val="bottom"/>
            <w:gridSpan w:val="7"/>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Exhibit Index</w:t>
              </w:r>
            </w:hyperlink>
          </w:p>
        </w:tc>
        <w:tc>
          <w:tcPr>
            <w:tcW w:w="3280" w:type="dxa"/>
            <w:vAlign w:val="bottom"/>
            <w:gridSpan w:val="2"/>
          </w:tcPr>
          <w:p>
            <w:pPr>
              <w:jc w:val="right"/>
              <w:spacing w:after="0"/>
              <w:rPr>
                <w:rFonts w:ascii="Arial" w:cs="Arial" w:eastAsia="Arial" w:hAnsi="Arial"/>
                <w:sz w:val="16"/>
                <w:szCs w:val="16"/>
                <w:color w:val="0000EE"/>
              </w:rPr>
            </w:pPr>
            <w:hyperlink w:anchor="page76">
              <w:r>
                <w:rPr>
                  <w:rFonts w:ascii="Arial" w:cs="Arial" w:eastAsia="Arial" w:hAnsi="Arial"/>
                  <w:sz w:val="16"/>
                  <w:szCs w:val="16"/>
                  <w:color w:val="0000EE"/>
                </w:rPr>
                <w:t>76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tcBorders>
              <w:top w:val="single" w:sz="8" w:color="0000EE"/>
            </w:tcBorders>
            <w:gridSpan w:val="2"/>
            <w:vMerge w:val="restart"/>
          </w:tcPr>
          <w:p>
            <w:pPr>
              <w:spacing w:after="0"/>
              <w:rPr>
                <w:rFonts w:ascii="Arial" w:cs="Arial" w:eastAsia="Arial" w:hAnsi="Arial"/>
                <w:sz w:val="16"/>
                <w:szCs w:val="16"/>
                <w:color w:val="0000EE"/>
                <w:w w:val="86"/>
              </w:rPr>
            </w:pPr>
            <w:hyperlink w:anchor="page78">
              <w:r>
                <w:rPr>
                  <w:rFonts w:ascii="Arial" w:cs="Arial" w:eastAsia="Arial" w:hAnsi="Arial"/>
                  <w:sz w:val="16"/>
                  <w:szCs w:val="16"/>
                  <w:color w:val="0000EE"/>
                  <w:w w:val="86"/>
                </w:rPr>
                <w:t>Signatures</w:t>
              </w:r>
            </w:hyperlink>
          </w:p>
        </w:tc>
        <w:tc>
          <w:tcPr>
            <w:tcW w:w="200" w:type="dxa"/>
            <w:vAlign w:val="bottom"/>
            <w:tcBorders>
              <w:top w:val="single" w:sz="8" w:color="0000EE"/>
            </w:tcBorders>
            <w:gridSpan w:val="2"/>
            <w:vMerge w:val="restart"/>
          </w:tcPr>
          <w:p>
            <w:pPr>
              <w:spacing w:after="0" w:line="20" w:lineRule="exact"/>
              <w:rPr>
                <w:sz w:val="1"/>
                <w:szCs w:val="1"/>
                <w:color w:val="auto"/>
              </w:rPr>
            </w:pPr>
          </w:p>
        </w:tc>
        <w:tc>
          <w:tcPr>
            <w:tcW w:w="6160" w:type="dxa"/>
            <w:vAlign w:val="bottom"/>
            <w:gridSpan w:val="3"/>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160" w:type="dxa"/>
            <w:vAlign w:val="bottom"/>
            <w:gridSpan w:val="3"/>
            <w:vMerge w:val="continue"/>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78">
              <w:r>
                <w:rPr>
                  <w:rFonts w:ascii="Arial" w:cs="Arial" w:eastAsia="Arial" w:hAnsi="Arial"/>
                  <w:sz w:val="16"/>
                  <w:szCs w:val="16"/>
                  <w:color w:val="0000EE"/>
                </w:rPr>
                <w:t>78</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1"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FORWARD-LOOKING STATEMENTS</w:t>
      </w:r>
    </w:p>
    <w:p>
      <w:pPr>
        <w:spacing w:after="0" w:line="30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new users or convert registered users to paying users;</w:t>
      </w:r>
    </w:p>
    <w:p>
      <w:pPr>
        <w:spacing w:after="0" w:line="225"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including trends in revenue, costs of revenue, gross profit or gross margin, operating expenses, paying users, and free cash flow;</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demand for our platform or for content collaboration solutions in general;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harm caused by significant disruption of service or loss or unauthorized access to users’ content;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integrate our platform with others;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successfully in competitive markets;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respond to rapid technological changes;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and management of future growth;</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due to our lack of a significant outbound sales force;</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large organizations as users;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offer high-quality customer support;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international expansion;</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brand;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prevent serious errors or defects in our platform;</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companies and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 FINANCIAL INFORMATION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and other receivables, net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341.9</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98.9</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1,438.7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1,019.9</w:t>
            </w:r>
          </w:p>
        </w:tc>
      </w:tr>
      <w:tr>
        <w:trPr>
          <w:trHeight w:val="67"/>
        </w:trPr>
        <w:tc>
          <w:tcPr>
            <w:tcW w:w="69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r>
      <w:tr>
        <w:trPr>
          <w:trHeight w:val="231"/>
        </w:trPr>
        <w:tc>
          <w:tcPr>
            <w:tcW w:w="6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129.8</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70"/>
        </w:trPr>
        <w:tc>
          <w:tcPr>
            <w:tcW w:w="6980" w:type="dxa"/>
            <w:vAlign w:val="bottom"/>
          </w:tcPr>
          <w:p>
            <w:pPr>
              <w:ind w:left="280"/>
              <w:spacing w:after="0" w:line="270" w:lineRule="exact"/>
              <w:rPr>
                <w:sz w:val="20"/>
                <w:szCs w:val="20"/>
                <w:color w:val="auto"/>
              </w:rPr>
            </w:pPr>
            <w:r>
              <w:rPr>
                <w:rFonts w:ascii="Arial" w:cs="Arial" w:eastAsia="Arial" w:hAnsi="Arial"/>
                <w:sz w:val="18"/>
                <w:szCs w:val="18"/>
                <w:color w:val="auto"/>
              </w:rPr>
              <w:t>Capital lease obligation</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738.4</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Capital lease obligation, non-current</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Deferred rent, non-current</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917.0</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7)</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300" w:type="dxa"/>
            <w:vAlign w:val="bottom"/>
          </w:tcPr>
          <w:p>
            <w:pPr>
              <w:spacing w:after="0"/>
              <w:rPr>
                <w:sz w:val="21"/>
                <w:szCs w:val="21"/>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2,104.9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533.1</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1,438.7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1,019.9</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Includes amounts attributable to related party transactions. See Note 11 for further details.</w:t>
      </w:r>
    </w:p>
    <w:p>
      <w:pPr>
        <w:sectPr>
          <w:pgSz w:w="11900" w:h="16838" w:orient="portrait"/>
          <w:cols w:equalWidth="0" w:num="1">
            <w:col w:w="11420"/>
          </w:cols>
          <w:pgMar w:left="240" w:top="121" w:right="2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3"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22860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14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4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4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9"/>
              </w:rPr>
              <w:t>Weighted-average shares used in computing net loss per share attributable to common</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98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vMerge w:val="restart"/>
          </w:tcPr>
          <w:p>
            <w:pPr>
              <w:jc w:val="right"/>
              <w:ind w:right="1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37"/>
        </w:trPr>
        <w:tc>
          <w:tcPr>
            <w:tcW w:w="6980" w:type="dxa"/>
            <w:vAlign w:val="bottom"/>
          </w:tcPr>
          <w:p>
            <w:pPr>
              <w:ind w:left="200"/>
              <w:spacing w:after="0"/>
              <w:rPr>
                <w:sz w:val="20"/>
                <w:szCs w:val="20"/>
                <w:color w:val="auto"/>
              </w:rPr>
            </w:pPr>
            <w:r>
              <w:rPr>
                <w:rFonts w:ascii="Arial" w:cs="Arial" w:eastAsia="Arial" w:hAnsi="Arial"/>
                <w:sz w:val="18"/>
                <w:szCs w:val="18"/>
                <w:color w:val="auto"/>
              </w:rPr>
              <w:t>stockholders, basic and diluted</w:t>
            </w:r>
          </w:p>
        </w:tc>
        <w:tc>
          <w:tcPr>
            <w:tcW w:w="1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 (in millions):</w:t>
      </w:r>
    </w:p>
    <w:p>
      <w:pPr>
        <w:spacing w:after="0" w:line="325"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22860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69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6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3"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22860</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6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foreign currency translation adjustments</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Change in net unrealized losses on short-term investments</w:t>
            </w:r>
          </w:p>
        </w:tc>
        <w:tc>
          <w:tcPr>
            <w:tcW w:w="1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net of tax</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44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69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p>
      <w:pPr>
        <w:jc w:val="center"/>
        <w:ind w:left="70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0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33020</wp:posOffset>
            </wp:positionV>
            <wp:extent cx="2821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jc w:val="right"/>
              <w:ind w:right="83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4"/>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operating activities</w:t>
            </w:r>
          </w:p>
        </w:tc>
        <w:tc>
          <w:tcPr>
            <w:tcW w:w="1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60"/>
        </w:trPr>
        <w:tc>
          <w:tcPr>
            <w:tcW w:w="69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440" w:type="dxa"/>
            <w:vAlign w:val="bottom"/>
          </w:tcPr>
          <w:p>
            <w:pPr>
              <w:jc w:val="right"/>
              <w:ind w:right="12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(465.5)</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33"/>
        </w:trPr>
        <w:tc>
          <w:tcPr>
            <w:tcW w:w="6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44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48.0</w:t>
            </w:r>
          </w:p>
        </w:tc>
      </w:tr>
      <w:tr>
        <w:trPr>
          <w:trHeight w:val="33"/>
        </w:trPr>
        <w:tc>
          <w:tcPr>
            <w:tcW w:w="6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deferred commissions</w:t>
            </w:r>
          </w:p>
        </w:tc>
        <w:tc>
          <w:tcPr>
            <w:tcW w:w="144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6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Trade and other receivables, net</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6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6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and other current liabilities</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Accrued compensation and benefits</w:t>
            </w:r>
          </w:p>
        </w:tc>
        <w:tc>
          <w:tcPr>
            <w:tcW w:w="1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33"/>
        </w:trPr>
        <w:tc>
          <w:tcPr>
            <w:tcW w:w="6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Non-current liabilities</w:t>
            </w:r>
          </w:p>
        </w:tc>
        <w:tc>
          <w:tcPr>
            <w:tcW w:w="144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6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r>
      <w:tr>
        <w:trPr>
          <w:trHeight w:val="20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Cash flow from investing activities</w:t>
            </w:r>
          </w:p>
        </w:tc>
        <w:tc>
          <w:tcPr>
            <w:tcW w:w="14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7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received from equipment rebates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84" w:lineRule="exact"/>
        <w:rPr>
          <w:sz w:val="20"/>
          <w:szCs w:val="20"/>
          <w:color w:val="auto"/>
        </w:rPr>
      </w:pPr>
    </w:p>
    <w:p>
      <w:pPr>
        <w:ind w:left="520" w:right="1520" w:hanging="242"/>
        <w:spacing w:after="0" w:line="293" w:lineRule="auto"/>
        <w:rPr>
          <w:sz w:val="20"/>
          <w:szCs w:val="20"/>
          <w:color w:val="auto"/>
        </w:rPr>
      </w:pPr>
      <w:r>
        <w:rPr>
          <w:rFonts w:ascii="Arial" w:cs="Arial" w:eastAsia="Arial" w:hAnsi="Arial"/>
          <w:sz w:val="16"/>
          <w:szCs w:val="16"/>
          <w:color w:val="auto"/>
        </w:rPr>
        <w:t>Proceeds from initial public offering and private placement, net of underwriters' discounts and commissions</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of 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Shares repurchased for tax withholdings on release of restricted stock</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Principal payments against capital lease obligations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ind w:right="1160"/>
        <w:spacing w:after="0"/>
        <w:rPr>
          <w:sz w:val="20"/>
          <w:szCs w:val="20"/>
          <w:color w:val="auto"/>
        </w:rPr>
      </w:pPr>
      <w:r>
        <w:rPr>
          <w:rFonts w:ascii="Arial" w:cs="Arial" w:eastAsia="Arial" w:hAnsi="Arial"/>
          <w:sz w:val="16"/>
          <w:szCs w:val="16"/>
          <w:color w:val="auto"/>
        </w:rPr>
        <w:t>(9.9)</w:t>
      </w:r>
    </w:p>
    <w:p>
      <w:pPr>
        <w:spacing w:after="0" w:line="86" w:lineRule="exact"/>
        <w:rPr>
          <w:sz w:val="20"/>
          <w:szCs w:val="20"/>
          <w:color w:val="auto"/>
        </w:rPr>
      </w:pPr>
    </w:p>
    <w:p>
      <w:pPr>
        <w:jc w:val="right"/>
        <w:ind w:right="1160"/>
        <w:spacing w:after="0"/>
        <w:rPr>
          <w:sz w:val="20"/>
          <w:szCs w:val="20"/>
          <w:color w:val="auto"/>
        </w:rPr>
      </w:pPr>
      <w:r>
        <w:rPr>
          <w:rFonts w:ascii="Arial" w:cs="Arial" w:eastAsia="Arial" w:hAnsi="Arial"/>
          <w:sz w:val="16"/>
          <w:szCs w:val="16"/>
          <w:color w:val="auto"/>
        </w:rPr>
        <w:t>(2.5)</w:t>
      </w:r>
    </w:p>
    <w:p>
      <w:pPr>
        <w:spacing w:after="0" w:line="86" w:lineRule="exact"/>
        <w:rPr>
          <w:sz w:val="20"/>
          <w:szCs w:val="20"/>
          <w:color w:val="auto"/>
        </w:rPr>
      </w:pPr>
    </w:p>
    <w:p>
      <w:pPr>
        <w:jc w:val="right"/>
        <w:ind w:right="1220"/>
        <w:spacing w:after="0"/>
        <w:rPr>
          <w:sz w:val="20"/>
          <w:szCs w:val="20"/>
          <w:color w:val="auto"/>
        </w:rPr>
      </w:pPr>
      <w:r>
        <w:rPr>
          <w:rFonts w:ascii="Arial" w:cs="Arial" w:eastAsia="Arial" w:hAnsi="Arial"/>
          <w:sz w:val="16"/>
          <w:szCs w:val="16"/>
          <w:color w:val="auto"/>
        </w:rPr>
        <w:t>0.1</w:t>
      </w:r>
    </w:p>
    <w:p>
      <w:pPr>
        <w:spacing w:after="0" w:line="86" w:lineRule="exact"/>
        <w:rPr>
          <w:sz w:val="20"/>
          <w:szCs w:val="20"/>
          <w:color w:val="auto"/>
        </w:rPr>
      </w:pPr>
    </w:p>
    <w:p>
      <w:pPr>
        <w:jc w:val="right"/>
        <w:ind w:right="1160"/>
        <w:spacing w:after="0"/>
        <w:rPr>
          <w:sz w:val="20"/>
          <w:szCs w:val="20"/>
          <w:color w:val="auto"/>
        </w:rPr>
      </w:pPr>
      <w:r>
        <w:rPr>
          <w:rFonts w:ascii="Arial" w:cs="Arial" w:eastAsia="Arial" w:hAnsi="Arial"/>
          <w:sz w:val="15"/>
          <w:szCs w:val="15"/>
          <w:color w:val="auto"/>
        </w:rPr>
        <w:t>(180.8)</w:t>
      </w:r>
    </w:p>
    <w:p>
      <w:pPr>
        <w:spacing w:after="0" w:line="98" w:lineRule="exact"/>
        <w:rPr>
          <w:sz w:val="20"/>
          <w:szCs w:val="20"/>
          <w:color w:val="auto"/>
        </w:rPr>
      </w:pPr>
    </w:p>
    <w:p>
      <w:pPr>
        <w:jc w:val="right"/>
        <w:ind w:right="1160"/>
        <w:spacing w:after="0"/>
        <w:rPr>
          <w:sz w:val="20"/>
          <w:szCs w:val="20"/>
          <w:color w:val="auto"/>
        </w:rPr>
      </w:pPr>
      <w:r>
        <w:rPr>
          <w:rFonts w:ascii="Arial" w:cs="Arial" w:eastAsia="Arial" w:hAnsi="Arial"/>
          <w:sz w:val="15"/>
          <w:szCs w:val="15"/>
          <w:color w:val="auto"/>
        </w:rPr>
        <w:t>(193.1)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42545</wp:posOffset>
            </wp:positionV>
            <wp:extent cx="138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right"/>
        <w:ind w:right="1220"/>
        <w:spacing w:after="0"/>
        <w:rPr>
          <w:sz w:val="20"/>
          <w:szCs w:val="20"/>
          <w:color w:val="auto"/>
        </w:rPr>
      </w:pPr>
      <w:r>
        <w:rPr>
          <w:rFonts w:ascii="Arial" w:cs="Arial" w:eastAsia="Arial" w:hAnsi="Arial"/>
          <w:sz w:val="16"/>
          <w:szCs w:val="16"/>
          <w:color w:val="auto"/>
        </w:rPr>
        <w:t>638.2</w:t>
      </w:r>
    </w:p>
    <w:p>
      <w:pPr>
        <w:spacing w:after="0" w:line="86" w:lineRule="exact"/>
        <w:rPr>
          <w:sz w:val="20"/>
          <w:szCs w:val="20"/>
          <w:color w:val="auto"/>
        </w:rPr>
      </w:pPr>
    </w:p>
    <w:p>
      <w:pPr>
        <w:jc w:val="right"/>
        <w:ind w:right="1160"/>
        <w:spacing w:after="0"/>
        <w:rPr>
          <w:sz w:val="20"/>
          <w:szCs w:val="20"/>
          <w:color w:val="auto"/>
        </w:rPr>
      </w:pPr>
      <w:r>
        <w:rPr>
          <w:rFonts w:ascii="Arial" w:cs="Arial" w:eastAsia="Arial" w:hAnsi="Arial"/>
          <w:sz w:val="16"/>
          <w:szCs w:val="16"/>
          <w:color w:val="auto"/>
        </w:rPr>
        <w:t>(0.9)</w:t>
      </w:r>
    </w:p>
    <w:p>
      <w:pPr>
        <w:spacing w:after="0" w:line="86" w:lineRule="exact"/>
        <w:rPr>
          <w:sz w:val="20"/>
          <w:szCs w:val="20"/>
          <w:color w:val="auto"/>
        </w:rPr>
      </w:pPr>
    </w:p>
    <w:p>
      <w:pPr>
        <w:jc w:val="right"/>
        <w:ind w:right="1160"/>
        <w:spacing w:after="0"/>
        <w:rPr>
          <w:sz w:val="20"/>
          <w:szCs w:val="20"/>
          <w:color w:val="auto"/>
        </w:rPr>
      </w:pPr>
      <w:r>
        <w:rPr>
          <w:rFonts w:ascii="Arial" w:cs="Arial" w:eastAsia="Arial" w:hAnsi="Arial"/>
          <w:sz w:val="15"/>
          <w:szCs w:val="15"/>
          <w:color w:val="auto"/>
        </w:rPr>
        <w:t>(241.2)</w:t>
      </w:r>
    </w:p>
    <w:p>
      <w:pPr>
        <w:spacing w:after="0" w:line="98" w:lineRule="exact"/>
        <w:rPr>
          <w:sz w:val="20"/>
          <w:szCs w:val="20"/>
          <w:color w:val="auto"/>
        </w:rPr>
      </w:pPr>
    </w:p>
    <w:p>
      <w:pPr>
        <w:jc w:val="right"/>
        <w:ind w:right="1160"/>
        <w:spacing w:after="0"/>
        <w:rPr>
          <w:sz w:val="20"/>
          <w:szCs w:val="20"/>
          <w:color w:val="auto"/>
        </w:rPr>
      </w:pPr>
      <w:r>
        <w:rPr>
          <w:rFonts w:ascii="Arial" w:cs="Arial" w:eastAsia="Arial" w:hAnsi="Arial"/>
          <w:sz w:val="16"/>
          <w:szCs w:val="16"/>
          <w:color w:val="auto"/>
        </w:rPr>
        <w:t>(29.8)</w:t>
      </w:r>
    </w:p>
    <w:p>
      <w:pPr>
        <w:spacing w:after="0" w:line="86" w:lineRule="exact"/>
        <w:rPr>
          <w:sz w:val="20"/>
          <w:szCs w:val="20"/>
          <w:color w:val="auto"/>
        </w:rPr>
      </w:pPr>
    </w:p>
    <w:p>
      <w:pPr>
        <w:jc w:val="right"/>
        <w:ind w:right="1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(5.1)</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(0.3)</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1.3</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34925</wp:posOffset>
            </wp:positionV>
            <wp:extent cx="13633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(24.0)</w:t>
      </w:r>
    </w:p>
    <w:p>
      <w:pPr>
        <w:spacing w:after="0" w:line="10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(34.6)</w:t>
      </w:r>
    </w:p>
    <w:p>
      <w:pPr>
        <w:spacing w:after="0" w:line="10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(1.2)</w:t>
      </w:r>
    </w:p>
    <w:p>
      <w:pPr>
        <w:spacing w:after="0" w:line="35" w:lineRule="exact"/>
        <w:rPr>
          <w:sz w:val="20"/>
          <w:szCs w:val="20"/>
          <w:color w:val="auto"/>
        </w:rPr>
      </w:pPr>
    </w:p>
    <w:p>
      <w:pPr>
        <w:sectPr>
          <w:pgSz w:w="11900" w:h="16838" w:orient="portrait"/>
          <w:cols w:equalWidth="0" w:num="3">
            <w:col w:w="7900" w:space="720"/>
            <w:col w:w="1640" w:space="720"/>
            <w:col w:w="4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9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365.0</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w:t>
            </w:r>
          </w:p>
        </w:tc>
      </w:tr>
      <w:tr>
        <w:trPr>
          <w:trHeight w:val="33"/>
        </w:trPr>
        <w:tc>
          <w:tcPr>
            <w:tcW w:w="6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9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235.3</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430.0</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352.7</w:t>
            </w: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equivalents—end of period</w:t>
            </w:r>
          </w:p>
        </w:tc>
        <w:tc>
          <w:tcPr>
            <w:tcW w:w="9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665.3</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351.2</w:t>
            </w:r>
          </w:p>
        </w:tc>
      </w:tr>
      <w:tr>
        <w:trPr>
          <w:trHeight w:val="73"/>
        </w:trPr>
        <w:tc>
          <w:tcPr>
            <w:tcW w:w="698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64"/>
        </w:trPr>
        <w:tc>
          <w:tcPr>
            <w:tcW w:w="69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data:</w:t>
            </w: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investing and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6980" w:type="dxa"/>
            <w:vAlign w:val="bottom"/>
          </w:tcPr>
          <w:p>
            <w:pPr>
              <w:ind w:left="380"/>
              <w:spacing w:after="0"/>
              <w:rPr>
                <w:sz w:val="20"/>
                <w:szCs w:val="20"/>
                <w:color w:val="auto"/>
              </w:rPr>
            </w:pPr>
            <w:r>
              <w:rPr>
                <w:rFonts w:ascii="Arial" w:cs="Arial" w:eastAsia="Arial" w:hAnsi="Arial"/>
                <w:sz w:val="16"/>
                <w:szCs w:val="16"/>
                <w:color w:val="auto"/>
              </w:rPr>
              <w:t>Property and equipment acquired under capital leases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9"/>
                <w:szCs w:val="19"/>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6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Includes amounts attributable to related party transactions. See Note 11 for further details.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the Business and Summary of Significant Accounting Policies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87"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condensed consolidated balance sheet as of December 31, 2017 included herein was derived from the audited financial statements as of that date. The unaudited condensed consolidated financial statements reflect all normal recurring adjustments necessary to present fairly the balance sheet, statements of operations, statements of comprehensive loss and the statements of cash flows for the interim periods, but are not necessarily indicative of the results of operations to be anticipated for the full fiscal year ended December 31, 2018 or any future period.</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unaudited condensed consolidated financial statements should be read in conjunction with the audited consolidated financial statements and the related notes thereto as of and for the year ended December 31, 2017, included in the Company's prospectus filed pursuant to Rule 424(b) under the Securities Act of 1933, as amended, on March 23, 2018, referred to as the Prospectus.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17"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On March 27, 2018, the Company closed its initial public offering ("IPO"), in which the Company issued and sold 26,822,409 shares of Class A common stock at $21.00 per share. The Company received aggregate proceeds of $538.2 million, net of underwriters' discounts and commissions, before deducting offering costs of $6.9 million, net of reimbursements.</w:t>
      </w:r>
    </w:p>
    <w:p>
      <w:pPr>
        <w:spacing w:after="0" w:line="18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Immediately prior to the closing of the Company’s IPO, 147,310,563 shares of convertible preferred stock outstanding converted into an equivalent number of shares of Class B common stock. Further, pursuant to transfer agreements with certain of the Company’s stockholders, 258,620 shares of the Company’s convertible preferred stock and 2,609,951 shares of the Company’s Class B common stock automatically converted into an equivalent number of shares of Class A common stock.</w:t>
      </w:r>
    </w:p>
    <w:p>
      <w:pPr>
        <w:spacing w:after="0" w:line="18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Immediately subsequent to the closing of the Company's IPO, Salesforce Ventures LLC purchased 4,761,905 shares of Class A common stock from the Company at $21.00 per share. The Company received aggregate proceeds of $100.0 million and did not pay any underwriting discounts or commissions with respect to the shares that were sold in the private placement.</w:t>
      </w:r>
    </w:p>
    <w:p>
      <w:pPr>
        <w:spacing w:after="0" w:line="1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Company’s net proceeds from the IPO and the concurrent private placement totaled $638.2 million, before deducting offering costs of $6.9 million, net of reimbursements.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March 28, 2018, the underwriters exercised their option to purchase an additional 5,400,000 shares of the Company's Class A common stock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$21.00 per share. This transaction closed on April 3, 2018, resulting in additional proceeds of $108.4 million, net of underwriters' discounts and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shares and proceeds from this transaction are not reflected in the condensed consolidated financial statements as of and for the three months ended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31, 2018.</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the effectiveness of the registration statement for the Company's IPO, which was March 22, 2018, the liquidity event-related performance vesting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condition, referred to as the Performance Vesting Condition, associated with the Company's two-tier RSUs was satisfied. As a result,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unrecognized stock-based compensation related to its two-tier restricted stock units ("RSUs") using the accelerated attribution method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$418.7 million attributable to service prior to such effective date. As of March 31, 2018, the remaining unamortized stock-based compensation related to the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two-tier RSUs was $2.6 million, which will be recognized if the requisite service is provided over a weighted average period of 0.6 years.</w:t>
      </w:r>
    </w:p>
    <w:p>
      <w:pPr>
        <w:spacing w:after="0" w:line="2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During the three months ended March 31, 2018, the Company's Board of Directors approved the acceleration of the Performance Vesting Condition for which the service condition was satisfied, to occur upon the effectiveness of the registration statement for the Company's IPO, rather than six months following an IPO. As a result, the Company released 26.8 million shares of common stock underlying the two-tier RSUs for which the Performance Vesting Condition was satisfied, and recorded $13.9 million in employer related payroll tax expenses associated with these same awards during the three months ended March 31, 2018. See “—Stock-Based Compensation” for further discussion regarding the Company's two-tier RSUs.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On March 7, 2018, the Company effected a 1-for-1.5 reverse stock split of its capital stock. All of the share and per share information referenced throughout the condensed consolidated financial statements and notes to the condensed consolidated financial statements have been retroactively adjusted to reflect this reverse stock split.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87" w:lineRule="exact"/>
        <w:rPr>
          <w:sz w:val="20"/>
          <w:szCs w:val="20"/>
          <w:color w:val="auto"/>
        </w:rPr>
      </w:pPr>
    </w:p>
    <w:p>
      <w:pPr>
        <w:ind w:right="680" w:firstLine="432"/>
        <w:spacing w:after="0" w:line="312" w:lineRule="auto"/>
        <w:rPr>
          <w:sz w:val="20"/>
          <w:szCs w:val="20"/>
          <w:color w:val="auto"/>
        </w:rPr>
      </w:pPr>
      <w:r>
        <w:rPr>
          <w:rFonts w:ascii="Arial" w:cs="Arial" w:eastAsia="Arial" w:hAnsi="Arial"/>
          <w:sz w:val="16"/>
          <w:szCs w:val="16"/>
          <w:color w:val="auto"/>
        </w:rPr>
        <w:t>The Company’s most significant estimates and judgments involve recognition of revenue, the measurement of the Company’s stock-based compensation, including the estimation of the underlying deemed fair value of common stock in periods prior to the date of the Company's IPO, the estimation of the fair value of market-based awards, and the valuation of acquired intangible assets and goodwill from business combinations.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Financial information about segments and geographic areas</w:t>
      </w:r>
    </w:p>
    <w:p>
      <w:pPr>
        <w:spacing w:after="0" w:line="11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For information regarding the Company’s long-lived assets and revenue by geographic area, see Note 12.</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The Company recorded $0.7 million and $2.7 million in net foreign currency transaction gains in the three months ended March 31, 2018 and 2017, respectively.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7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121"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7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93"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rights to consideration for services completed but not billed at the reporting date. Unbilled receivables are classified as receivables when the Company has the right to invoice the customer.</w:t>
      </w:r>
    </w:p>
    <w:p>
      <w:pPr>
        <w:spacing w:after="0" w:line="14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recognized $188.2 million and $155.0 million of revenue during the three months ended March 31, 2018 and 2017, respectively, that was included in the deferred revenue balances at the beginning of the respective periods.</w:t>
      </w:r>
    </w:p>
    <w:p>
      <w:pPr>
        <w:spacing w:after="0" w:line="170"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As of March 31, 2018, future estimated revenue related to performance obligations that are unsatisfied or partially unsatisfied at the end of the reporting period was $495.5 million. The substantial majority of the unsatisfied performance obligations will be satisfied over the next twelve months.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has granted RSUs to its employees and members of the Board of Directors under the 2008 Equity Incentive Plan (“2008 Plan”), the 2017 Equity Incentive Plan (“2017 Plan”), and the 2018 Equity Incentive Plan ("2018 Plan"). The Company had two types of RSUs outstanding as of March 31, 2018:</w:t>
      </w:r>
    </w:p>
    <w:p>
      <w:pPr>
        <w:spacing w:after="0" w:line="181" w:lineRule="exact"/>
        <w:rPr>
          <w:sz w:val="20"/>
          <w:szCs w:val="20"/>
          <w:color w:val="auto"/>
        </w:rPr>
      </w:pPr>
    </w:p>
    <w:p>
      <w:pPr>
        <w:ind w:left="980" w:hanging="324"/>
        <w:spacing w:after="0" w:line="279"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One-tier RSUs, which have a service-based vesting condition over a four 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171" w:lineRule="exact"/>
        <w:rPr>
          <w:rFonts w:ascii="Arial" w:cs="Arial" w:eastAsia="Arial" w:hAnsi="Arial"/>
          <w:sz w:val="17"/>
          <w:szCs w:val="17"/>
          <w:color w:val="auto"/>
        </w:rPr>
      </w:pPr>
    </w:p>
    <w:p>
      <w:pPr>
        <w:ind w:left="980" w:right="20" w:hanging="324"/>
        <w:spacing w:after="0" w:line="270"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Two-tier RSUs, which have both a service-based vesting condition and a Performance Vesting Condition. The service-based vesting period for these awards is typically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the Company’s initial public offering or (b) March 15 of the year following the Company’s initial public offering. During the quarter ended March 31, 2018, the Company's Board of Directors approved the acceleration of the Performance Vesting Condition for which the service condition was satisfied, to occur upon the effectiveness of the registration statement related to the Company's IPO. Prior to August 2015, the Company granted two-tier RSUs under the 2008 Plan. The last grant date for two-tier RSUs was in May 2015. The Company recognizes compensation expense associated with two-tier RSUs using the accelerated attribution method over the requisite service period.</w:t>
      </w:r>
    </w:p>
    <w:p>
      <w:pPr>
        <w:spacing w:after="0" w:line="18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Performance Vesting Condition for the two-tier RSUs was satisfied upon the effectiveness of the registration statement related to the Company's IPO, which was March 22, 2018. The Company recognized the cumulative unrecognized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expense of the two-tier RSUs, using the accelerated attribution method, during the three months ended March 31, 2018. See "—Initial Public Offering and Private Placement” for further discussion.</w:t>
      </w:r>
    </w:p>
    <w:p>
      <w:pPr>
        <w:spacing w:after="0" w:line="17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Since August 2015, the Company has granted RSUs as the only stock-based payment awards to its employees, with the exception of awards granted to its co-founders, and has not granted any stock options since then. The fair values of the common stock underlying the RSUs granted in periods prior to the date of the Company's IPO were determined by the Board of Directors, with input from management and contemporaneous third-party valuations, which were performed at least quarterly. For valuations after the Company's IPO, the Board of Directors will determine the fair value of each share of underlying common stock based on the closing price of the Company's Class A common stock as reported on the Nasdaq Global Select Market on the date of the grant.</w:t>
      </w:r>
    </w:p>
    <w:p>
      <w:pPr>
        <w:spacing w:after="0" w:line="15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w:t>
      </w:r>
    </w:p>
    <w:p>
      <w:pPr>
        <w:spacing w:after="0" w:line="171"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Co-Founder Grants comprise nine tranches that are eligible to vest based on the achievement of stock price goals, or, each, a Stock Price Target.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the Company will recognize aggregate stock-based compensation expense of $156.2 million over the requisite service period of each tranche, which ranged from 2.9 to 6.9 years, using the accelerated attribution method.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67"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The Co-Founder Grants contain an implied performance-based vesting condition because the Stock Price Targets are based on the trailing 30-day average price of the shares from an established national securities exchange or automated quotation system. Accordingly, no vesting could occur until the completion of the Company’s IPO. The relevant performance-based vesting condition for the Co-Founder Grants was satisfied on the date the Company’s shares of Class A common stock commenced trading on the Nasdaq Global Select Market, in connection with the Company’s IPO, which was March 23, 2018. The Company recognized the cumulative unrecognized expense of $10.6 million for the Co-Founder Grants, using the accelerated attribution method, during the three months ended March 31, 2018. See Note 8, “Stockholders’ Equity” for further discussion.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Cash consists primarily of cash on deposit with banks and includes amounts in transit from payment processors for credit and debit card transactions, which typically settle within five days. Cash equivalents include highly liquid investments purchased with an original maturity date of 90 days or less from the date of purchase.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The Company’s short-term investments are primarily comprised of U.S. treasury securities, corporate notes and obligations, U.S. agency obligations, commercial paper, and certificates of deposits.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193"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Company's short-term investments are classified as available-for-sale securities and are recorded at fair value each reporting period. Unrealized gains and losses on these short-term investments are reported as a separate component of accumulated other comprehensive income (loss) in the condensed consolidated balance sheets until realized. Interest income is reported within interest expense, net in the condensed consolidated statements of operations. The Company periodically evaluates its short-term investments to assess whether those with unrealized loss positions are other-than-temporarily impaired.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considers various factors in determining whether to recognize an impairment charge, including the length of time the investment has been in a loss position, the extent to which the fair value is less than the Company’s cost basis, and the financial condition and near-term prospects of the investee. Realized gains and losses are determined based on the specific identification method and are reported in other income (expense), net in the condensed consolidated statements of operations. If the Company determines that the decline in an investment’s fair value is other-than-temporary, the difference is recognized as an impairment loss in the condensed consolidated statements of operations.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81" w:lineRule="exact"/>
        <w:rPr>
          <w:sz w:val="20"/>
          <w:szCs w:val="20"/>
          <w:color w:val="auto"/>
        </w:rPr>
      </w:pPr>
    </w:p>
    <w:p>
      <w:pPr>
        <w:jc w:val="both"/>
        <w:ind w:right="360" w:firstLine="432"/>
        <w:spacing w:after="0" w:line="312" w:lineRule="auto"/>
        <w:rPr>
          <w:sz w:val="20"/>
          <w:szCs w:val="20"/>
          <w:color w:val="auto"/>
        </w:rPr>
      </w:pPr>
      <w:r>
        <w:rPr>
          <w:rFonts w:ascii="Arial" w:cs="Arial" w:eastAsia="Arial" w:hAnsi="Arial"/>
          <w:sz w:val="16"/>
          <w:szCs w:val="16"/>
          <w:color w:val="auto"/>
        </w:rPr>
        <w:t>Trade accounts receivables are typically unsecured and are derived from revenue earned from customers located around the world. Two customers accounted for 17% and 31% of total trade and other receivables, net as of March 31, 2018. Two customers accounted for 18% and 27% of total trade and other receivables, net as of December 31, 2017. No customer accounted for more than 10% of the Company’s revenue in the periods presented.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Non-trade receivables</w:t>
      </w:r>
    </w:p>
    <w:p>
      <w:pPr>
        <w:spacing w:after="0" w:line="11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Company records non-trade receivables to reflect amounts due for activities outside of its subscription agreements. Historically, the Company’s non-trade receivables have related primarily to receivables resulting from tenant improvement allowances. Non-trade receivables totaled $3.6 million and $5.2 million, as of March 31, 2018 and December 31, 2017, respectively, and are classified within prepaid expenses and other current assets in the accompanying condensed consolidated balance sheets.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commissions, net</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 The Company deferred incremental costs of obtaining a contract of $9.8 million and $4.7 million during the three months ended March 31, 2018 and 2017, respectively.</w:t>
      </w:r>
    </w:p>
    <w:p>
      <w:pPr>
        <w:spacing w:after="0" w:line="18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Deferred commissions, net included in prepaid and other current assets were $9.5 million and $8.1 million as of March 31, 2018 and December 31, 2017, respectively. Deferred commissions, net included in other assets were $30.8 million and $24.8 million as of March 31, 2018 and December 31, 2017, respectively.</w:t>
      </w:r>
    </w:p>
    <w:p>
      <w:pPr>
        <w:spacing w:after="0" w:line="18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Deferred commissions are amortized over a period of benefit of five years. The period of benefit was estimated by considering factors such as historical customer attrition rates, the useful life of the Company’s technology, and the impact of competition in its industry. Amortized costs were $2.4 million and $1.2 million for the three months ended March 31, 2018 and 2017, respectively. Amortized costs are included in sales and marketing expense in the accompanying condensed consolidated statements of operations. There was no impairment loss in relation to the deferred costs for any period presented.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In the first quarter of 2018, the Company determined that the useful lives of certain infrastructure equipment, which are depreciated through cost of revenue, should be increased from three to four years. The Company accounted for this as a change in estimate that will be applied prospectively, effective as of January 1, 2018. This change in depreciable life resulted in a reduction of $6.1 million in depreciation expense within cost of revenue during the three months ended March 31, 2018.</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estimated useful lives of property and equipment:</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1"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6580" w:type="dxa"/>
            <w:vAlign w:val="bottom"/>
          </w:tcPr>
          <w:p>
            <w:pPr>
              <w:jc w:val="center"/>
              <w:ind w:left="790"/>
              <w:spacing w:after="0"/>
              <w:rPr>
                <w:sz w:val="20"/>
                <w:szCs w:val="20"/>
                <w:color w:val="auto"/>
              </w:rPr>
            </w:pPr>
            <w:r>
              <w:rPr>
                <w:rFonts w:ascii="Arial" w:cs="Arial" w:eastAsia="Arial" w:hAnsi="Arial"/>
                <w:sz w:val="18"/>
                <w:szCs w:val="18"/>
                <w:b w:val="1"/>
                <w:bCs w:val="1"/>
                <w:color w:val="auto"/>
                <w:w w:val="90"/>
              </w:rPr>
              <w:t>Useful life</w:t>
            </w:r>
          </w:p>
        </w:tc>
      </w:tr>
      <w:tr>
        <w:trPr>
          <w:trHeight w:val="27"/>
        </w:trPr>
        <w:tc>
          <w:tcPr>
            <w:tcW w:w="4820" w:type="dxa"/>
            <w:vAlign w:val="bottom"/>
            <w:tcBorders>
              <w:bottom w:val="single" w:sz="8" w:color="auto"/>
            </w:tcBorders>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658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9"/>
              </w:rPr>
              <w:t>20 to 30 years</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Datacenter and other computer equipment</w:t>
            </w:r>
          </w:p>
        </w:tc>
        <w:tc>
          <w:tcPr>
            <w:tcW w:w="6580" w:type="dxa"/>
            <w:vAlign w:val="bottom"/>
          </w:tcPr>
          <w:p>
            <w:pPr>
              <w:jc w:val="center"/>
              <w:ind w:left="790"/>
              <w:spacing w:after="0"/>
              <w:rPr>
                <w:sz w:val="20"/>
                <w:szCs w:val="20"/>
                <w:color w:val="auto"/>
              </w:rPr>
            </w:pPr>
            <w:r>
              <w:rPr>
                <w:rFonts w:ascii="Arial" w:cs="Arial" w:eastAsia="Arial" w:hAnsi="Arial"/>
                <w:sz w:val="18"/>
                <w:szCs w:val="18"/>
                <w:color w:val="auto"/>
                <w:w w:val="87"/>
              </w:rPr>
              <w:t>3 to 5 years</w:t>
            </w:r>
          </w:p>
        </w:tc>
      </w:tr>
      <w:tr>
        <w:trPr>
          <w:trHeight w:val="27"/>
        </w:trPr>
        <w:tc>
          <w:tcPr>
            <w:tcW w:w="48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 and other</w:t>
            </w:r>
          </w:p>
        </w:tc>
        <w:tc>
          <w:tcPr>
            <w:tcW w:w="658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7"/>
              </w:rPr>
              <w:t>3 to 7 years</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6580" w:type="dxa"/>
            <w:vAlign w:val="bottom"/>
          </w:tcPr>
          <w:p>
            <w:pPr>
              <w:jc w:val="center"/>
              <w:ind w:left="790"/>
              <w:spacing w:after="0"/>
              <w:rPr>
                <w:sz w:val="20"/>
                <w:szCs w:val="20"/>
                <w:color w:val="auto"/>
              </w:rPr>
            </w:pPr>
            <w:r>
              <w:rPr>
                <w:rFonts w:ascii="Arial" w:cs="Arial" w:eastAsia="Arial" w:hAnsi="Arial"/>
                <w:sz w:val="18"/>
                <w:szCs w:val="18"/>
                <w:color w:val="auto"/>
                <w:w w:val="90"/>
              </w:rPr>
              <w:t>Lesser of estimated useful life or remaining lease term</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Company leases office space, datacenters, and equipment under non-cancelable capital and operating leases with various expiration dates through 2033. Certain of the Company’s operating lease agreements contain tenant improvement allowances from its landlords. These allowances are accounted for as lease incentive obligations and are amortized as reductions to rent expense over the lease term. In addition, certain of the operating lease agreements contain rent concession, rent escalation, and options to renew. Rent concession and rent escalation provisions are considered in determining the straight-line rent expense to be recorded over the lease term. The lease term begins on the date the Company has the right to use the leased property for purposes of recognizing lease expense on a straight-line basis over the term of the lease. The Company does not assume renewals in its determination of the lease term unless the renewals are deemed to be reasonably assured at lease inception.</w:t>
      </w:r>
    </w:p>
    <w:p>
      <w:pPr>
        <w:spacing w:after="0" w:line="178"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Company leases certain equipment from various third parties, including from a related party, through equipment financing leases under capital leases. See Note 11, “Related Party Transactions” for additional details. These leases either include a bargain purchase option, a full transfer of ownership at the completion of the lease term, or the terms of the leases are at least 75 percent of the useful lives of the assets and are therefore classified as a capital leases. These leases are capitalized in property and equipment and the related amortization of assets under capital leases is included in depreciation and amortization expense in the Company’s condensed consolidated statements of operations. Initial asset values and lease obligations are based on the present value of future minimum lease payments.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 net</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5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Company has not recorded impairment charges on property and equipment, goodwill, or intangible assets for the periods presented in these condensed consolidated financial statements.</w:t>
      </w:r>
    </w:p>
    <w:p>
      <w:pPr>
        <w:spacing w:after="0" w:line="170"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reduces the estimated useful life assumption for any asset, the remaining unamortized balance is amortized or depreciated over the revised estimated useful life on a prospective basis. See "—Property and Equipment, Net” for further discussion regarding a change in useful life applied during the three months ended March 31, 2018.</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 valuation allowance is provided against deferred tax assets unless it is more likely than not that they will be realized based on all available positive and negative evidence. Such evidence includes, but is not limited to, recent cumulative earnings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or losses, expectations of future taxable income by taxing jurisdiction, and the carry-forward periods available for the utilization of deferred tax assets.</w:t>
      </w:r>
    </w:p>
    <w:p>
      <w:pPr>
        <w:spacing w:after="0" w:line="23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87" w:lineRule="exact"/>
        <w:rPr>
          <w:sz w:val="20"/>
          <w:szCs w:val="20"/>
          <w:color w:val="auto"/>
        </w:rPr>
      </w:pPr>
    </w:p>
    <w:p>
      <w:pPr>
        <w:jc w:val="both"/>
        <w:ind w:right="120" w:firstLine="432"/>
        <w:spacing w:after="0" w:line="279"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2017 Tax Cuts and Jobs Act ("2017 Tax Reform Act"), correspondence with tax authorities during the course of an audit, and effective settlement of audit issues.</w:t>
      </w:r>
    </w:p>
    <w:p>
      <w:pPr>
        <w:spacing w:after="0" w:line="171"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jc w:val="both"/>
        <w:ind w:left="500" w:right="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00" w:right="4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 xml:space="preserve">In February 2016, the Financial Accounting Standards Board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Most prominent among the changes in the standard is the recognition of right of use assets and lease liabilities by lessees for those leases classified as operating leases under current GAAP. Under the standard, disclosures are required to meet the objective of enabling users of financial statements to assess the amount, timing, and uncertainty of cash flows arising from leases. The Company will be required to recognize and measure leases existing at, or entered into after, the beginning of the earliest comparative period presented using a modified retrospective approach, with certain practical expedients available. The new standard is effective for fiscal years beginning after December 15, 2018. Early adoption by public entities is permitted. The Company is in the initial stage of its assessment of the new standard and is currently evaluating the quantitative impact of adoption and the related disclosure requirements. The Company anticipates the adoption of this standard will result in a substantial increase in its non-current assets and liabilities recorded on the condensed consolidated balance sheets. The adoption of the standard is not expected to have a material impact on the consolidated statement of operations. While the Company is assessing all potential impacts of the adoption of the standard, it currently expects the most significant impact to be the capitalization of right-to-use assets and lease liabilities for its office space and datacenter operating leases. The Company expects its accounting for capital leases related to infrastructure equipment to remain substantially unchanged under the new standard. The Company expects to adopt the standard on January 1, 2019.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Reform Act. The amendments in ASU No. 2018-02 also require certain disclosures about stranded tax effects. The guidance is effective for fiscal years beginning after December 15, 2018 and interim periods within those fiscal years. Early adoption in any period is permitted. The Company is currently evaluating the timing and impact of adopting ASU No. 2018-02.</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(Subtopic 825)</w:t>
      </w:r>
      <w:r>
        <w:rPr>
          <w:rFonts w:ascii="Arial" w:cs="Arial" w:eastAsia="Arial" w:hAnsi="Arial"/>
          <w:sz w:val="17"/>
          <w:szCs w:val="17"/>
          <w:color w:val="auto"/>
        </w:rPr>
        <w:t>, which primarily affects the accounting for equity investments, financial liabilities under the fair value option and the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disclosure requirements for financial instruments. In addition, the FASB clarified guidance related to the valuation allowance assessment when recognizing deferred tax assets resulting from unrealized losses on available-for-sale debt securities. The accounting for other financial instruments, such as loans, investments in debt securities and financial liabilities is largely unchanged. The Company adopted ASU No. 2016-01 on January 1, 2018. The adoption of the standard did not have a material impact on the Company's condensed consolidated financial statements.</w:t>
      </w:r>
    </w:p>
    <w:p>
      <w:pPr>
        <w:spacing w:after="0" w:line="178"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Income Taxes: Intra-Entity Transfers Other than Inventory (Topic 740)</w:t>
      </w:r>
      <w:r>
        <w:rPr>
          <w:rFonts w:ascii="Arial" w:cs="Arial" w:eastAsia="Arial" w:hAnsi="Arial"/>
          <w:sz w:val="16"/>
          <w:szCs w:val="16"/>
          <w:color w:val="auto"/>
        </w:rPr>
        <w:t>, which requires entities to recognize the income tax consequences of an intra-entity transfer of an asset other than inventory when the transfer occurs. The Company adopted ASU No. 2016-16 on January 1, 2018. The adoption of the guidance did not have a material impact on the Company's condensed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Short-Term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amortized cost, unrealized gains and losses and estimated fair value of the Company's cash, cash equivalents and short-term investments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60" w:type="dxa"/>
            <w:vAlign w:val="bottom"/>
            <w:gridSpan w:val="5"/>
          </w:tcPr>
          <w:p>
            <w:pPr>
              <w:ind w:left="800"/>
              <w:spacing w:after="0"/>
              <w:rPr>
                <w:sz w:val="20"/>
                <w:szCs w:val="20"/>
                <w:color w:val="auto"/>
              </w:rPr>
            </w:pPr>
            <w:r>
              <w:rPr>
                <w:rFonts w:ascii="Arial" w:cs="Arial" w:eastAsia="Arial" w:hAnsi="Arial"/>
                <w:sz w:val="18"/>
                <w:szCs w:val="18"/>
                <w:b w:val="1"/>
                <w:bCs w:val="1"/>
                <w:color w:val="auto"/>
              </w:rPr>
              <w:t>As of March 31, 2018</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 Gain</w:t>
            </w:r>
          </w:p>
        </w:tc>
        <w:tc>
          <w:tcPr>
            <w:tcW w:w="20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Unrealized Loss</w:t>
            </w:r>
          </w:p>
        </w:tc>
        <w:tc>
          <w:tcPr>
            <w:tcW w:w="140" w:type="dxa"/>
            <w:vAlign w:val="bottom"/>
          </w:tcPr>
          <w:p>
            <w:pPr>
              <w:spacing w:after="0"/>
              <w:rPr>
                <w:sz w:val="20"/>
                <w:szCs w:val="20"/>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Estimated Fair Value</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agency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notes and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665.3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Corporate notes and obligations</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agency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short-term investments</w:t>
            </w: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Company's cash and cash equivalents at December 31, 2017 consisted of cash of $62.9 million and money market funds of $367.1 million. The Company did not have short-term investments as of December 31, 2017.</w:t>
      </w:r>
    </w:p>
    <w:p>
      <w:pPr>
        <w:spacing w:after="0" w:line="170"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Included in cash and cash equivalents is cash in transit from payment processors for credit and debit card transactions of $13.9 million and $13.3 million as of March 31, 2018 and December 31, 2017,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short-term investments were designated as available-for-sale securities as of March 31, 2018.</w:t>
      </w:r>
    </w:p>
    <w:p>
      <w:pPr>
        <w:spacing w:after="0" w:line="225"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Company had 77 short-term investments in unrealized loss positions as of March 31, 2018. There were no material gross unrealized losses from available-for-sale securities and no realized gains or losses from available-for-sale securities that were reclassified out of accumulated other comprehensive income for the three months ended March 31, 2018.</w:t>
      </w:r>
    </w:p>
    <w:p>
      <w:pPr>
        <w:spacing w:after="0" w:line="1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investments in available-for-sale debt securities that have unrealized losses, the Company evaluates whether (i) it has the intention to sell any of these investments and (ii) whether it is not more likely than not that it will be required to sell any of these investments before recovery of the entire amortized cost basis. Based on this evaluation, the Company determined that there were no other-than-temporary impairments associated with short-term investments as of March 31, 2018.</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contractual maturities of the Company’s short-term investments as of March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60" w:type="dxa"/>
            <w:vAlign w:val="bottom"/>
            <w:gridSpan w:val="4"/>
          </w:tcPr>
          <w:p>
            <w:pPr>
              <w:jc w:val="right"/>
              <w:ind w:right="1310"/>
              <w:spacing w:after="0"/>
              <w:rPr>
                <w:sz w:val="20"/>
                <w:szCs w:val="20"/>
                <w:color w:val="auto"/>
              </w:rPr>
            </w:pPr>
            <w:r>
              <w:rPr>
                <w:rFonts w:ascii="Arial" w:cs="Arial" w:eastAsia="Arial" w:hAnsi="Arial"/>
                <w:sz w:val="18"/>
                <w:szCs w:val="18"/>
                <w:b w:val="1"/>
                <w:bCs w:val="1"/>
                <w:color w:val="auto"/>
              </w:rPr>
              <w:t>As of March 31, 2018</w:t>
            </w:r>
          </w:p>
        </w:tc>
      </w:tr>
      <w:tr>
        <w:trPr>
          <w:trHeight w:val="27"/>
        </w:trPr>
        <w:tc>
          <w:tcPr>
            <w:tcW w:w="6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Amortized Cost</w:t>
            </w:r>
          </w:p>
        </w:tc>
        <w:tc>
          <w:tcPr>
            <w:tcW w:w="200" w:type="dxa"/>
            <w:vAlign w:val="bottom"/>
          </w:tcPr>
          <w:p>
            <w:pPr>
              <w:spacing w:after="0"/>
              <w:rPr>
                <w:sz w:val="20"/>
                <w:szCs w:val="20"/>
                <w:color w:val="auto"/>
              </w:rPr>
            </w:pPr>
          </w:p>
        </w:tc>
        <w:tc>
          <w:tcPr>
            <w:tcW w:w="19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Estimated Fair Value</w:t>
            </w:r>
          </w:p>
        </w:tc>
      </w:tr>
      <w:tr>
        <w:trPr>
          <w:trHeight w:val="27"/>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Due between one to four years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7"/>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8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presents information about the Company’s financial instruments that are measured at fair value on a recurring basis using the above input categories: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92"/>
              </w:rPr>
              <w:t>As of March 31, 2018</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506.1</w:t>
            </w:r>
          </w:p>
        </w:tc>
        <w:tc>
          <w:tcPr>
            <w:tcW w:w="220" w:type="dxa"/>
            <w:vAlign w:val="bottom"/>
          </w:tcPr>
          <w:p>
            <w:pPr>
              <w:spacing w:after="0"/>
              <w:rPr>
                <w:sz w:val="21"/>
                <w:szCs w:val="21"/>
                <w:color w:val="auto"/>
              </w:rPr>
            </w:pP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U.S. agency obligations</w:t>
            </w:r>
          </w:p>
        </w:tc>
        <w:tc>
          <w:tcPr>
            <w:tcW w:w="1260" w:type="dxa"/>
            <w:vAlign w:val="bottom"/>
          </w:tcPr>
          <w:p>
            <w:pPr>
              <w:spacing w:after="0"/>
              <w:rPr>
                <w:sz w:val="21"/>
                <w:szCs w:val="21"/>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w w:val="94"/>
              </w:rPr>
              <w:t>Corporate notes and obligations</w:t>
            </w:r>
          </w:p>
        </w:tc>
        <w:tc>
          <w:tcPr>
            <w:tcW w:w="1260" w:type="dxa"/>
            <w:vAlign w:val="bottom"/>
          </w:tcPr>
          <w:p>
            <w:pPr>
              <w:spacing w:after="0"/>
              <w:rPr>
                <w:sz w:val="21"/>
                <w:szCs w:val="21"/>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97"/>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equivalents</w:t>
            </w: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506.1</w:t>
            </w:r>
          </w:p>
        </w:tc>
        <w:tc>
          <w:tcPr>
            <w:tcW w:w="22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88.0</w:t>
            </w:r>
          </w:p>
        </w:tc>
        <w:tc>
          <w:tcPr>
            <w:tcW w:w="2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21"/>
                <w:szCs w:val="21"/>
                <w:color w:val="auto"/>
              </w:rPr>
            </w:pP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Corporate notes and obligations</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U.S. agency obligations</w:t>
            </w:r>
          </w:p>
        </w:tc>
        <w:tc>
          <w:tcPr>
            <w:tcW w:w="1260" w:type="dxa"/>
            <w:vAlign w:val="bottom"/>
          </w:tcPr>
          <w:p>
            <w:pPr>
              <w:spacing w:after="0"/>
              <w:rPr>
                <w:sz w:val="21"/>
                <w:szCs w:val="21"/>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260" w:type="dxa"/>
            <w:vAlign w:val="bottom"/>
          </w:tcPr>
          <w:p>
            <w:pPr>
              <w:spacing w:after="0"/>
              <w:rPr>
                <w:sz w:val="21"/>
                <w:szCs w:val="21"/>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investments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09"/>
        </w:trPr>
        <w:tc>
          <w:tcPr>
            <w:tcW w:w="2620" w:type="dxa"/>
            <w:vAlign w:val="bottom"/>
          </w:tcPr>
          <w:p>
            <w:pPr>
              <w:ind w:left="40"/>
              <w:spacing w:after="0"/>
              <w:rPr>
                <w:sz w:val="20"/>
                <w:szCs w:val="20"/>
                <w:color w:val="auto"/>
              </w:rPr>
            </w:pPr>
            <w:r>
              <w:rPr>
                <w:rFonts w:ascii="Arial" w:cs="Arial" w:eastAsia="Arial" w:hAnsi="Arial"/>
                <w:sz w:val="18"/>
                <w:szCs w:val="18"/>
                <w:color w:val="auto"/>
                <w:w w:val="96"/>
              </w:rPr>
              <w:t>Total cash equivalents and short-</w:t>
            </w:r>
          </w:p>
        </w:tc>
        <w:tc>
          <w:tcPr>
            <w:tcW w:w="1260" w:type="dxa"/>
            <w:vAlign w:val="bottom"/>
            <w:tcBorders>
              <w:top w:val="single" w:sz="8" w:color="auto"/>
            </w:tcBorders>
            <w:vMerge w:val="restart"/>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506.1</w:t>
            </w:r>
          </w:p>
        </w:tc>
        <w:tc>
          <w:tcPr>
            <w:tcW w:w="220" w:type="dxa"/>
            <w:vAlign w:val="bottom"/>
          </w:tcPr>
          <w:p>
            <w:pPr>
              <w:spacing w:after="0"/>
              <w:rPr>
                <w:sz w:val="18"/>
                <w:szCs w:val="18"/>
                <w:color w:val="auto"/>
              </w:rPr>
            </w:pPr>
          </w:p>
        </w:tc>
        <w:tc>
          <w:tcPr>
            <w:tcW w:w="1260" w:type="dxa"/>
            <w:vAlign w:val="bottom"/>
            <w:tcBorders>
              <w:top w:val="single" w:sz="8" w:color="auto"/>
            </w:tcBorders>
            <w:vMerge w:val="restart"/>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268.7</w:t>
            </w:r>
          </w:p>
        </w:tc>
        <w:tc>
          <w:tcPr>
            <w:tcW w:w="220" w:type="dxa"/>
            <w:vAlign w:val="bottom"/>
          </w:tcPr>
          <w:p>
            <w:pPr>
              <w:spacing w:after="0"/>
              <w:rPr>
                <w:sz w:val="18"/>
                <w:szCs w:val="18"/>
                <w:color w:val="auto"/>
              </w:rPr>
            </w:pPr>
          </w:p>
        </w:tc>
        <w:tc>
          <w:tcPr>
            <w:tcW w:w="1380" w:type="dxa"/>
            <w:vAlign w:val="bottom"/>
            <w:tcBorders>
              <w:top w:val="single" w:sz="8" w:color="auto"/>
            </w:tcBorders>
            <w:vMerge w:val="restart"/>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8"/>
                <w:szCs w:val="18"/>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774.8</w:t>
            </w:r>
          </w:p>
        </w:tc>
        <w:tc>
          <w:tcPr>
            <w:tcW w:w="0" w:type="dxa"/>
            <w:vAlign w:val="bottom"/>
          </w:tcPr>
          <w:p>
            <w:pPr>
              <w:spacing w:after="0"/>
              <w:rPr>
                <w:sz w:val="1"/>
                <w:szCs w:val="1"/>
                <w:color w:val="auto"/>
              </w:rPr>
            </w:pPr>
          </w:p>
        </w:tc>
      </w:tr>
      <w:tr>
        <w:trPr>
          <w:trHeight w:val="242"/>
        </w:trPr>
        <w:tc>
          <w:tcPr>
            <w:tcW w:w="2620" w:type="dxa"/>
            <w:vAlign w:val="bottom"/>
          </w:tcPr>
          <w:p>
            <w:pPr>
              <w:ind w:left="40"/>
              <w:spacing w:after="0"/>
              <w:rPr>
                <w:sz w:val="20"/>
                <w:szCs w:val="20"/>
                <w:color w:val="auto"/>
              </w:rPr>
            </w:pPr>
            <w:r>
              <w:rPr>
                <w:rFonts w:ascii="Arial" w:cs="Arial" w:eastAsia="Arial" w:hAnsi="Arial"/>
                <w:sz w:val="18"/>
                <w:szCs w:val="18"/>
                <w:color w:val="auto"/>
              </w:rPr>
              <w:t>term investments</w:t>
            </w:r>
          </w:p>
        </w:tc>
        <w:tc>
          <w:tcPr>
            <w:tcW w:w="126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total cash equivalents held by the Company as of December 31, 2017 were $367.1 million and were entirely comprised of money market funds classified within Level 1 of the fair value hierarchy.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transfers between levels of the fair value hierarchy.</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w:t>
            </w: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5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2018</w:t>
            </w:r>
          </w:p>
        </w:tc>
        <w:tc>
          <w:tcPr>
            <w:tcW w:w="24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2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Datacenter and other computer equipment</w:t>
            </w:r>
          </w:p>
        </w:tc>
        <w:tc>
          <w:tcPr>
            <w:tcW w:w="2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property and equipment</w:t>
            </w:r>
          </w:p>
        </w:tc>
        <w:tc>
          <w:tcPr>
            <w:tcW w:w="2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846.7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100" w:type="dxa"/>
            <w:vAlign w:val="bottom"/>
            <w:vMerge w:val="restart"/>
          </w:tcPr>
          <w:p>
            <w:pPr>
              <w:jc w:val="right"/>
              <w:ind w:right="125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Company leases certain infrastructure from various third parties, including from a related party, through equipment financing leases that are accounted for as capital leases. See Note 11, “Related Party Transactions” for additional details. Infrastructure assets as of March 31, 2018 and December 31, 2017, respectively included a total of $413.2 million and $417.9 million acquired under capital lease agreements. These leases are capitalized in property and equipment, and the related amortization of assets under capital leases is included in depreciation and amortization expense. The accumulated depreciation of the infrastructure under capital leases totaled $253.4 million and $259.0 million as of March 31, 2018 and December 31, 2017, respectively.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Construction in process includes costs primarily related to construction of leasehold improvements for office buildings and datacenters.</w:t>
      </w:r>
    </w:p>
    <w:p>
      <w:pPr>
        <w:spacing w:after="0" w:line="22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Depreciation expense related to property and equipment was $34.1 million and $44.5 million for the three months ended March 31,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w:t>
      </w:r>
    </w:p>
    <w:p>
      <w:pPr>
        <w:spacing w:after="0" w:line="229" w:lineRule="exact"/>
        <w:rPr>
          <w:sz w:val="20"/>
          <w:szCs w:val="20"/>
          <w:color w:val="auto"/>
        </w:rPr>
      </w:pPr>
    </w:p>
    <w:p>
      <w:pPr>
        <w:ind w:right="580" w:firstLine="432"/>
        <w:spacing w:after="0" w:line="286"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Goodwill amounts are not amortized, but tested for impairment on an annual basis. There was no impairment of goodwill as of March 31, 2018 and December 31, 2017. The Company did not complete any business combinations in any of the periods presented.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Revolving Credit Facility</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In April 2017, the Company entered into an amended and restated credit and guaranty agreement which provided for a $600.0 million revolving loan facility (the “revolving credit facility”). In conjunction with the revolving credit facility, the Company paid upfront issuance fees of $2.6 million, which are being amortized over the five-year term of the agreement.</w:t>
      </w:r>
    </w:p>
    <w:p>
      <w:pPr>
        <w:spacing w:after="0" w:line="18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February 2018, the Company amended its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 increase. In conjunction with the amendment, the Company paid upfront issuance fees of $0.4 million, which are being amortized over the remaining term of the agreement.</w:t>
      </w:r>
    </w:p>
    <w:p>
      <w:pPr>
        <w:spacing w:after="0" w:line="19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17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revolving credit facility as of March 31, 2018 and December 31, 2017, respectively.</w:t>
      </w:r>
    </w:p>
    <w:p>
      <w:pPr>
        <w:spacing w:after="0" w:line="173"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had an aggregate of $82.7 million of letters of credit outstanding under the revolving credit facility as of March 31, 2018, and the Company’s total available borrowing capacity under the revolving credit facility was $642.3 million as of March 31, 2018. The Company’s letters of credit expire between April of 2019 and April of 2022.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 has entered into various non-cancelable operating lease agreements for certain offices and datacenters with contractual lease periods expiring at various dates through 2033. The facility lease agreements generally provide for escalating rental payments and for options to renew, which could increase future minimum lease payments if exercised. The Company recognizes rent expense on a straight-line basis over the lease period and accounts for the difference between straight-line rent and actual lease payments as deferred rent.</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Gross rent expense was $21.9 million and $16.0 million for the three months ended March 31, 2018 and 2017, respectively. Sublease income, which is recorded as a reduction of rental expense, was $3.5 million and $1.9 million for the three months ended March 31, 2018 and 2017, respectively. Sublease income in excess of the Company’s original lease obligation is split with the original lessor per the terms of the sublease agreement, with the Company’s portion recorded to other income (loss), net.</w:t>
      </w:r>
    </w:p>
    <w:p>
      <w:pPr>
        <w:spacing w:after="0" w:line="187" w:lineRule="exact"/>
        <w:rPr>
          <w:sz w:val="20"/>
          <w:szCs w:val="20"/>
          <w:color w:val="auto"/>
        </w:rPr>
      </w:pPr>
    </w:p>
    <w:p>
      <w:pPr>
        <w:jc w:val="both"/>
        <w:ind w:right="80" w:firstLine="432"/>
        <w:spacing w:after="0" w:line="276" w:lineRule="auto"/>
        <w:rPr>
          <w:sz w:val="20"/>
          <w:szCs w:val="20"/>
          <w:color w:val="auto"/>
        </w:rPr>
      </w:pPr>
      <w:r>
        <w:rPr>
          <w:rFonts w:ascii="Arial" w:cs="Arial" w:eastAsia="Arial" w:hAnsi="Arial"/>
          <w:sz w:val="17"/>
          <w:szCs w:val="17"/>
          <w:color w:val="auto"/>
        </w:rPr>
        <w:t>In 2017, the Company entered into a new lease agreement for office space in San Francisco, California, to serve as its new corporate headquarters. The Company expects to start making recurring rental payments under the lease in the third quarter of 2019. Included in the operating lease commitments below are total expected minimum obligations under the lease agreement of $829.7 million, which exclude expected tenant improvement reimbursements from the landlord of approximately $73.8 million and variable operating expenses. The Company’s obligations under the lease are supported by a $34.2 million letter of credit, which reduced the borrowing capacity under the revolving credit facility.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Other commitments include payments to third-party vendors for services related to the Company’s infrastructure, infrastructure warranty contracts, payments related to the imputed financing obligation for its previous headquarters, asset retirement obligations for office modifications, and a note payable related to financing of infrastructure.</w:t>
      </w:r>
    </w:p>
    <w:p>
      <w:pPr>
        <w:spacing w:after="0" w:line="18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Future minimum payments under the Company’s capital leases, non-cancelable operating leases, and other commitments as of December 31, 2017, are as follows. There have been no material changes in our commitments and contingencies, as disclosed in the Prospectus.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160" w:type="dxa"/>
            <w:vAlign w:val="bottom"/>
          </w:tcPr>
          <w:p>
            <w:pPr>
              <w:jc w:val="center"/>
              <w:ind w:left="490"/>
              <w:spacing w:after="0"/>
              <w:rPr>
                <w:sz w:val="20"/>
                <w:szCs w:val="20"/>
                <w:color w:val="auto"/>
              </w:rPr>
            </w:pPr>
            <w:r>
              <w:rPr>
                <w:rFonts w:ascii="Arial" w:cs="Arial" w:eastAsia="Arial" w:hAnsi="Arial"/>
                <w:sz w:val="18"/>
                <w:szCs w:val="18"/>
                <w:b w:val="1"/>
                <w:bCs w:val="1"/>
                <w:color w:val="auto"/>
                <w:w w:val="96"/>
              </w:rPr>
              <w:t>Capital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Operating</w:t>
            </w:r>
          </w:p>
        </w:tc>
        <w:tc>
          <w:tcPr>
            <w:tcW w:w="220" w:type="dxa"/>
            <w:vAlign w:val="bottom"/>
          </w:tcPr>
          <w:p>
            <w:pPr>
              <w:spacing w:after="0"/>
              <w:rPr>
                <w:sz w:val="18"/>
                <w:szCs w:val="18"/>
                <w:color w:val="auto"/>
              </w:rPr>
            </w:pPr>
          </w:p>
        </w:tc>
        <w:tc>
          <w:tcPr>
            <w:tcW w:w="14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108"/>
        </w:trPr>
        <w:tc>
          <w:tcPr>
            <w:tcW w:w="6040" w:type="dxa"/>
            <w:vAlign w:val="bottom"/>
          </w:tcPr>
          <w:p>
            <w:pPr>
              <w:spacing w:after="0"/>
              <w:rPr>
                <w:sz w:val="9"/>
                <w:szCs w:val="9"/>
                <w:color w:val="auto"/>
              </w:rPr>
            </w:pPr>
          </w:p>
        </w:tc>
        <w:tc>
          <w:tcPr>
            <w:tcW w:w="1160" w:type="dxa"/>
            <w:vAlign w:val="bottom"/>
            <w:vMerge w:val="restart"/>
          </w:tcPr>
          <w:p>
            <w:pPr>
              <w:jc w:val="center"/>
              <w:ind w:left="490"/>
              <w:spacing w:after="0"/>
              <w:rPr>
                <w:sz w:val="20"/>
                <w:szCs w:val="20"/>
                <w:color w:val="auto"/>
              </w:rPr>
            </w:pPr>
            <w:r>
              <w:rPr>
                <w:rFonts w:ascii="Arial" w:cs="Arial" w:eastAsia="Arial" w:hAnsi="Arial"/>
                <w:sz w:val="18"/>
                <w:szCs w:val="18"/>
                <w:b w:val="1"/>
                <w:bCs w:val="1"/>
                <w:color w:val="auto"/>
                <w:w w:val="84"/>
              </w:rPr>
              <w:t>lease</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4"/>
              </w:rPr>
              <w:t>lease</w:t>
            </w:r>
          </w:p>
        </w:tc>
        <w:tc>
          <w:tcPr>
            <w:tcW w:w="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5"/>
              </w:rPr>
              <w:t>commitments</w:t>
            </w:r>
          </w:p>
        </w:tc>
        <w:tc>
          <w:tcPr>
            <w:tcW w:w="0" w:type="dxa"/>
            <w:vAlign w:val="bottom"/>
          </w:tcPr>
          <w:p>
            <w:pPr>
              <w:spacing w:after="0"/>
              <w:rPr>
                <w:sz w:val="1"/>
                <w:szCs w:val="1"/>
                <w:color w:val="auto"/>
              </w:rPr>
            </w:pPr>
          </w:p>
        </w:tc>
      </w:tr>
      <w:tr>
        <w:trPr>
          <w:trHeight w:val="126"/>
        </w:trPr>
        <w:tc>
          <w:tcPr>
            <w:tcW w:w="6040" w:type="dxa"/>
            <w:vAlign w:val="bottom"/>
          </w:tcPr>
          <w:p>
            <w:pPr>
              <w:spacing w:after="0"/>
              <w:rPr>
                <w:sz w:val="10"/>
                <w:szCs w:val="10"/>
                <w:color w:val="auto"/>
              </w:rPr>
            </w:pP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commitments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vMerge w:val="restart"/>
          </w:tcPr>
          <w:p>
            <w:pPr>
              <w:jc w:val="center"/>
              <w:ind w:right="300"/>
              <w:spacing w:after="0" w:line="262" w:lineRule="exact"/>
              <w:rPr>
                <w:sz w:val="20"/>
                <w:szCs w:val="20"/>
                <w:color w:val="auto"/>
              </w:rPr>
            </w:pPr>
            <w:r>
              <w:rPr>
                <w:rFonts w:ascii="Arial" w:cs="Arial" w:eastAsia="Arial" w:hAnsi="Arial"/>
                <w:sz w:val="18"/>
                <w:szCs w:val="18"/>
                <w:b w:val="1"/>
                <w:bCs w:val="1"/>
                <w:color w:val="auto"/>
                <w:w w:val="85"/>
              </w:rPr>
              <w:t>commitments</w:t>
            </w:r>
            <w:r>
              <w:rPr>
                <w:rFonts w:ascii="Arial" w:cs="Arial" w:eastAsia="Arial" w:hAnsi="Arial"/>
                <w:sz w:val="25"/>
                <w:szCs w:val="25"/>
                <w:b w:val="1"/>
                <w:bCs w:val="1"/>
                <w:color w:val="auto"/>
                <w:w w:val="85"/>
                <w:vertAlign w:val="superscript"/>
              </w:rPr>
              <w:t>(1)</w:t>
            </w:r>
          </w:p>
        </w:tc>
        <w:tc>
          <w:tcPr>
            <w:tcW w:w="2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w:t>
            </w: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2018</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108.3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2020</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2022</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Future minimum payments</w:t>
            </w:r>
          </w:p>
        </w:tc>
        <w:tc>
          <w:tcPr>
            <w:tcW w:w="1160" w:type="dxa"/>
            <w:vAlign w:val="bottom"/>
            <w:tcBorders>
              <w:top w:val="single" w:sz="8" w:color="auto"/>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w w:val="97"/>
              </w:rPr>
              <w:t>182.0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1,349.9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Less interest and taxes</w:t>
            </w: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120" w:hanging="332"/>
        <w:spacing w:after="0" w:line="22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Consists of future non-cancelable minimum rental payments under operating leases for the Company’s offices and datacenters, excluding rent payments from the Company’s sub-tenants, variable operating expenses, and tenant improvement reimbursements. Non-cancelable rent payments from the Company’s sub-tenants as of December 31, 2017, are expected to be $72.1 million through 2023.</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18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As of March 31, 2018, the Company had authorized 2,400.0 million shares of Class A common stock, 475.0 million shares of Class B common stock, and 800.0 million shares of Class C common stock, each at par value of $0.00001. As of December 31, 2017, the Company had authorized 533.3 million shares of Class A common stock, and 466.7 million shares of Class B common stock, each with par value of $0.00001. As of March 31, 2018, 54.0 million shares of Class A common stock, 341.0 million shares of Class B common stock, and no shares of Class C common stock were issued and outstanding. Class A shares issued and outstanding as of March 31, 2018 and December 31, 2017 exclude 14.7 million unvested restricted stock awards granted to the Company’s co-founders. See "Co-Founder Grants" section below for further details.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Immediately prior to the closing of the Company’s IPO, all of the 147.3 million shares of convertible preferred stock converted into an equivalent number of shares of Class B common stock. Further, pursuant to transfer agreements with certain of the Company’s stockholders, 0.3 million shares of the Company’s convertible preferred stock automatically converted into an equivalent number of shares of Class A common stock.</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Under the 2018 Plan, the Company may grant stock-based awards to purchase or directly issue shares of common stock to employees, directors, and consultants. Options are granted at a price per share equal to the fair market value of Dropbox’s common stock at the date of grant. Options granted are exercisable over a maximum term of 10 years from the date of grant and generally vest over a period of four years. No options have been granted since August of 2015. RSUs and RSAs are also granted under the 2018 Plan. The 2018 Plan will terminate 10 years after the later of (i) its adoption or (ii) the most recent stockholder-approved increase in the number of shares reserved under the 2018 Plan, unless terminated earlier by the Dropbox Board of Directors. The 2018 Plan was adopted on March 22, 2018 with a reserve of 41.4 million shares of our Class A common stock for future issuance. As of March 31, 2018, there were 38.7 million shares issued and outstanding and 53.9</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million available for issuance under the 2008 Equity Incentive Plan, the 2017 Equity Incentive Plan, and the 2018 Plan ("the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 and restricted stock activity for the Company's Equity Incentive Plans was as follows for the three months ended March 31, 2018:</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Restricted stock</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8"/>
              </w:rPr>
              <w:t>Options outstanding</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Weighted-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available for</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average</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remaining</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issuance</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contractual</w:t>
            </w:r>
          </w:p>
        </w:tc>
        <w:tc>
          <w:tcPr>
            <w:tcW w:w="124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grant date</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under the</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under the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price</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term</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Plans</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Plans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84"/>
              </w:rPr>
              <w:t>per share</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 years)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under the Plans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w w:val="94"/>
              </w:rPr>
              <w:t>Reserved for issuance under the 2018 Plan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shares authorized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Options exercised and RSUs released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and RSUs canceled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w w:val="94"/>
              </w:rPr>
              <w:t>Shares repurchased for tax withholdings 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release of restricted stock</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97"/>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March 31, 2018</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33.9</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Vested at March 31, 2018</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8"/>
                <w:szCs w:val="18"/>
                <w:color w:val="auto"/>
              </w:rPr>
              <w:t>Unvested at March 31, 2018</w:t>
            </w: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20" w:type="dxa"/>
            <w:vAlign w:val="bottom"/>
            <w:vMerge w:val="continue"/>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about the pre-tax intrinsic value of options exercised during the three months ended March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09"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880"/>
        <w:spacing w:after="0"/>
        <w:tabs>
          <w:tab w:leader="none" w:pos="101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6980" w:val="left"/>
          <w:tab w:leader="none" w:pos="8800" w:val="left"/>
          <w:tab w:leader="none" w:pos="9260" w:val="left"/>
          <w:tab w:leader="none" w:pos="11060" w:val="left"/>
        </w:tabs>
        <w:rPr>
          <w:sz w:val="20"/>
          <w:szCs w:val="20"/>
          <w:color w:val="auto"/>
        </w:rPr>
      </w:pPr>
      <w:r>
        <w:rPr>
          <w:rFonts w:ascii="Arial" w:cs="Arial" w:eastAsia="Arial" w:hAnsi="Arial"/>
          <w:sz w:val="18"/>
          <w:szCs w:val="18"/>
          <w:color w:val="auto"/>
        </w:rPr>
        <w:t>Intrinsic value of options exercised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w:t>
        <w:tab/>
        <w:t>$</w:t>
      </w:r>
      <w:r>
        <w:rPr>
          <w:sz w:val="20"/>
          <w:szCs w:val="20"/>
          <w:color w:val="auto"/>
        </w:rPr>
        <w:tab/>
      </w:r>
      <w:r>
        <w:rPr>
          <w:rFonts w:ascii="Arial" w:cs="Arial" w:eastAsia="Arial" w:hAnsi="Arial"/>
          <w:sz w:val="17"/>
          <w:szCs w:val="17"/>
          <w:color w:val="auto"/>
        </w:rPr>
        <w:t>1.0</w:t>
      </w:r>
    </w:p>
    <w:p>
      <w:pPr>
        <w:spacing w:after="0" w:line="266"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As of March 31, 2018, unamortized stock-based compensation related to unvested stock options, restricted stock awards (excluding the Co-Founder Grants), and RSUs was $500.1 million. The weighted-average period over which such compensation expense will be recognized if the requisite service is provided is approximately 3.1 years as of March 31, 2018.</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Co-Founder Grants</w:t>
      </w:r>
    </w:p>
    <w:p>
      <w:pPr>
        <w:spacing w:after="0" w:line="117"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9 as the right to the cumulative declared dividends is forfeitable if the service condition is not met.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or, each, a Stock Price Target, measured over a consecutive thirty-day trading period during the Performance Period. The Performance Period begins on the first trading day following the later of (a) the expiration of the lock-up period following the first date the Company’s shares are traded on an established national securities exchange or automated quotation system (the “IPO Date”) and (b) January 1, 2019 and ends on the earliest to occur of: (i) the date on which all shares subject to the Co-Founder Grants vest, (ii) the date the applicable co-founder ceases to satisfy the service-based vesting condition, (iii) the tenth anniversary of the IPO Date, and (iv) the occurrence of an acquisition of the Company prior to the IPO Date.</w:t>
      </w:r>
    </w:p>
    <w:p>
      <w:pPr>
        <w:spacing w:after="0" w:line="16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70"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 Performance Vesting Condition for the Co-Founder Grants was satisfied on the date the Company’s shares of Class A common stock commenced trading on the Nasdaq Global Select Market in connection with the Company’s IPO, which was March 23, 2018. As of March 31, 2018, unamortized stock-based compensation expense related to the Co-Founder Grants was $145.6 million.</w:t>
      </w:r>
    </w:p>
    <w:p>
      <w:pPr>
        <w:spacing w:after="0" w:line="181"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Loss Per Share</w:t>
      </w:r>
    </w:p>
    <w:p>
      <w:pPr>
        <w:spacing w:after="0" w:line="22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losses. Before the IPO, the Company’s participating securities also included convertible preferred stock. The holders of convertible preferred stock did not have a contractual obligation to share in the Company’s losses, and as a result net losses were not allocated to these participating securities.</w:t>
      </w:r>
    </w:p>
    <w:p>
      <w:pPr>
        <w:spacing w:after="0" w:line="173"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following table sets forth the calculation of basic and diluted net loss per share attributable to common stockholders during the periods presented. The shares issued in the IPO and the private placement and the shares of Class A and Class B common stock issued upon conversion of the outstanding shares of convertible preferred stock in the IPO are included in the table below weighted for the period outstanding in the quarter ended March 31, 2018:</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320" w:type="dxa"/>
            <w:vAlign w:val="bottom"/>
          </w:tcPr>
          <w:p>
            <w:pPr>
              <w:spacing w:after="0"/>
              <w:rPr>
                <w:sz w:val="20"/>
                <w:szCs w:val="20"/>
                <w:color w:val="auto"/>
              </w:rPr>
            </w:pPr>
          </w:p>
        </w:tc>
        <w:tc>
          <w:tcPr>
            <w:tcW w:w="1480" w:type="dxa"/>
            <w:vAlign w:val="bottom"/>
            <w:gridSpan w:val="2"/>
          </w:tcPr>
          <w:p>
            <w:pPr>
              <w:ind w:left="260"/>
              <w:spacing w:after="0"/>
              <w:rPr>
                <w:sz w:val="20"/>
                <w:szCs w:val="20"/>
                <w:color w:val="auto"/>
              </w:rPr>
            </w:pPr>
            <w:r>
              <w:rPr>
                <w:rFonts w:ascii="Arial" w:cs="Arial" w:eastAsia="Arial" w:hAnsi="Arial"/>
                <w:sz w:val="18"/>
                <w:szCs w:val="18"/>
                <w:color w:val="auto"/>
              </w:rPr>
              <w:t>Class B</w:t>
            </w:r>
          </w:p>
        </w:tc>
        <w:tc>
          <w:tcPr>
            <w:tcW w:w="36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3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Class B</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0"/>
              </w:rPr>
              <w:t>Weighted-average number of common shares outstanding</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0"/>
              <w:spacing w:after="0"/>
              <w:rPr>
                <w:sz w:val="20"/>
                <w:szCs w:val="20"/>
                <w:color w:val="auto"/>
              </w:rPr>
            </w:pPr>
            <w:r>
              <w:rPr>
                <w:rFonts w:ascii="Arial" w:cs="Arial" w:eastAsia="Arial" w:hAnsi="Arial"/>
                <w:sz w:val="18"/>
                <w:szCs w:val="18"/>
                <w:color w:val="auto"/>
                <w:w w:val="91"/>
              </w:rPr>
              <w:t>used in computing basic and diluted net loss per common</w:t>
            </w:r>
          </w:p>
        </w:tc>
        <w:tc>
          <w:tcPr>
            <w:tcW w:w="360" w:type="dxa"/>
            <w:vAlign w:val="bottom"/>
          </w:tcPr>
          <w:p>
            <w:pPr>
              <w:spacing w:after="0"/>
              <w:rPr>
                <w:sz w:val="18"/>
                <w:szCs w:val="18"/>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7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w:t>
            </w: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 potentially dilutive securities that were not included in the diluted per share calculations because they would be anti-dilutive was as follows:</w:t>
      </w:r>
    </w:p>
    <w:p>
      <w:pPr>
        <w:spacing w:after="0" w:line="89"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gridSpan w:val="2"/>
          </w:tcPr>
          <w:p>
            <w:pPr>
              <w:ind w:left="822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7"/>
        </w:trPr>
        <w:tc>
          <w:tcPr>
            <w:tcW w:w="7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to purchase shares of common stock</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Co-Founder Grants</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subject to repurchase from early-exercised options and unvested restricted stock</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7"/>
        </w:trPr>
        <w:tc>
          <w:tcPr>
            <w:tcW w:w="7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computed the year-to-date income tax provision by applying the estimated annual effective tax rate to the year-to-date pre-tax loss and adjusted for discrete tax items in the period. The Company's income tax expense was $1.8 million and $0.3 million for the three months ended March 31, 2018 and 2017, respectively.</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income tax expense for the first quarter of 2018 was primarily attributable to U.S. state income taxes, foreign taxes, and increases in uncertain tax positions.</w:t>
      </w:r>
    </w:p>
    <w:p>
      <w:pPr>
        <w:spacing w:after="0" w:line="17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8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March 31, 2018, the Company continues to maintain a full valuation allowance on its deferred tax assets in the U.S. and Ireland. However, the Company has partially benefited from its deferred tax assets due to the recognition of forecasted future income which is more likely than not to be earned in one of its foreign jurisdictions.</w:t>
      </w:r>
    </w:p>
    <w:p>
      <w:pPr>
        <w:spacing w:after="0" w:line="188"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Company is subject to income tax audits in the U.S. and foreign jurisdictions. The Company records liabilities related to uncertain tax positions and believes that it has provided adequate reserves for income tax uncertainties in all open tax years. Unrecognized tax benefits increased by approximately $7.8 million for the three months ended March 31, 2018, of which $0.3 million, if recognized, would affect the Company's effective tax rate.</w:t>
      </w:r>
    </w:p>
    <w:p>
      <w:pPr>
        <w:ind w:left="440"/>
        <w:spacing w:after="0"/>
        <w:rPr>
          <w:sz w:val="20"/>
          <w:szCs w:val="20"/>
          <w:color w:val="auto"/>
        </w:rPr>
      </w:pPr>
      <w:r>
        <w:rPr>
          <w:rFonts w:ascii="Arial" w:cs="Arial" w:eastAsia="Arial" w:hAnsi="Arial"/>
          <w:sz w:val="18"/>
          <w:szCs w:val="18"/>
          <w:i w:val="1"/>
          <w:iCs w:val="1"/>
          <w:color w:val="auto"/>
        </w:rPr>
        <w:t>Impact of the Tax Cuts and Jobs Act ("2017 Tax Reform Act")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2017 Tax Reform Act was enacted on December 22, 2017 and provides for significant changes to U.S. tax law. Among other provisions, the 2017 Tax Reform Act reduces the U.S. corporate income tax rate to 21% effective in 2018. The 2017 Tax Reform Act also contains a number of provisions that may impact the Company in future years.</w:t>
      </w:r>
    </w:p>
    <w:p>
      <w:pPr>
        <w:spacing w:after="0" w:line="181"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Since ongoing guidance and accounting interpretation is expected in the 12 months following enactment, the Company has made certain provisional accounting estimates, as permitted under Staff Accounting Bulletin No. 118, and continues to analyze its accounting policies in this area. The U.S. Treasury Department, the IRS, and other standard-setting bodies could interpret or issue guidance on how provisions of the 2017 Tax Reform Act will be applied or otherwise administered that is different from the Company’s interpretation. As the Company completes its analysis of the 2017 Tax Reform Act, collects and prepares necessary data, and interprets any additional guidance, the Company may make adjustments to provisional amounts that it has recorded that may materially impact the provision for income taxes in the period in which the adjustments are made. The final accounting analysis will occur no later than one year from the date the 2017 Tax Reform Act was enacted.</w:t>
      </w:r>
    </w:p>
    <w:p>
      <w:pPr>
        <w:spacing w:after="0" w:line="178"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As a result of the reduction in the corporate rate, the Company remeasured its U.S. deferred tax assets and liabilities as of December 31, 2017 to reflect the lower rate expected to apply when these temporary differences reverse. The Company provisionally estimated that the remeasurement resulted in a reduction in deferred tax assets of $63.1 million, which was fully offset by a corresponding change to the Company’s valuation allowance. Although the tax rate reduction was known, the Company had not collected the necessary data to complete its analysis of the effect of the 2017 Tax Reform Act on the underlying deferred taxes and as such, the amounts recorded as of December 31, 2017 were provisional. However, the Company anticipates that any adjustment to provisional amounts recorded would be fully offset by a corresponding change to the Company’s valuation allowance. The Company has not made any additional measurement-period adjustments related to these items during the quarter because the Company is continuing to gather additional information and expects to complete its accounting within the prescribed measurement period.</w:t>
      </w:r>
    </w:p>
    <w:p>
      <w:pPr>
        <w:spacing w:after="0" w:line="17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has also considered and estimated a number of provisions of the 2017 Tax Reform Act effective January 1, 2018 as part of the estimated annual effective tax rate as of March 31, 2018. Due to forecasted tax losses and a full valuation allowance in the U.S., these provisions had no material impact to the income tax provision as of March 31, 2018.</w:t>
      </w:r>
    </w:p>
    <w:p>
      <w:pPr>
        <w:spacing w:after="0" w:line="18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2017 Tax Reform Act also repealed the corporate alternative minimum tax (“AMT”) effective beginning in 2018, and permits AMT credit carryforwards to be refunded to the extent unused through 2021. Since the Company does not anticipate the use of these credits to reduce future federal taxes, the Company was able to reasonably estimate the income tax benefit and income tax receivable of $1.4 million during the year ended December 31, 2017. The Company had not collected the necessary data to complete its analysis of the classification of the AMT credit as a receivable and as such, the amounts recorded as an income tax receivable as of December 31, 2017 were provisional. There have not been material changes to the provisional amounts as of March 31, 2018.</w:t>
      </w:r>
    </w:p>
    <w:p>
      <w:pPr>
        <w:spacing w:after="0" w:line="19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2017 Tax Reform Act also provides for a transition to a new territorial system of taxation and generally requires companies to include certain untaxed foreign earnings of non-U.S. subsidiaries into taxable income in 2017 (“Transition Tax”). As a result of the cumulative deficits in the Company’s foreign subsidiaries, the Company estimated that it has no Transition Tax inclusion. As of March 31, 2018, the Company has made no changes to its estimated Transition Tax inclusion.</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2017 Tax Reform Act subjects a US shareholder to tax on global intangible low-taxed income (“GILTI”) earned by certain foreign subsidiaries. The FASB Staff Q&amp;A, Topic 740, No. 5 Accounting for GILTI, states that an entity can make an accounting policy election to either recognize deferred taxes for temporary basis differences expected to reverse as GILTI in future years or provide for the tax expense related to GILTI in the year the tax is incurred as a period expense only. Given the complexity of this provision, the Company is still evaluating the effects of the provision on its condensed consolidated financial statements and has not yet determined its accounting policy as of March 31, 2018. The Company has, however, included the estimated impact related to current year operations only in its annual effective tax rate for 2018 and has not provided for additional impact on deferred items. The Company expects to complete its accounting within the prescribed measurement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Dropbox Charitable Foundation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condensed consolidated financial statements, as the Company does not have control of the entity.</w:t>
      </w:r>
    </w:p>
    <w:p>
      <w:pPr>
        <w:spacing w:after="0" w:line="15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During the three months ended March 31, 2018, the Company did not make made cash contributions to the Foundation and during the three months ended March 31, 2017, the Company made cash contributions to the Foundation of $0.1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Hewlett Packard Enterprise</w:t>
      </w:r>
    </w:p>
    <w:p>
      <w:pPr>
        <w:spacing w:after="0" w:line="11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Company has engaged in various commercial relationships with Hewlett Packard Enterprise (“HPE”), whose chief executive officer was appointed to the Dropbox Board of Directors in September 2017. The chief executive officer of HPE resigned effective February 1, 2018. The Company's commercial relationships with HPE include infrastructure equipment under capital leases, the purchase of commercial products and other services, and a multi-year subscription agreement for access to the Dropbox platform. During the three months ended March 31, 2018 and through the date of the resignation of the former chief executive officer of HPE, the Company made payments of $5.5 million for infrastructure equipment under capital leases and commercial products and services provided by HPE. As of March 31, 2018, the Company had a remaining obligation of $94.7 million for equipment under capital lease from HPE. Related to the multi-year subscription agreement, the Company recognized an immaterial amount of revenue during the three months ended March 31, 2018, and had an immaterial balance of deferred revenue and outstanding trade receivables as of March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12.Geographic Areas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As of</w:t>
            </w:r>
          </w:p>
        </w:tc>
        <w:tc>
          <w:tcPr>
            <w:tcW w:w="18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r>
      <w:tr>
        <w:trPr>
          <w:trHeight w:val="270"/>
        </w:trPr>
        <w:tc>
          <w:tcPr>
            <w:tcW w:w="73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620" w:hanging="332"/>
        <w:spacing w:after="0" w:line="232"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No single country other than the United States had a property and equipment balance greater than 10% of total property and equipment, net, as of March 31, 2018 and December 31, 2017.</w:t>
      </w:r>
    </w:p>
    <w:p>
      <w:pPr>
        <w:spacing w:after="0" w:line="31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Revenue by geography is generally based on the address of the customer as defined in the Company’s subscription agreement. The following table sets forth revenue by geographic area for the three months ended March 31, 2018 and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3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12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118.0</w:t>
            </w: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9"/>
          <w:szCs w:val="19"/>
          <w:color w:val="auto"/>
          <w:vertAlign w:val="superscript"/>
        </w:rPr>
      </w:pPr>
      <w:r>
        <w:rPr>
          <w:rFonts w:ascii="Arial" w:cs="Arial" w:eastAsia="Arial" w:hAnsi="Arial"/>
          <w:sz w:val="16"/>
          <w:szCs w:val="16"/>
          <w:color w:val="auto"/>
        </w:rPr>
        <w:t>No single country outside of the United States accounted for more than 10% of total revenue during the three months ended March 31, 2018 and 2017.</w:t>
      </w:r>
    </w:p>
    <w:p>
      <w:pPr>
        <w:spacing w:after="0" w:line="240" w:lineRule="exact"/>
        <w:rPr>
          <w:rFonts w:ascii="Arial" w:cs="Arial" w:eastAsia="Arial" w:hAnsi="Arial"/>
          <w:sz w:val="19"/>
          <w:szCs w:val="19"/>
          <w:color w:val="auto"/>
          <w:vertAlign w:val="superscript"/>
        </w:rPr>
      </w:pPr>
    </w:p>
    <w:p>
      <w:pPr>
        <w:ind w:left="5620"/>
        <w:spacing w:after="0"/>
        <w:rPr>
          <w:rFonts w:ascii="Arial" w:cs="Arial" w:eastAsia="Arial" w:hAnsi="Arial"/>
          <w:sz w:val="19"/>
          <w:szCs w:val="19"/>
          <w:color w:val="auto"/>
          <w:vertAlign w:val="superscript"/>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w:t>
      </w:r>
    </w:p>
    <w:p>
      <w:pPr>
        <w:spacing w:after="0" w:line="229"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On March 28, 2018, the underwriters exercised their option to purchase an additional 5,400,000 shares of the Company's Class A common stock. This transaction closed on April 3, 2018, resulting in additional proceeds of $108.4 million, net of underwriters' discounts and commissions. The shares and proceeds are not reflected in the condensed consolidated financial statements as of and for the three months ended March 31, 2018.</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240" w:top="121"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final prospectus, dated March 22, 2018, and filed pursuant to Rule 424(b) under the Securities Act of 1933, as amended (the “Securities Act”).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prospectus filed pursuant to Rule 424(b) under the Securities Act of 1933, as amended, on March 23, 2018, referred to as the Prospectus. Our fiscal year ends December 31.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24"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Since our founding in 2007, our market opportunity has grown as we’ve expanded from keeping files in sync to keeping teams in sync.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4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drives viral growth, which has allowed us to scale rapidly and efficiently. We’ve built a thriving global business with 11.5 million paying users.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generate revenue from individuals, teams, and organizations by selling subscriptions to our platform, which serve the varying needs of our diverse customer base. Subscribers can purchase individual licenses through our Plus and Professional plans, or purchase multiple licenses through a Standard, Advanced, or Enterprise team plan. Each team represents a separately billed deployment that is managed through a single administrative dashboard. Teams must have a minimum of three users, but can also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18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premium subscription plans, such as Professional and Advanced, provide more functionality than other subscription plans and are offered at higher prices per user.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Drive new signups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Increase conversion of registered users to our paid subscription plans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Upgrade and expand existing customers</w:t>
      </w:r>
    </w:p>
    <w:p>
      <w:pPr>
        <w:spacing w:after="0" w:line="22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Paying users</w:t>
      </w:r>
    </w:p>
    <w:p>
      <w:pPr>
        <w:spacing w:after="0" w:line="11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have experienced growth in the number of paying users across our products, with the vast majority of paying users for the periods presented coming from our self-serve channels.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the number of paying users as of March 31, 2018, December 31, 2017, and March 31, 2017.</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0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As of March 31,</w:t>
            </w: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As of December 31,</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As of March 31,</w:t>
            </w:r>
          </w:p>
        </w:tc>
      </w:tr>
      <w:tr>
        <w:trPr>
          <w:trHeight w:val="27"/>
        </w:trPr>
        <w:tc>
          <w:tcPr>
            <w:tcW w:w="53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8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120" w:type="dxa"/>
            <w:vAlign w:val="bottom"/>
          </w:tcPr>
          <w:p>
            <w:pPr>
              <w:jc w:val="center"/>
              <w:ind w:right="90"/>
              <w:spacing w:after="0"/>
              <w:rPr>
                <w:sz w:val="20"/>
                <w:szCs w:val="20"/>
                <w:color w:val="auto"/>
              </w:rPr>
            </w:pPr>
            <w:r>
              <w:rPr>
                <w:rFonts w:ascii="Arial" w:cs="Arial" w:eastAsia="Arial" w:hAnsi="Arial"/>
                <w:sz w:val="18"/>
                <w:szCs w:val="18"/>
                <w:i w:val="1"/>
                <w:iCs w:val="1"/>
                <w:color w:val="auto"/>
                <w:w w:val="97"/>
              </w:rPr>
              <w:t>(In millions)</w:t>
            </w:r>
          </w:p>
        </w:tc>
        <w:tc>
          <w:tcPr>
            <w:tcW w:w="18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Paying users</w:t>
            </w:r>
          </w:p>
        </w:tc>
        <w:tc>
          <w:tcPr>
            <w:tcW w:w="2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w:t>
            </w:r>
          </w:p>
        </w:tc>
        <w:tc>
          <w:tcPr>
            <w:tcW w:w="2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11.0</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53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jc w:val="both"/>
        <w:ind w:right="320" w:firstLine="432"/>
        <w:spacing w:after="0" w:line="279"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7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ARPU increased for the three months ended March 31, 2018, compared to the three months ended March 31, 2017, primarily due to an increased mix of sales towards our higher priced subscription plans, including our Dropbox Business Advanced Plan that launched in the first quarter of 2017, and favorable foreign currency fluctuations related to our sales that are denominated in foreign currencies.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our ARPU for the three months ended March 31, 2018 and 2017.</w:t>
      </w:r>
    </w:p>
    <w:p>
      <w:pPr>
        <w:spacing w:after="0" w:line="200" w:lineRule="exact"/>
        <w:rPr>
          <w:sz w:val="20"/>
          <w:szCs w:val="20"/>
          <w:color w:val="auto"/>
        </w:rPr>
      </w:pPr>
    </w:p>
    <w:p>
      <w:pPr>
        <w:spacing w:after="0" w:line="224"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880"/>
        <w:spacing w:after="0"/>
        <w:tabs>
          <w:tab w:leader="none" w:pos="101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6980" w:val="left"/>
          <w:tab w:leader="none" w:pos="8540" w:val="left"/>
          <w:tab w:leader="none" w:pos="9260" w:val="left"/>
          <w:tab w:leader="none" w:pos="10800" w:val="left"/>
        </w:tabs>
        <w:rPr>
          <w:sz w:val="20"/>
          <w:szCs w:val="20"/>
          <w:color w:val="auto"/>
        </w:rPr>
      </w:pPr>
      <w:r>
        <w:rPr>
          <w:rFonts w:ascii="Arial" w:cs="Arial" w:eastAsia="Arial" w:hAnsi="Arial"/>
          <w:sz w:val="18"/>
          <w:szCs w:val="18"/>
          <w:color w:val="auto"/>
        </w:rPr>
        <w:t>ARPU</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114.30</w:t>
        <w:tab/>
        <w:t>$</w:t>
      </w:r>
      <w:r>
        <w:rPr>
          <w:sz w:val="20"/>
          <w:szCs w:val="20"/>
          <w:color w:val="auto"/>
        </w:rPr>
        <w:tab/>
      </w:r>
      <w:r>
        <w:rPr>
          <w:rFonts w:ascii="Arial" w:cs="Arial" w:eastAsia="Arial" w:hAnsi="Arial"/>
          <w:sz w:val="16"/>
          <w:szCs w:val="16"/>
          <w:color w:val="auto"/>
        </w:rPr>
        <w:t>110.79</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or GAAP, we believe that free cash flow, or FCF, a non-GAAP financial measure, is useful in evaluating our liquidity.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and may be calculated differently by other companies in our industry, limiting its usefulness as a comparative measure.</w:t>
      </w:r>
    </w:p>
    <w:p>
      <w:pPr>
        <w:spacing w:after="0" w:line="189"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FCF declined for the three months ended March 31, 2018, compared to the three months ended March 31, 2017, primarily due to higher employee compensation payments, which included the payment of our annual corporate bonus and employer payroll taxes related to the release of our two-tier RSUs in connection with our initial public offering ("IPO"), payments related to our brand marketing campaign, and higher capital expenditures related to our office and datacenter build-outs. These cash outflows were offset by increased subscription sales, as a majority of our paying users are invoiced in advance.</w:t>
      </w:r>
    </w:p>
    <w:p>
      <w:pPr>
        <w:spacing w:after="0" w:line="15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40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380" w:type="dxa"/>
            <w:vAlign w:val="bottom"/>
            <w:gridSpan w:val="3"/>
          </w:tcPr>
          <w:p>
            <w:pPr>
              <w:jc w:val="right"/>
              <w:ind w:right="1090"/>
              <w:spacing w:after="0"/>
              <w:rPr>
                <w:sz w:val="20"/>
                <w:szCs w:val="20"/>
                <w:color w:val="auto"/>
              </w:rPr>
            </w:pPr>
            <w:r>
              <w:rPr>
                <w:rFonts w:ascii="Arial" w:cs="Arial" w:eastAsia="Arial" w:hAnsi="Arial"/>
                <w:sz w:val="18"/>
                <w:szCs w:val="18"/>
                <w:i w:val="1"/>
                <w:iCs w:val="1"/>
                <w:color w:val="auto"/>
              </w:rPr>
              <w:t>(In millions)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40" w:type="dxa"/>
            <w:vAlign w:val="bottom"/>
            <w:tcBorders>
              <w:bottom w:val="single" w:sz="8" w:color="CCEEFF"/>
            </w:tcBorders>
            <w:gridSpan w:val="2"/>
            <w:shd w:val="clear" w:color="auto" w:fill="CCEEFF"/>
          </w:tcPr>
          <w:p>
            <w:pPr>
              <w:jc w:val="right"/>
              <w:ind w:right="13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4040" w:type="dxa"/>
            <w:vAlign w:val="bottom"/>
            <w:tcBorders>
              <w:bottom w:val="single" w:sz="8" w:color="CCEEFF"/>
            </w:tcBorders>
            <w:gridSpan w:val="2"/>
            <w:shd w:val="clear" w:color="auto" w:fill="CCEEFF"/>
          </w:tcPr>
          <w:p>
            <w:pPr>
              <w:jc w:val="right"/>
              <w:ind w:right="13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31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generate revenue from sales of subscriptions to our platform.</w:t>
      </w:r>
    </w:p>
    <w:p>
      <w:pPr>
        <w:spacing w:after="0" w:line="225"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w:t>
      </w:r>
      <w:r>
        <w:rPr>
          <w:rFonts w:ascii="Arial" w:cs="Arial" w:eastAsia="Arial" w:hAnsi="Arial"/>
          <w:sz w:val="16"/>
          <w:szCs w:val="16"/>
          <w:i w:val="1"/>
          <w:iCs w:val="1"/>
          <w:color w:val="auto"/>
        </w:rPr>
        <w:t xml:space="preserve"> </w:t>
      </w:r>
      <w:r>
        <w:rPr>
          <w:rFonts w:ascii="Arial" w:cs="Arial" w:eastAsia="Arial" w:hAnsi="Arial"/>
          <w:sz w:val="16"/>
          <w:szCs w:val="16"/>
          <w:color w:val="auto"/>
        </w:rPr>
        <w:t>paying users and free users, also 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6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During the first quarter of 2018, based on considerations including our asset replacement cycle and our ongoing infrastructure optimization efforts, we revisited the useful life estimates of certain infrastructure equipment. These optimization efforts include software efficiencies that allow us to utilize certain infrastructure equipment for longer periods of time. As a result, we determined that the useful lives of the impacted infrastructure equipment, which are depreciated through cost of revenue, should be increased from three to four years. We accounted for this as a change in estimate that will be applied prospectively, effective as of January 1, 2018. This change in depreciable life resulted in a reduction of $6.1 million in depreciation expense within cost of revenue during the three months ended March 31, 2018.</w:t>
      </w:r>
    </w:p>
    <w:p>
      <w:pPr>
        <w:spacing w:after="0" w:line="1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excluding the impact of certain stock-based compensation charges described in “—Significant Impacts of Stock-Based Compensation”, will increase in absolute dollars in future periods. In addition, as a result of certain stock-based compensation charges described in “— Significant Impacts of Stock-Based Compensation,” our cost of revenue increased significantly in absolute dollars during the three months ended March 31, 2018 due to the completion of our initial public offering.</w:t>
      </w:r>
    </w:p>
    <w:p>
      <w:pPr>
        <w:spacing w:after="0" w:line="188"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is gross profit expressed as a percentage of revenue. Our gross margin may fluctuate from period to period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timing of additional capital expenditures and the related depreciation expense, or other increases in our infrastructure costs, as well as revenue fluctuations. As we continue to increase the utilization of our internal infrastructure, we generally expect our gross margin, excluding the impact of certain stock-based compensation charges described in “—Significant Impacts of Stock-Based Compensation”, to remain relatively constant in the near term and to increase modestly in the long term. Our gross margin decreased significantly on a sequential basis during the three months ended March 31, 2018 as a result of certain stock-based compensation charges described in “—Significant Impacts of Stock-Based Compensation” due to the completion of our initial public offering.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consist primarily of employee-related costs for our engineering,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design teams, and allocated overhead. Additionally, research and development expenses include internal development-related third-party hosting fees. We have expensed almost all of our research and development costs as they were incurred.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We plan to continue to hire employees for our engineering, product, and design teams to support our research and development efforts. We expect that research and development costs will increase in absolute dollars in future periods and, excluding the impact of certain stock-based compensation charges described in “—Significant Impacts of Stock-Based Compensation”, vary from period to period as a percentage of revenue.</w:t>
      </w:r>
    </w:p>
    <w:p>
      <w:pPr>
        <w:spacing w:after="0" w:line="16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relate to both self-serve and outbound sales activities, and consist primarily of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brand marketing costs, lead generation costs, and allocated overhead. Sales commissions earned by our outbound sales team and the related payroll taxes, as well as commissions earned by third-party resellers that we consider to be incremental and recoverable costs of obtaining a contract with a user, are deferred and amortized over an estimated period of benefit of five years. Additionally, sales and marketing expenses include non-employee costs related to app store fees and fees payable to third-party sales representatives.</w:t>
      </w:r>
    </w:p>
    <w:p>
      <w:pPr>
        <w:spacing w:after="0" w:line="188"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We plan to continue to invest in sales and marketing to grow our user base and increase our brand awareness, including marketing efforts to continue to drive our self-serve business model. The trend and timing of sales and marketing expenses will depend in part on the timing of marketing campaigns. We expect that sales and marketing expenses will increase in absolute dollars in future periods and, excluding the impact of certain stock-based compensation charges described in “—Significant Impacts of Stock-Based Compensation”, vary from period to period as a percentage of revenue.</w:t>
      </w:r>
    </w:p>
    <w:p>
      <w:pPr>
        <w:spacing w:after="0" w:line="154"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and other administrative teams, as well as certain executives. In addition, general and administrative expenses include allocated overhead, outside legal, accounting and other professional fees, non-income based taxes, and contributions to the Dropbox Charitable Foundation.</w:t>
      </w:r>
    </w:p>
    <w:p>
      <w:pPr>
        <w:spacing w:after="0" w:line="166"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expect to incur additional general and administrative expenses to support the growth of the Company as well as our transition to being a publicly traded company, which includes the recognition of stock-based compensation expense related to grants of restricted stock made to our co-founders. We expect that general and administrative expenses will increase in absolute dollars in future periods and, excluding the impact of certain stock-based compensation charges described in “—Significant Impacts of Stock-Based Compensation”, vary from period to period as a percentage of revenue.</w:t>
      </w:r>
    </w:p>
    <w:p>
      <w:pPr>
        <w:spacing w:after="0" w:line="15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As a result of certain stock-based compensation charges described in “—Significant Impacts of Stock-Based Compensation,” our research and development, sales and marketing, and general and administrative expenses increased significantly in absolute dollars and as a percentage of revenue during the three months ended March 31, 2018 due to the completion of our initial public offering.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Interest expense, net consists primarily of interest expense related to our capital lease obligations for infrastructure and our imputed financing obligation for our obligation to the legal owner of our previous corporate headquarters, partially offset by interest income earned on our money market funds classified as cash and cash equivalents and short-term investments.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Other income (expense), net consists of other non-operating gains or losses, including those related to ongoing subleases, foreign currency transaction gains and losses, and realized gains and losses related to our short-term investments.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Impact of the Tax Cuts and Jobs Act ("2017 Tax Reform Act")</w:t>
      </w:r>
    </w:p>
    <w:p>
      <w:pPr>
        <w:spacing w:after="0" w:line="14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2017 Tax Reform Act was enacted on December 22, 2017 and provides for significant changes to U.S. tax law. Among other provisions, the 2017 Tax Reform Act reduces the U.S. corporate income tax rate to 21% effective in 2018. The 2017 Tax Reform Act also contains a number of provisions that may impact us in future years.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Since ongoing guidance and accounting interpretation is expected in the 12 months following enactment, we have made certain provisional accounting estimates, as permitted under Staff Accounting Bulletin No. 118, and continue to analyze our accounting policies in this area. The U.S. Treasury Department, the IRS, and other standard-setting bodies could interpret or issue guidance on how provisions of the 2017 Tax Reform Act will be applied or otherwise administered that is different from our interpretation. As we complete our analysis of the 2017 Tax Reform Act, collect and prepare necessary data, and interpret any additional guidance, we may make adjustments to provisional amounts that we have recorded that may materially impact the provision for income taxes in the period in which the adjustments are made. The final accounting analysis will occur no later than one year from the date the 2017 Tax Reform Act was enacted. Adjustments made for the three months ended March 31, 2018 were not material.</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1"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420"/>
              <w:spacing w:after="0"/>
              <w:rPr>
                <w:sz w:val="20"/>
                <w:szCs w:val="20"/>
                <w:color w:val="auto"/>
              </w:rPr>
            </w:pPr>
            <w:r>
              <w:rPr>
                <w:rFonts w:ascii="Arial" w:cs="Arial" w:eastAsia="Arial" w:hAnsi="Arial"/>
                <w:sz w:val="18"/>
                <w:szCs w:val="18"/>
                <w:color w:val="auto"/>
              </w:rPr>
              <w:t>The following tables set forth our results of operations for the periods presented:</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729"/>
        </w:trPr>
        <w:tc>
          <w:tcPr>
            <w:tcW w:w="7200" w:type="dxa"/>
            <w:vAlign w:val="bottom"/>
          </w:tcPr>
          <w:p>
            <w:pPr>
              <w:spacing w:after="0"/>
              <w:rPr>
                <w:sz w:val="24"/>
                <w:szCs w:val="24"/>
                <w:color w:val="auto"/>
              </w:rPr>
            </w:pPr>
          </w:p>
        </w:tc>
        <w:tc>
          <w:tcPr>
            <w:tcW w:w="35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Pr>
          <w:p>
            <w:pPr>
              <w:spacing w:after="0"/>
              <w:rPr>
                <w:sz w:val="24"/>
                <w:szCs w:val="24"/>
                <w:color w:val="auto"/>
              </w:rPr>
            </w:pP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0" w:type="dxa"/>
            <w:vAlign w:val="bottom"/>
            <w:gridSpan w:val="3"/>
          </w:tcPr>
          <w:p>
            <w:pPr>
              <w:jc w:val="right"/>
              <w:ind w:right="870"/>
              <w:spacing w:after="0"/>
              <w:rPr>
                <w:sz w:val="20"/>
                <w:szCs w:val="20"/>
                <w:color w:val="auto"/>
              </w:rPr>
            </w:pPr>
            <w:r>
              <w:rPr>
                <w:rFonts w:ascii="Arial" w:cs="Arial" w:eastAsia="Arial" w:hAnsi="Arial"/>
                <w:sz w:val="18"/>
                <w:szCs w:val="18"/>
                <w:i w:val="1"/>
                <w:iCs w:val="1"/>
                <w:color w:val="auto"/>
              </w:rPr>
              <w:t>(In millions)</w:t>
            </w:r>
          </w:p>
        </w:tc>
        <w:tc>
          <w:tcPr>
            <w:tcW w:w="6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r>
      <w:tr>
        <w:trPr>
          <w:trHeight w:val="270"/>
        </w:trPr>
        <w:tc>
          <w:tcPr>
            <w:tcW w:w="720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13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93.5</w:t>
            </w: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w:t>
            </w: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p>
        </w:tc>
        <w:tc>
          <w:tcPr>
            <w:tcW w:w="1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67.2</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187.8</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5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46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180" w:type="dxa"/>
            <w:vAlign w:val="bottom"/>
            <w:gridSpan w:val="3"/>
          </w:tcPr>
          <w:p>
            <w:pPr>
              <w:jc w:val="right"/>
              <w:ind w:right="910"/>
              <w:spacing w:after="0"/>
              <w:rPr>
                <w:sz w:val="20"/>
                <w:szCs w:val="20"/>
                <w:color w:val="auto"/>
              </w:rPr>
            </w:pPr>
            <w:r>
              <w:rPr>
                <w:rFonts w:ascii="Arial" w:cs="Arial" w:eastAsia="Arial" w:hAnsi="Arial"/>
                <w:sz w:val="18"/>
                <w:szCs w:val="18"/>
                <w:i w:val="1"/>
                <w:iCs w:val="1"/>
                <w:color w:val="auto"/>
              </w:rPr>
              <w:t>(In millions)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4600" w:type="dxa"/>
            <w:vAlign w:val="bottom"/>
            <w:tcBorders>
              <w:bottom w:val="single" w:sz="8" w:color="CCEEFF"/>
            </w:tcBorders>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4600" w:type="dxa"/>
            <w:vAlign w:val="bottom"/>
            <w:tcBorders>
              <w:bottom w:val="single" w:sz="8" w:color="CCEEFF"/>
            </w:tcBorders>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486.5</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Arial" w:cs="Arial" w:eastAsia="Arial" w:hAnsi="Arial"/>
                <w:sz w:val="18"/>
                <w:szCs w:val="18"/>
                <w:color w:val="auto"/>
              </w:rPr>
              <w:t>35</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4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results of operations for each of the periods presented as a percentage of revenue:</w:t>
      </w:r>
    </w:p>
    <w:p>
      <w:pPr>
        <w:spacing w:after="0" w:line="302"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34290</wp:posOffset>
            </wp:positionV>
            <wp:extent cx="2778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gridSpan w:val="2"/>
          </w:tcPr>
          <w:p>
            <w:pPr>
              <w:ind w:left="7940"/>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2017</w:t>
            </w:r>
          </w:p>
        </w:tc>
      </w:tr>
      <w:tr>
        <w:trPr>
          <w:trHeight w:val="27"/>
        </w:trPr>
        <w:tc>
          <w:tcPr>
            <w:tcW w:w="7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i w:val="1"/>
                <w:iCs w:val="1"/>
                <w:color w:val="auto"/>
                <w:w w:val="94"/>
              </w:rPr>
              <w:t>(As a % of revenue)</w:t>
            </w:r>
          </w:p>
        </w:tc>
        <w:tc>
          <w:tcPr>
            <w:tcW w:w="136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842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44"/>
        </w:trPr>
        <w:tc>
          <w:tcPr>
            <w:tcW w:w="7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70"/>
        </w:trPr>
        <w:tc>
          <w:tcPr>
            <w:tcW w:w="8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8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43"/>
        </w:trPr>
        <w:tc>
          <w:tcPr>
            <w:tcW w:w="842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76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7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1640" w:type="dxa"/>
            <w:vAlign w:val="bottom"/>
            <w:gridSpan w:val="3"/>
          </w:tcPr>
          <w:p>
            <w:pPr>
              <w:ind w:left="34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a percentage of revenue as follows:</w:t>
      </w:r>
    </w:p>
    <w:p>
      <w:pPr>
        <w:spacing w:after="0" w:line="35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34290</wp:posOffset>
            </wp:positionV>
            <wp:extent cx="2727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400" w:type="dxa"/>
            <w:vAlign w:val="bottom"/>
            <w:gridSpan w:val="2"/>
          </w:tcPr>
          <w:p>
            <w:pPr>
              <w:ind w:left="7920"/>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jc w:val="right"/>
              <w:ind w:right="790"/>
              <w:spacing w:after="0"/>
              <w:rPr>
                <w:sz w:val="20"/>
                <w:szCs w:val="20"/>
                <w:color w:val="auto"/>
              </w:rPr>
            </w:pPr>
            <w:r>
              <w:rPr>
                <w:rFonts w:ascii="Arial" w:cs="Arial" w:eastAsia="Arial" w:hAnsi="Arial"/>
                <w:sz w:val="18"/>
                <w:szCs w:val="18"/>
                <w:b w:val="1"/>
                <w:bCs w:val="1"/>
                <w:color w:val="auto"/>
              </w:rPr>
              <w:t>2017</w:t>
            </w:r>
          </w:p>
        </w:tc>
      </w:tr>
      <w:tr>
        <w:trPr>
          <w:trHeight w:val="27"/>
        </w:trPr>
        <w:tc>
          <w:tcPr>
            <w:tcW w:w="70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i w:val="1"/>
                <w:iCs w:val="1"/>
                <w:color w:val="auto"/>
                <w:w w:val="94"/>
              </w:rPr>
              <w:t>(As a % of revenue)</w:t>
            </w:r>
          </w:p>
        </w:tc>
        <w:tc>
          <w:tcPr>
            <w:tcW w:w="1340" w:type="dxa"/>
            <w:vAlign w:val="bottom"/>
          </w:tcPr>
          <w:p>
            <w:pPr>
              <w:spacing w:after="0"/>
              <w:rPr>
                <w:sz w:val="20"/>
                <w:szCs w:val="20"/>
                <w:color w:val="auto"/>
              </w:rPr>
            </w:pPr>
          </w:p>
        </w:tc>
      </w:tr>
      <w:tr>
        <w:trPr>
          <w:trHeight w:val="27"/>
        </w:trPr>
        <w:tc>
          <w:tcPr>
            <w:tcW w:w="7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40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40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0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w:t>
      </w:r>
    </w:p>
    <w:p>
      <w:pPr>
        <w:spacing w:after="0" w:line="302"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22860</wp:posOffset>
            </wp:positionV>
            <wp:extent cx="19380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316.3</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Revenue increased $68.4 million or 28% during the three months ended March 31, 2018, as compared to the three months ended March 31, 2017. This increase was primarily due to a 23% increase in the number of paying users between periods. The average revenue per paying user also increased between periods primarily due to an increased mix of sales towards our higher priced subscription plans.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804"/>
        </w:trPr>
        <w:tc>
          <w:tcPr>
            <w:tcW w:w="5000" w:type="dxa"/>
            <w:vAlign w:val="bottom"/>
            <w:gridSpan w:val="2"/>
          </w:tcPr>
          <w:p>
            <w:pPr>
              <w:ind w:left="420"/>
              <w:spacing w:after="0"/>
              <w:rPr>
                <w:sz w:val="20"/>
                <w:szCs w:val="20"/>
                <w:color w:val="auto"/>
              </w:rPr>
            </w:pPr>
            <w:r>
              <w:rPr>
                <w:rFonts w:ascii="Arial" w:cs="Arial" w:eastAsia="Arial" w:hAnsi="Arial"/>
                <w:sz w:val="18"/>
                <w:szCs w:val="18"/>
                <w:i w:val="1"/>
                <w:iCs w:val="1"/>
                <w:color w:val="auto"/>
              </w:rPr>
              <w:t>Cost of revenue, gross profit, and gross margin</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95"/>
        </w:trPr>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2"/>
          </w:tcPr>
          <w:p>
            <w:pPr>
              <w:jc w:val="center"/>
              <w:ind w:left="610"/>
              <w:spacing w:after="0"/>
              <w:rPr>
                <w:sz w:val="20"/>
                <w:szCs w:val="20"/>
                <w:color w:val="auto"/>
              </w:rPr>
            </w:pPr>
            <w:r>
              <w:rPr>
                <w:rFonts w:ascii="Arial" w:cs="Arial" w:eastAsia="Arial" w:hAnsi="Arial"/>
                <w:sz w:val="18"/>
                <w:szCs w:val="18"/>
                <w:i w:val="1"/>
                <w:iCs w:val="1"/>
                <w:color w:val="auto"/>
                <w:w w:val="97"/>
              </w:rPr>
              <w:t>(In millions)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120.6</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195.7</w:t>
            </w:r>
          </w:p>
        </w:tc>
        <w:tc>
          <w:tcPr>
            <w:tcW w:w="5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1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
        </w:trPr>
        <w:tc>
          <w:tcPr>
            <w:tcW w:w="136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Cost of revenue increased $27.1 million or 29% during the three months ended March 31, 2018, as compared to the three months ended March 31, 2017, primarily due to a $34.7 million increase in stock-based compensation which included the achievement of the Performance Vesting Condition of our two-tier RSUs upon the effectiveness of the registration statement related to our IPO. These increases were offset by a $8.9 million decrease in our infrastructure costs due to continued infrastructure usage optimization efforts, which included a benefit due to the change in depreciable useful life of certain of our infrastructure equipment, which was effective on January 1, 2018.</w:t>
      </w:r>
    </w:p>
    <w:p>
      <w:pPr>
        <w:spacing w:after="0" w:line="10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Our gross margin remained constant at 62% during the three months ended March 31, 2018 compared to the three months ended March 31, 2017, primarily due to the recording of stock-based compensation from the achievement of the Performance Vesting Condition related to our two-tier RSUs upon the effectiveness of the registration statement related to our IPO, offset by the decrease in our infrastructure costs and a 28% increase in our revenues, as described above.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Research and development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378.5</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Research and development expenses increased $289.2 million or 324% during the three months ended March 31, 2018, as compared to the three months ended March 31, 2017, primarily due to a $261.1 million increase in stock-based compensation which included the achievement of the Performance Vesting Condition of our two-tier RSUs upon the effectiveness of the registration statement related to our IPO. Further, the increase in research and development expense was due to an increase of $18.4 million in employee-related expenses excluding stock-based compensation, which was due to headcount growth and employer payroll taxes related to the release of our two-tier RSUs, and an increase of $7.9 million in overhead-related costs.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Sales and marketing</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157.0</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Sales and marketing expenses increased $89.8 million or 134% during three months ended March 31, 2018, as compared to the three months ended March 31, 2017, primarily due to a $64.7 million increase in stock-based compensation which included the achievement of the Performance Vesting Condition of our two-tier RSUs upon the effectiveness of the registration statement related to our IPO. Sales and marketing expenses also increased due to $16.3 million in brand marketing costs, lead generation costs, and third-party sales representative fees. In addition, the increase in sales and marketing expense was due to an increase of $5.4 million in employee-related expenses excluding stock-based compensation, which was due to headcount growth and employer payroll taxes related to the release of our two-tier RSUs, and an increase of $3.7 million due to app store fees as a result of increased sales.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8"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912"/>
        </w:trPr>
        <w:tc>
          <w:tcPr>
            <w:tcW w:w="5120" w:type="dxa"/>
            <w:vAlign w:val="bottom"/>
            <w:gridSpan w:val="2"/>
          </w:tcPr>
          <w:p>
            <w:pPr>
              <w:ind w:left="420"/>
              <w:spacing w:after="0"/>
              <w:rPr>
                <w:sz w:val="20"/>
                <w:szCs w:val="20"/>
                <w:color w:val="auto"/>
              </w:rPr>
            </w:pPr>
            <w:r>
              <w:rPr>
                <w:rFonts w:ascii="Arial" w:cs="Arial" w:eastAsia="Arial" w:hAnsi="Arial"/>
                <w:sz w:val="18"/>
                <w:szCs w:val="18"/>
                <w:i w:val="1"/>
                <w:iCs w:val="1"/>
                <w:color w:val="auto"/>
              </w:rPr>
              <w:t>General and administrative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0"/>
        </w:trPr>
        <w:tc>
          <w:tcPr>
            <w:tcW w:w="1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136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General and administrative expenses increased $94.8 million or 303% during the three months ended March 31, 2018, as compared to the three months ended March 31, 2017, primarily due to a $87.2 million increase in stock-based compensation which included the achievement of the Performance Vesting Condition of our two-tier RSUs and the performance-based vesting condition for the Co-Founder Grants upon the effectiveness of the registration statement related to our IPO. In addition, general and administrative expenses increased $4.1 million due to employee-related expenses, excluding stock-based compensation, which was due to headcount growth and employer payroll taxes related to the release of our two-tier RSUs.</w:t>
      </w:r>
    </w:p>
    <w:p>
      <w:pPr>
        <w:spacing w:after="0" w:line="37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Interest expense, net decreased $3.0 million during the three months ended March 31, 2018, as compared to the three months ended March 31, 2017, primarily due to a decrease in interest expense of $1.9 million due to fewer assets acquired under capital leases. In addition, interest income from our money market funds and short-term investments increased by $1.1 million.</w:t>
      </w:r>
    </w:p>
    <w:p>
      <w:pPr>
        <w:spacing w:after="0" w:line="3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Other income, net decreased $1.4 million during the three months ended March 31, 2018, as compared to the three months ended March 31, 2017, primarily due to a decrease of $1.9 million in foreign currency gains primarily related to monetary assets and liabilities denominated in euros. The decrease in other income, net was partially offset by an increase in sublease income.</w:t>
      </w:r>
    </w:p>
    <w:p>
      <w:pPr>
        <w:spacing w:after="0" w:line="3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Provision for income taxes increased $1.5 million during the three months ended March 31, 2018, as compared to the three months ended March 31, 2017, primarily as a result of additional income in our profitable foreign entities and the release of our valuation allowance related to certain foreign deferred tax assets during the three months ended March 31,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8"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As of March 31, 2018, we had cash and cash equivalents of $665.3 million and short-term investments totaling $180.7 million, which were held for working capital purposes. Our cash, cash equivalents, and short-term investments consist primarily of cash, money market funds, U.S. treasury securities, corporate notes and obligations, U.S. agency obligations, commercial paper, and certificates of deposits. As of March 31, 2018, we had $55.5 million of our cash and cash equivalents held by our foreign subsidiaries. We do not expect to incur material taxes in the event we repatriate any of these amounts.</w:t>
      </w:r>
    </w:p>
    <w:p>
      <w:pPr>
        <w:spacing w:after="0" w:line="73"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On March 27, 2018, upon the completion of our IPO and concurrent private placement, we received aggregate proceeds of $638.2 million, net of underwriters' discounts and commissions, before deducting offering costs of $6.9 million, net of reimbursements.</w:t>
      </w:r>
    </w:p>
    <w:p>
      <w:pPr>
        <w:spacing w:after="0" w:line="89"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On March 28, 2018, the underwriters exercised their option to purchase an additional 5,400,000 shares of our Class A common stock. This transaction closed on April 3, 2018, resulting in additional proceeds of $108.4 million, net of underwriters' discounts and commissions. These shares and proceeds are not reflected in the condensed consolidated financial statements as of and for the three months ended March 31, 2018.</w:t>
      </w:r>
    </w:p>
    <w:p>
      <w:pPr>
        <w:spacing w:after="0" w:line="84"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capital leases to finance infrastructure-related assets in co-location facilities that we directly lease and operate. We enter into capital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expect to increase our use of capital leases in future periods to finance infrastructure equipment as certain assets reach the end of their useful lives.</w:t>
      </w:r>
    </w:p>
    <w:p>
      <w:pPr>
        <w:spacing w:after="0" w:line="7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Our principal uses of cash in recent periods have been funding our operations, the satisfaction of tax withholdings in connection with the settlement of restricted stock units, making principal payments on our capital lease obligations, and capital expenditures.</w:t>
      </w:r>
    </w:p>
    <w:p>
      <w:pPr>
        <w:spacing w:after="0" w:line="8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10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 outstanding. There is an additional fronting fee of 0.125% per annum multiplied by the average aggregate daily maximum amount available under all letters of credit.</w:t>
      </w:r>
    </w:p>
    <w:p>
      <w:pPr>
        <w:spacing w:after="0" w:line="112"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March 31, 2018.</w:t>
      </w:r>
    </w:p>
    <w:p>
      <w:pPr>
        <w:spacing w:after="0" w:line="90"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of March 31, 2018, we had no amounts outstanding under the revolving credit facility and an aggregate of $82.7 million in letters of credit outstanding under the revolving credit facility. Our total available borrowing capacity under the revolving credit facility was $642.3 million as of March 31, 2018.</w:t>
      </w:r>
    </w:p>
    <w:p>
      <w:pPr>
        <w:spacing w:after="0" w:line="10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expansion of sales and marketing and international operation activities, the introduction of new product capabilities and enhancement of our platform, and the continuing market acceptance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 activities were as follows for the periods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5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18"/>
        </w:trPr>
        <w:tc>
          <w:tcPr>
            <w:tcW w:w="7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used in financing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three months ended March 31, 2018, net cash provided by operating activities was $61.8 million, which mostly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$465.5 million, adjusted for stock-based compensation expense of $486.5 million and depreciation and amortization expenses of $35.9 million, and net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inflow of $3.1 million from operating assets and liabilities. The inflow from operating assets and liabilities was primarily due to an increase of $26.7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deferred revenue from increased subscription sales, as a majority of our paying users are invoiced in advance. The increase in deferred revenue was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 decrease in accrued compensation and benefits of $26.2 million due to the payout of our corporate bonus. Our net cash from operating activities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March 31, 2018 also included a payment of $13.8 million of employer payroll taxes related to the release of our two-tier RSUs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our IPO.</w:t>
      </w:r>
    </w:p>
    <w:p>
      <w:pPr>
        <w:spacing w:after="0" w:line="13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increase in net cash provided by operating activities during the three months ended March 31, 2018, compared to the three months ended March 31, 2017, was primarily due to a reduction of our net loss, as adjusted for stock-based compensation and depreciation and amortization expenses, offset by a decrease in cash inflows from changes in operating assets and liabilities.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Net cash used in investing activities is primarily impacted by purchases of short-term investments, purchases of property and equipment, particularly for purchasing infrastructure equipment in co-location facilities that we directly lease and operate, and for making improvements to existing and new office spaces.</w:t>
      </w:r>
    </w:p>
    <w:p>
      <w:pPr>
        <w:spacing w:after="0" w:line="10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For the three months ended March 31, 2018, net cash used in investing activities was $193.1 million, which primarily related to purchases of short-term investments of $180.8 million and capital expenditures of $9.9 million related to our office and datacenter build-outs.</w:t>
      </w:r>
    </w:p>
    <w:p>
      <w:pPr>
        <w:spacing w:after="0" w:line="89"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The increase in cash used in investing activities during the three months ended March 31, 2018, compared to the three months ended March 31, 2017, was primarily due to increases in purchases of short-term investments and an increase in capital expenditures for office and datacenter build-outs.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Net cash provided by (used in) financing activities is primarily impacted by repurchases of common stock to satisfy the tax withholding obligation for the release of restricted stock units (“RSUs”) and capital lease obligations for our infrastructure equipment. In 2017, we began releasing shares of common stock underlying vested one-tier RSUs, which generally have a service-based vesting condition over a four-year period and resulted in cash outflows to satisfy the employee tax withholding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obligation for those employees who elected to net share settle their awards. During the three months ended March 31, 2018, the Performance Vesting Condition related to our two-tier RSUs was achieved in connection with our IPO, and as a result, we released the shares of common stock underlying vested two-tier RSUs, which significantly increased our cash outflows to satisfy the employee tax withholding obligation during the period. See “—Significant Impacts of Stock-Based Compensation” for additional information.</w:t>
      </w:r>
    </w:p>
    <w:p>
      <w:pPr>
        <w:spacing w:after="0" w:line="106"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For the three months ended March 31, 2018, net cash provided by (used in) financing activities was $365.0 million, which primarily consisted of $638.2 million in net proceeds from the completion of our IPO and concurrent private placement. The proceeds were offset by $241.2 million for the satisfaction of tax withholding obligations for the release of restricted stock units and $29.8 million in principal payments against capital lease obligations.</w:t>
      </w:r>
    </w:p>
    <w:p>
      <w:pPr>
        <w:spacing w:after="0" w:line="66"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The increase in cash provided by financing activities during the three months ended March 31, 2018, compared to the three months ended March 31, 2017, was primarily due to the increase of $638.2 million in net proceeds from the completion of our IPO and concurrent private placement, partially offset by an increase in cash outflows of $217.2 million related to the satisfaction of tax withholding obligations for the release of two-tier restricted stock units.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1"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Our principal commitments consist of obligations under operating leases for office space and datacenter operations, and capital leases for datacenter equipment. There have been no material changes in our contractual obligations and commitments, as disclosed in the Prospectus.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240" w:top="121" w:right="5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March 31, 2018,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35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240" w:top="121" w:right="6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Impacts of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granted restricted stock units, or RSUs, to our employees and members of our Board of Directors under our 2008 Equity Incentive Plan,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Plan, our 2017 Equity Incentive Plan, or 2017 Plan and our 2018 Equity Incentive Plan, or 2018 Plan. We have two types of RSUs outstanding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211" w:lineRule="exact"/>
        <w:rPr>
          <w:sz w:val="20"/>
          <w:szCs w:val="20"/>
          <w:color w:val="auto"/>
        </w:rPr>
      </w:pPr>
    </w:p>
    <w:p>
      <w:pPr>
        <w:ind w:left="980" w:right="4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181" w:lineRule="exact"/>
        <w:rPr>
          <w:rFonts w:ascii="Arial" w:cs="Arial" w:eastAsia="Arial" w:hAnsi="Arial"/>
          <w:sz w:val="18"/>
          <w:szCs w:val="18"/>
          <w:color w:val="auto"/>
        </w:rPr>
      </w:pPr>
    </w:p>
    <w:p>
      <w:pPr>
        <w:ind w:left="980" w:right="140" w:hanging="324"/>
        <w:spacing w:after="0" w:line="286"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Two-tier RSUs, which have both a service-based vesting condition and a liquidity event-related performance vesting condition. These awards typically have a service-based vesting period of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our initial public offering or</w:t>
      </w:r>
    </w:p>
    <w:p>
      <w:pPr>
        <w:spacing w:after="0" w:line="1" w:lineRule="exact"/>
        <w:rPr>
          <w:rFonts w:ascii="Arial" w:cs="Arial" w:eastAsia="Arial" w:hAnsi="Arial"/>
          <w:sz w:val="16"/>
          <w:szCs w:val="16"/>
          <w:color w:val="auto"/>
        </w:rPr>
      </w:pPr>
    </w:p>
    <w:p>
      <w:pPr>
        <w:ind w:left="980" w:right="220"/>
        <w:spacing w:after="0" w:line="254" w:lineRule="auto"/>
        <w:rPr>
          <w:rFonts w:ascii="Arial" w:cs="Arial" w:eastAsia="Arial" w:hAnsi="Arial"/>
          <w:sz w:val="16"/>
          <w:szCs w:val="16"/>
          <w:color w:val="auto"/>
        </w:rPr>
      </w:pPr>
      <w:r>
        <w:rPr>
          <w:rFonts w:ascii="Arial" w:cs="Arial" w:eastAsia="Arial" w:hAnsi="Arial"/>
          <w:sz w:val="18"/>
          <w:szCs w:val="18"/>
          <w:color w:val="auto"/>
        </w:rPr>
        <w:t>(b) March 15 of the year following our initial public offering. Our Board of Directors approved the acceleration of the Performance Vesting Condition for which the service condition was satisfied, to occur upon the effectiveness of the registration statement related to our IPO, which was on March 22, 2018. Our last grant date for two-tier RSUs was May 2015. We recognize compensation expense associated with two-tier RSUs using the accelerated attribution method over the requisite service period.</w:t>
      </w:r>
    </w:p>
    <w:p>
      <w:pPr>
        <w:spacing w:after="0" w:line="1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Upon the effectiveness of the registration statement related to our IPO, which was March 22, 2018, the Performance Vesting Condition associated with our two-tier RSUs was satisfied. As a result, we recognized stock-based compensation related to our two-tier RSUs using the accelerated attribution method, with a cumulative catch-up in the amount of $418.7 million attributable to service provided prior to such effective date. As of March 31, 2018, the unamortized stock-based compensation related to our two-tier RSUs was $2.6 million, which will be recognized if the requisite service is provided over a remaining weighted average period of 0.6 years.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Co-Founder Grants</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December 2017, the Board of Directors approved a grant to our co-founders of restricted stock awards, or RSAs, with respect to 14.7 million shares of Class A Common Stock in the aggregate, or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While the Co-Founder Grants have certain stockholder rights prior to their vesting, such as the right to vote the shares with the other holders of our Class A common stock, the Co-Founder Grants will be excluded from Class A common stock issued and outstanding until the satisfaction of these vesting conditions.</w:t>
      </w:r>
    </w:p>
    <w:p>
      <w:pPr>
        <w:spacing w:after="0" w:line="31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Co-Founder Grants are eligible to vest over the ten-year period following the date the Company’s shares of Class A common stock began trading on the Nasdaq Global Select Market in connection with our IPO, which occurred on March 23, 2018. The Co-Founder Grants comprise nine tranches that are eligible to vest based on the achievement of stock price goals, or, each, a Stock Price Target, measured over a consecutive thirty-day trading period during the Performance Period,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Company Stock Price</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Eligible to Vest for</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Eligible to Vest</w:t>
            </w:r>
          </w:p>
        </w:tc>
      </w:tr>
      <w:tr>
        <w:trPr>
          <w:trHeight w:val="234"/>
        </w:trPr>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Target</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Mr. Houston</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2"/>
              </w:rPr>
              <w:t>for Mr. Ferdowsi</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2,066,667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880,000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$37.50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1,033,334</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1,033,334</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$52.50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$67.50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$82.50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45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jc w:val="right"/>
              <w:ind w:right="167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Performance Period begins on the first trading day following the later of (a) the expiration of the lock-up period following the first date the Company’s shares are traded on an established national securities exchange or automated quotation system, or the IPO Date, and (b) January 1, 2019, and ends on the earliest to occur of: (i) the date on which all shares subject to the Co-Founder Grants vest, (ii) the date the applicable co-founder ceases to satisfy the service-based vesting condition, (iii) the tenth anniversary of the IPO Date, and (iv) the occurrence of an acquisition of the Company prior to the IPO Date.</w:t>
      </w:r>
    </w:p>
    <w:p>
      <w:pPr>
        <w:spacing w:after="0" w:line="10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During the first four years of the Performance Period, no more than 20% of the shares subject to each Co-Founder Grant would be eligible to vest in any calendar year. After the first four years, all shares are eligible to vest based on the achievement of the Company Stock Price Targets. The Co-Founder Grants contain an implied performance-based vesting condition that was satisfied on the date of our IPO.</w:t>
      </w:r>
    </w:p>
    <w:p>
      <w:pPr>
        <w:spacing w:after="0" w:line="10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we will recognize total stock-based compensation expense of $156.2 million over the requisite service period of each tranche, which ranged from 2.9 to 6.9 years, 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84"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performance vesting condition for the Co-Founder Grants was satisfied on the date that our shares of Class A common stock began trading on the Nasdaq Global Select Market in connection with our IPO. We recognized the cumulative unrecognized expense of our Co-Founder Grants of $10.6 million, using the accelerated attribution method, which increased our general and administrative expenses.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Award Modifications</w:t>
      </w:r>
    </w:p>
    <w:p>
      <w:pPr>
        <w:spacing w:after="0" w:line="14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During 2017, our Board of Directors voted to approve a modification of vesting schedules for certain unvested one-tier and two-tier RSUs to align the vesting schedules for all RSUs to vest once per quarter. The modification was effective February 15, 2018, which resulted in accelerated vesting of impacted RSUs that had met their service requirement as of that date. As a result, we recognized an incremental $10.0 million in stock-based compensation during the three months ended March 31, 2018 related to these modified RSUs. We do not expect to record incremental stock-based compensation related to this modification in future periods.</w:t>
      </w:r>
    </w:p>
    <w:p>
      <w:pPr>
        <w:spacing w:after="0" w:line="107"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See Note 1, “Description of the Business and Summary of Significant Accounting Policies” and Note 8, “Stockholders’ Equity” to our condensed consolidated financial statements included elsewhere in this Quarterly Report on Form 10-Q for more information regarding our equity awards.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Judgments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significant judgments as compared to the critical accounting policies and estimates disclosed in the Prospectus.</w:t>
      </w:r>
    </w:p>
    <w:p>
      <w:pPr>
        <w:spacing w:after="0" w:line="200" w:lineRule="exact"/>
        <w:rPr>
          <w:sz w:val="20"/>
          <w:szCs w:val="20"/>
          <w:color w:val="auto"/>
        </w:rPr>
      </w:pPr>
    </w:p>
    <w:p>
      <w:pPr>
        <w:spacing w:after="0" w:line="34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240" w:top="121"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See Note 1, “Description of the Business and Summary of Significant Accounting Policies”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We had cash and cash equivalents of $665.3 million and short-term investments totaling $180.7 million as of March 31, 2018. We hold our cash and cash equivalents and short-term investments for working capital purposes. Our cash, cash equivalents, and short-term investments consist primarily of cash, money market funds, U.S. treasury securities, corporate notes and obligations, U.S. agency obligations, commercial paper, and certificates of deposits.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9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Any borrowings under the revolving credit facility bear interest at a variable rate tied to the prime rate or the LIBOR rate. As of March 31, 2018, we had no amounts outstanding under the revolving credit facility. We do not have any other long-term debt or financial liabilities with floating interest rates that would subject us to interest rate fluctuations.</w:t>
      </w:r>
    </w:p>
    <w:p>
      <w:pPr>
        <w:spacing w:after="0" w:line="10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of March 31, 2018, a hypothetical change in interest rates by 100 basis points would not have a significant impact on our cash and cash equivalents or the fair value of our investment portfolio.</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4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three months ended March 31, 2018, 33%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99"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recorded $0.7 million and $2.7 million in net foreign currency transaction gains in the three months ended March 31, 2018 and 2017, respectively. A hypothetical 10% change in foreign currency rates would not have resulted in material gains or losses for the three months ended March 31, 2018 and 2017.</w:t>
      </w:r>
    </w:p>
    <w:p>
      <w:pPr>
        <w:spacing w:after="0" w:line="4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To date, we have not engaged in any hedging activities. As our international operations grow, we will continue to reassess our approach to managing risks relating to fluctuations in currency rates.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4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Disclosure Controls and Procedures</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121"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 OTHER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We do not currently believe that this matter is likely to have a material adverse impact on our consolidated results of operations, cash flows, or our financial position. We intend to vigorously defend this lawsuit, and believe we have valid defenses to the claims. However, any litigation is inherently uncertain, and any judgment or injunctive relief entered against us or any adverse settlement could materially and adversely impact our business, results of operations, financial condition, and prospects.</w:t>
      </w:r>
    </w:p>
    <w:p>
      <w:pPr>
        <w:spacing w:after="0" w:line="98"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retain and upgrade paying users, and any decline in renewals or upgrades could adversely affect our future results of operations.</w:t>
      </w:r>
    </w:p>
    <w:p>
      <w:pPr>
        <w:spacing w:after="0" w:line="17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and support, a user no longer having a need for our products, or the perception that competitive products provide better or less expensive options. In addition, some paying users downgrade or do not renew their subscriptions.</w:t>
      </w:r>
    </w:p>
    <w:p>
      <w:pPr>
        <w:spacing w:after="0" w:line="1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93" w:lineRule="exact"/>
        <w:rPr>
          <w:sz w:val="20"/>
          <w:szCs w:val="20"/>
          <w:color w:val="auto"/>
        </w:rPr>
      </w:pPr>
    </w:p>
    <w:p>
      <w:pPr>
        <w:ind w:right="360" w:firstLine="405"/>
        <w:spacing w:after="0" w:line="286"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track the retention rates of our individual users. As a result, we may be unable to address any retention issues with specific users in a timely manner,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could be harmed if we fail to attract new users or convert registered users to paying users.</w:t>
      </w:r>
    </w:p>
    <w:p>
      <w:pPr>
        <w:spacing w:after="0" w:line="225"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66"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March 31, 2018, we served over 500 million registered users but only 11.5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w:t>
      </w:r>
    </w:p>
    <w:p>
      <w:pPr>
        <w:spacing w:after="0" w:line="173"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has declined in recent periods and may continue to slow in the future.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anticipate increasing expenses in the future, and we may not be able to achieve or maintain profitability.</w:t>
      </w:r>
    </w:p>
    <w:p>
      <w:pPr>
        <w:spacing w:after="0" w:line="23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have incurred net losses on an annual basis since our inception. We incurred net losses of $325.9 million, $210.2 million, and $111.7 million in 2015, 2016, and 2017, respectively, and we had an accumulated deficit of $1,049.7 million as of December 31, 2017.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7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6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8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 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by any significant disruption of service on our platform or loss of content.</w:t>
      </w:r>
    </w:p>
    <w:p>
      <w:pPr>
        <w:spacing w:after="0" w:line="225"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8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8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70"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166"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81"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awareness of the content collaboration category generally;</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1"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6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9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188"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1"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With the introduction of new technologies and market entrants, we expect competition to intensify in the future. Many of our actual and potential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7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we recently introduced Paper, a new collaborative product experience, and Smart Sync, a new advanced productivity feature, to add additional functionality to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6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productivity features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platform, such as Smart Sync,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Since our founding in 2007, we have experienced rapid growth. For example, our headcount has grown from 1,446 employees as of December 31, 2015, to 1,858 employees as of December 31, 2017, with employees 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lack of a significant outbound sales force may limit the potential growth of our business.</w:t>
      </w:r>
    </w:p>
    <w:p>
      <w:pPr>
        <w:spacing w:after="0" w:line="22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expand sales to large organizations, which could lengthen sales cycles and result in greater deployment challenges.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As a result, sales to large organizations may lead to greater unpredictability in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customer support may harm our relationships with our users and our financial results.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paying users has grown from 6.5 million as of December 31, 2015, to 11.5 million as of March 31, 2018.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93"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new paying users and convert registered to paying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225"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entry into operating and capital leases;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expenses related to acquisitions;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success of new product feature and service introductions by us or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results of operations may not immediately reflect downturns or upturns in sales because we recognize revenue from our users over the term of their subscriptions with us.</w:t>
      </w:r>
    </w:p>
    <w:p>
      <w:pPr>
        <w:spacing w:after="0" w:line="17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1"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depend on the continued service and performance of our key personnel. In particular, Andrew W. Houston, our President and Chief Executive Officer and one of our co-founders, is critical to our vision, strategic direction, culture, and offerings.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7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4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To execute our growth plan, we must attract and retain highly qualified personnel. Competition for these employees is intense, particularly in the San Francisco Bay Area where our headquarters are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78" w:lineRule="exact"/>
        <w:rPr>
          <w:sz w:val="20"/>
          <w:szCs w:val="20"/>
          <w:color w:val="auto"/>
        </w:rPr>
      </w:pPr>
    </w:p>
    <w:p>
      <w:pPr>
        <w:jc w:val="both"/>
        <w:ind w:right="700" w:firstLine="405"/>
        <w:spacing w:after="0" w:line="264" w:lineRule="auto"/>
        <w:rPr>
          <w:sz w:val="20"/>
          <w:szCs w:val="20"/>
          <w:color w:val="auto"/>
        </w:rPr>
      </w:pPr>
      <w:r>
        <w:rPr>
          <w:rFonts w:ascii="Arial" w:cs="Arial" w:eastAsia="Arial" w:hAnsi="Arial"/>
          <w:sz w:val="18"/>
          <w:szCs w:val="18"/>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70"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or if we incur excessive expenses in this effort, our business, results of operations, and financial condition will be materially and adversely affected.</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7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have paying users across 180 countries and approximately half of our revenue in the year ended December 31, 2017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97" w:lineRule="exact"/>
        <w:rPr>
          <w:sz w:val="20"/>
          <w:szCs w:val="20"/>
          <w:color w:val="auto"/>
        </w:rPr>
      </w:pPr>
    </w:p>
    <w:p>
      <w:pPr>
        <w:ind w:left="1300" w:right="24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1300" w:right="480" w:hanging="320"/>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81" w:lineRule="exact"/>
        <w:rPr>
          <w:rFonts w:ascii="Arial" w:cs="Arial" w:eastAsia="Arial" w:hAnsi="Arial"/>
          <w:sz w:val="18"/>
          <w:szCs w:val="18"/>
          <w:color w:val="auto"/>
        </w:rPr>
      </w:pPr>
    </w:p>
    <w:p>
      <w:pPr>
        <w:ind w:left="1300" w:right="200" w:hanging="320"/>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81"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w:t>
      </w:r>
    </w:p>
    <w:p>
      <w:pPr>
        <w:spacing w:after="0" w:line="225" w:lineRule="exact"/>
        <w:rPr>
          <w:rFonts w:ascii="Arial" w:cs="Arial" w:eastAsia="Arial" w:hAnsi="Arial"/>
          <w:sz w:val="18"/>
          <w:szCs w:val="18"/>
          <w:color w:val="auto"/>
        </w:rPr>
      </w:pPr>
    </w:p>
    <w:p>
      <w:pPr>
        <w:ind w:left="1300" w:right="460" w:hanging="320"/>
        <w:spacing w:after="0" w:line="30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23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60"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2017,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7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7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78"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We also depend on our ecosystem of developers to create applications that will integrate with our platform. As of December 31, 2017,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193"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0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extensive negative publicity about the content stored on our platform. Such publicity could harm our business and results of operations.</w:t>
      </w:r>
    </w:p>
    <w:p>
      <w:pPr>
        <w:spacing w:after="0" w:line="225"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84"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47"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70"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If we are found to be in violation of U.S. sanctions or export control laws, it could result in substantial fines and penalties for us and for the individuals working for us.</w:t>
      </w:r>
    </w:p>
    <w:p>
      <w:pPr>
        <w:spacing w:after="0" w:line="18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17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5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also expect that there will continue to be new laws, regulations, and industry standards concerning privacy, data protection, and information security proposed and enacted in various jurisdictions. For example, European legislators have adopted a General Data Protection Regulation, or GDPR, that will, when effective in May 2018, supersede current European Union, or EU, data protection legislation, impose more stringent EU data protection requirements, and provide for greater penalties for noncompliance. Further, following a referendum in 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pending EU General Data Protection Regulation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w:t>
      </w:r>
    </w:p>
    <w:p>
      <w:pPr>
        <w:spacing w:after="0" w:line="17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internet access for our users or laws specifically governing the internet.</w:t>
      </w:r>
    </w:p>
    <w:p>
      <w:pPr>
        <w:spacing w:after="0" w:line="22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87"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225" w:lineRule="exact"/>
        <w:rPr>
          <w:rFonts w:ascii="Arial" w:cs="Arial" w:eastAsia="Arial" w:hAnsi="Arial"/>
          <w:sz w:val="18"/>
          <w:szCs w:val="18"/>
          <w:color w:val="auto"/>
        </w:rPr>
      </w:pPr>
    </w:p>
    <w:p>
      <w:pPr>
        <w:ind w:left="5620" w:right="5600" w:hanging="4640"/>
        <w:spacing w:after="0" w:line="659" w:lineRule="auto"/>
        <w:tabs>
          <w:tab w:leader="none" w:pos="13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otherwise try to monetize or control access to their networks. 62</w:t>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December 14, 2017, the Federal Communications Commission voted to repeal the “net neutrality” rules and return to a “light-touch” regulatory framework. However, the repeal has not yet taken effect and a number of parties have already stated their intent to appeal this order; thus, the future impact of such repeal and any challenge thereto remains uncertain. The rules were designed to ensure that all online content is treated the same by internet service providers and other companies that provide broadband services. Should the repeal of net neutrality rules take effect, we could incur greater operating expenses, which could harm our results of operations.</w:t>
      </w:r>
    </w:p>
    <w:p>
      <w:pPr>
        <w:spacing w:after="0" w:line="188"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8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results of operations, and financial condition could be materially and adversely affected as a result.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3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we have over 600 issued patents and more than 600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 source software could negatively affect our ability to offer and sell subscriptions to our platform and subject us to possible litigation.</w:t>
      </w:r>
    </w:p>
    <w:p>
      <w:pPr>
        <w:spacing w:after="0" w:line="24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7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software, services, or hardware that cause interruptions to the availability of our services, loss of data, or performance issues could, among other things:</w:t>
      </w:r>
    </w:p>
    <w:p>
      <w:pPr>
        <w:spacing w:after="0" w:line="181"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issue refunds to our users or expose us to claims for damages;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us to lose existing users and make it more difficult to attract new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17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Part of our business strategy is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adversely affect our business, results of operations, and financial condition. In addition, we may not successfully evaluate or utilize the acquired technology and accurately forecast the financial impact of an acquisition transaction, including accounting charges.</w:t>
      </w:r>
    </w:p>
    <w:p>
      <w:pPr>
        <w:spacing w:after="0" w:line="188"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significantly impacted by a change in the economy, including any resulting effect on consumer or business spending.</w:t>
      </w:r>
    </w:p>
    <w:p>
      <w:pPr>
        <w:spacing w:after="0" w:line="23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adversely impact our results of operations.</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88"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tax provision could also be impacted by changes in accounting principles, changes in U.S. federal, state, or international tax laws applicable to corporate multinationals such as the recent legislation enacted in the United States, United Kingdom and Australia, other fundamental law changes currently being considered by many countries, and changes in taxing jurisdictions’ administrative interpretations, decisions, policies, and positions. 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5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1"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December 31, 2017, we had $312.2 million of federal and $143.0 million of state net operating loss carryforwards available to reduce future taxable income, which will begin to expire in 2031 for federal and 2030 for state tax purposes. As of December 31, 2017, we also had $289.3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2017 and determined that no ownership changes exceeding 50 percentage points had occurred. Our ability to use net operating loss and tax credit carryforwards to reduce future taxable income and liabilities may be subject to annual limitations as a result of ownership changes from January 1, 2018 and subsequent years.</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70"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7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On December 22, 2017, the legislation commonly referred to as the Tax Cuts and Jobs Act ("2017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we do not currently anticipate that these changes will have a material impact on our consolidated financial statements. The impact of the 2017 Tax Reform Act will likely be subject to ongoing technical guidance and accounting interpretation, which we will continue to monitor and assess. Provisional accounting impacts may change in future reporting periods until the accounting analysis is finalized, which will occur no later than one year from the date the Tax Reform Act was enacted. As we expand the scale of our international business activities, any changes in the U.S. or foreign taxation of such activities may increase our worldwide effective tax rate and harm our business, results of operations, and financial condition.</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second annual report on Form 10-K.</w:t>
      </w:r>
    </w:p>
    <w:p>
      <w:pPr>
        <w:spacing w:after="0" w:line="169"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3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in May 2014, the FASB issued Accounting Standards Update, or ASU, No. 2014-09, Revenue from Contracts with Customers (Topic 606), or Topic 606, which superseded nearly all existing revenue recognition guidance. We adopted the requirements of Topic 606 as of January 1, 2017, utilizing the full retrospective method of transition. As such, Topic 606 is reflected in our financial results for all periods presented in this Quarterly Report on Form 10-Q. The adoption of Topic 606 primarily resulted in changes to our accounting policies for revenue recognition and deferred commissions, which we believe to be critical accounting policies. While the impact of adopting Topic 606 on our revenue was not material, it is difficult to predict the impact of future changes to accounting principles or our accounting policies, any of which could negatively affect our results of operations.</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recently implemented a new enterprise resource planning system, and if this new system proves ineffective or if we experience issues with the transition, we may be unable to timely or accurately prepare financial reports, make payments to our suppliers and employees, or invoice and collect from our users.</w:t>
      </w:r>
    </w:p>
    <w:p>
      <w:pPr>
        <w:spacing w:after="0" w:line="181"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2017, we implemented a new enterprise resource planning, or ERP, system, including our systems for tracking revenue recognition. Our ERP system is critical to our ability to accurately maintain books and records and to prepare our financial statements. The transition to our new ERP system may be disruptive to our business if the ERP system does not work as planned or if we experience issues relating to the implementation. Such disruptions could impact our ability to timely or accurately make payments to our suppliers and employees, and could also inhibit our ability to invoice, and collect from our users. Data integrity problems or other issues may be discovered which, if not corrected, could impact our business or financial results. In addition, we may experience periodic or prolonged disruption of our financial functions arising out of this conversion, general use of such system, other periodic upgrades or updates, or other external factors that are outside of our control. If we encounter unforeseen problems with our ERP system or other related systems and infrastructure,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1"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220"/>
        <w:spacing w:after="0" w:line="381"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01"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18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7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operations may be interrupted and our business, results of operations, and financial condition could be adversely affected if we default on our leasing or credit obligations.</w:t>
      </w:r>
    </w:p>
    <w:p>
      <w:pPr>
        <w:spacing w:after="0" w:line="17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finance a significant portion of our expenditures through leasing arrangements, some of which are not required to be reflected on our balance sheet, and we may enter into additional similar arrangements in the future. As of December 31, 2017, we had an aggregate of $1,687.0 million of commitments to settle contractual obligations. In particular, we have used these types of arrangements to finance some of our equipment and datacenters. In addition, we may draw upon our revolving credit facility to finance our operations or for other corporate purposes. If we default on these leasing or credit obligations, our leasing partners and lenders may, among other things:</w:t>
      </w:r>
    </w:p>
    <w:p>
      <w:pPr>
        <w:spacing w:after="0" w:line="188"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repayment of any outstanding lease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 our leasing arrangements;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 our access to the leased datacenters we utilize;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stop delivery of ordered equipment;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or require us to return our leased equipment;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repayment of any outstanding amounts drawn on our revolving credit facility;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terminate our revolving credit facility;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pay significant fees, penalties, or damages.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October 2017, we entered into a new lease agreement to rent office space in San Francisco, California, to serve as our new corporate headquarters. The total minimum obligations under this lease agreement are expected to be approximately $827.0 million. Before moving to our new corporate headquarters, we will continue to operate in our current corporate headquarters, during which time we will be incurring rent expense on both our current and new corporate headquarters. After moving to our new corporate headquarters, we plan to vacate our current corporate headquarters with the intention of subleasing the space to a third-party for the remainder of the lease term, which terminates in the third quarter of 2027. If we are unable to find sublessors for all or a portion of our current corporate headquarters, our results of operations will be adversely impacted as a result of this additional rent expense through 2027.</w:t>
      </w:r>
    </w:p>
    <w:p>
      <w:pPr>
        <w:spacing w:after="0" w:line="18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Historically, we have funded our operations and capital expenditures primarily through equity issuances, cash generated from our operations, and debt financing for capital purchases. Although we currently anticipate that our existing cash and cash equivalents,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225"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47"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25" w:lineRule="exact"/>
        <w:rPr>
          <w:rFonts w:ascii="Arial" w:cs="Arial" w:eastAsia="Arial" w:hAnsi="Arial"/>
          <w:sz w:val="18"/>
          <w:szCs w:val="18"/>
          <w:color w:val="auto"/>
        </w:rPr>
      </w:pPr>
    </w:p>
    <w:p>
      <w:pPr>
        <w:ind w:left="1300" w:right="64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 as well as the anticipation of lock-up releases;</w:t>
      </w:r>
    </w:p>
    <w:p>
      <w:pPr>
        <w:spacing w:after="0" w:line="225"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1"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of concentrating voting control with those stockholders who held our capital stock prior to the completion of our IPO, and it may depress the trading price of our Class A common stock.</w:t>
      </w:r>
    </w:p>
    <w:p>
      <w:pPr>
        <w:spacing w:after="0" w:line="170"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Our Class A common stock has one vote per share, our Class B common stock has ten votes per share, and our Class C common stock has no voting rights, except as otherwise required by law. Following our IPO and concurrent private placement, our directors, executive officers and holders of more than 5% of our common stock, and their respective affiliates, held in the aggregate 75.7% of the voting power of our capital stock (including the Co-Founder Grants and voting agreements that our co-founders entered into with certain of our stockholders that covered an aggregate of 6.9% of the voting power of our capital stock after our IPO). We are including the Co-Founder Grants in this calculation since they are legally issued and outstanding shares of our Class A common stock and our co-founders are able to vote these shares immediately upon grant and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6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87"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4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These policies are very new and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Because of the relatively small number of shares of our Class A common stock outstanding immediately after our IPO and the number of shares of Class A common stock held by our founders as a result of their RSAs, which shares have full voting rights, our co-founders will have significant influence over any vote of the Class A common stock voting as a separate class.</w:t>
      </w:r>
    </w:p>
    <w:p>
      <w:pPr>
        <w:spacing w:after="0" w:line="1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March 31, 2018 we had 68,693,863 shares of Class A common stock legally issued and outstanding. As a result, until the public float of our Class A common stock increases, which is expected to occur primarily as a result of conversion of shares of Class B common stock into shares of Class A common stock upon transfer, our co-founders will hold a significant percentage of the outstanding Class A common stock. Although the terms of our amended and restated certificate of incorporation only provide for a separate vote of the holders of the Class A common stock on matters occurring after the conversion of the Class B common stock as a class, under Delaware law, certain actions may require the approval of the holders of the Class A common stock voting as a separate class. For example, if we amend our amended and restated certificate of incorporation to adversely affect our Class A common stock, Delaware law could require approval of the holders of our Class A common stock voting separately as a single class. For any vote of the Class A common stock voting as a separate class, our co-founders will heavily influence such vote until the number of outstanding shares of Class A common stock significantly increases. Further, our co-founders will have the right to vote those shares until the termination of the award even if the performance targets have not been met or are not expected to be met. To the extent that the RSAs vest, our co-founders will have the ability to gain liquidity by selling shares of our Class A common stock without reducing their voting power by converting their Class B common stock.</w:t>
      </w:r>
    </w:p>
    <w:p>
      <w:pPr>
        <w:spacing w:after="0" w:line="18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A substantial portion of the outstanding shares of our Class A common stock and Class B common stock are restricted from immediate resale, but may be sold on a stock exchange in the near future. The large number of shares of our capital stock eligible for public sale or subject to rights requiring us to register them for public sale could depress the market price of our Class A common stock.</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in the market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 near future, and the perception that these sales could occur may also depress the market price of our Class A common stock. Our executive officers,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and the holders of substantially all of our capital stock and securities convertible into or exchangeable for our capital stock have entered into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standoff agreements with us or have entered into lock-up agreements with the underwriters of our IPO under which they have agreed, subject to specific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exceptions, not to sell any of our stock for 180 days following the date of the final prospectus used in connection with our IPO. We refer to such period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lock-up period. Pursuant to the lock-up agreements with the underwriters, if (i) at least 120 days have elapsed since the date of the final prospectus used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our IPO, (ii) we have publicly released our earnings results for the quarterly period during which our IPO occurred, and (iii) such lock-up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 is scheduled to end during or within five trading days prior to a broadly applicable period during which trading in our securities would not be permitted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our insider trading policy, or a blackout period, such lock-up period will end ten trading days prior to the commencement of such blackout period.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underwriters may release certain stockholders from the market standoff agreements or lock-up agreements prior to the end of the lock-up period.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Following the expiration of the market standoff and lock-up agreements referred to above, under our investors’ rights agreement, certain stockholders can require us to register shares owned by them for public sale in the United States. In addition, we filed a registration statement to register shares reserved for future issuance under our equity compensation plans. As a result, subject to the satisfaction of applicable exercise periods and the expiration or waiver of the market standoff agreements and lock-up agreements referred to above, the shares issued upon exercise of outstanding stock options or upon settlement of outstanding RSU awards will be available for immediate resale in the United States in the open market.</w:t>
      </w:r>
    </w:p>
    <w:p>
      <w:pPr>
        <w:spacing w:after="0" w:line="17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70" w:lineRule="exact"/>
        <w:rPr>
          <w:sz w:val="20"/>
          <w:szCs w:val="20"/>
          <w:color w:val="auto"/>
        </w:rPr>
      </w:pPr>
    </w:p>
    <w:p>
      <w:pPr>
        <w:ind w:right="300" w:firstLine="405"/>
        <w:spacing w:after="0" w:line="302"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54" w:lineRule="exact"/>
        <w:rPr>
          <w:sz w:val="20"/>
          <w:szCs w:val="20"/>
          <w:color w:val="auto"/>
        </w:rPr>
      </w:pPr>
    </w:p>
    <w:p>
      <w:pPr>
        <w:ind w:left="1300" w:right="48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70" w:lineRule="exact"/>
        <w:rPr>
          <w:rFonts w:ascii="Arial" w:cs="Arial" w:eastAsia="Arial" w:hAnsi="Arial"/>
          <w:sz w:val="18"/>
          <w:szCs w:val="18"/>
          <w:color w:val="auto"/>
        </w:rPr>
      </w:pPr>
    </w:p>
    <w:p>
      <w:pPr>
        <w:ind w:left="1300" w:right="80" w:hanging="320"/>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81" w:lineRule="exact"/>
        <w:rPr>
          <w:rFonts w:ascii="Arial" w:cs="Arial" w:eastAsia="Arial" w:hAnsi="Arial"/>
          <w:sz w:val="18"/>
          <w:szCs w:val="18"/>
          <w:color w:val="auto"/>
        </w:rPr>
      </w:pPr>
    </w:p>
    <w:p>
      <w:pPr>
        <w:jc w:val="both"/>
        <w:ind w:left="1300" w:right="40" w:hanging="320"/>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81" w:lineRule="exact"/>
        <w:rPr>
          <w:rFonts w:ascii="Arial" w:cs="Arial" w:eastAsia="Arial" w:hAnsi="Arial"/>
          <w:sz w:val="18"/>
          <w:szCs w:val="18"/>
          <w:color w:val="auto"/>
        </w:rPr>
      </w:pPr>
    </w:p>
    <w:p>
      <w:pPr>
        <w:ind w:left="1300" w:right="80" w:hanging="320"/>
        <w:spacing w:after="0" w:line="30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54" w:lineRule="exact"/>
        <w:rPr>
          <w:rFonts w:ascii="Arial" w:cs="Arial" w:eastAsia="Arial" w:hAnsi="Arial"/>
          <w:sz w:val="16"/>
          <w:szCs w:val="16"/>
          <w:color w:val="auto"/>
        </w:rPr>
      </w:pPr>
    </w:p>
    <w:p>
      <w:pPr>
        <w:ind w:left="1300" w:right="2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four amended and restated bylaws will provide that approval of stockholders holding two-thirds of our outstanding voting power voting as a single class is required for stockholders to amend or adopt any provision of our bylaws;</w:t>
      </w:r>
    </w:p>
    <w:p>
      <w:pPr>
        <w:spacing w:after="0" w:line="170"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the Voting Threshold Date our stockholders will only be able to take action at a meeting of stockholders, and will not be able to take action by written consent for any matter;</w:t>
      </w:r>
    </w:p>
    <w:p>
      <w:pPr>
        <w:spacing w:after="0" w:line="170" w:lineRule="exact"/>
        <w:rPr>
          <w:rFonts w:ascii="Arial" w:cs="Arial" w:eastAsia="Arial" w:hAnsi="Arial"/>
          <w:sz w:val="18"/>
          <w:szCs w:val="18"/>
          <w:color w:val="auto"/>
        </w:rPr>
      </w:pPr>
    </w:p>
    <w:p>
      <w:pPr>
        <w:ind w:left="1300" w:right="12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until the Voting Threshold Date, our stockholders will be able to act by written consent only if the action is first recommended or approved by the Board of Directors;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225" w:lineRule="exact"/>
        <w:rPr>
          <w:rFonts w:ascii="Arial" w:cs="Arial" w:eastAsia="Arial" w:hAnsi="Arial"/>
          <w:sz w:val="18"/>
          <w:szCs w:val="18"/>
          <w:color w:val="auto"/>
        </w:rPr>
      </w:pPr>
    </w:p>
    <w:p>
      <w:pPr>
        <w:ind w:left="1300" w:right="60" w:hanging="320"/>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our chairman of the Board of Directors, chief executive officer, a majority of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1300" w:right="6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70" w:lineRule="exact"/>
        <w:rPr>
          <w:rFonts w:ascii="Arial" w:cs="Arial" w:eastAsia="Arial" w:hAnsi="Arial"/>
          <w:sz w:val="18"/>
          <w:szCs w:val="18"/>
          <w:color w:val="auto"/>
        </w:rPr>
      </w:pPr>
    </w:p>
    <w:p>
      <w:pPr>
        <w:ind w:left="1300" w:right="48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70"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8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7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amended and restated bylaws also provide that the federal district courts of the United States of America will be the exclusive forum for resolving any complaint asserting a cause of action arising under the Securities Act.</w:t>
      </w:r>
    </w:p>
    <w:p>
      <w:pPr>
        <w:spacing w:after="0" w:line="170"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7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From January 1, 2018 through March 23, 2018 (the date of the filing of our registration statement on Form S-8), we granted to our directors, officers, employees, consultants and other service providers restricted stock units for an aggregate 11.0 million shares of common stock under our 2017 Plan.</w:t>
      </w:r>
    </w:p>
    <w:p>
      <w:pPr>
        <w:spacing w:after="0" w:line="12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From January 1, 2018 through March 23, 2018 (the date of the filing of our registration statement on Form S-8), we issued and sold to our employees, consultants, and other services providers an aggregate of 130,735 shares of Class B common stock upon the exercise of options issued under our 2008 Plan at exercises prices ranges from $4.28 to $25.23, for an aggregate exercise price of $0.8 million.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March 27, 2018, we sold 4,761,905 shares of our Class A common stock to Salesforce Ventures LLC in a concurrent private placement with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21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Class A Common Stock and Concurrent Private Placement</w:t>
      </w:r>
    </w:p>
    <w:p>
      <w:pPr>
        <w:spacing w:after="0" w:line="229"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On March 27, 2018, we closed our IPO, in which we sold 26,822,409 shares of our Class A common stock at a price to the public of $21.00 per share. Immediately subsequent to the closing of our IPO, Salesforce Ventures LLC purchased 4,761,905 shares of our Class A common stock from us at $21.00 per share. The offer and sale of the shares in the IPO were registered under the Securities Act pursuant to a registration statement on Form S-1 (File No. 333-223182), which was declared effective by the SEC on March 22, 2018. We raised $638.2 million in net proceeds after deducting underwriters’ discounts and commissions of $25.1 million and before deducting offering expenses of approximately $6.9 million, net of reimbursements. We utilized a portion of the net proceeds to satisfy our tax withholding and remittance obligations related to the RSU settlement. Additionally, we utilized a portion of the net proceeds to purchase investment grade, interest bearing instruments pursuant to the investment policy approved by our board of directors. We also intend to use the net proceeds we received from our IPO and the concurrent private placement for general corporate purposes, including working capital, operating expenses, and capital expenditures. Additionally, we may use a portion of the net proceeds we received from our IPO and the concurrent private placement to acquire businesses, products, services, or technologies. The managing underwriters of our IPO were Goldman, Sachs &amp; Co. LLC and J.P. Morgan Securities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We have filed the exhibits listed on the accompanying Exhibit Index, which is incorporated herein by reference.</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19"/>
          </w:cols>
          <w:pgMar w:left="240" w:top="121"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gridSpan w:val="14"/>
          </w:tcPr>
          <w:p>
            <w:pPr>
              <w:ind w:left="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6"/>
        </w:trPr>
        <w:tc>
          <w:tcPr>
            <w:tcW w:w="10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60" w:type="dxa"/>
            <w:vAlign w:val="bottom"/>
            <w:gridSpan w:val="18"/>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18"/>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14"/>
                <w:szCs w:val="14"/>
                <w:color w:val="auto"/>
              </w:rPr>
            </w:pPr>
          </w:p>
        </w:tc>
        <w:tc>
          <w:tcPr>
            <w:tcW w:w="5340" w:type="dxa"/>
            <w:vAlign w:val="bottom"/>
            <w:gridSpan w:val="21"/>
          </w:tcPr>
          <w:p>
            <w:pPr>
              <w:spacing w:after="0"/>
              <w:rPr>
                <w:rFonts w:ascii="Arial" w:cs="Arial" w:eastAsia="Arial" w:hAnsi="Arial"/>
                <w:sz w:val="14"/>
                <w:szCs w:val="14"/>
                <w:color w:val="0000FF"/>
                <w:w w:val="98"/>
              </w:rPr>
            </w:pPr>
            <w:hyperlink r:id="rId34">
              <w:r>
                <w:rPr>
                  <w:rFonts w:ascii="Arial" w:cs="Arial" w:eastAsia="Arial" w:hAnsi="Arial"/>
                  <w:sz w:val="14"/>
                  <w:szCs w:val="14"/>
                  <w:color w:val="0000FF"/>
                  <w:w w:val="98"/>
                </w:rPr>
                <w:t>Certificate of Amendment to the Restated Certificate of Incorporation, as filed on March</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Borders>
              <w:top w:val="single" w:sz="8" w:color="0000FF"/>
            </w:tcBorders>
            <w:gridSpan w:val="2"/>
          </w:tcPr>
          <w:p>
            <w:pPr>
              <w:spacing w:after="0" w:line="129" w:lineRule="exact"/>
              <w:rPr>
                <w:rFonts w:ascii="Arial" w:cs="Arial" w:eastAsia="Arial" w:hAnsi="Arial"/>
                <w:sz w:val="14"/>
                <w:szCs w:val="14"/>
                <w:color w:val="0000FF"/>
              </w:rPr>
            </w:pPr>
            <w:hyperlink r:id="rId34">
              <w:r>
                <w:rPr>
                  <w:rFonts w:ascii="Arial" w:cs="Arial" w:eastAsia="Arial" w:hAnsi="Arial"/>
                  <w:sz w:val="14"/>
                  <w:szCs w:val="14"/>
                  <w:color w:val="0000FF"/>
                </w:rPr>
                <w:t>7, 2018.</w:t>
              </w:r>
            </w:hyperlink>
          </w:p>
        </w:tc>
        <w:tc>
          <w:tcPr>
            <w:tcW w:w="176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4"/>
                <w:szCs w:val="14"/>
                <w:color w:val="auto"/>
              </w:rPr>
              <w:t>3.2</w:t>
            </w: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0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8"/>
            <w:vMerge w:val="restart"/>
          </w:tcPr>
          <w:p>
            <w:pPr>
              <w:spacing w:after="0"/>
              <w:rPr>
                <w:rFonts w:ascii="Arial" w:cs="Arial" w:eastAsia="Arial" w:hAnsi="Arial"/>
                <w:sz w:val="14"/>
                <w:szCs w:val="14"/>
                <w:color w:val="0000FF"/>
                <w:w w:val="93"/>
              </w:rPr>
            </w:pPr>
            <w:hyperlink w:anchor="page79">
              <w:r>
                <w:rPr>
                  <w:rFonts w:ascii="Arial" w:cs="Arial" w:eastAsia="Arial" w:hAnsi="Arial"/>
                  <w:sz w:val="14"/>
                  <w:szCs w:val="14"/>
                  <w:color w:val="0000FF"/>
                  <w:w w:val="93"/>
                </w:rPr>
                <w:t>Amended and Restated Certificate of Incorporation of the Registrant.</w:t>
              </w:r>
            </w:hyperlink>
          </w:p>
        </w:tc>
        <w:tc>
          <w:tcPr>
            <w:tcW w:w="1340" w:type="dxa"/>
            <w:vAlign w:val="bottom"/>
            <w:gridSpan w:val="1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0" w:type="dxa"/>
            <w:vAlign w:val="bottom"/>
            <w:tcBorders>
              <w:bottom w:val="single" w:sz="8" w:color="0000FF"/>
            </w:tcBorders>
            <w:gridSpan w:val="8"/>
            <w:vMerge w:val="continue"/>
          </w:tcPr>
          <w:p>
            <w:pPr>
              <w:spacing w:after="0"/>
              <w:rPr>
                <w:sz w:val="3"/>
                <w:szCs w:val="3"/>
                <w:color w:val="auto"/>
              </w:rPr>
            </w:pPr>
          </w:p>
        </w:tc>
        <w:tc>
          <w:tcPr>
            <w:tcW w:w="134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5"/>
        </w:trPr>
        <w:tc>
          <w:tcPr>
            <w:tcW w:w="1000" w:type="dxa"/>
            <w:vAlign w:val="bottom"/>
          </w:tcPr>
          <w:p>
            <w:pPr>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24"/>
                <w:szCs w:val="24"/>
                <w:color w:val="auto"/>
              </w:rPr>
            </w:pPr>
          </w:p>
        </w:tc>
        <w:tc>
          <w:tcPr>
            <w:tcW w:w="5340" w:type="dxa"/>
            <w:vAlign w:val="bottom"/>
            <w:gridSpan w:val="21"/>
            <w:vMerge w:val="restart"/>
          </w:tcPr>
          <w:p>
            <w:pPr>
              <w:spacing w:after="0"/>
              <w:rPr>
                <w:rFonts w:ascii="Arial" w:cs="Arial" w:eastAsia="Arial" w:hAnsi="Arial"/>
                <w:sz w:val="14"/>
                <w:szCs w:val="14"/>
                <w:color w:val="0000FF"/>
              </w:rPr>
            </w:pPr>
            <w:hyperlink w:anchor="page96">
              <w:r>
                <w:rPr>
                  <w:rFonts w:ascii="Arial" w:cs="Arial" w:eastAsia="Arial" w:hAnsi="Arial"/>
                  <w:sz w:val="14"/>
                  <w:szCs w:val="14"/>
                  <w:color w:val="0000FF"/>
                </w:rPr>
                <w:t>Amended and Restated Bylaws of the Registrant.</w:t>
              </w:r>
            </w:hyperlink>
          </w:p>
        </w:tc>
        <w:tc>
          <w:tcPr>
            <w:tcW w:w="0" w:type="dxa"/>
            <w:vAlign w:val="bottom"/>
          </w:tcPr>
          <w:p>
            <w:pPr>
              <w:spacing w:after="0"/>
              <w:rPr>
                <w:sz w:val="1"/>
                <w:szCs w:val="1"/>
                <w:color w:val="auto"/>
              </w:rPr>
            </w:pPr>
          </w:p>
        </w:tc>
      </w:tr>
      <w:tr>
        <w:trPr>
          <w:trHeight w:val="39"/>
        </w:trPr>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5340" w:type="dxa"/>
            <w:vAlign w:val="bottom"/>
            <w:gridSpan w:val="21"/>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4"/>
                <w:szCs w:val="14"/>
                <w:color w:val="auto"/>
              </w:rPr>
              <w:t>4.1</w:t>
            </w: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0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gridSpan w:val="5"/>
            <w:vMerge w:val="restart"/>
          </w:tcPr>
          <w:p>
            <w:pPr>
              <w:spacing w:after="0"/>
              <w:rPr>
                <w:rFonts w:ascii="Arial" w:cs="Arial" w:eastAsia="Arial" w:hAnsi="Arial"/>
                <w:sz w:val="14"/>
                <w:szCs w:val="14"/>
                <w:color w:val="0000FF"/>
                <w:w w:val="93"/>
              </w:rPr>
            </w:pPr>
            <w:hyperlink r:id="rId35">
              <w:r>
                <w:rPr>
                  <w:rFonts w:ascii="Arial" w:cs="Arial" w:eastAsia="Arial" w:hAnsi="Arial"/>
                  <w:sz w:val="14"/>
                  <w:szCs w:val="14"/>
                  <w:color w:val="0000FF"/>
                  <w:w w:val="93"/>
                </w:rPr>
                <w:t>Form of Class A common stock certificate of the Registrant.</w:t>
              </w:r>
            </w:hyperlink>
          </w:p>
        </w:tc>
        <w:tc>
          <w:tcPr>
            <w:tcW w:w="1860" w:type="dxa"/>
            <w:vAlign w:val="bottom"/>
            <w:gridSpan w:val="1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tcBorders>
              <w:bottom w:val="single" w:sz="8" w:color="0000FF"/>
            </w:tcBorders>
            <w:gridSpan w:val="5"/>
            <w:vMerge w:val="continue"/>
          </w:tcPr>
          <w:p>
            <w:pPr>
              <w:spacing w:after="0"/>
              <w:rPr>
                <w:sz w:val="3"/>
                <w:szCs w:val="3"/>
                <w:color w:val="auto"/>
              </w:rPr>
            </w:pPr>
          </w:p>
        </w:tc>
        <w:tc>
          <w:tcPr>
            <w:tcW w:w="186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7"/>
        </w:trPr>
        <w:tc>
          <w:tcPr>
            <w:tcW w:w="1000" w:type="dxa"/>
            <w:vAlign w:val="bottom"/>
          </w:tcPr>
          <w:p>
            <w:pPr>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4"/>
                <w:szCs w:val="14"/>
                <w:color w:val="0000FF"/>
                <w:w w:val="98"/>
              </w:rPr>
            </w:pPr>
            <w:hyperlink r:id="rId36">
              <w:r>
                <w:rPr>
                  <w:rFonts w:ascii="Arial" w:cs="Arial" w:eastAsia="Arial" w:hAnsi="Arial"/>
                  <w:sz w:val="14"/>
                  <w:szCs w:val="14"/>
                  <w:color w:val="0000FF"/>
                  <w:w w:val="98"/>
                </w:rPr>
                <w:t>Amended and Restated Investors’ Rights Agreement among the Registrant and certain</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18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36">
              <w:r>
                <w:rPr>
                  <w:rFonts w:ascii="Arial" w:cs="Arial" w:eastAsia="Arial" w:hAnsi="Arial"/>
                  <w:sz w:val="14"/>
                  <w:szCs w:val="14"/>
                  <w:color w:val="0000FF"/>
                </w:rPr>
                <w:t>holders of its capital stock, dated as of January 30, 2014, as amended.</w:t>
              </w:r>
            </w:hyperlink>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00" w:type="dxa"/>
            <w:vAlign w:val="bottom"/>
          </w:tcPr>
          <w:p>
            <w:pPr>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4"/>
                <w:szCs w:val="14"/>
                <w:color w:val="0000FF"/>
                <w:w w:val="96"/>
              </w:rPr>
            </w:pPr>
            <w:hyperlink w:anchor="page123">
              <w:r>
                <w:rPr>
                  <w:rFonts w:ascii="Arial" w:cs="Arial" w:eastAsia="Arial" w:hAnsi="Arial"/>
                  <w:sz w:val="14"/>
                  <w:szCs w:val="14"/>
                  <w:color w:val="0000FF"/>
                  <w:w w:val="96"/>
                </w:rPr>
                <w:t>Amendment No. 2 to the Amended and Restated Investors’ Rights Agreement among the</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w:anchor="page123">
              <w:r>
                <w:rPr>
                  <w:rFonts w:ascii="Arial" w:cs="Arial" w:eastAsia="Arial" w:hAnsi="Arial"/>
                  <w:sz w:val="14"/>
                  <w:szCs w:val="14"/>
                  <w:color w:val="0000FF"/>
                </w:rPr>
                <w:t>Registrant and certain holders of its capital stock, dated as of March 27, 2018.</w:t>
              </w:r>
            </w:hyperlink>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000" w:type="dxa"/>
            <w:vAlign w:val="bottom"/>
          </w:tcPr>
          <w:p>
            <w:pPr>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4"/>
                <w:szCs w:val="14"/>
                <w:color w:val="0000FF"/>
                <w:w w:val="97"/>
              </w:rPr>
            </w:pPr>
            <w:hyperlink r:id="rId37">
              <w:r>
                <w:rPr>
                  <w:rFonts w:ascii="Arial" w:cs="Arial" w:eastAsia="Arial" w:hAnsi="Arial"/>
                  <w:sz w:val="14"/>
                  <w:szCs w:val="14"/>
                  <w:color w:val="0000FF"/>
                  <w:w w:val="97"/>
                </w:rPr>
                <w:t>Form of Indemnification Agreement between the Registrant and each of its directors and</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2"/>
              </w:rPr>
            </w:pPr>
            <w:hyperlink r:id="rId37">
              <w:r>
                <w:rPr>
                  <w:rFonts w:ascii="Arial" w:cs="Arial" w:eastAsia="Arial" w:hAnsi="Arial"/>
                  <w:sz w:val="14"/>
                  <w:szCs w:val="14"/>
                  <w:color w:val="0000FF"/>
                  <w:w w:val="92"/>
                </w:rPr>
                <w:t>executive officers.</w:t>
              </w:r>
            </w:hyperlink>
          </w:p>
        </w:tc>
        <w:tc>
          <w:tcPr>
            <w:tcW w:w="404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1000" w:type="dxa"/>
            <w:vAlign w:val="bottom"/>
          </w:tcPr>
          <w:p>
            <w:pPr>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24"/>
                <w:szCs w:val="24"/>
                <w:color w:val="auto"/>
              </w:rPr>
            </w:pPr>
          </w:p>
        </w:tc>
        <w:tc>
          <w:tcPr>
            <w:tcW w:w="4120" w:type="dxa"/>
            <w:vAlign w:val="bottom"/>
            <w:gridSpan w:val="9"/>
            <w:vMerge w:val="restart"/>
          </w:tcPr>
          <w:p>
            <w:pPr>
              <w:spacing w:after="0"/>
              <w:rPr>
                <w:rFonts w:ascii="Arial" w:cs="Arial" w:eastAsia="Arial" w:hAnsi="Arial"/>
                <w:sz w:val="14"/>
                <w:szCs w:val="14"/>
                <w:color w:val="0000FF"/>
                <w:w w:val="93"/>
              </w:rPr>
            </w:pPr>
            <w:hyperlink r:id="rId38">
              <w:r>
                <w:rPr>
                  <w:rFonts w:ascii="Arial" w:cs="Arial" w:eastAsia="Arial" w:hAnsi="Arial"/>
                  <w:sz w:val="14"/>
                  <w:szCs w:val="14"/>
                  <w:color w:val="0000FF"/>
                  <w:w w:val="93"/>
                </w:rPr>
                <w:t>Dropbox, Inc. 2018 Equity Incentive Plan and related form agreements.</w:t>
              </w:r>
            </w:hyperlink>
          </w:p>
        </w:tc>
        <w:tc>
          <w:tcPr>
            <w:tcW w:w="1220" w:type="dxa"/>
            <w:vAlign w:val="bottom"/>
            <w:gridSpan w:val="1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120" w:type="dxa"/>
            <w:vAlign w:val="bottom"/>
            <w:tcBorders>
              <w:bottom w:val="single" w:sz="8" w:color="0000FF"/>
            </w:tcBorders>
            <w:gridSpan w:val="9"/>
            <w:vMerge w:val="continue"/>
          </w:tcPr>
          <w:p>
            <w:pPr>
              <w:spacing w:after="0"/>
              <w:rPr>
                <w:sz w:val="3"/>
                <w:szCs w:val="3"/>
                <w:color w:val="auto"/>
              </w:rPr>
            </w:pPr>
          </w:p>
        </w:tc>
        <w:tc>
          <w:tcPr>
            <w:tcW w:w="122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5"/>
        </w:trPr>
        <w:tc>
          <w:tcPr>
            <w:tcW w:w="1000" w:type="dxa"/>
            <w:vAlign w:val="bottom"/>
          </w:tcPr>
          <w:p>
            <w:pPr>
              <w:spacing w:after="0"/>
              <w:rPr>
                <w:sz w:val="20"/>
                <w:szCs w:val="20"/>
                <w:color w:val="auto"/>
              </w:rPr>
            </w:pPr>
            <w:r>
              <w:rPr>
                <w:rFonts w:ascii="Arial" w:cs="Arial" w:eastAsia="Arial" w:hAnsi="Arial"/>
                <w:sz w:val="14"/>
                <w:szCs w:val="14"/>
                <w:color w:val="auto"/>
              </w:rPr>
              <w:t>10.3+</w:t>
            </w:r>
          </w:p>
        </w:tc>
        <w:tc>
          <w:tcPr>
            <w:tcW w:w="40" w:type="dxa"/>
            <w:vAlign w:val="bottom"/>
          </w:tcPr>
          <w:p>
            <w:pPr>
              <w:spacing w:after="0"/>
              <w:rPr>
                <w:sz w:val="24"/>
                <w:szCs w:val="24"/>
                <w:color w:val="auto"/>
              </w:rPr>
            </w:pPr>
          </w:p>
        </w:tc>
        <w:tc>
          <w:tcPr>
            <w:tcW w:w="5340" w:type="dxa"/>
            <w:vAlign w:val="bottom"/>
            <w:gridSpan w:val="21"/>
            <w:vMerge w:val="restart"/>
          </w:tcPr>
          <w:p>
            <w:pPr>
              <w:spacing w:after="0"/>
              <w:rPr>
                <w:rFonts w:ascii="Arial" w:cs="Arial" w:eastAsia="Arial" w:hAnsi="Arial"/>
                <w:sz w:val="14"/>
                <w:szCs w:val="14"/>
                <w:color w:val="0000FF"/>
              </w:rPr>
            </w:pPr>
            <w:hyperlink r:id="rId39">
              <w:r>
                <w:rPr>
                  <w:rFonts w:ascii="Arial" w:cs="Arial" w:eastAsia="Arial" w:hAnsi="Arial"/>
                  <w:sz w:val="14"/>
                  <w:szCs w:val="14"/>
                  <w:color w:val="0000FF"/>
                </w:rPr>
                <w:t>Dropbox, Inc. 2018 Employee Stock Purchase Plan and related form agreements.</w:t>
              </w:r>
            </w:hyperlink>
          </w:p>
        </w:tc>
        <w:tc>
          <w:tcPr>
            <w:tcW w:w="0" w:type="dxa"/>
            <w:vAlign w:val="bottom"/>
          </w:tcPr>
          <w:p>
            <w:pPr>
              <w:spacing w:after="0"/>
              <w:rPr>
                <w:sz w:val="1"/>
                <w:szCs w:val="1"/>
                <w:color w:val="auto"/>
              </w:rPr>
            </w:pPr>
          </w:p>
        </w:tc>
      </w:tr>
      <w:tr>
        <w:trPr>
          <w:trHeight w:val="39"/>
        </w:trPr>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5340" w:type="dxa"/>
            <w:vAlign w:val="bottom"/>
            <w:gridSpan w:val="2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5"/>
        </w:trPr>
        <w:tc>
          <w:tcPr>
            <w:tcW w:w="1000" w:type="dxa"/>
            <w:vAlign w:val="bottom"/>
          </w:tcPr>
          <w:p>
            <w:pPr>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24"/>
                <w:szCs w:val="24"/>
                <w:color w:val="auto"/>
              </w:rPr>
            </w:pPr>
          </w:p>
        </w:tc>
        <w:tc>
          <w:tcPr>
            <w:tcW w:w="4660" w:type="dxa"/>
            <w:vAlign w:val="bottom"/>
            <w:tcBorders>
              <w:top w:val="single" w:sz="8" w:color="0000FF"/>
            </w:tcBorders>
            <w:gridSpan w:val="12"/>
            <w:vMerge w:val="restart"/>
          </w:tcPr>
          <w:p>
            <w:pPr>
              <w:spacing w:after="0"/>
              <w:rPr>
                <w:rFonts w:ascii="Arial" w:cs="Arial" w:eastAsia="Arial" w:hAnsi="Arial"/>
                <w:sz w:val="14"/>
                <w:szCs w:val="14"/>
                <w:color w:val="0000FF"/>
                <w:w w:val="94"/>
              </w:rPr>
            </w:pPr>
            <w:hyperlink r:id="rId40">
              <w:r>
                <w:rPr>
                  <w:rFonts w:ascii="Arial" w:cs="Arial" w:eastAsia="Arial" w:hAnsi="Arial"/>
                  <w:sz w:val="14"/>
                  <w:szCs w:val="14"/>
                  <w:color w:val="0000FF"/>
                  <w:w w:val="94"/>
                </w:rPr>
                <w:t>Dropbox, Inc. 2018 Class C Stock Incentive Plan and related form agreements.</w:t>
              </w:r>
            </w:hyperlink>
          </w:p>
        </w:tc>
        <w:tc>
          <w:tcPr>
            <w:tcW w:w="68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60" w:type="dxa"/>
            <w:vAlign w:val="bottom"/>
            <w:gridSpan w:val="12"/>
            <w:vMerge w:val="continue"/>
          </w:tcPr>
          <w:p>
            <w:pPr>
              <w:spacing w:after="0"/>
              <w:rPr>
                <w:sz w:val="3"/>
                <w:szCs w:val="3"/>
                <w:color w:val="auto"/>
              </w:rPr>
            </w:pPr>
          </w:p>
        </w:tc>
        <w:tc>
          <w:tcPr>
            <w:tcW w:w="68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4"/>
                <w:szCs w:val="14"/>
                <w:color w:val="auto"/>
              </w:rPr>
              <w:t>10.5+</w:t>
            </w: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0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17"/>
            <w:vMerge w:val="restart"/>
          </w:tcPr>
          <w:p>
            <w:pPr>
              <w:spacing w:after="0"/>
              <w:rPr>
                <w:rFonts w:ascii="Arial" w:cs="Arial" w:eastAsia="Arial" w:hAnsi="Arial"/>
                <w:sz w:val="14"/>
                <w:szCs w:val="14"/>
                <w:color w:val="0000FF"/>
                <w:w w:val="91"/>
              </w:rPr>
            </w:pPr>
            <w:hyperlink r:id="rId41">
              <w:r>
                <w:rPr>
                  <w:rFonts w:ascii="Arial" w:cs="Arial" w:eastAsia="Arial" w:hAnsi="Arial"/>
                  <w:sz w:val="14"/>
                  <w:szCs w:val="14"/>
                  <w:color w:val="0000FF"/>
                  <w:w w:val="91"/>
                </w:rPr>
                <w:t>Dropbox, Inc. 2018 Class C Employee Stock Purchase Plan and related form agreements.</w:t>
              </w:r>
            </w:hyperlink>
          </w:p>
        </w:tc>
        <w:tc>
          <w:tcPr>
            <w:tcW w:w="18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5160" w:type="dxa"/>
            <w:vAlign w:val="bottom"/>
            <w:tcBorders>
              <w:bottom w:val="single" w:sz="8" w:color="0000FF"/>
            </w:tcBorders>
            <w:gridSpan w:val="17"/>
            <w:vMerge w:val="continue"/>
          </w:tcPr>
          <w:p>
            <w:pPr>
              <w:spacing w:after="0"/>
              <w:rPr>
                <w:sz w:val="3"/>
                <w:szCs w:val="3"/>
                <w:color w:val="auto"/>
              </w:rPr>
            </w:pPr>
          </w:p>
        </w:tc>
        <w:tc>
          <w:tcPr>
            <w:tcW w:w="1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5"/>
        </w:trPr>
        <w:tc>
          <w:tcPr>
            <w:tcW w:w="1000" w:type="dxa"/>
            <w:vAlign w:val="bottom"/>
          </w:tcPr>
          <w:p>
            <w:pPr>
              <w:spacing w:after="0"/>
              <w:rPr>
                <w:sz w:val="20"/>
                <w:szCs w:val="20"/>
                <w:color w:val="auto"/>
              </w:rPr>
            </w:pPr>
            <w:r>
              <w:rPr>
                <w:rFonts w:ascii="Arial" w:cs="Arial" w:eastAsia="Arial" w:hAnsi="Arial"/>
                <w:sz w:val="14"/>
                <w:szCs w:val="14"/>
                <w:color w:val="auto"/>
              </w:rPr>
              <w:t>10.6+</w:t>
            </w:r>
          </w:p>
        </w:tc>
        <w:tc>
          <w:tcPr>
            <w:tcW w:w="40" w:type="dxa"/>
            <w:vAlign w:val="bottom"/>
          </w:tcPr>
          <w:p>
            <w:pPr>
              <w:spacing w:after="0"/>
              <w:rPr>
                <w:sz w:val="24"/>
                <w:szCs w:val="24"/>
                <w:color w:val="auto"/>
              </w:rPr>
            </w:pPr>
          </w:p>
        </w:tc>
        <w:tc>
          <w:tcPr>
            <w:tcW w:w="5340" w:type="dxa"/>
            <w:vAlign w:val="bottom"/>
            <w:gridSpan w:val="21"/>
            <w:vMerge w:val="restart"/>
          </w:tcPr>
          <w:p>
            <w:pPr>
              <w:spacing w:after="0"/>
              <w:rPr>
                <w:rFonts w:ascii="Arial" w:cs="Arial" w:eastAsia="Arial" w:hAnsi="Arial"/>
                <w:sz w:val="14"/>
                <w:szCs w:val="14"/>
                <w:color w:val="0000FF"/>
              </w:rPr>
            </w:pPr>
            <w:hyperlink r:id="rId42">
              <w:r>
                <w:rPr>
                  <w:rFonts w:ascii="Arial" w:cs="Arial" w:eastAsia="Arial" w:hAnsi="Arial"/>
                  <w:sz w:val="14"/>
                  <w:szCs w:val="14"/>
                  <w:color w:val="0000FF"/>
                </w:rPr>
                <w:t>Dropbox, Inc. Amended and Restated Cash Bonus Plan.</w:t>
              </w:r>
            </w:hyperlink>
          </w:p>
        </w:tc>
        <w:tc>
          <w:tcPr>
            <w:tcW w:w="0" w:type="dxa"/>
            <w:vAlign w:val="bottom"/>
          </w:tcPr>
          <w:p>
            <w:pPr>
              <w:spacing w:after="0"/>
              <w:rPr>
                <w:sz w:val="1"/>
                <w:szCs w:val="1"/>
                <w:color w:val="auto"/>
              </w:rPr>
            </w:pPr>
          </w:p>
        </w:tc>
      </w:tr>
      <w:tr>
        <w:trPr>
          <w:trHeight w:val="39"/>
        </w:trPr>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5340" w:type="dxa"/>
            <w:vAlign w:val="bottom"/>
            <w:gridSpan w:val="21"/>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00" w:type="dxa"/>
            <w:vAlign w:val="bottom"/>
          </w:tcPr>
          <w:p>
            <w:pPr>
              <w:spacing w:after="0"/>
              <w:rPr>
                <w:sz w:val="20"/>
                <w:szCs w:val="20"/>
                <w:color w:val="auto"/>
              </w:rPr>
            </w:pPr>
            <w:r>
              <w:rPr>
                <w:rFonts w:ascii="Arial" w:cs="Arial" w:eastAsia="Arial" w:hAnsi="Arial"/>
                <w:sz w:val="14"/>
                <w:szCs w:val="14"/>
                <w:color w:val="auto"/>
              </w:rPr>
              <w:t>10.7+</w:t>
            </w:r>
          </w:p>
        </w:tc>
        <w:tc>
          <w:tcPr>
            <w:tcW w:w="4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4"/>
                <w:szCs w:val="14"/>
                <w:color w:val="0000FF"/>
                <w:w w:val="95"/>
              </w:rPr>
            </w:pPr>
            <w:hyperlink r:id="rId43">
              <w:r>
                <w:rPr>
                  <w:rFonts w:ascii="Arial" w:cs="Arial" w:eastAsia="Arial" w:hAnsi="Arial"/>
                  <w:sz w:val="14"/>
                  <w:szCs w:val="14"/>
                  <w:color w:val="0000FF"/>
                  <w:w w:val="95"/>
                </w:rPr>
                <w:t>Form of Change of Control and Severance Agreement between the Registrant and certain</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2"/>
              </w:rPr>
            </w:pPr>
            <w:hyperlink r:id="rId43">
              <w:r>
                <w:rPr>
                  <w:rFonts w:ascii="Arial" w:cs="Arial" w:eastAsia="Arial" w:hAnsi="Arial"/>
                  <w:sz w:val="14"/>
                  <w:szCs w:val="14"/>
                  <w:color w:val="0000FF"/>
                  <w:w w:val="92"/>
                </w:rPr>
                <w:t>executive officers.</w:t>
              </w:r>
            </w:hyperlink>
          </w:p>
        </w:tc>
        <w:tc>
          <w:tcPr>
            <w:tcW w:w="4080" w:type="dxa"/>
            <w:vAlign w:val="bottom"/>
            <w:tcBorders>
              <w:top w:val="single" w:sz="8" w:color="0000FF"/>
            </w:tcBorders>
            <w:gridSpan w:val="14"/>
          </w:tcPr>
          <w:p>
            <w:pPr>
              <w:spacing w:after="0"/>
              <w:rPr>
                <w:sz w:val="11"/>
                <w:szCs w:val="11"/>
                <w:color w:val="auto"/>
              </w:rPr>
            </w:pPr>
          </w:p>
        </w:tc>
        <w:tc>
          <w:tcPr>
            <w:tcW w:w="2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1000" w:type="dxa"/>
            <w:vAlign w:val="bottom"/>
          </w:tcPr>
          <w:p>
            <w:pPr>
              <w:spacing w:after="0"/>
              <w:rPr>
                <w:sz w:val="20"/>
                <w:szCs w:val="20"/>
                <w:color w:val="auto"/>
              </w:rPr>
            </w:pPr>
            <w:r>
              <w:rPr>
                <w:rFonts w:ascii="Arial" w:cs="Arial" w:eastAsia="Arial" w:hAnsi="Arial"/>
                <w:sz w:val="14"/>
                <w:szCs w:val="14"/>
                <w:color w:val="auto"/>
              </w:rPr>
              <w:t>10.8+</w:t>
            </w:r>
          </w:p>
        </w:tc>
        <w:tc>
          <w:tcPr>
            <w:tcW w:w="40" w:type="dxa"/>
            <w:vAlign w:val="bottom"/>
          </w:tcPr>
          <w:p>
            <w:pPr>
              <w:spacing w:after="0"/>
              <w:rPr>
                <w:sz w:val="24"/>
                <w:szCs w:val="24"/>
                <w:color w:val="auto"/>
              </w:rPr>
            </w:pPr>
          </w:p>
        </w:tc>
        <w:tc>
          <w:tcPr>
            <w:tcW w:w="4000" w:type="dxa"/>
            <w:vAlign w:val="bottom"/>
            <w:gridSpan w:val="8"/>
            <w:vMerge w:val="restart"/>
          </w:tcPr>
          <w:p>
            <w:pPr>
              <w:spacing w:after="0"/>
              <w:rPr>
                <w:rFonts w:ascii="Arial" w:cs="Arial" w:eastAsia="Arial" w:hAnsi="Arial"/>
                <w:sz w:val="14"/>
                <w:szCs w:val="14"/>
                <w:color w:val="0000FF"/>
                <w:w w:val="93"/>
              </w:rPr>
            </w:pPr>
            <w:hyperlink r:id="rId44">
              <w:r>
                <w:rPr>
                  <w:rFonts w:ascii="Arial" w:cs="Arial" w:eastAsia="Arial" w:hAnsi="Arial"/>
                  <w:sz w:val="14"/>
                  <w:szCs w:val="14"/>
                  <w:color w:val="0000FF"/>
                  <w:w w:val="93"/>
                </w:rPr>
                <w:t>Employment Letter between the Registrant and Andrew W. Houston.</w:t>
              </w:r>
            </w:hyperlink>
          </w:p>
        </w:tc>
        <w:tc>
          <w:tcPr>
            <w:tcW w:w="1340" w:type="dxa"/>
            <w:vAlign w:val="bottom"/>
            <w:gridSpan w:val="1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0" w:type="dxa"/>
            <w:vAlign w:val="bottom"/>
            <w:tcBorders>
              <w:bottom w:val="single" w:sz="8" w:color="0000FF"/>
            </w:tcBorders>
            <w:gridSpan w:val="8"/>
            <w:vMerge w:val="continue"/>
          </w:tcPr>
          <w:p>
            <w:pPr>
              <w:spacing w:after="0"/>
              <w:rPr>
                <w:sz w:val="3"/>
                <w:szCs w:val="3"/>
                <w:color w:val="auto"/>
              </w:rPr>
            </w:pPr>
          </w:p>
        </w:tc>
        <w:tc>
          <w:tcPr>
            <w:tcW w:w="134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5"/>
        </w:trPr>
        <w:tc>
          <w:tcPr>
            <w:tcW w:w="1000" w:type="dxa"/>
            <w:vAlign w:val="bottom"/>
          </w:tcPr>
          <w:p>
            <w:pPr>
              <w:spacing w:after="0"/>
              <w:rPr>
                <w:sz w:val="20"/>
                <w:szCs w:val="20"/>
                <w:color w:val="auto"/>
              </w:rPr>
            </w:pPr>
            <w:r>
              <w:rPr>
                <w:rFonts w:ascii="Arial" w:cs="Arial" w:eastAsia="Arial" w:hAnsi="Arial"/>
                <w:sz w:val="14"/>
                <w:szCs w:val="14"/>
                <w:color w:val="auto"/>
              </w:rPr>
              <w:t>10.9+</w:t>
            </w:r>
          </w:p>
        </w:tc>
        <w:tc>
          <w:tcPr>
            <w:tcW w:w="40" w:type="dxa"/>
            <w:vAlign w:val="bottom"/>
          </w:tcPr>
          <w:p>
            <w:pPr>
              <w:spacing w:after="0"/>
              <w:rPr>
                <w:sz w:val="24"/>
                <w:szCs w:val="24"/>
                <w:color w:val="auto"/>
              </w:rPr>
            </w:pPr>
          </w:p>
        </w:tc>
        <w:tc>
          <w:tcPr>
            <w:tcW w:w="5340" w:type="dxa"/>
            <w:vAlign w:val="bottom"/>
            <w:gridSpan w:val="21"/>
            <w:vMerge w:val="restart"/>
          </w:tcPr>
          <w:p>
            <w:pPr>
              <w:spacing w:after="0"/>
              <w:rPr>
                <w:rFonts w:ascii="Arial" w:cs="Arial" w:eastAsia="Arial" w:hAnsi="Arial"/>
                <w:sz w:val="14"/>
                <w:szCs w:val="14"/>
                <w:color w:val="0000FF"/>
              </w:rPr>
            </w:pPr>
            <w:hyperlink r:id="rId45">
              <w:r>
                <w:rPr>
                  <w:rFonts w:ascii="Arial" w:cs="Arial" w:eastAsia="Arial" w:hAnsi="Arial"/>
                  <w:sz w:val="14"/>
                  <w:szCs w:val="14"/>
                  <w:color w:val="0000FF"/>
                </w:rPr>
                <w:t>Employment Letter between the Registrant and Arash Ferdowsi.</w:t>
              </w:r>
            </w:hyperlink>
          </w:p>
        </w:tc>
        <w:tc>
          <w:tcPr>
            <w:tcW w:w="0" w:type="dxa"/>
            <w:vAlign w:val="bottom"/>
          </w:tcPr>
          <w:p>
            <w:pPr>
              <w:spacing w:after="0"/>
              <w:rPr>
                <w:sz w:val="1"/>
                <w:szCs w:val="1"/>
                <w:color w:val="auto"/>
              </w:rPr>
            </w:pPr>
          </w:p>
        </w:tc>
      </w:tr>
      <w:tr>
        <w:trPr>
          <w:trHeight w:val="39"/>
        </w:trPr>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5340" w:type="dxa"/>
            <w:vAlign w:val="bottom"/>
            <w:gridSpan w:val="21"/>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4"/>
                <w:szCs w:val="14"/>
                <w:color w:val="auto"/>
              </w:rPr>
              <w:t>10.10+</w:t>
            </w: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0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gridSpan w:val="7"/>
            <w:vMerge w:val="restart"/>
          </w:tcPr>
          <w:p>
            <w:pPr>
              <w:spacing w:after="0"/>
              <w:rPr>
                <w:rFonts w:ascii="Arial" w:cs="Arial" w:eastAsia="Arial" w:hAnsi="Arial"/>
                <w:sz w:val="14"/>
                <w:szCs w:val="14"/>
                <w:color w:val="0000FF"/>
                <w:w w:val="92"/>
              </w:rPr>
            </w:pPr>
            <w:hyperlink r:id="rId46">
              <w:r>
                <w:rPr>
                  <w:rFonts w:ascii="Arial" w:cs="Arial" w:eastAsia="Arial" w:hAnsi="Arial"/>
                  <w:sz w:val="14"/>
                  <w:szCs w:val="14"/>
                  <w:color w:val="0000FF"/>
                  <w:w w:val="92"/>
                </w:rPr>
                <w:t>Employment Letter between the Registrant and Quentin J. Clark.</w:t>
              </w:r>
            </w:hyperlink>
          </w:p>
        </w:tc>
        <w:tc>
          <w:tcPr>
            <w:tcW w:w="1600" w:type="dxa"/>
            <w:vAlign w:val="bottom"/>
            <w:gridSpan w:val="1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3740" w:type="dxa"/>
            <w:vAlign w:val="bottom"/>
            <w:tcBorders>
              <w:bottom w:val="single" w:sz="8" w:color="0000FF"/>
            </w:tcBorders>
            <w:gridSpan w:val="7"/>
            <w:vMerge w:val="continue"/>
          </w:tcPr>
          <w:p>
            <w:pPr>
              <w:spacing w:after="0"/>
              <w:rPr>
                <w:sz w:val="3"/>
                <w:szCs w:val="3"/>
                <w:color w:val="auto"/>
              </w:rPr>
            </w:pPr>
          </w:p>
        </w:tc>
        <w:tc>
          <w:tcPr>
            <w:tcW w:w="1600" w:type="dxa"/>
            <w:vAlign w:val="bottom"/>
            <w:gridSpan w:val="1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7"/>
        </w:trPr>
        <w:tc>
          <w:tcPr>
            <w:tcW w:w="1000" w:type="dxa"/>
            <w:vAlign w:val="bottom"/>
          </w:tcPr>
          <w:p>
            <w:pPr>
              <w:spacing w:after="0"/>
              <w:rPr>
                <w:sz w:val="20"/>
                <w:szCs w:val="20"/>
                <w:color w:val="auto"/>
              </w:rPr>
            </w:pPr>
            <w:r>
              <w:rPr>
                <w:rFonts w:ascii="Arial" w:cs="Arial" w:eastAsia="Arial" w:hAnsi="Arial"/>
                <w:sz w:val="14"/>
                <w:szCs w:val="14"/>
                <w:color w:val="auto"/>
              </w:rPr>
              <w:t>10.11</w:t>
            </w:r>
          </w:p>
        </w:tc>
        <w:tc>
          <w:tcPr>
            <w:tcW w:w="4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4"/>
                <w:szCs w:val="14"/>
                <w:color w:val="0000FF"/>
                <w:w w:val="96"/>
              </w:rPr>
            </w:pPr>
            <w:hyperlink r:id="rId47">
              <w:r>
                <w:rPr>
                  <w:rFonts w:ascii="Arial" w:cs="Arial" w:eastAsia="Arial" w:hAnsi="Arial"/>
                  <w:sz w:val="14"/>
                  <w:szCs w:val="14"/>
                  <w:color w:val="0000FF"/>
                  <w:w w:val="96"/>
                </w:rPr>
                <w:t>Incremental Facility and Amendment Agreement among the Registrant, the lenders party</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120" w:type="dxa"/>
            <w:vAlign w:val="bottom"/>
            <w:tcBorders>
              <w:top w:val="single" w:sz="8" w:color="0000FF"/>
            </w:tcBorders>
            <w:gridSpan w:val="15"/>
          </w:tcPr>
          <w:p>
            <w:pPr>
              <w:spacing w:after="0" w:line="129" w:lineRule="exact"/>
              <w:rPr>
                <w:rFonts w:ascii="Arial" w:cs="Arial" w:eastAsia="Arial" w:hAnsi="Arial"/>
                <w:sz w:val="14"/>
                <w:szCs w:val="14"/>
                <w:color w:val="0000FF"/>
                <w:w w:val="93"/>
              </w:rPr>
            </w:pPr>
            <w:hyperlink r:id="rId47">
              <w:r>
                <w:rPr>
                  <w:rFonts w:ascii="Arial" w:cs="Arial" w:eastAsia="Arial" w:hAnsi="Arial"/>
                  <w:sz w:val="14"/>
                  <w:szCs w:val="14"/>
                  <w:color w:val="0000FF"/>
                  <w:w w:val="93"/>
                </w:rPr>
                <w:t>thereto and JPMorgan Chase Bank, N.A., as Administrative Agent, dated as of February</w:t>
              </w:r>
            </w:hyperlink>
          </w:p>
        </w:tc>
        <w:tc>
          <w:tcPr>
            <w:tcW w:w="2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Borders>
              <w:top w:val="single" w:sz="8" w:color="0000FF"/>
            </w:tcBorders>
            <w:gridSpan w:val="2"/>
          </w:tcPr>
          <w:p>
            <w:pPr>
              <w:spacing w:after="0" w:line="129" w:lineRule="exact"/>
              <w:rPr>
                <w:rFonts w:ascii="Arial" w:cs="Arial" w:eastAsia="Arial" w:hAnsi="Arial"/>
                <w:sz w:val="14"/>
                <w:szCs w:val="14"/>
                <w:color w:val="0000FF"/>
              </w:rPr>
            </w:pPr>
            <w:hyperlink r:id="rId47">
              <w:r>
                <w:rPr>
                  <w:rFonts w:ascii="Arial" w:cs="Arial" w:eastAsia="Arial" w:hAnsi="Arial"/>
                  <w:sz w:val="14"/>
                  <w:szCs w:val="14"/>
                  <w:color w:val="0000FF"/>
                </w:rPr>
                <w:t>9, 2018.</w:t>
              </w:r>
            </w:hyperlink>
          </w:p>
        </w:tc>
        <w:tc>
          <w:tcPr>
            <w:tcW w:w="176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8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00" w:type="dxa"/>
            <w:vAlign w:val="bottom"/>
          </w:tcPr>
          <w:p>
            <w:pPr>
              <w:spacing w:after="0"/>
              <w:rPr>
                <w:sz w:val="20"/>
                <w:szCs w:val="20"/>
                <w:color w:val="auto"/>
              </w:rPr>
            </w:pPr>
            <w:r>
              <w:rPr>
                <w:rFonts w:ascii="Arial" w:cs="Arial" w:eastAsia="Arial" w:hAnsi="Arial"/>
                <w:sz w:val="14"/>
                <w:szCs w:val="14"/>
                <w:color w:val="auto"/>
              </w:rPr>
              <w:t>10.12</w:t>
            </w:r>
          </w:p>
        </w:tc>
        <w:tc>
          <w:tcPr>
            <w:tcW w:w="40" w:type="dxa"/>
            <w:vAlign w:val="bottom"/>
          </w:tcPr>
          <w:p>
            <w:pPr>
              <w:spacing w:after="0"/>
              <w:rPr>
                <w:sz w:val="24"/>
                <w:szCs w:val="24"/>
                <w:color w:val="auto"/>
              </w:rPr>
            </w:pPr>
          </w:p>
        </w:tc>
        <w:tc>
          <w:tcPr>
            <w:tcW w:w="4340" w:type="dxa"/>
            <w:vAlign w:val="bottom"/>
            <w:tcBorders>
              <w:bottom w:val="single" w:sz="8" w:color="0000FF"/>
            </w:tcBorders>
            <w:gridSpan w:val="10"/>
          </w:tcPr>
          <w:p>
            <w:pPr>
              <w:spacing w:after="0"/>
              <w:rPr>
                <w:rFonts w:ascii="Arial" w:cs="Arial" w:eastAsia="Arial" w:hAnsi="Arial"/>
                <w:sz w:val="14"/>
                <w:szCs w:val="14"/>
                <w:color w:val="0000FF"/>
                <w:w w:val="91"/>
              </w:rPr>
            </w:pPr>
            <w:hyperlink r:id="rId48">
              <w:r>
                <w:rPr>
                  <w:rFonts w:ascii="Arial" w:cs="Arial" w:eastAsia="Arial" w:hAnsi="Arial"/>
                  <w:sz w:val="14"/>
                  <w:szCs w:val="14"/>
                  <w:color w:val="0000FF"/>
                  <w:w w:val="91"/>
                </w:rPr>
                <w:t>Class A Common Stock Purchase Agreement by and among the Registrant,</w:t>
              </w:r>
            </w:hyperlink>
          </w:p>
        </w:tc>
        <w:tc>
          <w:tcPr>
            <w:tcW w:w="10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340" w:type="dxa"/>
            <w:vAlign w:val="bottom"/>
            <w:gridSpan w:val="21"/>
          </w:tcPr>
          <w:p>
            <w:pPr>
              <w:spacing w:after="0" w:line="129" w:lineRule="exact"/>
              <w:rPr>
                <w:rFonts w:ascii="Arial" w:cs="Arial" w:eastAsia="Arial" w:hAnsi="Arial"/>
                <w:sz w:val="14"/>
                <w:szCs w:val="14"/>
                <w:color w:val="0000FF"/>
              </w:rPr>
            </w:pPr>
            <w:hyperlink r:id="rId48">
              <w:r>
                <w:rPr>
                  <w:rFonts w:ascii="Arial" w:cs="Arial" w:eastAsia="Arial" w:hAnsi="Arial"/>
                  <w:sz w:val="14"/>
                  <w:szCs w:val="14"/>
                  <w:color w:val="0000FF"/>
                </w:rPr>
                <w:t>salesforce.com, Inc. and Salesforce Ventures LLC, dated as of March 7, 2018.</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22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4"/>
              </w:rPr>
              <w:t>Filed with SEC</w:t>
            </w:r>
          </w:p>
        </w:tc>
        <w:tc>
          <w:tcPr>
            <w:tcW w:w="0" w:type="dxa"/>
            <w:vAlign w:val="bottom"/>
          </w:tcPr>
          <w:p>
            <w:pPr>
              <w:spacing w:after="0"/>
              <w:rPr>
                <w:sz w:val="1"/>
                <w:szCs w:val="1"/>
                <w:color w:val="auto"/>
              </w:rPr>
            </w:pPr>
          </w:p>
        </w:tc>
      </w:tr>
      <w:tr>
        <w:trPr>
          <w:trHeight w:val="186"/>
        </w:trPr>
        <w:tc>
          <w:tcPr>
            <w:tcW w:w="5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0"/>
                <w:szCs w:val="20"/>
                <w:color w:val="auto"/>
              </w:rPr>
            </w:pPr>
            <w:r>
              <w:rPr>
                <w:rFonts w:ascii="Arial" w:cs="Arial" w:eastAsia="Arial" w:hAnsi="Arial"/>
                <w:sz w:val="14"/>
                <w:szCs w:val="14"/>
                <w:color w:val="auto"/>
              </w:rPr>
              <w:t>S-1/A</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333-223182</w:t>
            </w:r>
          </w:p>
        </w:tc>
        <w:tc>
          <w:tcPr>
            <w:tcW w:w="152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20" w:type="dxa"/>
            <w:vAlign w:val="bottom"/>
          </w:tcPr>
          <w:p>
            <w:pPr>
              <w:ind w:left="280"/>
              <w:spacing w:after="0"/>
              <w:rPr>
                <w:sz w:val="20"/>
                <w:szCs w:val="20"/>
                <w:color w:val="auto"/>
              </w:rPr>
            </w:pPr>
            <w:r>
              <w:rPr>
                <w:rFonts w:ascii="Arial" w:cs="Arial" w:eastAsia="Arial" w:hAnsi="Arial"/>
                <w:sz w:val="14"/>
                <w:szCs w:val="14"/>
                <w:color w:val="auto"/>
                <w:w w:val="94"/>
              </w:rPr>
              <w:t>March 12,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333-223182</w:t>
            </w: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4.1</w:t>
            </w:r>
          </w:p>
        </w:tc>
        <w:tc>
          <w:tcPr>
            <w:tcW w:w="1520" w:type="dxa"/>
            <w:vAlign w:val="bottom"/>
          </w:tcPr>
          <w:p>
            <w:pPr>
              <w:jc w:val="center"/>
              <w:ind w:left="368"/>
              <w:spacing w:after="0"/>
              <w:rPr>
                <w:sz w:val="20"/>
                <w:szCs w:val="20"/>
                <w:color w:val="auto"/>
              </w:rPr>
            </w:pPr>
            <w:r>
              <w:rPr>
                <w:rFonts w:ascii="Arial" w:cs="Arial" w:eastAsia="Arial" w:hAnsi="Arial"/>
                <w:sz w:val="14"/>
                <w:szCs w:val="14"/>
                <w:color w:val="auto"/>
                <w:w w:val="94"/>
              </w:rPr>
              <w:t>March 12, 2018</w:t>
            </w:r>
          </w:p>
        </w:tc>
      </w:tr>
      <w:tr>
        <w:trPr>
          <w:trHeight w:val="675"/>
        </w:trPr>
        <w:tc>
          <w:tcPr>
            <w:tcW w:w="580" w:type="dxa"/>
            <w:vAlign w:val="bottom"/>
          </w:tcPr>
          <w:p>
            <w:pPr>
              <w:jc w:val="center"/>
              <w:ind w:right="188"/>
              <w:spacing w:after="0"/>
              <w:rPr>
                <w:sz w:val="20"/>
                <w:szCs w:val="20"/>
                <w:color w:val="auto"/>
              </w:rPr>
            </w:pPr>
            <w:r>
              <w:rPr>
                <w:rFonts w:ascii="Arial" w:cs="Arial" w:eastAsia="Arial" w:hAnsi="Arial"/>
                <w:sz w:val="14"/>
                <w:szCs w:val="14"/>
                <w:color w:val="auto"/>
                <w:w w:val="91"/>
              </w:rPr>
              <w:t>S-1</w:t>
            </w: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333-223182</w:t>
            </w: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4.2</w:t>
            </w:r>
          </w:p>
        </w:tc>
        <w:tc>
          <w:tcPr>
            <w:tcW w:w="1520" w:type="dxa"/>
            <w:vAlign w:val="bottom"/>
          </w:tcPr>
          <w:p>
            <w:pPr>
              <w:jc w:val="center"/>
              <w:ind w:left="388"/>
              <w:spacing w:after="0"/>
              <w:rPr>
                <w:sz w:val="20"/>
                <w:szCs w:val="20"/>
                <w:color w:val="auto"/>
              </w:rPr>
            </w:pPr>
            <w:r>
              <w:rPr>
                <w:rFonts w:ascii="Arial" w:cs="Arial" w:eastAsia="Arial" w:hAnsi="Arial"/>
                <w:sz w:val="14"/>
                <w:szCs w:val="14"/>
                <w:color w:val="auto"/>
                <w:w w:val="92"/>
              </w:rPr>
              <w:t>February 23,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jc w:val="center"/>
              <w:ind w:right="188"/>
              <w:spacing w:after="0"/>
              <w:rPr>
                <w:sz w:val="20"/>
                <w:szCs w:val="20"/>
                <w:color w:val="auto"/>
              </w:rPr>
            </w:pPr>
            <w:r>
              <w:rPr>
                <w:rFonts w:ascii="Arial" w:cs="Arial" w:eastAsia="Arial" w:hAnsi="Arial"/>
                <w:sz w:val="14"/>
                <w:szCs w:val="14"/>
                <w:color w:val="auto"/>
                <w:w w:val="91"/>
              </w:rPr>
              <w:t>S-1</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480" w:type="dxa"/>
            <w:vAlign w:val="bottom"/>
          </w:tcPr>
          <w:p>
            <w:pPr>
              <w:jc w:val="center"/>
              <w:ind w:left="348"/>
              <w:spacing w:after="0"/>
              <w:rPr>
                <w:sz w:val="20"/>
                <w:szCs w:val="20"/>
                <w:color w:val="auto"/>
              </w:rPr>
            </w:pPr>
            <w:r>
              <w:rPr>
                <w:rFonts w:ascii="Arial" w:cs="Arial" w:eastAsia="Arial" w:hAnsi="Arial"/>
                <w:sz w:val="14"/>
                <w:szCs w:val="14"/>
                <w:color w:val="auto"/>
                <w:w w:val="92"/>
              </w:rPr>
              <w:t>February 23, 2018</w:t>
            </w:r>
          </w:p>
        </w:tc>
      </w:tr>
      <w:tr>
        <w:trPr>
          <w:trHeight w:val="594"/>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480" w:type="dxa"/>
            <w:vAlign w:val="bottom"/>
          </w:tcPr>
          <w:p>
            <w:pPr>
              <w:jc w:val="center"/>
              <w:ind w:left="328"/>
              <w:spacing w:after="0"/>
              <w:rPr>
                <w:sz w:val="20"/>
                <w:szCs w:val="20"/>
                <w:color w:val="auto"/>
              </w:rPr>
            </w:pPr>
            <w:r>
              <w:rPr>
                <w:rFonts w:ascii="Arial" w:cs="Arial" w:eastAsia="Arial" w:hAnsi="Arial"/>
                <w:sz w:val="14"/>
                <w:szCs w:val="14"/>
                <w:color w:val="auto"/>
                <w:w w:val="94"/>
              </w:rPr>
              <w:t>March 21, 2018</w:t>
            </w:r>
          </w:p>
        </w:tc>
      </w:tr>
      <w:tr>
        <w:trPr>
          <w:trHeight w:val="594"/>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480" w:type="dxa"/>
            <w:vAlign w:val="bottom"/>
          </w:tcPr>
          <w:p>
            <w:pPr>
              <w:jc w:val="center"/>
              <w:ind w:left="328"/>
              <w:spacing w:after="0"/>
              <w:rPr>
                <w:sz w:val="20"/>
                <w:szCs w:val="20"/>
                <w:color w:val="auto"/>
              </w:rPr>
            </w:pPr>
            <w:r>
              <w:rPr>
                <w:rFonts w:ascii="Arial" w:cs="Arial" w:eastAsia="Arial" w:hAnsi="Arial"/>
                <w:sz w:val="14"/>
                <w:szCs w:val="14"/>
                <w:color w:val="auto"/>
                <w:w w:val="94"/>
              </w:rPr>
              <w:t>March 21, 2018</w:t>
            </w:r>
          </w:p>
        </w:tc>
      </w:tr>
      <w:tr>
        <w:trPr>
          <w:trHeight w:val="594"/>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480" w:type="dxa"/>
            <w:vAlign w:val="bottom"/>
          </w:tcPr>
          <w:p>
            <w:pPr>
              <w:jc w:val="center"/>
              <w:ind w:left="328"/>
              <w:spacing w:after="0"/>
              <w:rPr>
                <w:sz w:val="20"/>
                <w:szCs w:val="20"/>
                <w:color w:val="auto"/>
              </w:rPr>
            </w:pPr>
            <w:r>
              <w:rPr>
                <w:rFonts w:ascii="Arial" w:cs="Arial" w:eastAsia="Arial" w:hAnsi="Arial"/>
                <w:sz w:val="14"/>
                <w:szCs w:val="14"/>
                <w:color w:val="auto"/>
                <w:w w:val="94"/>
              </w:rPr>
              <w:t>March 21, 2018</w:t>
            </w:r>
          </w:p>
        </w:tc>
      </w:tr>
      <w:tr>
        <w:trPr>
          <w:trHeight w:val="594"/>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480" w:type="dxa"/>
            <w:vAlign w:val="bottom"/>
          </w:tcPr>
          <w:p>
            <w:pPr>
              <w:jc w:val="center"/>
              <w:ind w:left="328"/>
              <w:spacing w:after="0"/>
              <w:rPr>
                <w:sz w:val="20"/>
                <w:szCs w:val="20"/>
                <w:color w:val="auto"/>
              </w:rPr>
            </w:pPr>
            <w:r>
              <w:rPr>
                <w:rFonts w:ascii="Arial" w:cs="Arial" w:eastAsia="Arial" w:hAnsi="Arial"/>
                <w:sz w:val="14"/>
                <w:szCs w:val="14"/>
                <w:color w:val="auto"/>
                <w:w w:val="94"/>
              </w:rPr>
              <w:t>March 21, 2018</w:t>
            </w:r>
          </w:p>
        </w:tc>
      </w:tr>
      <w:tr>
        <w:trPr>
          <w:trHeight w:val="594"/>
        </w:trPr>
        <w:tc>
          <w:tcPr>
            <w:tcW w:w="580" w:type="dxa"/>
            <w:vAlign w:val="bottom"/>
          </w:tcPr>
          <w:p>
            <w:pPr>
              <w:jc w:val="center"/>
              <w:ind w:right="188"/>
              <w:spacing w:after="0"/>
              <w:rPr>
                <w:sz w:val="20"/>
                <w:szCs w:val="20"/>
                <w:color w:val="auto"/>
              </w:rPr>
            </w:pPr>
            <w:r>
              <w:rPr>
                <w:rFonts w:ascii="Arial" w:cs="Arial" w:eastAsia="Arial" w:hAnsi="Arial"/>
                <w:sz w:val="14"/>
                <w:szCs w:val="14"/>
                <w:color w:val="auto"/>
                <w:w w:val="91"/>
              </w:rPr>
              <w:t>S-1</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10.8</w:t>
            </w:r>
          </w:p>
        </w:tc>
        <w:tc>
          <w:tcPr>
            <w:tcW w:w="1480" w:type="dxa"/>
            <w:vAlign w:val="bottom"/>
          </w:tcPr>
          <w:p>
            <w:pPr>
              <w:jc w:val="center"/>
              <w:ind w:left="348"/>
              <w:spacing w:after="0"/>
              <w:rPr>
                <w:sz w:val="20"/>
                <w:szCs w:val="20"/>
                <w:color w:val="auto"/>
              </w:rPr>
            </w:pPr>
            <w:r>
              <w:rPr>
                <w:rFonts w:ascii="Arial" w:cs="Arial" w:eastAsia="Arial" w:hAnsi="Arial"/>
                <w:sz w:val="14"/>
                <w:szCs w:val="14"/>
                <w:color w:val="auto"/>
                <w:w w:val="92"/>
              </w:rPr>
              <w:t>February 23, 2018</w:t>
            </w:r>
          </w:p>
        </w:tc>
      </w:tr>
      <w:tr>
        <w:trPr>
          <w:trHeight w:val="675"/>
        </w:trPr>
        <w:tc>
          <w:tcPr>
            <w:tcW w:w="580" w:type="dxa"/>
            <w:vAlign w:val="bottom"/>
          </w:tcPr>
          <w:p>
            <w:pPr>
              <w:jc w:val="center"/>
              <w:ind w:right="188"/>
              <w:spacing w:after="0"/>
              <w:rPr>
                <w:sz w:val="20"/>
                <w:szCs w:val="20"/>
                <w:color w:val="auto"/>
              </w:rPr>
            </w:pPr>
            <w:r>
              <w:rPr>
                <w:rFonts w:ascii="Arial" w:cs="Arial" w:eastAsia="Arial" w:hAnsi="Arial"/>
                <w:sz w:val="14"/>
                <w:szCs w:val="14"/>
                <w:color w:val="auto"/>
                <w:w w:val="91"/>
              </w:rPr>
              <w:t>S-1</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10.11</w:t>
            </w:r>
          </w:p>
        </w:tc>
        <w:tc>
          <w:tcPr>
            <w:tcW w:w="1480" w:type="dxa"/>
            <w:vAlign w:val="bottom"/>
          </w:tcPr>
          <w:p>
            <w:pPr>
              <w:jc w:val="center"/>
              <w:ind w:left="348"/>
              <w:spacing w:after="0"/>
              <w:rPr>
                <w:sz w:val="20"/>
                <w:szCs w:val="20"/>
                <w:color w:val="auto"/>
              </w:rPr>
            </w:pPr>
            <w:r>
              <w:rPr>
                <w:rFonts w:ascii="Arial" w:cs="Arial" w:eastAsia="Arial" w:hAnsi="Arial"/>
                <w:sz w:val="14"/>
                <w:szCs w:val="14"/>
                <w:color w:val="auto"/>
                <w:w w:val="92"/>
              </w:rPr>
              <w:t>February 23, 2018</w:t>
            </w:r>
          </w:p>
        </w:tc>
      </w:tr>
      <w:tr>
        <w:trPr>
          <w:trHeight w:val="594"/>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10.12</w:t>
            </w:r>
          </w:p>
        </w:tc>
        <w:tc>
          <w:tcPr>
            <w:tcW w:w="1480" w:type="dxa"/>
            <w:vAlign w:val="bottom"/>
          </w:tcPr>
          <w:p>
            <w:pPr>
              <w:jc w:val="center"/>
              <w:ind w:left="328"/>
              <w:spacing w:after="0"/>
              <w:rPr>
                <w:sz w:val="20"/>
                <w:szCs w:val="20"/>
                <w:color w:val="auto"/>
              </w:rPr>
            </w:pPr>
            <w:r>
              <w:rPr>
                <w:rFonts w:ascii="Arial" w:cs="Arial" w:eastAsia="Arial" w:hAnsi="Arial"/>
                <w:sz w:val="14"/>
                <w:szCs w:val="14"/>
                <w:color w:val="auto"/>
                <w:w w:val="94"/>
              </w:rPr>
              <w:t>March 12, 2018</w:t>
            </w:r>
          </w:p>
        </w:tc>
      </w:tr>
      <w:tr>
        <w:trPr>
          <w:trHeight w:val="594"/>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10.13</w:t>
            </w:r>
          </w:p>
        </w:tc>
        <w:tc>
          <w:tcPr>
            <w:tcW w:w="1480" w:type="dxa"/>
            <w:vAlign w:val="bottom"/>
          </w:tcPr>
          <w:p>
            <w:pPr>
              <w:jc w:val="center"/>
              <w:ind w:left="328"/>
              <w:spacing w:after="0"/>
              <w:rPr>
                <w:sz w:val="20"/>
                <w:szCs w:val="20"/>
                <w:color w:val="auto"/>
              </w:rPr>
            </w:pPr>
            <w:r>
              <w:rPr>
                <w:rFonts w:ascii="Arial" w:cs="Arial" w:eastAsia="Arial" w:hAnsi="Arial"/>
                <w:sz w:val="14"/>
                <w:szCs w:val="14"/>
                <w:color w:val="auto"/>
                <w:w w:val="94"/>
              </w:rPr>
              <w:t>March 12, 2018</w:t>
            </w:r>
          </w:p>
        </w:tc>
      </w:tr>
      <w:tr>
        <w:trPr>
          <w:trHeight w:val="594"/>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10.14</w:t>
            </w:r>
          </w:p>
        </w:tc>
        <w:tc>
          <w:tcPr>
            <w:tcW w:w="1480" w:type="dxa"/>
            <w:vAlign w:val="bottom"/>
          </w:tcPr>
          <w:p>
            <w:pPr>
              <w:jc w:val="center"/>
              <w:ind w:left="328"/>
              <w:spacing w:after="0"/>
              <w:rPr>
                <w:sz w:val="20"/>
                <w:szCs w:val="20"/>
                <w:color w:val="auto"/>
              </w:rPr>
            </w:pPr>
            <w:r>
              <w:rPr>
                <w:rFonts w:ascii="Arial" w:cs="Arial" w:eastAsia="Arial" w:hAnsi="Arial"/>
                <w:sz w:val="14"/>
                <w:szCs w:val="14"/>
                <w:color w:val="auto"/>
                <w:w w:val="94"/>
              </w:rPr>
              <w:t>March 12, 2018</w:t>
            </w:r>
          </w:p>
        </w:tc>
      </w:tr>
      <w:tr>
        <w:trPr>
          <w:trHeight w:val="824"/>
        </w:trPr>
        <w:tc>
          <w:tcPr>
            <w:tcW w:w="580" w:type="dxa"/>
            <w:vAlign w:val="bottom"/>
          </w:tcPr>
          <w:p>
            <w:pPr>
              <w:jc w:val="center"/>
              <w:ind w:right="188"/>
              <w:spacing w:after="0"/>
              <w:rPr>
                <w:sz w:val="20"/>
                <w:szCs w:val="20"/>
                <w:color w:val="auto"/>
              </w:rPr>
            </w:pPr>
            <w:r>
              <w:rPr>
                <w:rFonts w:ascii="Arial" w:cs="Arial" w:eastAsia="Arial" w:hAnsi="Arial"/>
                <w:sz w:val="14"/>
                <w:szCs w:val="14"/>
                <w:color w:val="auto"/>
                <w:w w:val="91"/>
              </w:rPr>
              <w:t>S-1</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10.21</w:t>
            </w:r>
          </w:p>
        </w:tc>
        <w:tc>
          <w:tcPr>
            <w:tcW w:w="1480" w:type="dxa"/>
            <w:vAlign w:val="bottom"/>
          </w:tcPr>
          <w:p>
            <w:pPr>
              <w:jc w:val="center"/>
              <w:ind w:left="348"/>
              <w:spacing w:after="0"/>
              <w:rPr>
                <w:sz w:val="20"/>
                <w:szCs w:val="20"/>
                <w:color w:val="auto"/>
              </w:rPr>
            </w:pPr>
            <w:r>
              <w:rPr>
                <w:rFonts w:ascii="Arial" w:cs="Arial" w:eastAsia="Arial" w:hAnsi="Arial"/>
                <w:sz w:val="14"/>
                <w:szCs w:val="14"/>
                <w:color w:val="auto"/>
                <w:w w:val="92"/>
              </w:rPr>
              <w:t>February 23, 2018</w:t>
            </w:r>
          </w:p>
        </w:tc>
      </w:tr>
      <w:tr>
        <w:trPr>
          <w:trHeight w:val="675"/>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333-223182</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10.22</w:t>
            </w:r>
          </w:p>
        </w:tc>
        <w:tc>
          <w:tcPr>
            <w:tcW w:w="1480" w:type="dxa"/>
            <w:vAlign w:val="bottom"/>
          </w:tcPr>
          <w:p>
            <w:pPr>
              <w:jc w:val="center"/>
              <w:ind w:left="328"/>
              <w:spacing w:after="0"/>
              <w:rPr>
                <w:sz w:val="20"/>
                <w:szCs w:val="20"/>
                <w:color w:val="auto"/>
              </w:rPr>
            </w:pPr>
            <w:r>
              <w:rPr>
                <w:rFonts w:ascii="Arial" w:cs="Arial" w:eastAsia="Arial" w:hAnsi="Arial"/>
                <w:sz w:val="14"/>
                <w:szCs w:val="14"/>
                <w:color w:val="auto"/>
                <w:w w:val="94"/>
              </w:rPr>
              <w:t>March 12, 2018</w:t>
            </w:r>
          </w:p>
        </w:tc>
      </w:tr>
    </w:tbl>
    <w:p>
      <w:pPr>
        <w:spacing w:after="0" w:line="200" w:lineRule="exact"/>
        <w:rPr>
          <w:sz w:val="20"/>
          <w:szCs w:val="20"/>
          <w:color w:val="auto"/>
        </w:rPr>
      </w:pPr>
    </w:p>
    <w:p>
      <w:pPr>
        <w:sectPr>
          <w:pgSz w:w="11900" w:h="16838" w:orient="portrait"/>
          <w:cols w:equalWidth="0" w:num="2">
            <w:col w:w="6420" w:space="180"/>
            <w:col w:w="4620"/>
          </w:cols>
          <w:pgMar w:left="240" w:top="121" w:right="439" w:bottom="1440" w:gutter="0" w:footer="0" w:header="0"/>
        </w:sect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20"/>
          </w:cols>
          <w:pgMar w:left="240" w:top="121" w:right="4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040" w:type="dxa"/>
            <w:vAlign w:val="bottom"/>
          </w:tcPr>
          <w:p>
            <w:pPr>
              <w:spacing w:after="0"/>
              <w:rPr>
                <w:sz w:val="20"/>
                <w:szCs w:val="20"/>
                <w:color w:val="auto"/>
              </w:rPr>
            </w:pPr>
            <w:r>
              <w:rPr>
                <w:rFonts w:ascii="Arial" w:cs="Arial" w:eastAsia="Arial" w:hAnsi="Arial"/>
                <w:sz w:val="14"/>
                <w:szCs w:val="14"/>
                <w:color w:val="auto"/>
              </w:rPr>
              <w:t>10.13+</w:t>
            </w:r>
          </w:p>
        </w:tc>
        <w:tc>
          <w:tcPr>
            <w:tcW w:w="5340" w:type="dxa"/>
            <w:vAlign w:val="bottom"/>
            <w:gridSpan w:val="5"/>
            <w:vMerge w:val="restart"/>
          </w:tcPr>
          <w:p>
            <w:pPr>
              <w:spacing w:after="0"/>
              <w:rPr>
                <w:rFonts w:ascii="Arial" w:cs="Arial" w:eastAsia="Arial" w:hAnsi="Arial"/>
                <w:sz w:val="14"/>
                <w:szCs w:val="14"/>
                <w:color w:val="0000FF"/>
              </w:rPr>
            </w:pPr>
            <w:hyperlink r:id="rId49">
              <w:r>
                <w:rPr>
                  <w:rFonts w:ascii="Arial" w:cs="Arial" w:eastAsia="Arial" w:hAnsi="Arial"/>
                  <w:sz w:val="14"/>
                  <w:szCs w:val="14"/>
                  <w:color w:val="0000FF"/>
                </w:rPr>
                <w:t>Dropbox, Inc. Outside Director Compensation Policy and related form agreements.</w:t>
              </w:r>
            </w:hyperlink>
          </w:p>
        </w:tc>
        <w:tc>
          <w:tcPr>
            <w:tcW w:w="760" w:type="dxa"/>
            <w:vAlign w:val="bottom"/>
            <w:vMerge w:val="restart"/>
          </w:tcPr>
          <w:p>
            <w:pPr>
              <w:ind w:left="180"/>
              <w:spacing w:after="0"/>
              <w:rPr>
                <w:sz w:val="20"/>
                <w:szCs w:val="20"/>
                <w:color w:val="auto"/>
              </w:rPr>
            </w:pPr>
            <w:r>
              <w:rPr>
                <w:rFonts w:ascii="Arial" w:cs="Arial" w:eastAsia="Arial" w:hAnsi="Arial"/>
                <w:sz w:val="14"/>
                <w:szCs w:val="14"/>
                <w:color w:val="auto"/>
              </w:rPr>
              <w:t>S-1/A</w:t>
            </w:r>
          </w:p>
        </w:tc>
        <w:tc>
          <w:tcPr>
            <w:tcW w:w="1380" w:type="dxa"/>
            <w:vAlign w:val="bottom"/>
            <w:vMerge w:val="restart"/>
          </w:tcPr>
          <w:p>
            <w:pPr>
              <w:jc w:val="right"/>
              <w:ind w:right="348"/>
              <w:spacing w:after="0"/>
              <w:rPr>
                <w:sz w:val="20"/>
                <w:szCs w:val="20"/>
                <w:color w:val="auto"/>
              </w:rPr>
            </w:pPr>
            <w:r>
              <w:rPr>
                <w:rFonts w:ascii="Arial" w:cs="Arial" w:eastAsia="Arial" w:hAnsi="Arial"/>
                <w:sz w:val="14"/>
                <w:szCs w:val="14"/>
                <w:color w:val="auto"/>
              </w:rPr>
              <w:t>333-223182</w:t>
            </w:r>
          </w:p>
        </w:tc>
        <w:tc>
          <w:tcPr>
            <w:tcW w:w="1220" w:type="dxa"/>
            <w:vAlign w:val="bottom"/>
            <w:vMerge w:val="restart"/>
          </w:tcPr>
          <w:p>
            <w:pPr>
              <w:jc w:val="right"/>
              <w:ind w:right="388"/>
              <w:spacing w:after="0"/>
              <w:rPr>
                <w:sz w:val="20"/>
                <w:szCs w:val="20"/>
                <w:color w:val="auto"/>
              </w:rPr>
            </w:pPr>
            <w:r>
              <w:rPr>
                <w:rFonts w:ascii="Arial" w:cs="Arial" w:eastAsia="Arial" w:hAnsi="Arial"/>
                <w:sz w:val="14"/>
                <w:szCs w:val="14"/>
                <w:color w:val="auto"/>
              </w:rPr>
              <w:t>10.23</w:t>
            </w:r>
          </w:p>
        </w:tc>
        <w:tc>
          <w:tcPr>
            <w:tcW w:w="1360" w:type="dxa"/>
            <w:vAlign w:val="bottom"/>
            <w:vMerge w:val="restart"/>
          </w:tcPr>
          <w:p>
            <w:pPr>
              <w:ind w:left="440"/>
              <w:spacing w:after="0"/>
              <w:rPr>
                <w:sz w:val="20"/>
                <w:szCs w:val="20"/>
                <w:color w:val="auto"/>
              </w:rPr>
            </w:pPr>
            <w:r>
              <w:rPr>
                <w:rFonts w:ascii="Arial" w:cs="Arial" w:eastAsia="Arial" w:hAnsi="Arial"/>
                <w:sz w:val="14"/>
                <w:szCs w:val="14"/>
                <w:color w:val="auto"/>
                <w:w w:val="92"/>
              </w:rPr>
              <w:t>March 12, 2018</w:t>
            </w:r>
          </w:p>
        </w:tc>
        <w:tc>
          <w:tcPr>
            <w:tcW w:w="0" w:type="dxa"/>
            <w:vAlign w:val="bottom"/>
          </w:tcPr>
          <w:p>
            <w:pPr>
              <w:spacing w:after="0"/>
              <w:rPr>
                <w:sz w:val="1"/>
                <w:szCs w:val="1"/>
                <w:color w:val="auto"/>
              </w:rPr>
            </w:pPr>
          </w:p>
        </w:tc>
      </w:tr>
      <w:tr>
        <w:trPr>
          <w:trHeight w:val="39"/>
        </w:trPr>
        <w:tc>
          <w:tcPr>
            <w:tcW w:w="1040" w:type="dxa"/>
            <w:vAlign w:val="bottom"/>
          </w:tcPr>
          <w:p>
            <w:pPr>
              <w:spacing w:after="0"/>
              <w:rPr>
                <w:sz w:val="3"/>
                <w:szCs w:val="3"/>
                <w:color w:val="auto"/>
              </w:rPr>
            </w:pPr>
          </w:p>
        </w:tc>
        <w:tc>
          <w:tcPr>
            <w:tcW w:w="5340" w:type="dxa"/>
            <w:vAlign w:val="bottom"/>
            <w:gridSpan w:val="5"/>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4"/>
                <w:szCs w:val="14"/>
                <w:color w:val="auto"/>
              </w:rPr>
              <w:t>31.1</w:t>
            </w:r>
          </w:p>
        </w:tc>
        <w:tc>
          <w:tcPr>
            <w:tcW w:w="5340" w:type="dxa"/>
            <w:vAlign w:val="bottom"/>
            <w:gridSpan w:val="5"/>
          </w:tcPr>
          <w:p>
            <w:pPr>
              <w:spacing w:after="0"/>
              <w:rPr>
                <w:rFonts w:ascii="Arial" w:cs="Arial" w:eastAsia="Arial" w:hAnsi="Arial"/>
                <w:sz w:val="14"/>
                <w:szCs w:val="14"/>
                <w:color w:val="0000FF"/>
              </w:rPr>
            </w:pPr>
            <w:hyperlink w:anchor="page133">
              <w:r>
                <w:rPr>
                  <w:rFonts w:ascii="Arial" w:cs="Arial" w:eastAsia="Arial" w:hAnsi="Arial"/>
                  <w:sz w:val="14"/>
                  <w:szCs w:val="14"/>
                  <w:color w:val="0000FF"/>
                </w:rPr>
                <w:t>Certification of Principal Executive Officer pursuant to Exchange Act Rules 13a-14(a)</w:t>
              </w:r>
            </w:hyperlink>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9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2"/>
              </w:rPr>
            </w:pPr>
            <w:hyperlink w:anchor="page133">
              <w:r>
                <w:rPr>
                  <w:rFonts w:ascii="Arial" w:cs="Arial" w:eastAsia="Arial" w:hAnsi="Arial"/>
                  <w:sz w:val="14"/>
                  <w:szCs w:val="14"/>
                  <w:color w:val="0000FF"/>
                  <w:w w:val="92"/>
                </w:rPr>
                <w:t>and 15d-14(a), as adopted pursuant to Section 302 of the Sarbanes-Oxley Act of 2002.</w:t>
              </w:r>
            </w:hyperlink>
          </w:p>
        </w:tc>
        <w:tc>
          <w:tcPr>
            <w:tcW w:w="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4"/>
                <w:szCs w:val="14"/>
                <w:color w:val="auto"/>
              </w:rPr>
              <w:t>31.2</w:t>
            </w:r>
          </w:p>
        </w:tc>
        <w:tc>
          <w:tcPr>
            <w:tcW w:w="5340" w:type="dxa"/>
            <w:vAlign w:val="bottom"/>
            <w:gridSpan w:val="5"/>
          </w:tcPr>
          <w:p>
            <w:pPr>
              <w:spacing w:after="0"/>
              <w:rPr>
                <w:rFonts w:ascii="Arial" w:cs="Arial" w:eastAsia="Arial" w:hAnsi="Arial"/>
                <w:sz w:val="14"/>
                <w:szCs w:val="14"/>
                <w:color w:val="0000FF"/>
                <w:w w:val="97"/>
              </w:rPr>
            </w:pPr>
            <w:hyperlink w:anchor="page134">
              <w:r>
                <w:rPr>
                  <w:rFonts w:ascii="Arial" w:cs="Arial" w:eastAsia="Arial" w:hAnsi="Arial"/>
                  <w:sz w:val="14"/>
                  <w:szCs w:val="14"/>
                  <w:color w:val="0000FF"/>
                  <w:w w:val="97"/>
                </w:rPr>
                <w:t>Certification of Principal Financial Officer pursuant to Exchange Act Rules 13a-14(a) and</w:t>
              </w:r>
            </w:hyperlink>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5180" w:type="dxa"/>
            <w:vAlign w:val="bottom"/>
            <w:tcBorders>
              <w:top w:val="single" w:sz="8" w:color="0000FF"/>
            </w:tcBorders>
            <w:gridSpan w:val="4"/>
          </w:tcPr>
          <w:p>
            <w:pPr>
              <w:spacing w:after="0" w:line="129" w:lineRule="exact"/>
              <w:rPr>
                <w:rFonts w:ascii="Arial" w:cs="Arial" w:eastAsia="Arial" w:hAnsi="Arial"/>
                <w:sz w:val="14"/>
                <w:szCs w:val="14"/>
                <w:color w:val="0000FF"/>
              </w:rPr>
            </w:pPr>
            <w:hyperlink w:anchor="page134">
              <w:r>
                <w:rPr>
                  <w:rFonts w:ascii="Arial" w:cs="Arial" w:eastAsia="Arial" w:hAnsi="Arial"/>
                  <w:sz w:val="14"/>
                  <w:szCs w:val="14"/>
                  <w:color w:val="0000FF"/>
                </w:rPr>
                <w:t>15d-14(a), as adopted pursuant to Section 302 of the Sarbanes-Oxley Act of 2002.</w:t>
              </w:r>
            </w:hyperlink>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101.INS</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101.SCH</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101.CAL</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101.DEF</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101.LAB</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101.PRE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rFonts w:ascii="Arial" w:cs="Arial" w:eastAsia="Arial" w:hAnsi="Arial"/>
          <w:sz w:val="13"/>
          <w:szCs w:val="13"/>
          <w:u w:val="single" w:color="auto"/>
          <w:color w:val="0000FF"/>
        </w:rPr>
      </w:pPr>
      <w:hyperlink w:anchor="page135">
        <w:r>
          <w:rPr>
            <w:rFonts w:ascii="Arial" w:cs="Arial" w:eastAsia="Arial" w:hAnsi="Arial"/>
            <w:sz w:val="13"/>
            <w:szCs w:val="13"/>
            <w:u w:val="single" w:color="auto"/>
            <w:color w:val="0000FF"/>
          </w:rPr>
          <w:t>Certifications of Principal Executive Officer and Chief Financial Officer pursuant to 18</w:t>
        </w:r>
      </w:hyperlink>
    </w:p>
    <w:p>
      <w:pPr>
        <w:spacing w:after="0" w:line="10" w:lineRule="exact"/>
        <w:rPr>
          <w:sz w:val="20"/>
          <w:szCs w:val="20"/>
          <w:color w:val="auto"/>
        </w:rPr>
      </w:pPr>
    </w:p>
    <w:p>
      <w:pPr>
        <w:spacing w:after="0"/>
        <w:rPr>
          <w:rFonts w:ascii="Arial" w:cs="Arial" w:eastAsia="Arial" w:hAnsi="Arial"/>
          <w:sz w:val="13"/>
          <w:szCs w:val="13"/>
          <w:u w:val="single" w:color="auto"/>
          <w:color w:val="0000FF"/>
        </w:rPr>
      </w:pPr>
      <w:hyperlink w:anchor="page135">
        <w:r>
          <w:rPr>
            <w:rFonts w:ascii="Arial" w:cs="Arial" w:eastAsia="Arial" w:hAnsi="Arial"/>
            <w:sz w:val="13"/>
            <w:szCs w:val="13"/>
            <w:u w:val="single" w:color="auto"/>
            <w:color w:val="0000FF"/>
          </w:rPr>
          <w:t>U.S.C. Section 1350 as adopted pursuant to Section 906 of the Sarbanes-Oxley Act of</w:t>
        </w:r>
      </w:hyperlink>
    </w:p>
    <w:p>
      <w:pPr>
        <w:spacing w:after="0"/>
        <w:rPr>
          <w:rFonts w:ascii="Arial" w:cs="Arial" w:eastAsia="Arial" w:hAnsi="Arial"/>
          <w:sz w:val="14"/>
          <w:szCs w:val="14"/>
          <w:u w:val="single" w:color="auto"/>
          <w:color w:val="0000FF"/>
        </w:rPr>
      </w:pPr>
      <w:hyperlink w:anchor="page135">
        <w:r>
          <w:rPr>
            <w:rFonts w:ascii="Arial" w:cs="Arial" w:eastAsia="Arial" w:hAnsi="Arial"/>
            <w:sz w:val="14"/>
            <w:szCs w:val="14"/>
            <w:u w:val="single" w:color="auto"/>
            <w:color w:val="0000FF"/>
          </w:rPr>
          <w:t>2002.</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Linkbase Document.</w:t>
      </w:r>
    </w:p>
    <w:p>
      <w:pPr>
        <w:spacing w:after="0" w:line="21" w:lineRule="exact"/>
        <w:rPr>
          <w:sz w:val="20"/>
          <w:szCs w:val="20"/>
          <w:color w:val="auto"/>
        </w:rPr>
      </w:pPr>
    </w:p>
    <w:p>
      <w:pPr>
        <w:sectPr>
          <w:pgSz w:w="11900" w:h="16838" w:orient="portrait"/>
          <w:cols w:equalWidth="0" w:num="2">
            <w:col w:w="580" w:space="500"/>
            <w:col w:w="10280"/>
          </w:cols>
          <w:pgMar w:left="240" w:top="121" w:right="299" w:bottom="1440" w:gutter="0" w:footer="0" w:header="0"/>
          <w:type w:val="continuous"/>
        </w:sect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6" w:lineRule="exact"/>
        <w:rPr>
          <w:sz w:val="20"/>
          <w:szCs w:val="20"/>
          <w:color w:val="auto"/>
        </w:rPr>
      </w:pPr>
    </w:p>
    <w:p>
      <w:pPr>
        <w:ind w:firstLine="8"/>
        <w:spacing w:after="0" w:line="248" w:lineRule="auto"/>
        <w:tabs>
          <w:tab w:leader="none" w:pos="108"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121" w:right="29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40" w:type="dxa"/>
            <w:vAlign w:val="bottom"/>
            <w:gridSpan w:val="2"/>
          </w:tcPr>
          <w:p>
            <w:pPr>
              <w:ind w:left="360"/>
              <w:spacing w:after="0"/>
              <w:rPr>
                <w:sz w:val="20"/>
                <w:szCs w:val="20"/>
                <w:color w:val="auto"/>
              </w:rPr>
            </w:pPr>
            <w:r>
              <w:rPr>
                <w:rFonts w:ascii="Arial" w:cs="Arial" w:eastAsia="Arial" w:hAnsi="Arial"/>
                <w:sz w:val="18"/>
                <w:szCs w:val="18"/>
                <w:b w:val="1"/>
                <w:bCs w:val="1"/>
                <w:color w:val="auto"/>
              </w:rPr>
              <w:t>DROPBOX, INC.</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500" w:type="dxa"/>
            <w:vAlign w:val="bottom"/>
          </w:tcPr>
          <w:p>
            <w:pPr>
              <w:ind w:left="140"/>
              <w:spacing w:after="0"/>
              <w:rPr>
                <w:sz w:val="20"/>
                <w:szCs w:val="20"/>
                <w:color w:val="auto"/>
              </w:rPr>
            </w:pPr>
            <w:r>
              <w:rPr>
                <w:rFonts w:ascii="Arial" w:cs="Arial" w:eastAsia="Arial" w:hAnsi="Arial"/>
                <w:sz w:val="18"/>
                <w:szCs w:val="18"/>
                <w:color w:val="auto"/>
              </w:rPr>
              <w:t>May 11, 2018</w:t>
            </w:r>
          </w:p>
        </w:tc>
        <w:tc>
          <w:tcPr>
            <w:tcW w:w="1360" w:type="dxa"/>
            <w:vAlign w:val="bottom"/>
          </w:tcPr>
          <w:p>
            <w:pPr>
              <w:ind w:left="360"/>
              <w:spacing w:after="0"/>
              <w:rPr>
                <w:sz w:val="20"/>
                <w:szCs w:val="20"/>
                <w:color w:val="auto"/>
              </w:rPr>
            </w:pPr>
            <w:r>
              <w:rPr>
                <w:rFonts w:ascii="Arial" w:cs="Arial" w:eastAsia="Arial" w:hAnsi="Arial"/>
                <w:sz w:val="18"/>
                <w:szCs w:val="18"/>
                <w:color w:val="auto"/>
              </w:rPr>
              <w:t>By:</w:t>
            </w:r>
          </w:p>
        </w:tc>
        <w:tc>
          <w:tcPr>
            <w:tcW w:w="7980" w:type="dxa"/>
            <w:vAlign w:val="bottom"/>
          </w:tcPr>
          <w:p>
            <w:pPr>
              <w:ind w:left="20"/>
              <w:spacing w:after="0"/>
              <w:rPr>
                <w:sz w:val="20"/>
                <w:szCs w:val="20"/>
                <w:color w:val="auto"/>
              </w:rPr>
            </w:pPr>
            <w:r>
              <w:rPr>
                <w:rFonts w:ascii="Arial" w:cs="Arial" w:eastAsia="Arial" w:hAnsi="Arial"/>
                <w:sz w:val="18"/>
                <w:szCs w:val="18"/>
                <w:color w:val="auto"/>
              </w:rPr>
              <w:t>/s/ Andrew W. Houston</w:t>
            </w:r>
          </w:p>
        </w:tc>
      </w:tr>
      <w:tr>
        <w:trPr>
          <w:trHeight w:val="27"/>
        </w:trPr>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Andrew W. Houston</w:t>
            </w:r>
          </w:p>
        </w:tc>
      </w:tr>
      <w:tr>
        <w:trPr>
          <w:trHeight w:val="270"/>
        </w:trPr>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62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500" w:type="dxa"/>
            <w:vAlign w:val="bottom"/>
          </w:tcPr>
          <w:p>
            <w:pPr>
              <w:ind w:left="140"/>
              <w:spacing w:after="0"/>
              <w:rPr>
                <w:sz w:val="20"/>
                <w:szCs w:val="20"/>
                <w:color w:val="auto"/>
              </w:rPr>
            </w:pPr>
            <w:r>
              <w:rPr>
                <w:rFonts w:ascii="Arial" w:cs="Arial" w:eastAsia="Arial" w:hAnsi="Arial"/>
                <w:sz w:val="18"/>
                <w:szCs w:val="18"/>
                <w:color w:val="auto"/>
              </w:rPr>
              <w:t>May 11, 2018</w:t>
            </w:r>
          </w:p>
        </w:tc>
        <w:tc>
          <w:tcPr>
            <w:tcW w:w="1360" w:type="dxa"/>
            <w:vAlign w:val="bottom"/>
          </w:tcPr>
          <w:p>
            <w:pPr>
              <w:ind w:left="360"/>
              <w:spacing w:after="0"/>
              <w:rPr>
                <w:sz w:val="20"/>
                <w:szCs w:val="20"/>
                <w:color w:val="auto"/>
              </w:rPr>
            </w:pPr>
            <w:r>
              <w:rPr>
                <w:rFonts w:ascii="Arial" w:cs="Arial" w:eastAsia="Arial" w:hAnsi="Arial"/>
                <w:sz w:val="18"/>
                <w:szCs w:val="18"/>
                <w:color w:val="auto"/>
              </w:rPr>
              <w:t>By:</w:t>
            </w:r>
          </w:p>
        </w:tc>
        <w:tc>
          <w:tcPr>
            <w:tcW w:w="7980" w:type="dxa"/>
            <w:vAlign w:val="bottom"/>
          </w:tcPr>
          <w:p>
            <w:pPr>
              <w:ind w:left="20"/>
              <w:spacing w:after="0"/>
              <w:rPr>
                <w:sz w:val="20"/>
                <w:szCs w:val="20"/>
                <w:color w:val="auto"/>
              </w:rPr>
            </w:pPr>
            <w:r>
              <w:rPr>
                <w:rFonts w:ascii="Arial" w:cs="Arial" w:eastAsia="Arial" w:hAnsi="Arial"/>
                <w:sz w:val="18"/>
                <w:szCs w:val="18"/>
                <w:color w:val="auto"/>
              </w:rPr>
              <w:t>/s/ Ajay V. Vashee</w:t>
            </w:r>
          </w:p>
        </w:tc>
      </w:tr>
      <w:tr>
        <w:trPr>
          <w:trHeight w:val="27"/>
        </w:trPr>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Ajay V. Vashee</w:t>
            </w:r>
          </w:p>
        </w:tc>
      </w:tr>
      <w:tr>
        <w:trPr>
          <w:trHeight w:val="270"/>
        </w:trPr>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62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500" w:type="dxa"/>
            <w:vAlign w:val="bottom"/>
          </w:tcPr>
          <w:p>
            <w:pPr>
              <w:ind w:left="140"/>
              <w:spacing w:after="0"/>
              <w:rPr>
                <w:sz w:val="20"/>
                <w:szCs w:val="20"/>
                <w:color w:val="auto"/>
              </w:rPr>
            </w:pPr>
            <w:r>
              <w:rPr>
                <w:rFonts w:ascii="Arial" w:cs="Arial" w:eastAsia="Arial" w:hAnsi="Arial"/>
                <w:sz w:val="18"/>
                <w:szCs w:val="18"/>
                <w:color w:val="auto"/>
              </w:rPr>
              <w:t>May 11, 2018</w:t>
            </w:r>
          </w:p>
        </w:tc>
        <w:tc>
          <w:tcPr>
            <w:tcW w:w="1360" w:type="dxa"/>
            <w:vAlign w:val="bottom"/>
          </w:tcPr>
          <w:p>
            <w:pPr>
              <w:ind w:left="360"/>
              <w:spacing w:after="0"/>
              <w:rPr>
                <w:sz w:val="20"/>
                <w:szCs w:val="20"/>
                <w:color w:val="auto"/>
              </w:rPr>
            </w:pPr>
            <w:r>
              <w:rPr>
                <w:rFonts w:ascii="Arial" w:cs="Arial" w:eastAsia="Arial" w:hAnsi="Arial"/>
                <w:sz w:val="18"/>
                <w:szCs w:val="18"/>
                <w:color w:val="auto"/>
              </w:rPr>
              <w:t>By:</w:t>
            </w:r>
          </w:p>
        </w:tc>
        <w:tc>
          <w:tcPr>
            <w:tcW w:w="7980" w:type="dxa"/>
            <w:vAlign w:val="bottom"/>
          </w:tcPr>
          <w:p>
            <w:pPr>
              <w:ind w:left="20"/>
              <w:spacing w:after="0"/>
              <w:rPr>
                <w:sz w:val="20"/>
                <w:szCs w:val="20"/>
                <w:color w:val="auto"/>
              </w:rPr>
            </w:pPr>
            <w:r>
              <w:rPr>
                <w:rFonts w:ascii="Arial" w:cs="Arial" w:eastAsia="Arial" w:hAnsi="Arial"/>
                <w:sz w:val="18"/>
                <w:szCs w:val="18"/>
                <w:color w:val="auto"/>
              </w:rPr>
              <w:t>/s/ Timothy J. Regan</w:t>
            </w:r>
          </w:p>
        </w:tc>
      </w:tr>
      <w:tr>
        <w:trPr>
          <w:trHeight w:val="27"/>
        </w:trPr>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Timothy J. Regan</w:t>
            </w:r>
          </w:p>
        </w:tc>
      </w:tr>
      <w:tr>
        <w:trPr>
          <w:trHeight w:val="270"/>
        </w:trPr>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40"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ind w:left="3240"/>
        <w:spacing w:after="0"/>
        <w:rPr>
          <w:sz w:val="20"/>
          <w:szCs w:val="20"/>
          <w:color w:val="auto"/>
        </w:rPr>
      </w:pPr>
      <w:r>
        <w:rPr>
          <w:rFonts w:ascii="Arial" w:cs="Arial" w:eastAsia="Arial" w:hAnsi="Arial"/>
          <w:sz w:val="22"/>
          <w:szCs w:val="22"/>
          <w:b w:val="1"/>
          <w:bCs w:val="1"/>
          <w:color w:val="auto"/>
        </w:rPr>
        <w:t>RESTATED CERTIFICATE OF INCORPORATION</w:t>
      </w:r>
    </w:p>
    <w:p>
      <w:pPr>
        <w:spacing w:after="0" w:line="220"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DROPBOX, INC.</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Dropbox, Inc., a Delaware corporation, hereby certifies that:</w:t>
      </w:r>
    </w:p>
    <w:p>
      <w:pPr>
        <w:spacing w:after="0" w:line="220" w:lineRule="exact"/>
        <w:rPr>
          <w:sz w:val="20"/>
          <w:szCs w:val="20"/>
          <w:color w:val="auto"/>
        </w:rPr>
      </w:pPr>
    </w:p>
    <w:p>
      <w:pPr>
        <w:ind w:right="180" w:firstLine="656"/>
        <w:spacing w:after="0" w:line="253" w:lineRule="auto"/>
        <w:tabs>
          <w:tab w:leader="none" w:pos="1459"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name of the corporation is Dropbox, Inc. The date of filing its original Certificate of Incorporation with the Secretary of State of the State of Delaware was May 8, 2007. The corporation was originally incorporated under the name Evenflow, Inc.</w:t>
      </w:r>
    </w:p>
    <w:p>
      <w:pPr>
        <w:spacing w:after="0" w:line="185" w:lineRule="exact"/>
        <w:rPr>
          <w:rFonts w:ascii="Arial" w:cs="Arial" w:eastAsia="Arial" w:hAnsi="Arial"/>
          <w:sz w:val="22"/>
          <w:szCs w:val="22"/>
          <w:color w:val="auto"/>
        </w:rPr>
      </w:pPr>
    </w:p>
    <w:p>
      <w:pPr>
        <w:ind w:firstLine="656"/>
        <w:spacing w:after="0" w:line="264" w:lineRule="auto"/>
        <w:tabs>
          <w:tab w:leader="none" w:pos="990"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This Restated Certificate of Incorporation of the corporation attached hereto as </w:t>
      </w:r>
      <w:r>
        <w:rPr>
          <w:rFonts w:ascii="Arial" w:cs="Arial" w:eastAsia="Arial" w:hAnsi="Arial"/>
          <w:sz w:val="21"/>
          <w:szCs w:val="21"/>
          <w:u w:val="single" w:color="auto"/>
          <w:color w:val="auto"/>
        </w:rPr>
        <w:t>Exhibit “1”</w:t>
      </w:r>
      <w:r>
        <w:rPr>
          <w:rFonts w:ascii="Arial" w:cs="Arial" w:eastAsia="Arial" w:hAnsi="Arial"/>
          <w:sz w:val="21"/>
          <w:szCs w:val="21"/>
          <w:color w:val="auto"/>
        </w:rPr>
        <w:t>, which is incorporated herein by this reference, and which restates, integrates and further amends the provisions of the Certificate of Incorporation of this corporation as heretofore amended and/or restated, has been duly adopted by the corporation’s Board of Directors and by the stockholders in accordance with Sections 242 and 245 of the General Corporation Law of the State of Delaware, with the approval of the corporation’s stockholders having been given by written consent without a meeting in accordance with Section 228 of the General Corporation Law of the State of Delaware.</w:t>
      </w:r>
    </w:p>
    <w:p>
      <w:pPr>
        <w:spacing w:after="0" w:line="175"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IN WITNESS WHEREOF, the corporation has caused this Restated Certificate of Incorporation to be signed by its duly authorized officer and the foregoing facts stated herein are true and correct.</w:t>
      </w: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960" w:type="dxa"/>
            <w:vAlign w:val="bottom"/>
          </w:tcPr>
          <w:p>
            <w:pPr>
              <w:spacing w:after="0"/>
              <w:rPr>
                <w:sz w:val="20"/>
                <w:szCs w:val="20"/>
                <w:color w:val="auto"/>
              </w:rPr>
            </w:pPr>
            <w:r>
              <w:rPr>
                <w:rFonts w:ascii="Arial" w:cs="Arial" w:eastAsia="Arial" w:hAnsi="Arial"/>
                <w:sz w:val="22"/>
                <w:szCs w:val="22"/>
                <w:color w:val="auto"/>
              </w:rPr>
              <w:t>Dated: March 27, 2018</w:t>
            </w:r>
          </w:p>
        </w:tc>
        <w:tc>
          <w:tcPr>
            <w:tcW w:w="6980" w:type="dxa"/>
            <w:vAlign w:val="bottom"/>
            <w:gridSpan w:val="2"/>
          </w:tcPr>
          <w:p>
            <w:pPr>
              <w:ind w:left="1980"/>
              <w:spacing w:after="0"/>
              <w:rPr>
                <w:sz w:val="20"/>
                <w:szCs w:val="20"/>
                <w:color w:val="auto"/>
              </w:rPr>
            </w:pPr>
            <w:r>
              <w:rPr>
                <w:rFonts w:ascii="Arial" w:cs="Arial" w:eastAsia="Arial" w:hAnsi="Arial"/>
                <w:sz w:val="22"/>
                <w:szCs w:val="22"/>
                <w:b w:val="1"/>
                <w:bCs w:val="1"/>
                <w:color w:val="auto"/>
              </w:rPr>
              <w:t>DROPBOX, INC.</w:t>
            </w:r>
          </w:p>
        </w:tc>
      </w:tr>
      <w:tr>
        <w:trPr>
          <w:trHeight w:val="848"/>
        </w:trPr>
        <w:tc>
          <w:tcPr>
            <w:tcW w:w="3960" w:type="dxa"/>
            <w:vAlign w:val="bottom"/>
          </w:tcPr>
          <w:p>
            <w:pPr>
              <w:spacing w:after="0"/>
              <w:rPr>
                <w:sz w:val="24"/>
                <w:szCs w:val="24"/>
                <w:color w:val="auto"/>
              </w:rPr>
            </w:pPr>
          </w:p>
        </w:tc>
        <w:tc>
          <w:tcPr>
            <w:tcW w:w="2860" w:type="dxa"/>
            <w:vAlign w:val="bottom"/>
          </w:tcPr>
          <w:p>
            <w:pPr>
              <w:ind w:left="1980"/>
              <w:spacing w:after="0"/>
              <w:rPr>
                <w:sz w:val="20"/>
                <w:szCs w:val="20"/>
                <w:color w:val="auto"/>
              </w:rPr>
            </w:pPr>
            <w:r>
              <w:rPr>
                <w:rFonts w:ascii="Arial" w:cs="Arial" w:eastAsia="Arial" w:hAnsi="Arial"/>
                <w:sz w:val="22"/>
                <w:szCs w:val="2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Andrew Houston</w:t>
            </w:r>
          </w:p>
        </w:tc>
      </w:tr>
      <w:tr>
        <w:trPr>
          <w:trHeight w:val="831"/>
        </w:trPr>
        <w:tc>
          <w:tcPr>
            <w:tcW w:w="3960" w:type="dxa"/>
            <w:vAlign w:val="bottom"/>
          </w:tcPr>
          <w:p>
            <w:pPr>
              <w:spacing w:after="0"/>
              <w:rPr>
                <w:sz w:val="24"/>
                <w:szCs w:val="24"/>
                <w:color w:val="auto"/>
              </w:rPr>
            </w:pPr>
          </w:p>
        </w:tc>
        <w:tc>
          <w:tcPr>
            <w:tcW w:w="2860" w:type="dxa"/>
            <w:vAlign w:val="bottom"/>
          </w:tcPr>
          <w:p>
            <w:pPr>
              <w:ind w:left="1980"/>
              <w:spacing w:after="0"/>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Andrew Houston</w:t>
            </w:r>
          </w:p>
        </w:tc>
      </w:tr>
      <w:tr>
        <w:trPr>
          <w:trHeight w:val="831"/>
        </w:trPr>
        <w:tc>
          <w:tcPr>
            <w:tcW w:w="3960" w:type="dxa"/>
            <w:vAlign w:val="bottom"/>
          </w:tcPr>
          <w:p>
            <w:pPr>
              <w:spacing w:after="0"/>
              <w:rPr>
                <w:sz w:val="24"/>
                <w:szCs w:val="24"/>
                <w:color w:val="auto"/>
              </w:rPr>
            </w:pPr>
          </w:p>
        </w:tc>
        <w:tc>
          <w:tcPr>
            <w:tcW w:w="2860" w:type="dxa"/>
            <w:vAlign w:val="bottom"/>
          </w:tcPr>
          <w:p>
            <w:pPr>
              <w:ind w:left="1980"/>
              <w:spacing w:after="0"/>
              <w:rPr>
                <w:sz w:val="20"/>
                <w:szCs w:val="20"/>
                <w:color w:val="auto"/>
              </w:rPr>
            </w:pPr>
            <w:r>
              <w:rPr>
                <w:rFonts w:ascii="Arial" w:cs="Arial" w:eastAsia="Arial" w:hAnsi="Arial"/>
                <w:sz w:val="22"/>
                <w:szCs w:val="22"/>
                <w:color w:val="auto"/>
              </w:rPr>
              <w:t>Title:</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Chief Executive Officer</w:t>
            </w:r>
          </w:p>
        </w:tc>
      </w:tr>
    </w:tbl>
    <w:p>
      <w:pPr>
        <w:sectPr>
          <w:pgSz w:w="11900" w:h="16838" w:orient="portrait"/>
          <w:cols w:equalWidth="0" w:num="1">
            <w:col w:w="11300"/>
          </w:cols>
          <w:pgMar w:left="240" w:top="841" w:right="359" w:bottom="1440" w:gutter="0" w:footer="0" w:header="0"/>
        </w:sectPr>
      </w:pPr>
    </w:p>
    <w:bookmarkStart w:id="79" w:name="page80"/>
    <w:bookmarkEnd w:id="79"/>
    <w:p>
      <w:pPr>
        <w:ind w:left="5060"/>
        <w:spacing w:after="0"/>
        <w:rPr>
          <w:sz w:val="20"/>
          <w:szCs w:val="20"/>
          <w:color w:val="auto"/>
        </w:rPr>
      </w:pPr>
      <w:r>
        <w:rPr>
          <w:rFonts w:ascii="Arial" w:cs="Arial" w:eastAsia="Arial" w:hAnsi="Arial"/>
          <w:sz w:val="22"/>
          <w:szCs w:val="22"/>
          <w:b w:val="1"/>
          <w:bCs w:val="1"/>
          <w:color w:val="auto"/>
        </w:rPr>
        <w:t>EXHIBIT “1”</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RESTATED CERTIFICATE OF INCORPORATION</w:t>
      </w:r>
    </w:p>
    <w:p>
      <w:pPr>
        <w:spacing w:after="0" w:line="220"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DROPBOX, INC.</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I</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Dropbox, Inc. (the “</w:t>
      </w:r>
      <w:r>
        <w:rPr>
          <w:rFonts w:ascii="Arial" w:cs="Arial" w:eastAsia="Arial" w:hAnsi="Arial"/>
          <w:sz w:val="22"/>
          <w:szCs w:val="22"/>
          <w:b w:val="1"/>
          <w:bCs w:val="1"/>
          <w:i w:val="1"/>
          <w:iCs w:val="1"/>
          <w:color w:val="auto"/>
        </w:rPr>
        <w:t>Corporation</w:t>
      </w:r>
      <w:r>
        <w:rPr>
          <w:rFonts w:ascii="Arial" w:cs="Arial" w:eastAsia="Arial" w:hAnsi="Arial"/>
          <w:sz w:val="22"/>
          <w:szCs w:val="22"/>
          <w:color w:val="auto"/>
        </w:rPr>
        <w:t>”).</w:t>
      </w:r>
    </w:p>
    <w:p>
      <w:pPr>
        <w:spacing w:after="0" w:line="214"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II</w:t>
      </w:r>
    </w:p>
    <w:p>
      <w:pPr>
        <w:spacing w:after="0" w:line="226" w:lineRule="exact"/>
        <w:rPr>
          <w:sz w:val="20"/>
          <w:szCs w:val="20"/>
          <w:color w:val="auto"/>
        </w:rPr>
      </w:pPr>
    </w:p>
    <w:p>
      <w:pPr>
        <w:ind w:right="120" w:firstLine="648"/>
        <w:spacing w:after="0" w:line="343" w:lineRule="auto"/>
        <w:rPr>
          <w:sz w:val="20"/>
          <w:szCs w:val="20"/>
          <w:color w:val="auto"/>
        </w:rPr>
      </w:pPr>
      <w:r>
        <w:rPr>
          <w:rFonts w:ascii="Arial" w:cs="Arial" w:eastAsia="Arial" w:hAnsi="Arial"/>
          <w:sz w:val="19"/>
          <w:szCs w:val="19"/>
          <w:color w:val="auto"/>
        </w:rPr>
        <w:t>The address of the registered office of the Corporation in the State of Delaware is 251 Little Falls Drive, Wilmington, New Castle County, Delaware 19808. The name of its registered agent at such address is Corporation Service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26" w:lineRule="exact"/>
        <w:rPr>
          <w:sz w:val="20"/>
          <w:szCs w:val="20"/>
          <w:color w:val="auto"/>
        </w:rPr>
      </w:pPr>
    </w:p>
    <w:p>
      <w:pPr>
        <w:ind w:right="280" w:firstLine="648"/>
        <w:spacing w:after="0" w:line="287" w:lineRule="auto"/>
        <w:rPr>
          <w:sz w:val="20"/>
          <w:szCs w:val="20"/>
          <w:color w:val="auto"/>
        </w:rPr>
      </w:pPr>
      <w:r>
        <w:rPr>
          <w:rFonts w:ascii="Arial" w:cs="Arial" w:eastAsia="Arial" w:hAnsi="Arial"/>
          <w:sz w:val="21"/>
          <w:szCs w:val="21"/>
          <w:color w:val="auto"/>
        </w:rPr>
        <w:t>The purpose of the Corporation is to engage in any lawful act or activity for which a corporation may be organized under the General Corporation Law of the State of Delaware (the “</w:t>
      </w:r>
      <w:r>
        <w:rPr>
          <w:rFonts w:ascii="Arial" w:cs="Arial" w:eastAsia="Arial" w:hAnsi="Arial"/>
          <w:sz w:val="21"/>
          <w:szCs w:val="21"/>
          <w:b w:val="1"/>
          <w:bCs w:val="1"/>
          <w:i w:val="1"/>
          <w:iCs w:val="1"/>
          <w:color w:val="auto"/>
        </w:rPr>
        <w:t>Delaware General Corporation Law</w:t>
      </w:r>
      <w:r>
        <w:rPr>
          <w:rFonts w:ascii="Arial" w:cs="Arial" w:eastAsia="Arial" w:hAnsi="Arial"/>
          <w:sz w:val="21"/>
          <w:szCs w:val="21"/>
          <w:color w:val="auto"/>
        </w:rPr>
        <w: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2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This Corporation is authorized to issue two classes of stock to be designated, respectively,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Preferred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Stock</w:t>
      </w:r>
      <w:r>
        <w:rPr>
          <w:rFonts w:ascii="Arial" w:cs="Arial" w:eastAsia="Arial" w:hAnsi="Arial"/>
          <w:sz w:val="19"/>
          <w:szCs w:val="19"/>
          <w:color w:val="auto"/>
        </w:rPr>
        <w:t>. The total number of shares of Common Stock authorized to be issued is 3,675,000,000, 2,400,000,000 shares of which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designated Class A Common Stock, par value $0.00001 per share (the “</w:t>
      </w:r>
      <w:r>
        <w:rPr>
          <w:rFonts w:ascii="Arial" w:cs="Arial" w:eastAsia="Arial" w:hAnsi="Arial"/>
          <w:sz w:val="19"/>
          <w:szCs w:val="19"/>
          <w:b w:val="1"/>
          <w:bCs w:val="1"/>
          <w:i w:val="1"/>
          <w:iCs w:val="1"/>
          <w:color w:val="auto"/>
        </w:rPr>
        <w:t>Class A Common Stock</w:t>
      </w:r>
      <w:r>
        <w:rPr>
          <w:rFonts w:ascii="Arial" w:cs="Arial" w:eastAsia="Arial" w:hAnsi="Arial"/>
          <w:sz w:val="19"/>
          <w:szCs w:val="19"/>
          <w:color w:val="auto"/>
        </w:rPr>
        <w:t>”), 475,000,000 shares of which are designated Class B Common Stock, par value $0.00001 per share (the “</w:t>
      </w:r>
      <w:r>
        <w:rPr>
          <w:rFonts w:ascii="Arial" w:cs="Arial" w:eastAsia="Arial" w:hAnsi="Arial"/>
          <w:sz w:val="19"/>
          <w:szCs w:val="19"/>
          <w:b w:val="1"/>
          <w:bCs w:val="1"/>
          <w:i w:val="1"/>
          <w:iCs w:val="1"/>
          <w:color w:val="auto"/>
        </w:rPr>
        <w:t>Class B Common Stock</w:t>
      </w:r>
      <w:r>
        <w:rPr>
          <w:rFonts w:ascii="Arial" w:cs="Arial" w:eastAsia="Arial" w:hAnsi="Arial"/>
          <w:sz w:val="19"/>
          <w:szCs w:val="19"/>
          <w:color w:val="auto"/>
        </w:rPr>
        <w:t>”) and 800,000,000 shares of which are designated Class C Common Stock, par value $0.00001 per share (the “</w:t>
      </w:r>
      <w:r>
        <w:rPr>
          <w:rFonts w:ascii="Arial" w:cs="Arial" w:eastAsia="Arial" w:hAnsi="Arial"/>
          <w:sz w:val="19"/>
          <w:szCs w:val="19"/>
          <w:b w:val="1"/>
          <w:bCs w:val="1"/>
          <w:i w:val="1"/>
          <w:iCs w:val="1"/>
          <w:color w:val="auto"/>
        </w:rPr>
        <w:t>Class C Common Stock</w:t>
      </w:r>
      <w:r>
        <w:rPr>
          <w:rFonts w:ascii="Arial" w:cs="Arial" w:eastAsia="Arial" w:hAnsi="Arial"/>
          <w:sz w:val="19"/>
          <w:szCs w:val="19"/>
          <w:color w:val="auto"/>
        </w:rPr>
        <w:t>”). The total number of shares of Preferred Stock authorized to be issued is 240,000,000 shares, par value $0.00001 per share.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The rights, powers, preferences, privileges, restrictions and other matters relating to the Common Stock are as follows:</w:t>
      </w:r>
    </w:p>
    <w:p>
      <w:pPr>
        <w:spacing w:after="0" w:line="231"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Article V, the following definitions apply;</w:t>
      </w:r>
    </w:p>
    <w:p>
      <w:pPr>
        <w:spacing w:after="0" w:line="233" w:lineRule="exact"/>
        <w:rPr>
          <w:sz w:val="20"/>
          <w:szCs w:val="20"/>
          <w:color w:val="auto"/>
        </w:rPr>
      </w:pPr>
    </w:p>
    <w:p>
      <w:pPr>
        <w:ind w:right="60" w:firstLine="648"/>
        <w:spacing w:after="0" w:line="254" w:lineRule="auto"/>
        <w:rPr>
          <w:sz w:val="20"/>
          <w:szCs w:val="20"/>
          <w:color w:val="auto"/>
        </w:rPr>
      </w:pPr>
      <w:r>
        <w:rPr>
          <w:rFonts w:ascii="Arial" w:cs="Arial" w:eastAsia="Arial" w:hAnsi="Arial"/>
          <w:sz w:val="22"/>
          <w:szCs w:val="22"/>
          <w:color w:val="auto"/>
        </w:rPr>
        <w:t>1.1 “</w:t>
      </w:r>
      <w:r>
        <w:rPr>
          <w:rFonts w:ascii="Arial" w:cs="Arial" w:eastAsia="Arial" w:hAnsi="Arial"/>
          <w:sz w:val="22"/>
          <w:szCs w:val="22"/>
          <w:b w:val="1"/>
          <w:bCs w:val="1"/>
          <w:i w:val="1"/>
          <w:iCs w:val="1"/>
          <w:color w:val="auto"/>
        </w:rPr>
        <w:t>Acquisition</w:t>
      </w:r>
      <w:r>
        <w:rPr>
          <w:rFonts w:ascii="Arial" w:cs="Arial" w:eastAsia="Arial" w:hAnsi="Arial"/>
          <w:sz w:val="22"/>
          <w:szCs w:val="22"/>
          <w:color w:val="auto"/>
        </w:rPr>
        <w:t>” means (A)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38068828.2</w:t>
      </w:r>
    </w:p>
    <w:p>
      <w:pPr>
        <w:sectPr>
          <w:pgSz w:w="11900" w:h="16838" w:orient="portrait"/>
          <w:cols w:equalWidth="0" w:num="1">
            <w:col w:w="11400"/>
          </w:cols>
          <w:pgMar w:left="240" w:top="841" w:right="259" w:bottom="1440" w:gutter="0" w:footer="0" w:header="0"/>
        </w:sectPr>
      </w:pPr>
    </w:p>
    <w:bookmarkStart w:id="80" w:name="page81"/>
    <w:bookmarkEnd w:id="80"/>
    <w:p>
      <w:pPr>
        <w:spacing w:after="0" w:line="258" w:lineRule="auto"/>
        <w:rPr>
          <w:sz w:val="20"/>
          <w:szCs w:val="20"/>
          <w:color w:val="auto"/>
        </w:rPr>
      </w:pPr>
      <w:r>
        <w:rPr>
          <w:rFonts w:ascii="Arial" w:cs="Arial" w:eastAsia="Arial" w:hAnsi="Arial"/>
          <w:sz w:val="21"/>
          <w:szCs w:val="21"/>
          <w:color w:val="auto"/>
        </w:rPr>
        <w:t>the voting power of the surviving entity (or, if the surviving entity is a wholly owned subsidiary, its Parent) immediately after such consolidation, merger or reorganization (provided that, for the purpose of this Section V.1.1,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(B) any transaction or series of related transactions to which the Corporation is a party in which shares of the Corporation are transferred such 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w:t>
      </w:r>
    </w:p>
    <w:p>
      <w:pPr>
        <w:spacing w:after="0" w:line="186" w:lineRule="exact"/>
        <w:rPr>
          <w:sz w:val="20"/>
          <w:szCs w:val="20"/>
          <w:color w:val="auto"/>
        </w:rPr>
      </w:pPr>
    </w:p>
    <w:p>
      <w:pPr>
        <w:ind w:right="260" w:firstLine="648"/>
        <w:spacing w:after="0" w:line="276" w:lineRule="auto"/>
        <w:rPr>
          <w:sz w:val="20"/>
          <w:szCs w:val="20"/>
          <w:color w:val="auto"/>
        </w:rPr>
      </w:pPr>
      <w:r>
        <w:rPr>
          <w:rFonts w:ascii="Arial" w:cs="Arial" w:eastAsia="Arial" w:hAnsi="Arial"/>
          <w:sz w:val="22"/>
          <w:szCs w:val="22"/>
          <w:color w:val="auto"/>
        </w:rPr>
        <w:t>1.2 “</w:t>
      </w:r>
      <w:r>
        <w:rPr>
          <w:rFonts w:ascii="Arial" w:cs="Arial" w:eastAsia="Arial" w:hAnsi="Arial"/>
          <w:sz w:val="22"/>
          <w:szCs w:val="22"/>
          <w:b w:val="1"/>
          <w:bCs w:val="1"/>
          <w:i w:val="1"/>
          <w:iCs w:val="1"/>
          <w:color w:val="auto"/>
        </w:rPr>
        <w:t>Amended and Restated Certificate</w:t>
      </w:r>
      <w:r>
        <w:rPr>
          <w:rFonts w:ascii="Arial" w:cs="Arial" w:eastAsia="Arial" w:hAnsi="Arial"/>
          <w:sz w:val="22"/>
          <w:szCs w:val="22"/>
          <w:color w:val="auto"/>
        </w:rPr>
        <w:t>” means this Restated Certificate of Incorporation of the Corporation, as may be amended.</w:t>
      </w:r>
    </w:p>
    <w:p>
      <w:pPr>
        <w:spacing w:after="0" w:line="161"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1.3 “</w:t>
      </w:r>
      <w:r>
        <w:rPr>
          <w:rFonts w:ascii="Arial" w:cs="Arial" w:eastAsia="Arial" w:hAnsi="Arial"/>
          <w:sz w:val="22"/>
          <w:szCs w:val="22"/>
          <w:b w:val="1"/>
          <w:bCs w:val="1"/>
          <w:i w:val="1"/>
          <w:iCs w:val="1"/>
          <w:color w:val="auto"/>
        </w:rPr>
        <w:t>Asset Transfer</w:t>
      </w:r>
      <w:r>
        <w:rPr>
          <w:rFonts w:ascii="Arial" w:cs="Arial" w:eastAsia="Arial" w:hAnsi="Arial"/>
          <w:sz w:val="22"/>
          <w:szCs w:val="22"/>
          <w:color w:val="auto"/>
        </w:rPr>
        <w:t>” means a sale, lease, exclusive license or other disposition of all or substantially all of the assets of the Corporation.</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means the Board of Directors of the Corporation.</w:t>
      </w:r>
    </w:p>
    <w:p>
      <w:pPr>
        <w:spacing w:after="0" w:line="233"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i w:val="1"/>
          <w:iCs w:val="1"/>
          <w:color w:val="auto"/>
        </w:rPr>
        <w:t>Controlled Company Exemption</w:t>
      </w:r>
      <w:r>
        <w:rPr>
          <w:rFonts w:ascii="Arial" w:cs="Arial" w:eastAsia="Arial" w:hAnsi="Arial"/>
          <w:sz w:val="22"/>
          <w:szCs w:val="22"/>
          <w:color w:val="auto"/>
        </w:rPr>
        <w:t>” means, if and to the extent otherwise applicable to the Corporation, the exemptions from the Listing Standards available to any company that constitutes a “controlled company” within the meaning of the Listing Standards.</w:t>
      </w:r>
    </w:p>
    <w:p>
      <w:pPr>
        <w:spacing w:after="0" w:line="177"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1.6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or “</w:t>
      </w:r>
      <w:r>
        <w:rPr>
          <w:rFonts w:ascii="Arial" w:cs="Arial" w:eastAsia="Arial" w:hAnsi="Arial"/>
          <w:sz w:val="19"/>
          <w:szCs w:val="19"/>
          <w:b w:val="1"/>
          <w:bCs w:val="1"/>
          <w:i w:val="1"/>
          <w:iCs w:val="1"/>
          <w:color w:val="auto"/>
        </w:rPr>
        <w:t>Disabled</w:t>
      </w:r>
      <w:r>
        <w:rPr>
          <w:rFonts w:ascii="Arial" w:cs="Arial" w:eastAsia="Arial" w:hAnsi="Arial"/>
          <w:sz w:val="19"/>
          <w:szCs w:val="19"/>
          <w:color w:val="auto"/>
        </w:rPr>
        <w:t>” means, with respect to a Founder, the permanent and total disability of such Founder such that such 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physician,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more shares of all classes of capital stock of the Corporation than any other revocable living trust created by such Founder shall make the selection on behalf of such Founder, or in absence of any such successor trustee, the legal guardian or conservator of the estate of such Founder shall make the selection on behalf of such Founder.</w:t>
      </w:r>
    </w:p>
    <w:p>
      <w:pPr>
        <w:spacing w:after="0" w:line="15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Final Conversion Date</w:t>
      </w:r>
      <w:r>
        <w:rPr>
          <w:rFonts w:ascii="Arial" w:cs="Arial" w:eastAsia="Arial" w:hAnsi="Arial"/>
          <w:sz w:val="19"/>
          <w:szCs w:val="19"/>
          <w:color w:val="auto"/>
        </w:rPr>
        <w:t>” means:</w:t>
      </w:r>
    </w:p>
    <w:p>
      <w:pPr>
        <w:spacing w:after="0" w:line="233" w:lineRule="exact"/>
        <w:rPr>
          <w:sz w:val="20"/>
          <w:szCs w:val="20"/>
          <w:color w:val="auto"/>
        </w:rPr>
      </w:pPr>
    </w:p>
    <w:p>
      <w:pPr>
        <w:ind w:right="340" w:firstLine="656"/>
        <w:spacing w:after="0" w:line="276" w:lineRule="auto"/>
        <w:tabs>
          <w:tab w:leader="none" w:pos="106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date specified by the holders of two-thirds of the then outstanding shares of Class B Common Stock, voting as a separate class;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47" w:right="239" w:bottom="1440" w:gutter="0" w:footer="0" w:header="0"/>
        </w:sectPr>
      </w:pPr>
    </w:p>
    <w:bookmarkStart w:id="81" w:name="page82"/>
    <w:bookmarkEnd w:id="81"/>
    <w:p>
      <w:pPr>
        <w:ind w:right="480" w:firstLine="656"/>
        <w:spacing w:after="0" w:line="301" w:lineRule="auto"/>
        <w:tabs>
          <w:tab w:leader="none" w:pos="10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first date on which the number of outstanding shares of Class B Common Stock represents less than 5% of the aggregate number of outstanding shares of Class A Common Stock and Class B Common Stock; or</w:t>
      </w:r>
    </w:p>
    <w:p>
      <w:pPr>
        <w:spacing w:after="0" w:line="137" w:lineRule="exact"/>
        <w:rPr>
          <w:rFonts w:ascii="Arial" w:cs="Arial" w:eastAsia="Arial" w:hAnsi="Arial"/>
          <w:sz w:val="21"/>
          <w:szCs w:val="21"/>
          <w:color w:val="auto"/>
        </w:rPr>
      </w:pPr>
    </w:p>
    <w:p>
      <w:pPr>
        <w:ind w:right="420" w:firstLine="656"/>
        <w:spacing w:after="0" w:line="278" w:lineRule="auto"/>
        <w:tabs>
          <w:tab w:leader="none" w:pos="1068"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date that is nine months after the death or Disability of the last to die or become Disabled of the Founders, provided, that such date may be extended but not for a total period of longer than eighteen (18) months from the last applicable death or Disability to a date approved by a majority of the Independent Directors then in office.</w:t>
      </w:r>
    </w:p>
    <w:p>
      <w:pPr>
        <w:spacing w:after="0" w:line="1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Founder</w:t>
      </w:r>
      <w:r>
        <w:rPr>
          <w:rFonts w:ascii="Arial" w:cs="Arial" w:eastAsia="Arial" w:hAnsi="Arial"/>
          <w:sz w:val="19"/>
          <w:szCs w:val="19"/>
          <w:color w:val="auto"/>
        </w:rPr>
        <w:t>” means either Andrew Houston or Arash Ferdowsi.</w:t>
      </w:r>
    </w:p>
    <w:p>
      <w:pPr>
        <w:spacing w:after="0" w:line="233" w:lineRule="exact"/>
        <w:rPr>
          <w:sz w:val="20"/>
          <w:szCs w:val="20"/>
          <w:color w:val="auto"/>
        </w:rPr>
      </w:pPr>
    </w:p>
    <w:p>
      <w:pPr>
        <w:ind w:right="80" w:firstLine="648"/>
        <w:spacing w:after="0" w:line="276" w:lineRule="auto"/>
        <w:rPr>
          <w:sz w:val="20"/>
          <w:szCs w:val="20"/>
          <w:color w:val="auto"/>
        </w:rPr>
      </w:pPr>
      <w:r>
        <w:rPr>
          <w:rFonts w:ascii="Arial" w:cs="Arial" w:eastAsia="Arial" w:hAnsi="Arial"/>
          <w:sz w:val="22"/>
          <w:szCs w:val="22"/>
          <w:color w:val="auto"/>
        </w:rPr>
        <w:t>1.9 “</w:t>
      </w:r>
      <w:r>
        <w:rPr>
          <w:rFonts w:ascii="Arial" w:cs="Arial" w:eastAsia="Arial" w:hAnsi="Arial"/>
          <w:sz w:val="22"/>
          <w:szCs w:val="22"/>
          <w:b w:val="1"/>
          <w:bCs w:val="1"/>
          <w:i w:val="1"/>
          <w:iCs w:val="1"/>
          <w:color w:val="auto"/>
        </w:rPr>
        <w:t>Independent Directors</w:t>
      </w:r>
      <w:r>
        <w:rPr>
          <w:rFonts w:ascii="Arial" w:cs="Arial" w:eastAsia="Arial" w:hAnsi="Arial"/>
          <w:sz w:val="22"/>
          <w:szCs w:val="22"/>
          <w:color w:val="auto"/>
        </w:rPr>
        <w:t>” means the members of the Board designated as independent directors in accordance with the Listing Standards.</w:t>
      </w:r>
    </w:p>
    <w:p>
      <w:pPr>
        <w:spacing w:after="0" w:line="161" w:lineRule="exact"/>
        <w:rPr>
          <w:sz w:val="20"/>
          <w:szCs w:val="20"/>
          <w:color w:val="auto"/>
        </w:rPr>
      </w:pPr>
    </w:p>
    <w:p>
      <w:pPr>
        <w:ind w:right="240" w:firstLine="648"/>
        <w:spacing w:after="0" w:line="260"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b w:val="1"/>
          <w:bCs w:val="1"/>
          <w:i w:val="1"/>
          <w:iCs w:val="1"/>
          <w:color w:val="auto"/>
        </w:rPr>
        <w:t>IPO Date</w:t>
      </w:r>
      <w:r>
        <w:rPr>
          <w:rFonts w:ascii="Arial" w:cs="Arial" w:eastAsia="Arial" w:hAnsi="Arial"/>
          <w:sz w:val="22"/>
          <w:szCs w:val="22"/>
          <w:color w:val="auto"/>
        </w:rPr>
        <w:t>” means the first date that shares of a class of the Corporation’s capital stock have been listed for trading on the New York Stock Exchange, NASDAQ Global Select Market or NASDAQ Global Market or any successor markets or exchanges (each, a “</w:t>
      </w:r>
      <w:r>
        <w:rPr>
          <w:rFonts w:ascii="Arial" w:cs="Arial" w:eastAsia="Arial" w:hAnsi="Arial"/>
          <w:sz w:val="22"/>
          <w:szCs w:val="22"/>
          <w:b w:val="1"/>
          <w:bCs w:val="1"/>
          <w:i w:val="1"/>
          <w:iCs w:val="1"/>
          <w:color w:val="auto"/>
        </w:rPr>
        <w:t>Securities Exchange</w:t>
      </w:r>
      <w:r>
        <w:rPr>
          <w:rFonts w:ascii="Arial" w:cs="Arial" w:eastAsia="Arial" w:hAnsi="Arial"/>
          <w:sz w:val="22"/>
          <w:szCs w:val="22"/>
          <w:color w:val="auto"/>
        </w:rPr>
        <w:t>”).</w:t>
      </w:r>
    </w:p>
    <w:p>
      <w:pPr>
        <w:spacing w:after="0" w:line="177" w:lineRule="exact"/>
        <w:rPr>
          <w:sz w:val="20"/>
          <w:szCs w:val="20"/>
          <w:color w:val="auto"/>
        </w:rPr>
      </w:pPr>
    </w:p>
    <w:p>
      <w:pPr>
        <w:ind w:right="500" w:firstLine="648"/>
        <w:spacing w:after="0" w:line="276"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b w:val="1"/>
          <w:bCs w:val="1"/>
          <w:i w:val="1"/>
          <w:iCs w:val="1"/>
          <w:color w:val="auto"/>
        </w:rPr>
        <w:t>Liquidation Event</w:t>
      </w:r>
      <w:r>
        <w:rPr>
          <w:rFonts w:ascii="Arial" w:cs="Arial" w:eastAsia="Arial" w:hAnsi="Arial"/>
          <w:sz w:val="22"/>
          <w:szCs w:val="22"/>
          <w:color w:val="auto"/>
        </w:rPr>
        <w:t>” means any liquidation, dissolution, or winding up of the Corporation, whether voluntary or involuntary, or any Acquisition or Asset Transfer.</w:t>
      </w:r>
    </w:p>
    <w:p>
      <w:pPr>
        <w:spacing w:after="0" w:line="161" w:lineRule="exact"/>
        <w:rPr>
          <w:sz w:val="20"/>
          <w:szCs w:val="20"/>
          <w:color w:val="auto"/>
        </w:rPr>
      </w:pPr>
    </w:p>
    <w:p>
      <w:pPr>
        <w:ind w:right="60" w:firstLine="648"/>
        <w:spacing w:after="0" w:line="270" w:lineRule="auto"/>
        <w:rPr>
          <w:sz w:val="20"/>
          <w:szCs w:val="20"/>
          <w:color w:val="auto"/>
        </w:rPr>
      </w:pPr>
      <w:r>
        <w:rPr>
          <w:rFonts w:ascii="Arial" w:cs="Arial" w:eastAsia="Arial" w:hAnsi="Arial"/>
          <w:sz w:val="21"/>
          <w:szCs w:val="21"/>
          <w:color w:val="auto"/>
        </w:rPr>
        <w:t>1.12 “</w:t>
      </w:r>
      <w:r>
        <w:rPr>
          <w:rFonts w:ascii="Arial" w:cs="Arial" w:eastAsia="Arial" w:hAnsi="Arial"/>
          <w:sz w:val="21"/>
          <w:szCs w:val="21"/>
          <w:b w:val="1"/>
          <w:bCs w:val="1"/>
          <w:i w:val="1"/>
          <w:iCs w:val="1"/>
          <w:color w:val="auto"/>
        </w:rPr>
        <w:t>Listing Standards</w:t>
      </w:r>
      <w:r>
        <w:rPr>
          <w:rFonts w:ascii="Arial" w:cs="Arial" w:eastAsia="Arial" w:hAnsi="Arial"/>
          <w:sz w:val="21"/>
          <w:szCs w:val="21"/>
          <w:color w:val="auto"/>
        </w:rPr>
        <w:t>” means (i) the requirements of any national stock exchange under which the Corporation’s equity 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169" w:lineRule="exact"/>
        <w:rPr>
          <w:sz w:val="20"/>
          <w:szCs w:val="20"/>
          <w:color w:val="auto"/>
        </w:rPr>
      </w:pPr>
    </w:p>
    <w:p>
      <w:pPr>
        <w:ind w:right="240" w:firstLine="648"/>
        <w:spacing w:after="0" w:line="276"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of an entity means any entity that directly or indirectly owns or controls a majority of the voting power of the voting securities of such entity.</w:t>
      </w:r>
    </w:p>
    <w:p>
      <w:pPr>
        <w:spacing w:after="0" w:line="161" w:lineRule="exact"/>
        <w:rPr>
          <w:sz w:val="20"/>
          <w:szCs w:val="20"/>
          <w:color w:val="auto"/>
        </w:rPr>
      </w:pPr>
    </w:p>
    <w:p>
      <w:pPr>
        <w:ind w:right="140" w:firstLine="648"/>
        <w:spacing w:after="0" w:line="320" w:lineRule="auto"/>
        <w:rPr>
          <w:sz w:val="20"/>
          <w:szCs w:val="20"/>
          <w:color w:val="auto"/>
        </w:rPr>
      </w:pPr>
      <w:r>
        <w:rPr>
          <w:rFonts w:ascii="Arial" w:cs="Arial" w:eastAsia="Arial" w:hAnsi="Arial"/>
          <w:sz w:val="19"/>
          <w:szCs w:val="19"/>
          <w:color w:val="auto"/>
        </w:rPr>
        <w:t>1.14 “</w:t>
      </w:r>
      <w:r>
        <w:rPr>
          <w:rFonts w:ascii="Arial" w:cs="Arial" w:eastAsia="Arial" w:hAnsi="Arial"/>
          <w:sz w:val="19"/>
          <w:szCs w:val="19"/>
          <w:b w:val="1"/>
          <w:bCs w:val="1"/>
          <w:i w:val="1"/>
          <w:iCs w:val="1"/>
          <w:color w:val="auto"/>
        </w:rPr>
        <w:t>Permitted Entity</w:t>
      </w:r>
      <w:r>
        <w:rPr>
          <w:rFonts w:ascii="Arial" w:cs="Arial" w:eastAsia="Arial" w:hAnsi="Arial"/>
          <w:sz w:val="19"/>
          <w:szCs w:val="19"/>
          <w:color w:val="auto"/>
        </w:rPr>
        <w:t>” means, with respect to any Qualified Stockholder , any trust, account, plan, corporation, partnership, or limited liability company specified in Section V.1.15(b) with respect to such Qualified Stockholder, so long as such Permitted Entity meets the requirements of the exception set forth in Section V.1.15 applicable to such Permitted Entity.</w:t>
      </w:r>
    </w:p>
    <w:p>
      <w:pPr>
        <w:spacing w:after="0" w:line="1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Transfer</w:t>
      </w:r>
      <w:r>
        <w:rPr>
          <w:rFonts w:ascii="Arial" w:cs="Arial" w:eastAsia="Arial" w:hAnsi="Arial"/>
          <w:sz w:val="19"/>
          <w:szCs w:val="19"/>
          <w:color w:val="auto"/>
        </w:rPr>
        <w:t>” means</w:t>
      </w:r>
    </w:p>
    <w:p>
      <w:pPr>
        <w:spacing w:after="0" w:line="233" w:lineRule="exact"/>
        <w:rPr>
          <w:sz w:val="20"/>
          <w:szCs w:val="20"/>
          <w:color w:val="auto"/>
        </w:rPr>
      </w:pPr>
    </w:p>
    <w:p>
      <w:pPr>
        <w:ind w:firstLine="656"/>
        <w:spacing w:after="0" w:line="260" w:lineRule="auto"/>
        <w:tabs>
          <w:tab w:leader="none" w:pos="1068" w:val="left"/>
        </w:tabs>
        <w:numPr>
          <w:ilvl w:val="0"/>
          <w:numId w:val="34"/>
        </w:numPr>
        <w:rPr>
          <w:rFonts w:ascii="Arial" w:cs="Arial" w:eastAsia="Arial" w:hAnsi="Arial"/>
          <w:sz w:val="22"/>
          <w:szCs w:val="22"/>
          <w:color w:val="auto"/>
        </w:rPr>
      </w:pPr>
      <w:r>
        <w:rPr>
          <w:rFonts w:ascii="Arial" w:cs="Arial" w:eastAsia="Arial" w:hAnsi="Arial"/>
          <w:sz w:val="22"/>
          <w:szCs w:val="22"/>
          <w:color w:val="auto"/>
        </w:rPr>
        <w:t>with respect to any Founder, a Transfer from such Founder, from such Founder’s Permitted Entities or from such Founder’s Permitted Transferees, to such Founder’s estate as a result of such Founder’s death, to either Founder, to either Founder’s Permitted Entities or to either Founder’s Permitted Transferees; and</w:t>
      </w:r>
    </w:p>
    <w:p>
      <w:pPr>
        <w:spacing w:after="0" w:line="177" w:lineRule="exact"/>
        <w:rPr>
          <w:rFonts w:ascii="Arial" w:cs="Arial" w:eastAsia="Arial" w:hAnsi="Arial"/>
          <w:sz w:val="22"/>
          <w:szCs w:val="22"/>
          <w:color w:val="auto"/>
        </w:rPr>
      </w:pPr>
    </w:p>
    <w:p>
      <w:pPr>
        <w:ind w:right="240" w:firstLine="656"/>
        <w:spacing w:after="0" w:line="260" w:lineRule="auto"/>
        <w:tabs>
          <w:tab w:leader="none" w:pos="10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82" w:name="page83"/>
    <w:bookmarkEnd w:id="82"/>
    <w:p>
      <w:pPr>
        <w:ind w:left="-20" w:right="120" w:firstLine="656"/>
        <w:spacing w:after="0" w:line="300" w:lineRule="auto"/>
        <w:tabs>
          <w:tab w:leader="none" w:pos="1012"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trust for the benefit of such Qualified Stockholder or persons other than the Qualified Stockholder so long as a Qualified Stockholder has sole dispositive power and exclusive Voting Control with respect to the shares of Class B Common Stock held by such trust;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47" w:lineRule="exact"/>
        <w:rPr>
          <w:rFonts w:ascii="Arial" w:cs="Arial" w:eastAsia="Arial" w:hAnsi="Arial"/>
          <w:sz w:val="19"/>
          <w:szCs w:val="19"/>
          <w:color w:val="auto"/>
        </w:rPr>
      </w:pPr>
    </w:p>
    <w:p>
      <w:pPr>
        <w:ind w:left="-20" w:firstLine="656"/>
        <w:spacing w:after="0" w:line="297" w:lineRule="auto"/>
        <w:tabs>
          <w:tab w:leader="none" w:pos="1072"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46" w:lineRule="exact"/>
        <w:rPr>
          <w:rFonts w:ascii="Arial" w:cs="Arial" w:eastAsia="Arial" w:hAnsi="Arial"/>
          <w:sz w:val="19"/>
          <w:szCs w:val="19"/>
          <w:color w:val="auto"/>
        </w:rPr>
      </w:pPr>
    </w:p>
    <w:p>
      <w:pPr>
        <w:ind w:left="-20" w:right="120" w:firstLine="656"/>
        <w:spacing w:after="0" w:line="248" w:lineRule="auto"/>
        <w:tabs>
          <w:tab w:leader="none" w:pos="1132"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convert into one (1) fully paid and nonassessable share of Class A Common Stock;</w:t>
      </w:r>
    </w:p>
    <w:p>
      <w:pPr>
        <w:spacing w:after="0" w:line="191" w:lineRule="exact"/>
        <w:rPr>
          <w:rFonts w:ascii="Arial" w:cs="Arial" w:eastAsia="Arial" w:hAnsi="Arial"/>
          <w:sz w:val="22"/>
          <w:szCs w:val="22"/>
          <w:color w:val="auto"/>
        </w:rPr>
      </w:pPr>
    </w:p>
    <w:p>
      <w:pPr>
        <w:ind w:left="-20" w:right="40" w:firstLine="656"/>
        <w:spacing w:after="0" w:line="294" w:lineRule="auto"/>
        <w:tabs>
          <w:tab w:leader="none" w:pos="11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152" w:lineRule="exact"/>
        <w:rPr>
          <w:rFonts w:ascii="Arial" w:cs="Arial" w:eastAsia="Arial" w:hAnsi="Arial"/>
          <w:sz w:val="19"/>
          <w:szCs w:val="19"/>
          <w:color w:val="auto"/>
        </w:rPr>
      </w:pPr>
    </w:p>
    <w:p>
      <w:pPr>
        <w:ind w:left="-20" w:right="80" w:firstLine="656"/>
        <w:spacing w:after="0" w:line="266" w:lineRule="auto"/>
        <w:tabs>
          <w:tab w:leader="none" w:pos="1060" w:val="left"/>
        </w:tabs>
        <w:numPr>
          <w:ilvl w:val="0"/>
          <w:numId w:val="35"/>
        </w:numPr>
        <w:rPr>
          <w:rFonts w:ascii="Arial" w:cs="Arial" w:eastAsia="Arial" w:hAnsi="Arial"/>
          <w:sz w:val="21"/>
          <w:szCs w:val="21"/>
          <w:color w:val="auto"/>
        </w:rPr>
      </w:pPr>
      <w:r>
        <w:rPr>
          <w:rFonts w:ascii="Arial" w:cs="Arial" w:eastAsia="Arial" w:hAnsi="Arial"/>
          <w:sz w:val="21"/>
          <w:szCs w:val="21"/>
          <w:color w:val="auto"/>
        </w:rPr>
        <w:t>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847" w:right="239" w:bottom="1440" w:gutter="0" w:footer="0" w:header="0"/>
        </w:sectPr>
      </w:pPr>
    </w:p>
    <w:bookmarkStart w:id="83" w:name="page84"/>
    <w:bookmarkEnd w:id="83"/>
    <w:p>
      <w:pPr>
        <w:jc w:val="both"/>
        <w:ind w:right="140"/>
        <w:spacing w:after="0" w:line="271" w:lineRule="auto"/>
        <w:rPr>
          <w:sz w:val="20"/>
          <w:szCs w:val="20"/>
          <w:color w:val="auto"/>
        </w:rPr>
      </w:pPr>
      <w:r>
        <w:rPr>
          <w:rFonts w:ascii="Arial" w:cs="Arial" w:eastAsia="Arial" w:hAnsi="Arial"/>
          <w:sz w:val="21"/>
          <w:szCs w:val="21"/>
          <w:color w:val="auto"/>
        </w:rPr>
        <w:t>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 or</w:t>
      </w:r>
    </w:p>
    <w:p>
      <w:pPr>
        <w:spacing w:after="0" w:line="168" w:lineRule="exact"/>
        <w:rPr>
          <w:sz w:val="20"/>
          <w:szCs w:val="20"/>
          <w:color w:val="auto"/>
        </w:rPr>
      </w:pPr>
    </w:p>
    <w:p>
      <w:pPr>
        <w:ind w:firstLine="656"/>
        <w:spacing w:after="0" w:line="292" w:lineRule="auto"/>
        <w:tabs>
          <w:tab w:leader="none" w:pos="11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156" w:lineRule="exact"/>
        <w:rPr>
          <w:sz w:val="20"/>
          <w:szCs w:val="20"/>
          <w:color w:val="auto"/>
        </w:rPr>
      </w:pPr>
    </w:p>
    <w:p>
      <w:pPr>
        <w:ind w:right="540" w:firstLine="648"/>
        <w:spacing w:after="0" w:line="253" w:lineRule="auto"/>
        <w:rPr>
          <w:sz w:val="20"/>
          <w:szCs w:val="20"/>
          <w:color w:val="auto"/>
        </w:rPr>
      </w:pPr>
      <w:r>
        <w:rPr>
          <w:rFonts w:ascii="Arial" w:cs="Arial" w:eastAsia="Arial" w:hAnsi="Arial"/>
          <w:sz w:val="22"/>
          <w:szCs w:val="22"/>
          <w:color w:val="auto"/>
        </w:rPr>
        <w:t>For the avoidance of doubt, to the extent any shares are deemed to be held by a trustee of a trust described in (i) or (ii) above, the Transfer shall be a Permitted Transfer and the trustee shall be deemed a Permitted Entity so long as the other requirements of (i) or (ii) above are otherwise satisfied.</w:t>
      </w:r>
    </w:p>
    <w:p>
      <w:pPr>
        <w:spacing w:after="0" w:line="186" w:lineRule="exact"/>
        <w:rPr>
          <w:sz w:val="20"/>
          <w:szCs w:val="20"/>
          <w:color w:val="auto"/>
        </w:rPr>
      </w:pPr>
    </w:p>
    <w:p>
      <w:pPr>
        <w:ind w:right="720" w:firstLine="648"/>
        <w:spacing w:after="0" w:line="276"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b w:val="1"/>
          <w:bCs w:val="1"/>
          <w:i w:val="1"/>
          <w:iCs w:val="1"/>
          <w:color w:val="auto"/>
        </w:rPr>
        <w:t>Permitted Transferee</w:t>
      </w:r>
      <w:r>
        <w:rPr>
          <w:rFonts w:ascii="Arial" w:cs="Arial" w:eastAsia="Arial" w:hAnsi="Arial"/>
          <w:sz w:val="22"/>
          <w:szCs w:val="22"/>
          <w:color w:val="auto"/>
        </w:rPr>
        <w:t>” means a transferee of shares of Class B Common Stock, or rights or interests therein, received in a Transfer that constitutes a Permitted Transfer.</w:t>
      </w:r>
    </w:p>
    <w:p>
      <w:pPr>
        <w:spacing w:after="0" w:line="161"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i w:val="1"/>
          <w:iCs w:val="1"/>
          <w:color w:val="auto"/>
        </w:rPr>
        <w:t>Qualified Stockholder</w:t>
      </w:r>
      <w:r>
        <w:rPr>
          <w:rFonts w:ascii="Arial" w:cs="Arial" w:eastAsia="Arial" w:hAnsi="Arial"/>
          <w:sz w:val="22"/>
          <w:szCs w:val="22"/>
          <w:color w:val="auto"/>
        </w:rPr>
        <w:t>” means (a) any registered holder of a share of Class B Common Stock immediately after the IPO Date; (b) the initial registered holder of any shares of Class B Common Stock that are originally issued by the Corporation after the IPO Date pursuant to the exercise or conversion of options or warrants or settlement of restricted stock units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that, in each case, are outstanding as the IPO Date; (c) a Permitted Transferee; and (d) the initial registered holder of any shares of Class B Common Stock that are originally issued by the Corporation after the IPO Date in compliance with this Amended and Restated Certificate.</w:t>
      </w:r>
    </w:p>
    <w:p>
      <w:pPr>
        <w:spacing w:after="0" w:line="188"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1.18 “</w:t>
      </w:r>
      <w:r>
        <w:rPr>
          <w:rFonts w:ascii="Arial" w:cs="Arial" w:eastAsia="Arial" w:hAnsi="Arial"/>
          <w:sz w:val="21"/>
          <w:szCs w:val="21"/>
          <w:b w:val="1"/>
          <w:bCs w:val="1"/>
          <w:i w:val="1"/>
          <w:iCs w:val="1"/>
          <w:color w:val="auto"/>
        </w:rPr>
        <w:t>Transfer</w:t>
      </w:r>
      <w:r>
        <w:rPr>
          <w:rFonts w:ascii="Arial" w:cs="Arial" w:eastAsia="Arial" w:hAnsi="Arial"/>
          <w:sz w:val="21"/>
          <w:szCs w:val="21"/>
          <w:color w:val="auto"/>
        </w:rPr>
        <w:t>” of a share of Class B Common Stock means,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Arial" w:cs="Arial" w:eastAsia="Arial" w:hAnsi="Arial"/>
          <w:sz w:val="21"/>
          <w:szCs w:val="21"/>
          <w:b w:val="1"/>
          <w:bCs w:val="1"/>
          <w:i w:val="1"/>
          <w:iCs w:val="1"/>
          <w:color w:val="auto"/>
        </w:rPr>
        <w:t>Transfer</w:t>
      </w:r>
      <w:r>
        <w:rPr>
          <w:rFonts w:ascii="Arial" w:cs="Arial" w:eastAsia="Arial" w:hAnsi="Arial"/>
          <w:sz w:val="21"/>
          <w:szCs w:val="21"/>
          <w:color w:val="auto"/>
        </w:rPr>
        <w:t>” will also be deemed to have occurred with respect to all shares of Class B Common Stock beneficially held by an entity that is a Qualified Stockholder, if after the IPO Date there is a Transfer of the voting power of the voting securities of such entity or any direct or indirect Parent of such entity, such that the previous holders of such voting power no longer retain sole dispositive power and exclusive Voting Control with respect to the shares of Class B Common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847" w:right="25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Stock held by such entity. Notwithstanding the foregoing, the following will not be considered a “</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w:t>
      </w:r>
    </w:p>
    <w:p>
      <w:pPr>
        <w:spacing w:after="0" w:line="220" w:lineRule="exact"/>
        <w:rPr>
          <w:sz w:val="20"/>
          <w:szCs w:val="20"/>
          <w:color w:val="auto"/>
        </w:rPr>
      </w:pPr>
    </w:p>
    <w:p>
      <w:pPr>
        <w:ind w:right="340" w:firstLine="656"/>
        <w:spacing w:after="0" w:line="260" w:lineRule="auto"/>
        <w:tabs>
          <w:tab w:leader="none" w:pos="1068" w:val="left"/>
        </w:tabs>
        <w:numPr>
          <w:ilvl w:val="0"/>
          <w:numId w:val="37"/>
        </w:numPr>
        <w:rPr>
          <w:rFonts w:ascii="Arial" w:cs="Arial" w:eastAsia="Arial" w:hAnsi="Arial"/>
          <w:sz w:val="22"/>
          <w:szCs w:val="22"/>
          <w:color w:val="auto"/>
        </w:rPr>
      </w:pPr>
      <w:r>
        <w:rPr>
          <w:rFonts w:ascii="Arial" w:cs="Arial" w:eastAsia="Arial" w:hAnsi="Arial"/>
          <w:sz w:val="22"/>
          <w:szCs w:val="22"/>
          <w:color w:val="auto"/>
        </w:rPr>
        <w:t>granting a revocable proxy to officers or directors of the Corporation at the request of the Board in connection with actions to be taken at an annual or special meeting of stockholders or in connection with any action by written consent of the stockholders solicited by the Board;</w:t>
      </w:r>
    </w:p>
    <w:p>
      <w:pPr>
        <w:spacing w:after="0" w:line="177" w:lineRule="exact"/>
        <w:rPr>
          <w:rFonts w:ascii="Arial" w:cs="Arial" w:eastAsia="Arial" w:hAnsi="Arial"/>
          <w:sz w:val="22"/>
          <w:szCs w:val="22"/>
          <w:color w:val="auto"/>
        </w:rPr>
      </w:pPr>
    </w:p>
    <w:p>
      <w:pPr>
        <w:ind w:firstLine="656"/>
        <w:spacing w:after="0" w:line="250" w:lineRule="auto"/>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 (ii) 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188" w:lineRule="exact"/>
        <w:rPr>
          <w:rFonts w:ascii="Arial" w:cs="Arial" w:eastAsia="Arial" w:hAnsi="Arial"/>
          <w:sz w:val="22"/>
          <w:szCs w:val="22"/>
          <w:color w:val="auto"/>
        </w:rPr>
      </w:pPr>
    </w:p>
    <w:p>
      <w:pPr>
        <w:ind w:right="160" w:firstLine="656"/>
        <w:spacing w:after="0" w:line="307" w:lineRule="auto"/>
        <w:tabs>
          <w:tab w:leader="none" w:pos="1068" w:val="left"/>
        </w:tabs>
        <w:numPr>
          <w:ilvl w:val="0"/>
          <w:numId w:val="37"/>
        </w:numPr>
        <w:rPr>
          <w:rFonts w:ascii="Arial" w:cs="Arial" w:eastAsia="Arial" w:hAnsi="Arial"/>
          <w:sz w:val="19"/>
          <w:szCs w:val="19"/>
          <w:color w:val="auto"/>
        </w:rPr>
      </w:pPr>
      <w:r>
        <w:rPr>
          <w:rFonts w:ascii="Arial" w:cs="Arial" w:eastAsia="Arial" w:hAnsi="Arial"/>
          <w:sz w:val="19"/>
          <w:szCs w:val="19"/>
          <w:color w:val="auto"/>
        </w:rPr>
        <w:t>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138" w:lineRule="exact"/>
        <w:rPr>
          <w:rFonts w:ascii="Arial" w:cs="Arial" w:eastAsia="Arial" w:hAnsi="Arial"/>
          <w:sz w:val="19"/>
          <w:szCs w:val="19"/>
          <w:color w:val="auto"/>
        </w:rPr>
      </w:pPr>
    </w:p>
    <w:p>
      <w:pPr>
        <w:jc w:val="both"/>
        <w:ind w:right="20" w:firstLine="656"/>
        <w:spacing w:after="0" w:line="254" w:lineRule="auto"/>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pacing w:after="0" w:line="185" w:lineRule="exact"/>
        <w:rPr>
          <w:rFonts w:ascii="Arial" w:cs="Arial" w:eastAsia="Arial" w:hAnsi="Arial"/>
          <w:sz w:val="22"/>
          <w:szCs w:val="22"/>
          <w:color w:val="auto"/>
        </w:rPr>
      </w:pPr>
    </w:p>
    <w:p>
      <w:pPr>
        <w:ind w:right="80" w:firstLine="656"/>
        <w:spacing w:after="0" w:line="264" w:lineRule="auto"/>
        <w:tabs>
          <w:tab w:leader="none" w:pos="1068" w:val="left"/>
        </w:tabs>
        <w:numPr>
          <w:ilvl w:val="0"/>
          <w:numId w:val="37"/>
        </w:numPr>
        <w:rPr>
          <w:rFonts w:ascii="Arial" w:cs="Arial" w:eastAsia="Arial" w:hAnsi="Arial"/>
          <w:sz w:val="21"/>
          <w:szCs w:val="21"/>
          <w:color w:val="auto"/>
        </w:rPr>
      </w:pPr>
      <w:r>
        <w:rPr>
          <w:rFonts w:ascii="Arial" w:cs="Arial" w:eastAsia="Arial" w:hAnsi="Arial"/>
          <w:sz w:val="21"/>
          <w:szCs w:val="21"/>
          <w:color w:val="auto"/>
        </w:rPr>
        <w:t>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(i) on the death of such Founder or (ii) during any Disability of such Founder, including the exercise of such proxy by such person;</w:t>
      </w:r>
    </w:p>
    <w:p>
      <w:pPr>
        <w:spacing w:after="0" w:line="175" w:lineRule="exact"/>
        <w:rPr>
          <w:rFonts w:ascii="Arial" w:cs="Arial" w:eastAsia="Arial" w:hAnsi="Arial"/>
          <w:sz w:val="21"/>
          <w:szCs w:val="21"/>
          <w:color w:val="auto"/>
        </w:rPr>
      </w:pPr>
    </w:p>
    <w:p>
      <w:pPr>
        <w:ind w:right="80" w:firstLine="656"/>
        <w:spacing w:after="0" w:line="260" w:lineRule="auto"/>
        <w:tabs>
          <w:tab w:leader="none" w:pos="1044" w:val="left"/>
        </w:tabs>
        <w:numPr>
          <w:ilvl w:val="0"/>
          <w:numId w:val="37"/>
        </w:numPr>
        <w:rPr>
          <w:rFonts w:ascii="Arial" w:cs="Arial" w:eastAsia="Arial" w:hAnsi="Arial"/>
          <w:sz w:val="22"/>
          <w:szCs w:val="22"/>
          <w:color w:val="auto"/>
        </w:rPr>
      </w:pPr>
      <w:r>
        <w:rPr>
          <w:rFonts w:ascii="Arial" w:cs="Arial" w:eastAsia="Arial" w:hAnsi="Arial"/>
          <w:sz w:val="22"/>
          <w:szCs w:val="22"/>
          <w:color w:val="auto"/>
        </w:rPr>
        <w:t>granting a proxy to, or entering into a voting arrangement with, one or more Founders to exercise Voting Control of shares of Class B Common Stock owned directly or indirectly, beneficially and of record by any holder of Class B Common Stock in a form approved by a majority of the Independent Directors then in office;</w:t>
      </w:r>
    </w:p>
    <w:p>
      <w:pPr>
        <w:spacing w:after="0" w:line="177" w:lineRule="exact"/>
        <w:rPr>
          <w:rFonts w:ascii="Arial" w:cs="Arial" w:eastAsia="Arial" w:hAnsi="Arial"/>
          <w:sz w:val="22"/>
          <w:szCs w:val="22"/>
          <w:color w:val="auto"/>
        </w:rPr>
      </w:pPr>
    </w:p>
    <w:p>
      <w:pPr>
        <w:ind w:right="260" w:firstLine="656"/>
        <w:spacing w:after="0" w:line="260" w:lineRule="auto"/>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60"/>
          </w:cols>
          <w:pgMar w:left="240" w:top="847" w:right="299" w:bottom="1440" w:gutter="0" w:footer="0" w:header="0"/>
        </w:sectPr>
      </w:pPr>
    </w:p>
    <w:bookmarkStart w:id="85" w:name="page86"/>
    <w:bookmarkEnd w:id="85"/>
    <w:p>
      <w:pPr>
        <w:ind w:right="40" w:firstLine="656"/>
        <w:spacing w:after="0" w:line="260" w:lineRule="auto"/>
        <w:tabs>
          <w:tab w:leader="none" w:pos="10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177" w:lineRule="exact"/>
        <w:rPr>
          <w:rFonts w:ascii="Arial" w:cs="Arial" w:eastAsia="Arial" w:hAnsi="Arial"/>
          <w:sz w:val="22"/>
          <w:szCs w:val="22"/>
          <w:color w:val="auto"/>
        </w:rPr>
      </w:pPr>
    </w:p>
    <w:p>
      <w:pPr>
        <w:ind w:right="180" w:firstLine="656"/>
        <w:spacing w:after="0" w:line="260" w:lineRule="auto"/>
        <w:tabs>
          <w:tab w:leader="none" w:pos="1032" w:val="left"/>
        </w:tabs>
        <w:numPr>
          <w:ilvl w:val="0"/>
          <w:numId w:val="38"/>
        </w:numPr>
        <w:rPr>
          <w:rFonts w:ascii="Arial" w:cs="Arial" w:eastAsia="Arial" w:hAnsi="Arial"/>
          <w:sz w:val="22"/>
          <w:szCs w:val="22"/>
          <w:color w:val="auto"/>
        </w:rPr>
      </w:pPr>
      <w:r>
        <w:rPr>
          <w:rFonts w:ascii="Arial" w:cs="Arial" w:eastAsia="Arial" w:hAnsi="Arial"/>
          <w:sz w:val="22"/>
          <w:szCs w:val="22"/>
          <w:color w:val="auto"/>
        </w:rPr>
        <w:t>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177" w:lineRule="exact"/>
        <w:rPr>
          <w:sz w:val="20"/>
          <w:szCs w:val="20"/>
          <w:color w:val="auto"/>
        </w:rPr>
      </w:pPr>
    </w:p>
    <w:p>
      <w:pPr>
        <w:ind w:right="320" w:firstLine="648"/>
        <w:spacing w:after="0" w:line="301" w:lineRule="auto"/>
        <w:rPr>
          <w:sz w:val="20"/>
          <w:szCs w:val="20"/>
          <w:color w:val="auto"/>
        </w:rPr>
      </w:pPr>
      <w:r>
        <w:rPr>
          <w:rFonts w:ascii="Arial" w:cs="Arial" w:eastAsia="Arial" w:hAnsi="Arial"/>
          <w:sz w:val="21"/>
          <w:szCs w:val="21"/>
          <w:color w:val="auto"/>
        </w:rPr>
        <w:t>1.19 “</w:t>
      </w:r>
      <w:r>
        <w:rPr>
          <w:rFonts w:ascii="Arial" w:cs="Arial" w:eastAsia="Arial" w:hAnsi="Arial"/>
          <w:sz w:val="21"/>
          <w:szCs w:val="21"/>
          <w:b w:val="1"/>
          <w:bCs w:val="1"/>
          <w:i w:val="1"/>
          <w:iCs w:val="1"/>
          <w:color w:val="auto"/>
        </w:rPr>
        <w:t>Voting Control</w:t>
      </w:r>
      <w:r>
        <w:rPr>
          <w:rFonts w:ascii="Arial" w:cs="Arial" w:eastAsia="Arial" w:hAnsi="Arial"/>
          <w:sz w:val="21"/>
          <w:szCs w:val="21"/>
          <w:color w:val="auto"/>
        </w:rPr>
        <w:t>” means, with respect to a share of capital stock or other security, the power (whether exclusive or shared) to vote or direct the voting of such security, including by proxy, voting agreement or otherwise.</w:t>
      </w:r>
    </w:p>
    <w:p>
      <w:pPr>
        <w:spacing w:after="0" w:line="137" w:lineRule="exact"/>
        <w:rPr>
          <w:sz w:val="20"/>
          <w:szCs w:val="20"/>
          <w:color w:val="auto"/>
        </w:rPr>
      </w:pPr>
    </w:p>
    <w:p>
      <w:pPr>
        <w:ind w:right="200" w:firstLine="648"/>
        <w:spacing w:after="0" w:line="260"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b w:val="1"/>
          <w:bCs w:val="1"/>
          <w:i w:val="1"/>
          <w:iCs w:val="1"/>
          <w:color w:val="auto"/>
        </w:rPr>
        <w:t>Voting Threshold Date</w:t>
      </w:r>
      <w:r>
        <w:rPr>
          <w:rFonts w:ascii="Arial" w:cs="Arial" w:eastAsia="Arial" w:hAnsi="Arial"/>
          <w:sz w:val="22"/>
          <w:szCs w:val="22"/>
          <w:color w:val="auto"/>
        </w:rPr>
        <w:t>” means the first date on which the outstanding shares of Class B Common Stock represent less than a majority of the total voting power of the then outstanding shares of the Corporation entitled to vote generally in the election of directors.</w:t>
      </w:r>
    </w:p>
    <w:p>
      <w:pPr>
        <w:spacing w:after="0" w:line="177" w:lineRule="exact"/>
        <w:rPr>
          <w:sz w:val="20"/>
          <w:szCs w:val="20"/>
          <w:color w:val="auto"/>
        </w:rPr>
      </w:pPr>
    </w:p>
    <w:p>
      <w:pPr>
        <w:ind w:right="240" w:firstLine="648"/>
        <w:spacing w:after="0" w:line="276"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i w:val="1"/>
          <w:iCs w:val="1"/>
          <w:color w:val="auto"/>
        </w:rPr>
        <w:t>Whole Board</w:t>
      </w:r>
      <w:r>
        <w:rPr>
          <w:rFonts w:ascii="Arial" w:cs="Arial" w:eastAsia="Arial" w:hAnsi="Arial"/>
          <w:sz w:val="22"/>
          <w:szCs w:val="22"/>
          <w:color w:val="auto"/>
        </w:rPr>
        <w:t>” means the total number of authorized directors whether or not there exist any vacancies or unfilled seats in previously authorized directorships.</w:t>
      </w:r>
    </w:p>
    <w:p>
      <w:pPr>
        <w:spacing w:after="0" w:line="161" w:lineRule="exact"/>
        <w:rPr>
          <w:sz w:val="20"/>
          <w:szCs w:val="20"/>
          <w:color w:val="auto"/>
        </w:rPr>
      </w:pPr>
    </w:p>
    <w:p>
      <w:pPr>
        <w:jc w:val="both"/>
        <w:ind w:right="40" w:firstLine="656"/>
        <w:spacing w:after="0" w:line="270" w:lineRule="auto"/>
        <w:tabs>
          <w:tab w:leader="none" w:pos="99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Identical Rights</w:t>
      </w:r>
      <w:r>
        <w:rPr>
          <w:rFonts w:ascii="Arial" w:cs="Arial" w:eastAsia="Arial" w:hAnsi="Arial"/>
          <w:sz w:val="21"/>
          <w:szCs w:val="21"/>
          <w:color w:val="auto"/>
        </w:rPr>
        <w:t>. Except as otherwise provided in this Amended and Restated Certificate or required by applicable law, shares of Common Stock shall have the same rights and powers, rank equally (including as to dividends and distributions, and any liquidation, dissolution or winding up of the corporation but excluding voting and other matters as described in Section V.3 below), share ratably and be identical in all respects as to all matters, including:</w:t>
      </w:r>
    </w:p>
    <w:p>
      <w:pPr>
        <w:spacing w:after="0" w:line="169"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2.1 Subject to the prior rights of holders of all classes and series of stock at the time outstanding having prior rights as to dividends, the holders of the Common Stock shall be entitled to receive, when, as and if declared by the Board, out of any assets of the Corporation legally available therefor, such dividends as may be declared from time to time by the Board. Any dividends paid to the holders of shares of Common Stock shall be paid pro rata, on an equal priority, pari passu basis, unless different treatment of the shares of any such class is approved by the affirmative vote of the holders of a majority of the outstanding shares of such applicable class of Common Stock treated adversely, voting separately as a class.</w:t>
      </w:r>
    </w:p>
    <w:p>
      <w:pPr>
        <w:spacing w:after="0" w:line="147"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or Class C Common Stock if, and only if, a dividend payable in shares of Class B Common Stock and Class C Common Stock, as applicable, or rights to acquire shares of Class B Common Stock or Class C Common Stock, as applicable, are declared and paid to the holders of Class B Common Stock and Class C Common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847" w:right="259" w:bottom="1440" w:gutter="0" w:footer="0" w:header="0"/>
        </w:sectPr>
      </w:pPr>
    </w:p>
    <w:bookmarkStart w:id="86" w:name="page87"/>
    <w:bookmarkEnd w:id="86"/>
    <w:p>
      <w:pPr>
        <w:ind w:right="40"/>
        <w:spacing w:after="0" w:line="286" w:lineRule="auto"/>
        <w:rPr>
          <w:sz w:val="20"/>
          <w:szCs w:val="20"/>
          <w:color w:val="auto"/>
        </w:rPr>
      </w:pPr>
      <w:r>
        <w:rPr>
          <w:rFonts w:ascii="Arial" w:cs="Arial" w:eastAsia="Arial" w:hAnsi="Arial"/>
          <w:sz w:val="19"/>
          <w:szCs w:val="19"/>
          <w:color w:val="auto"/>
        </w:rPr>
        <w:t>Stock at the same rate and with the same record date and payment date;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or Class C Common Stock if, and only if, a dividend payable in shares of Class A Common Stock and Class C Common Stock, as applicable, or rights to acquire shares of Class A Common Stock or Class C Common Stock, as applicable, are declared and paid to the holders of Class A Common Stock and Class C Common Stock at the same rate and with the same record date and payment date and (iii) dividends or other distributions payable in shares of Class C Common Stock or rights to acquire shares Class C Common Stock may be declared and paid to the holders of Class C Common Stock without the same dividend or distribution being declared and paid to the holders of Class A Common Stock or Class B Common Stock if, and only if, a dividend payable in shares of Class A Common Stock and Class B Common Stock, as applicable, or rights to acquire shares of Class A Common Stock or Class B Common Stock, as applicable, are declared and paid to the holders of Class A Common Stock and Class B Common Stock at the same rate and with the same record date and payment date; and provided, further,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163"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2.3 If the Corporation in any manner subdivides or combines the outstanding shares of Class A Common Stock, Class B Common Stock or Class C Common Stock, then the outstanding shares of all Common Stock will be subdivided or combined in the same proportion and manner.</w:t>
      </w:r>
    </w:p>
    <w:p>
      <w:pPr>
        <w:spacing w:after="0" w:line="177" w:lineRule="exact"/>
        <w:rPr>
          <w:sz w:val="20"/>
          <w:szCs w:val="20"/>
          <w:color w:val="auto"/>
        </w:rPr>
      </w:pPr>
    </w:p>
    <w:p>
      <w:pPr>
        <w:ind w:left="1000" w:hanging="344"/>
        <w:spacing w:after="0"/>
        <w:tabs>
          <w:tab w:leader="none" w:pos="10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Voting Rights.</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Common Stock</w:t>
      </w:r>
      <w:r>
        <w:rPr>
          <w:rFonts w:ascii="Arial" w:cs="Arial" w:eastAsia="Arial" w:hAnsi="Arial"/>
          <w:sz w:val="19"/>
          <w:szCs w:val="19"/>
          <w:color w:val="auto"/>
        </w:rPr>
        <w:t>.</w:t>
      </w:r>
    </w:p>
    <w:p>
      <w:pPr>
        <w:spacing w:after="0" w:line="233" w:lineRule="exact"/>
        <w:rPr>
          <w:sz w:val="20"/>
          <w:szCs w:val="20"/>
          <w:color w:val="auto"/>
        </w:rPr>
      </w:pPr>
    </w:p>
    <w:p>
      <w:pPr>
        <w:ind w:right="300" w:firstLine="656"/>
        <w:spacing w:after="0" w:line="301" w:lineRule="auto"/>
        <w:tabs>
          <w:tab w:leader="none" w:pos="1068"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Class A Common Stock</w:t>
      </w:r>
      <w:r>
        <w:rPr>
          <w:rFonts w:ascii="Arial" w:cs="Arial" w:eastAsia="Arial" w:hAnsi="Arial"/>
          <w:sz w:val="21"/>
          <w:szCs w:val="21"/>
          <w:color w:val="auto"/>
        </w:rPr>
        <w:t>. Each holder of shares of Class A Common Stock will be entitled to one vote for each share thereof held at the record date for the determination of the stockholders entitled to vote on such matters.</w:t>
      </w:r>
    </w:p>
    <w:p>
      <w:pPr>
        <w:spacing w:after="0" w:line="137" w:lineRule="exact"/>
        <w:rPr>
          <w:rFonts w:ascii="Arial" w:cs="Arial" w:eastAsia="Arial" w:hAnsi="Arial"/>
          <w:sz w:val="21"/>
          <w:szCs w:val="21"/>
          <w:color w:val="auto"/>
        </w:rPr>
      </w:pPr>
    </w:p>
    <w:p>
      <w:pPr>
        <w:ind w:right="260" w:firstLine="656"/>
        <w:spacing w:after="0" w:line="301" w:lineRule="auto"/>
        <w:tabs>
          <w:tab w:leader="none" w:pos="108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Class B Common Stock</w:t>
      </w:r>
      <w:r>
        <w:rPr>
          <w:rFonts w:ascii="Arial" w:cs="Arial" w:eastAsia="Arial" w:hAnsi="Arial"/>
          <w:sz w:val="21"/>
          <w:szCs w:val="21"/>
          <w:color w:val="auto"/>
        </w:rPr>
        <w:t>. Each holder of shares of Class B Common Stock will be entitled to ten votes for each share thereof held at the record date for the determination of the stockholders entitled to vote on such matters.</w:t>
      </w:r>
    </w:p>
    <w:p>
      <w:pPr>
        <w:spacing w:after="0" w:line="137" w:lineRule="exact"/>
        <w:rPr>
          <w:rFonts w:ascii="Arial" w:cs="Arial" w:eastAsia="Arial" w:hAnsi="Arial"/>
          <w:sz w:val="21"/>
          <w:szCs w:val="21"/>
          <w:color w:val="auto"/>
        </w:rPr>
      </w:pPr>
    </w:p>
    <w:p>
      <w:pPr>
        <w:ind w:right="520" w:firstLine="656"/>
        <w:spacing w:after="0" w:line="276" w:lineRule="auto"/>
        <w:tabs>
          <w:tab w:leader="none" w:pos="106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Class C Common Stock</w:t>
      </w:r>
      <w:r>
        <w:rPr>
          <w:rFonts w:ascii="Arial" w:cs="Arial" w:eastAsia="Arial" w:hAnsi="Arial"/>
          <w:sz w:val="22"/>
          <w:szCs w:val="22"/>
          <w:color w:val="auto"/>
        </w:rPr>
        <w:t>. Except as required by law, the Class C Common Stock will have no voting rights and no holder thereof shall be entitled to vote on any matter.</w:t>
      </w:r>
    </w:p>
    <w:p>
      <w:pPr>
        <w:spacing w:after="0" w:line="161" w:lineRule="exact"/>
        <w:rPr>
          <w:sz w:val="20"/>
          <w:szCs w:val="20"/>
          <w:color w:val="auto"/>
        </w:rPr>
      </w:pPr>
    </w:p>
    <w:p>
      <w:pPr>
        <w:ind w:right="160" w:firstLine="648"/>
        <w:spacing w:after="0" w:line="358"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General</w:t>
      </w:r>
      <w:r>
        <w:rPr>
          <w:rFonts w:ascii="Arial" w:cs="Arial" w:eastAsia="Arial" w:hAnsi="Arial"/>
          <w:sz w:val="19"/>
          <w:szCs w:val="19"/>
          <w:color w:val="auto"/>
        </w:rPr>
        <w:t>. Except as otherwise expressly provided herein or as required by law, the holders of Class A Common Stock, Class B Common Stock and Class C Common Stock will vote together and not as separate series or classes.</w:t>
      </w:r>
    </w:p>
    <w:p>
      <w:pPr>
        <w:spacing w:after="0" w:line="91" w:lineRule="exact"/>
        <w:rPr>
          <w:sz w:val="20"/>
          <w:szCs w:val="20"/>
          <w:color w:val="auto"/>
        </w:rPr>
      </w:pPr>
    </w:p>
    <w:p>
      <w:pPr>
        <w:ind w:right="400" w:firstLine="648"/>
        <w:spacing w:after="0" w:line="260"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Authorized Shares</w:t>
      </w:r>
      <w:r>
        <w:rPr>
          <w:rFonts w:ascii="Arial" w:cs="Arial" w:eastAsia="Arial" w:hAnsi="Arial"/>
          <w:sz w:val="22"/>
          <w:szCs w:val="22"/>
          <w:color w:val="auto"/>
        </w:rPr>
        <w:t>. The number of authorized shares of Common Stock or any class or series thereof may be increased or decreased (but not below (i) the number of shares of Common Stock or, in the case of a class or series of Common Stock, such class or series, then outstanding plus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7" w:right="239" w:bottom="1440" w:gutter="0" w:footer="0" w:header="0"/>
        </w:sectPr>
      </w:pPr>
    </w:p>
    <w:bookmarkStart w:id="87" w:name="page88"/>
    <w:bookmarkEnd w:id="87"/>
    <w:p>
      <w:pPr>
        <w:ind w:right="40" w:firstLine="8"/>
        <w:spacing w:after="0" w:line="297" w:lineRule="auto"/>
        <w:tabs>
          <w:tab w:leader="none" w:pos="318" w:val="left"/>
        </w:tabs>
        <w:numPr>
          <w:ilvl w:val="0"/>
          <w:numId w:val="42"/>
        </w:numPr>
        <w:rPr>
          <w:rFonts w:ascii="Arial" w:cs="Arial" w:eastAsia="Arial" w:hAnsi="Arial"/>
          <w:sz w:val="19"/>
          <w:szCs w:val="19"/>
          <w:color w:val="auto"/>
        </w:rPr>
      </w:pPr>
      <w:r>
        <w:rPr>
          <w:rFonts w:ascii="Arial" w:cs="Arial" w:eastAsia="Arial" w:hAnsi="Arial"/>
          <w:sz w:val="19"/>
          <w:szCs w:val="19"/>
          <w:color w:val="auto"/>
        </w:rPr>
        <w:t>with respect to Class A Common Stock, the number of shares reserved for issuance pursuant to Section V.9) by the affirmative vote of the holders of a majority of the voting power of the Class A Common Stock and Class B Common Stock, voting together as a single class, irrespective of the provisions of Section 242(b)(2) of the Delaware General Corporation Law; provided, that the number of authorized shares of Class B Common Stock shall not be increased without the affirmative vote of the holders of a majority of the outstanding shares of Class B Common Stock, voting as a separate class.</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Election of Directors</w:t>
      </w:r>
      <w:r>
        <w:rPr>
          <w:rFonts w:ascii="Arial" w:cs="Arial" w:eastAsia="Arial" w:hAnsi="Arial"/>
          <w:sz w:val="19"/>
          <w:szCs w:val="19"/>
          <w:color w:val="auto"/>
        </w:rPr>
        <w:t>. Subject to any rights of the holders of any series of Preferred Stock to elect directors under specified circumstances, (i) prior to the Final Conversion Date, the holders of Class A Common Stock and Class B Common Stock, voting together as a single class, shall be entitled to elect and remove all directors of the Corporation, (ii) from and after the Final Conversion Date, until the Class C Conversion Date, if any, the holders of the Class A Common Stock, voting together as a single class, shall be entitled to elect and remove all directors of the Company and (iii) from and after the Class C Conversion Date, if any, the holders of Common Stock, voting together as a single class, shall be entitled to elect and remove all directors of the Company.</w:t>
      </w:r>
    </w:p>
    <w:p>
      <w:pPr>
        <w:spacing w:after="0" w:line="147" w:lineRule="exact"/>
        <w:rPr>
          <w:sz w:val="20"/>
          <w:szCs w:val="20"/>
          <w:color w:val="auto"/>
        </w:rPr>
      </w:pPr>
    </w:p>
    <w:p>
      <w:pPr>
        <w:ind w:right="120" w:firstLine="656"/>
        <w:spacing w:after="0" w:line="288" w:lineRule="auto"/>
        <w:tabs>
          <w:tab w:leader="none" w:pos="99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Liquidation Rights</w:t>
      </w:r>
      <w:r>
        <w:rPr>
          <w:rFonts w:ascii="Arial" w:cs="Arial" w:eastAsia="Arial" w:hAnsi="Arial"/>
          <w:sz w:val="19"/>
          <w:szCs w:val="19"/>
          <w:color w:val="auto"/>
        </w:rPr>
        <w:t xml:space="preserve">. In the event of a Liquidation Event,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Class A Common Stock, Class B Common Stock and Class C Common Stock, each voting separately as a class; provided, however, that for the avoidance of doubt, consideration to be paid or received by a holder of Common Stock in connection with any Liquidation Event pursuant to any employment, consulting, severance or similar services arrangement shall not be deemed to be “distribution to stockholders” for the purpose of this Section V.4;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 however</w:t>
      </w:r>
      <w:r>
        <w:rPr>
          <w:rFonts w:ascii="Arial" w:cs="Arial" w:eastAsia="Arial" w:hAnsi="Arial"/>
          <w:sz w:val="19"/>
          <w:szCs w:val="19"/>
          <w:color w:val="auto"/>
        </w:rPr>
        <w:t>, that shares of such classes may receive, or have the right to elect to receive, different or disproportionate consideration in connection with such consolidation, merger or other transaction if the only difference in the per share consideration to the holders of the Class A Common Stock, Class B Common Stock and Class C Common Stock is that any securities distributed to the holder of a share of Class B Common Stock have ten (10) times the voting power of any securities distributed to the holder of a share of Class A Common Stock and that any securities distributed to the holder of a share of Class C Common Stock have no voting rights or power.</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540" w:firstLine="656"/>
        <w:spacing w:after="0" w:line="276" w:lineRule="auto"/>
        <w:tabs>
          <w:tab w:leader="none" w:pos="99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Conversion of the Class B Common Stock</w:t>
      </w:r>
      <w:r>
        <w:rPr>
          <w:rFonts w:ascii="Arial" w:cs="Arial" w:eastAsia="Arial" w:hAnsi="Arial"/>
          <w:sz w:val="22"/>
          <w:szCs w:val="22"/>
          <w:color w:val="auto"/>
        </w:rPr>
        <w:t>. The Class B Common Stock will be convertible into Class A Common Stock as follows:</w:t>
      </w:r>
    </w:p>
    <w:p>
      <w:pPr>
        <w:spacing w:after="0" w:line="161" w:lineRule="exact"/>
        <w:rPr>
          <w:sz w:val="20"/>
          <w:szCs w:val="20"/>
          <w:color w:val="auto"/>
        </w:rPr>
      </w:pPr>
    </w:p>
    <w:p>
      <w:pPr>
        <w:ind w:right="660" w:firstLine="648"/>
        <w:spacing w:after="0" w:line="276" w:lineRule="auto"/>
        <w:rPr>
          <w:sz w:val="20"/>
          <w:szCs w:val="20"/>
          <w:color w:val="auto"/>
        </w:rPr>
      </w:pPr>
      <w:r>
        <w:rPr>
          <w:rFonts w:ascii="Arial" w:cs="Arial" w:eastAsia="Arial" w:hAnsi="Arial"/>
          <w:sz w:val="22"/>
          <w:szCs w:val="22"/>
          <w:color w:val="auto"/>
        </w:rPr>
        <w:t>5.1 Each share of Class B Common Stock will automatically convert into one fully paid and nonassessable share of Class A Common Stock on the Final Conversion Date.</w:t>
      </w:r>
    </w:p>
    <w:p>
      <w:pPr>
        <w:spacing w:after="0" w:line="161" w:lineRule="exact"/>
        <w:rPr>
          <w:sz w:val="20"/>
          <w:szCs w:val="20"/>
          <w:color w:val="auto"/>
        </w:rPr>
      </w:pPr>
    </w:p>
    <w:p>
      <w:pPr>
        <w:ind w:right="160" w:firstLine="648"/>
        <w:spacing w:after="0" w:line="301" w:lineRule="auto"/>
        <w:rPr>
          <w:sz w:val="20"/>
          <w:szCs w:val="20"/>
          <w:color w:val="auto"/>
        </w:rPr>
      </w:pPr>
      <w:r>
        <w:rPr>
          <w:rFonts w:ascii="Arial" w:cs="Arial" w:eastAsia="Arial" w:hAnsi="Arial"/>
          <w:sz w:val="21"/>
          <w:szCs w:val="21"/>
          <w:color w:val="auto"/>
        </w:rPr>
        <w:t>5.2 With respect to any holder of Class B Common Stock, each share of Class B Common Stock held by such holder will automatically be converted into one fully paid and nonassessable share of Class A Common Stock, as follows: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47" w:right="239" w:bottom="1440" w:gutter="0" w:footer="0" w:header="0"/>
        </w:sectPr>
      </w:pPr>
    </w:p>
    <w:bookmarkStart w:id="88" w:name="page89"/>
    <w:bookmarkEnd w:id="88"/>
    <w:p>
      <w:pPr>
        <w:ind w:left="-8" w:right="160" w:firstLine="656"/>
        <w:spacing w:after="0" w:line="260" w:lineRule="auto"/>
        <w:tabs>
          <w:tab w:leader="none" w:pos="10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177" w:lineRule="exact"/>
        <w:rPr>
          <w:rFonts w:ascii="Arial" w:cs="Arial" w:eastAsia="Arial" w:hAnsi="Arial"/>
          <w:sz w:val="22"/>
          <w:szCs w:val="22"/>
          <w:color w:val="auto"/>
        </w:rPr>
      </w:pPr>
    </w:p>
    <w:p>
      <w:pPr>
        <w:ind w:left="1072" w:hanging="424"/>
        <w:spacing w:after="0"/>
        <w:tabs>
          <w:tab w:leader="none" w:pos="1072" w:val="left"/>
        </w:tabs>
        <w:numPr>
          <w:ilvl w:val="1"/>
          <w:numId w:val="44"/>
        </w:numPr>
        <w:rPr>
          <w:rFonts w:ascii="Arial" w:cs="Arial" w:eastAsia="Arial" w:hAnsi="Arial"/>
          <w:sz w:val="21"/>
          <w:szCs w:val="21"/>
          <w:color w:val="auto"/>
        </w:rPr>
      </w:pPr>
      <w:r>
        <w:rPr>
          <w:rFonts w:ascii="Arial" w:cs="Arial" w:eastAsia="Arial" w:hAnsi="Arial"/>
          <w:sz w:val="21"/>
          <w:szCs w:val="21"/>
          <w:color w:val="auto"/>
        </w:rPr>
        <w:t>on the occurrence of a Transfer of such share of Class B Common Stock, other than a Permitted Transfer; or</w:t>
      </w:r>
    </w:p>
    <w:p>
      <w:pPr>
        <w:spacing w:after="0" w:line="244" w:lineRule="exact"/>
        <w:rPr>
          <w:rFonts w:ascii="Arial" w:cs="Arial" w:eastAsia="Arial" w:hAnsi="Arial"/>
          <w:sz w:val="21"/>
          <w:szCs w:val="21"/>
          <w:color w:val="auto"/>
        </w:rPr>
      </w:pPr>
    </w:p>
    <w:p>
      <w:pPr>
        <w:ind w:left="-8" w:firstLine="656"/>
        <w:spacing w:after="0" w:line="286" w:lineRule="auto"/>
        <w:tabs>
          <w:tab w:leader="none" w:pos="1060"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with respect to Class B Common Stock held by a holder who is a natural person, or a Permitted Transferee or Permitted Entity of such natural person, upon the death of such natural person, provided, that solely with respect to each share of Class B Common Stock held of record by a Founder, such Founder’s Permitted Entities or by such Founder’s Permitted Transferees, upon the death or Disability of such Founder;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highlight w:val="white"/>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highlight w:val="white"/>
        </w:rPr>
        <w:t>however</w:t>
      </w:r>
      <w:r>
        <w:rPr>
          <w:rFonts w:ascii="Arial" w:cs="Arial" w:eastAsia="Arial" w:hAnsi="Arial"/>
          <w:sz w:val="19"/>
          <w:szCs w:val="19"/>
          <w:color w:val="auto"/>
          <w:highlight w:val="white"/>
        </w:rPr>
        <w:t>, that, with respect to the shares of Class B Common Stock held of</w:t>
      </w:r>
      <w:r>
        <w:rPr>
          <w:rFonts w:ascii="Arial" w:cs="Arial" w:eastAsia="Arial" w:hAnsi="Arial"/>
          <w:sz w:val="19"/>
          <w:szCs w:val="19"/>
          <w:color w:val="auto"/>
        </w:rPr>
        <w:t xml:space="preserve"> record by a Founder, such Founder’s Permitted Entities or such Founder’s Permitted Transferees, each share of Class B Common Stock held of record by such Founder, such Founder’s Permitted Entities or such Founder’s Permitted Transferees shall automatically convert into one (1) fully paid and nonassessable share of Class A Common Stock upon that date which is nine</w:t>
      </w:r>
    </w:p>
    <w:p>
      <w:pPr>
        <w:spacing w:after="0" w:line="5" w:lineRule="exact"/>
        <w:rPr>
          <w:rFonts w:ascii="Arial" w:cs="Arial" w:eastAsia="Arial" w:hAnsi="Arial"/>
          <w:sz w:val="19"/>
          <w:szCs w:val="19"/>
          <w:color w:val="auto"/>
        </w:rPr>
      </w:pPr>
    </w:p>
    <w:p>
      <w:pPr>
        <w:ind w:left="-8" w:right="60" w:firstLine="8"/>
        <w:spacing w:after="0" w:line="281" w:lineRule="auto"/>
        <w:tabs>
          <w:tab w:leader="none" w:pos="298"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months after the date of death or Disability of such Founder or such later date not to exceed a total period of eighteen (18) months after the date of death or Disability of such Founder as may be approved by a majority of the Independent Directors then in office, during which period Voting Control over such Founder’s shares (including shares held of record by such Founder’s Permitted Entities and Permitted Transferees) shall be exercised in accordance with any proxy or voting agreement entered into in accordance with Section V.1.18 of this Amended and Restated Certificate or, if no such proxy or voting agreement is in place at the time of such death or Disability, a person (including a person serving as trustee) previously designated by the Founder and approved by the Board may exercise Voting Control over the Founder’s shares (including shares held of record by such Founder’s Permitted Entities and Permitted Transferees) of Class B Common Stock; </w:t>
      </w:r>
      <w:r>
        <w:rPr>
          <w:rFonts w:ascii="Arial" w:cs="Arial" w:eastAsia="Arial" w:hAnsi="Arial"/>
          <w:sz w:val="19"/>
          <w:szCs w:val="19"/>
          <w:i w:val="1"/>
          <w:iCs w:val="1"/>
          <w:u w:val="single" w:color="auto"/>
          <w:color w:val="auto"/>
        </w:rPr>
        <w:t>provided, further</w:t>
      </w:r>
      <w:r>
        <w:rPr>
          <w:rFonts w:ascii="Arial" w:cs="Arial" w:eastAsia="Arial" w:hAnsi="Arial"/>
          <w:sz w:val="19"/>
          <w:szCs w:val="19"/>
          <w:color w:val="auto"/>
        </w:rPr>
        <w:t>, that, if both Founders die and/or suffer a Disability simultaneously or the second Founder dies or suffers a Disability following the death or Disability of the other Founder, but prior to the conversion pursuant to this Section V.5.2(c) of the shares of Class B Common Stock held of record by such first Founder to die or become Disabled, his Permitted Entities or his Permitted Transferees, a person (including a person serving as trustee) previously designated by the Founders and approved by the Board may exercise Voting Control over the Founders’ shares of Class B Common Stock (including shares held of record by such Founder’s Permitted Entities and Permitted Transferees) and, in such instance, each such share of Class B Common Stock shall automatically convert into one (1) fully paid and nonassessable share of Class A Common Stock (and the Final Conversion Date shall occur) upon that date which is nine</w:t>
      </w:r>
    </w:p>
    <w:p>
      <w:pPr>
        <w:spacing w:after="0" w:line="11" w:lineRule="exact"/>
        <w:rPr>
          <w:rFonts w:ascii="Arial" w:cs="Arial" w:eastAsia="Arial" w:hAnsi="Arial"/>
          <w:sz w:val="19"/>
          <w:szCs w:val="19"/>
          <w:color w:val="auto"/>
        </w:rPr>
      </w:pPr>
    </w:p>
    <w:p>
      <w:pPr>
        <w:jc w:val="both"/>
        <w:ind w:left="-8" w:right="100" w:firstLine="8"/>
        <w:spacing w:after="0" w:line="245" w:lineRule="auto"/>
        <w:tabs>
          <w:tab w:leader="none" w:pos="298" w:val="left"/>
        </w:tabs>
        <w:numPr>
          <w:ilvl w:val="0"/>
          <w:numId w:val="46"/>
        </w:numPr>
        <w:rPr>
          <w:rFonts w:ascii="Arial" w:cs="Arial" w:eastAsia="Arial" w:hAnsi="Arial"/>
          <w:sz w:val="22"/>
          <w:szCs w:val="22"/>
          <w:color w:val="auto"/>
        </w:rPr>
      </w:pPr>
      <w:r>
        <w:rPr>
          <w:rFonts w:ascii="Arial" w:cs="Arial" w:eastAsia="Arial" w:hAnsi="Arial"/>
          <w:sz w:val="22"/>
          <w:szCs w:val="22"/>
          <w:color w:val="auto"/>
        </w:rPr>
        <w:t>months after the date upon which both Founders died and/or suffered a Disability, or such later date not to exceed a total period of eighteen (18) months after the last applicable death or Disability as may be approved by a majority of the Independent Directors then in office.</w:t>
      </w:r>
    </w:p>
    <w:p>
      <w:pPr>
        <w:spacing w:after="0" w:line="193" w:lineRule="exact"/>
        <w:rPr>
          <w:sz w:val="20"/>
          <w:szCs w:val="20"/>
          <w:color w:val="auto"/>
        </w:rPr>
      </w:pPr>
    </w:p>
    <w:p>
      <w:pPr>
        <w:ind w:left="-8" w:right="440" w:firstLine="656"/>
        <w:spacing w:after="0" w:line="260" w:lineRule="auto"/>
        <w:tabs>
          <w:tab w:leader="none" w:pos="98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Conversion of the Class C Common Stock</w:t>
      </w:r>
      <w:r>
        <w:rPr>
          <w:rFonts w:ascii="Arial" w:cs="Arial" w:eastAsia="Arial" w:hAnsi="Arial"/>
          <w:sz w:val="22"/>
          <w:szCs w:val="22"/>
          <w:color w:val="auto"/>
        </w:rPr>
        <w:t>. Following the conversion or other exchange of all outstanding shares of Class B Common Stock into or for shares of Class A Common Stock, on the date or time (including a time determined by the happening of a future event) specified</w:t>
      </w: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12"/>
          </w:cols>
          <w:pgMar w:left="248" w:top="847" w:right="239" w:bottom="1440" w:gutter="0" w:footer="0" w:header="0"/>
        </w:sectPr>
      </w:pPr>
    </w:p>
    <w:bookmarkStart w:id="89" w:name="page90"/>
    <w:bookmarkEnd w:id="89"/>
    <w:p>
      <w:pPr>
        <w:ind w:right="100"/>
        <w:spacing w:after="0" w:line="271" w:lineRule="auto"/>
        <w:rPr>
          <w:sz w:val="20"/>
          <w:szCs w:val="20"/>
          <w:color w:val="auto"/>
        </w:rPr>
      </w:pPr>
      <w:r>
        <w:rPr>
          <w:rFonts w:ascii="Arial" w:cs="Arial" w:eastAsia="Arial" w:hAnsi="Arial"/>
          <w:sz w:val="21"/>
          <w:szCs w:val="21"/>
          <w:color w:val="auto"/>
        </w:rPr>
        <w:t>by the holders of a majority of the outstanding shares of Class A Common Stock, voting as a separate class (the “</w:t>
      </w:r>
      <w:r>
        <w:rPr>
          <w:rFonts w:ascii="Arial" w:cs="Arial" w:eastAsia="Arial" w:hAnsi="Arial"/>
          <w:sz w:val="21"/>
          <w:szCs w:val="21"/>
          <w:b w:val="1"/>
          <w:bCs w:val="1"/>
          <w:i w:val="1"/>
          <w:iCs w:val="1"/>
          <w:color w:val="auto"/>
        </w:rPr>
        <w:t>Class C</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Conversion Date</w:t>
      </w:r>
      <w:r>
        <w:rPr>
          <w:rFonts w:ascii="Arial" w:cs="Arial" w:eastAsia="Arial" w:hAnsi="Arial"/>
          <w:sz w:val="21"/>
          <w:szCs w:val="21"/>
          <w:color w:val="auto"/>
        </w:rPr>
        <w:t>”), each outstanding share of Class C Capital Stock shall automatically, without further action by the Corporation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 the holders thereof, convert into one (1) fully paid and nonassessable share of Class A Common Stock.</w:t>
      </w:r>
    </w:p>
    <w:p>
      <w:pPr>
        <w:spacing w:after="0" w:line="168" w:lineRule="exact"/>
        <w:rPr>
          <w:sz w:val="20"/>
          <w:szCs w:val="20"/>
          <w:color w:val="auto"/>
        </w:rPr>
      </w:pPr>
    </w:p>
    <w:p>
      <w:pPr>
        <w:ind w:right="100" w:firstLine="656"/>
        <w:spacing w:after="0" w:line="294" w:lineRule="auto"/>
        <w:tabs>
          <w:tab w:leader="none" w:pos="99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Procedures</w:t>
      </w:r>
      <w:r>
        <w:rPr>
          <w:rFonts w:ascii="Arial" w:cs="Arial" w:eastAsia="Arial" w:hAnsi="Arial"/>
          <w:sz w:val="19"/>
          <w:szCs w:val="19"/>
          <w:color w:val="auto"/>
        </w:rPr>
        <w:t>. The Corporation may, from time to time, establish such policies and procedures relating to the conversion of the Class B Common Stock to Class A Common Stock, the conversion of Class C Common Stock into Class A Common Stock and the general administration of this dual 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152" w:lineRule="exact"/>
        <w:rPr>
          <w:rFonts w:ascii="Arial" w:cs="Arial" w:eastAsia="Arial" w:hAnsi="Arial"/>
          <w:sz w:val="19"/>
          <w:szCs w:val="19"/>
          <w:color w:val="auto"/>
        </w:rPr>
      </w:pPr>
    </w:p>
    <w:p>
      <w:pPr>
        <w:ind w:firstLine="656"/>
        <w:spacing w:after="0" w:line="289" w:lineRule="auto"/>
        <w:tabs>
          <w:tab w:leader="none" w:pos="99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Immediate Effect</w:t>
      </w:r>
      <w:r>
        <w:rPr>
          <w:rFonts w:ascii="Arial" w:cs="Arial" w:eastAsia="Arial" w:hAnsi="Arial"/>
          <w:sz w:val="19"/>
          <w:szCs w:val="19"/>
          <w:color w:val="auto"/>
        </w:rPr>
        <w:t>. In the event of and upon a conversion of shares of Class B Common Stock to shares of Class A Common Stock pursuant to Section V.5 or Class C Common Stock to Class A Common Stock pursuant to Section V.6, as applicable, such conversion(s) shall be deemed to have been made at the time that the Transfer of shares, death or Disability, as applicable, occurred (in the case of a conversion of Class B Common Stock to Class A Common Stock) or immediately upon the Final Conversion Date (in the case of the conversion of Class B Common Stock into Class A Common Stock) or immediately upon the Class C Conversion Date (in the case of the conversion of Class C Common Stock into Class A Common Stock), if any, subject in all cases to any transition periods specifically provided for in this Amended and Restated Certificate. Upon any conversion of Class B Common Stock or Class C Common Stock to Class A Common Stock in accordance with this Amended and Restated Certificate, all rights of the holder of shares of Class B Common Stock or Class C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58" w:lineRule="exact"/>
        <w:rPr>
          <w:rFonts w:ascii="Arial" w:cs="Arial" w:eastAsia="Arial" w:hAnsi="Arial"/>
          <w:sz w:val="19"/>
          <w:szCs w:val="19"/>
          <w:color w:val="auto"/>
        </w:rPr>
      </w:pPr>
    </w:p>
    <w:p>
      <w:pPr>
        <w:ind w:right="120" w:firstLine="656"/>
        <w:spacing w:after="0" w:line="292" w:lineRule="auto"/>
        <w:tabs>
          <w:tab w:leader="none" w:pos="99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Reservation of Stock Issuable Upon Conversion</w:t>
      </w:r>
      <w:r>
        <w:rPr>
          <w:rFonts w:ascii="Arial" w:cs="Arial" w:eastAsia="Arial" w:hAnsi="Arial"/>
          <w:sz w:val="19"/>
          <w:szCs w:val="19"/>
          <w:color w:val="auto"/>
        </w:rPr>
        <w:t>.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847" w:right="279" w:bottom="1440" w:gutter="0" w:footer="0" w:header="0"/>
        </w:sectPr>
      </w:pPr>
    </w:p>
    <w:bookmarkStart w:id="90" w:name="page91"/>
    <w:bookmarkEnd w:id="90"/>
    <w:p>
      <w:pPr>
        <w:ind w:right="80" w:firstLine="656"/>
        <w:spacing w:after="0" w:line="260" w:lineRule="auto"/>
        <w:tabs>
          <w:tab w:leader="none" w:pos="109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No Reissuance of Class B Common Stock</w:t>
      </w:r>
      <w:r>
        <w:rPr>
          <w:rFonts w:ascii="Arial" w:cs="Arial" w:eastAsia="Arial" w:hAnsi="Arial"/>
          <w:sz w:val="22"/>
          <w:szCs w:val="22"/>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177" w:lineRule="exact"/>
        <w:rPr>
          <w:rFonts w:ascii="Arial" w:cs="Arial" w:eastAsia="Arial" w:hAnsi="Arial"/>
          <w:sz w:val="22"/>
          <w:szCs w:val="22"/>
          <w:color w:val="auto"/>
        </w:rPr>
      </w:pPr>
    </w:p>
    <w:p>
      <w:pPr>
        <w:ind w:right="160" w:firstLine="656"/>
        <w:spacing w:after="0" w:line="260" w:lineRule="auto"/>
        <w:tabs>
          <w:tab w:leader="none" w:pos="109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Preemptive Rights</w:t>
      </w:r>
      <w:r>
        <w:rPr>
          <w:rFonts w:ascii="Arial" w:cs="Arial" w:eastAsia="Arial" w:hAnsi="Arial"/>
          <w:sz w:val="22"/>
          <w:szCs w:val="22"/>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177" w:lineRule="exact"/>
        <w:rPr>
          <w:rFonts w:ascii="Arial" w:cs="Arial" w:eastAsia="Arial" w:hAnsi="Arial"/>
          <w:sz w:val="22"/>
          <w:szCs w:val="22"/>
          <w:color w:val="auto"/>
        </w:rPr>
      </w:pPr>
    </w:p>
    <w:p>
      <w:pPr>
        <w:ind w:right="460" w:firstLine="656"/>
        <w:spacing w:after="0" w:line="278" w:lineRule="auto"/>
        <w:tabs>
          <w:tab w:leader="none" w:pos="1098"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Class B Protective Provisions</w:t>
      </w:r>
      <w:r>
        <w:rPr>
          <w:rFonts w:ascii="Arial" w:cs="Arial" w:eastAsia="Arial" w:hAnsi="Arial"/>
          <w:sz w:val="21"/>
          <w:szCs w:val="21"/>
          <w:color w:val="auto"/>
        </w:rPr>
        <w:t>. Prior to the Final Conversion Date, the Corporation shall not, without the prior affirmative vote of the holders of a majority of the outstanding shares of Class B Common Stock, voting as a separate class, in addition to any other vote required by applicable law or this Amended and Restated Certificate:</w:t>
      </w:r>
    </w:p>
    <w:p>
      <w:pPr>
        <w:spacing w:after="0" w:line="160" w:lineRule="exact"/>
        <w:rPr>
          <w:sz w:val="20"/>
          <w:szCs w:val="20"/>
          <w:color w:val="auto"/>
        </w:rPr>
      </w:pPr>
    </w:p>
    <w:p>
      <w:pPr>
        <w:ind w:right="80" w:firstLine="648"/>
        <w:spacing w:after="0" w:line="254" w:lineRule="auto"/>
        <w:rPr>
          <w:sz w:val="20"/>
          <w:szCs w:val="20"/>
          <w:color w:val="auto"/>
        </w:rPr>
      </w:pPr>
      <w:r>
        <w:rPr>
          <w:rFonts w:ascii="Arial" w:cs="Arial" w:eastAsia="Arial" w:hAnsi="Arial"/>
          <w:sz w:val="22"/>
          <w:szCs w:val="22"/>
          <w:color w:val="auto"/>
        </w:rPr>
        <w:t>12.1 directly or indirectly, whether by amendment, or through merger, recapitalization, consolidation or otherwise, amend or repeal, or adopt any provision of this Amended and Restated Certificate inconsistent with, or otherwise alter, any provision of this Amended and Restated Certificate that modifies the voting, conversion or other rights, powers, preferences, privileges or restrictions of the Class B Common Stock;</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12.2 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185" w:lineRule="exact"/>
        <w:rPr>
          <w:sz w:val="20"/>
          <w:szCs w:val="20"/>
          <w:color w:val="auto"/>
        </w:rPr>
      </w:pPr>
    </w:p>
    <w:p>
      <w:pPr>
        <w:jc w:val="both"/>
        <w:ind w:right="320" w:firstLine="648"/>
        <w:spacing w:after="0" w:line="260" w:lineRule="auto"/>
        <w:rPr>
          <w:sz w:val="20"/>
          <w:szCs w:val="20"/>
          <w:color w:val="auto"/>
        </w:rPr>
      </w:pPr>
      <w:r>
        <w:rPr>
          <w:rFonts w:ascii="Arial" w:cs="Arial" w:eastAsia="Arial" w:hAnsi="Arial"/>
          <w:sz w:val="22"/>
          <w:szCs w:val="22"/>
          <w:color w:val="auto"/>
        </w:rPr>
        <w:t>12.3 issue any shares of Class B Common Stock (other than shares of Class B Common Stock originally issued by the Corporation after the IPO Date pursuant to the exercise or conversion of options or warrants or settlement of RSUs that, in each case, are outstanding as of the IPO Date);</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authorize, or issue any shares of, any class or series of capital stock of the Corporation having the right to more than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 vote for each share thereof; or</w:t>
      </w:r>
    </w:p>
    <w:p>
      <w:pPr>
        <w:spacing w:after="0" w:line="21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consummate a Liquidation Event.</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VI</w:t>
      </w:r>
    </w:p>
    <w:p>
      <w:pPr>
        <w:spacing w:after="0" w:line="226" w:lineRule="exact"/>
        <w:rPr>
          <w:sz w:val="20"/>
          <w:szCs w:val="20"/>
          <w:color w:val="auto"/>
        </w:rPr>
      </w:pPr>
    </w:p>
    <w:p>
      <w:pPr>
        <w:ind w:right="320" w:firstLine="656"/>
        <w:spacing w:after="0" w:line="266" w:lineRule="auto"/>
        <w:tabs>
          <w:tab w:leader="none" w:pos="99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Rights of Preferred Stock</w:t>
      </w:r>
      <w:r>
        <w:rPr>
          <w:rFonts w:ascii="Arial" w:cs="Arial" w:eastAsia="Arial" w:hAnsi="Arial"/>
          <w:sz w:val="21"/>
          <w:szCs w:val="21"/>
          <w:color w:val="auto"/>
        </w:rPr>
        <w:t>. The Board is authorized, subject to any limitations prescribed by law, to provide for the issuance of shares of Preferred Stock in series, and by filing a certificate pursuant to the applicable law of the State of Delaware (such certificate being hereinafter referred to as a “</w:t>
      </w:r>
      <w:r>
        <w:rPr>
          <w:rFonts w:ascii="Arial" w:cs="Arial" w:eastAsia="Arial" w:hAnsi="Arial"/>
          <w:sz w:val="21"/>
          <w:szCs w:val="21"/>
          <w:b w:val="1"/>
          <w:bCs w:val="1"/>
          <w:i w:val="1"/>
          <w:iCs w:val="1"/>
          <w:color w:val="auto"/>
        </w:rPr>
        <w:t>Preferred Stock Designation</w:t>
      </w:r>
      <w:r>
        <w:rPr>
          <w:rFonts w:ascii="Arial" w:cs="Arial" w:eastAsia="Arial" w:hAnsi="Arial"/>
          <w:sz w:val="21"/>
          <w:szCs w:val="21"/>
          <w:color w:val="auto"/>
        </w:rPr>
        <w:t>”), to establish from time to time the number of shares to be included in each such series, and to fix the designation, powers, preferences, and rights of the shares of each such series and any qualifications, limitations or restrictions thereof.</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0"/>
          </w:cols>
          <w:pgMar w:left="240" w:top="847" w:right="279" w:bottom="1440" w:gutter="0" w:footer="0" w:header="0"/>
        </w:sectPr>
      </w:pPr>
    </w:p>
    <w:bookmarkStart w:id="91" w:name="page92"/>
    <w:bookmarkEnd w:id="91"/>
    <w:p>
      <w:pPr>
        <w:ind w:right="100" w:firstLine="656"/>
        <w:spacing w:after="0" w:line="300" w:lineRule="auto"/>
        <w:tabs>
          <w:tab w:leader="none" w:pos="104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Vote to Increase or Decrease Authorized Shares</w:t>
      </w:r>
      <w:r>
        <w:rPr>
          <w:rFonts w:ascii="Arial" w:cs="Arial" w:eastAsia="Arial" w:hAnsi="Arial"/>
          <w:sz w:val="19"/>
          <w:szCs w:val="19"/>
          <w:color w:val="auto"/>
        </w:rPr>
        <w:t>. The number of authorized shares of Preferred Stock may be increased or decreased (but not below the number of shares thereof then outstanding) by the affirmative vote of the holders of a majority of the voting power of all of the outstanding shares of stock of the Corporation entitled to vote thereon, without a vote of the holders of the Preferred Stock, or of any series thereof, unless a vote of any such holders is required pursuant to the terms of any Preferred Stock Designation, irrespective of the provisions of Section 242(b)(2) of the Delaware General Corporation Law.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26" w:lineRule="exact"/>
        <w:rPr>
          <w:sz w:val="20"/>
          <w:szCs w:val="20"/>
          <w:color w:val="auto"/>
        </w:rPr>
      </w:pPr>
    </w:p>
    <w:p>
      <w:pPr>
        <w:ind w:firstLine="656"/>
        <w:spacing w:after="0" w:line="297" w:lineRule="auto"/>
        <w:tabs>
          <w:tab w:leader="none" w:pos="99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Board Size</w:t>
      </w:r>
      <w:r>
        <w:rPr>
          <w:rFonts w:ascii="Arial" w:cs="Arial" w:eastAsia="Arial" w:hAnsi="Arial"/>
          <w:sz w:val="19"/>
          <w:szCs w:val="19"/>
          <w:color w:val="auto"/>
        </w:rPr>
        <w:t>. Subject to the rights of the holders of any series of Preferred Stock to elect additional directors under specified circumstances, the number of directors that constitutes the entire Board shall be fixed by, or in the manner provided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Delaware General Corporation Law.</w:t>
      </w:r>
    </w:p>
    <w:p>
      <w:pPr>
        <w:spacing w:after="0" w:line="146" w:lineRule="exact"/>
        <w:rPr>
          <w:rFonts w:ascii="Arial" w:cs="Arial" w:eastAsia="Arial" w:hAnsi="Arial"/>
          <w:sz w:val="19"/>
          <w:szCs w:val="19"/>
          <w:color w:val="auto"/>
        </w:rPr>
      </w:pPr>
    </w:p>
    <w:p>
      <w:pPr>
        <w:ind w:firstLine="656"/>
        <w:spacing w:after="0" w:line="286" w:lineRule="auto"/>
        <w:tabs>
          <w:tab w:leader="none" w:pos="99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Board Structure</w:t>
      </w:r>
      <w:r>
        <w:rPr>
          <w:rFonts w:ascii="Arial" w:cs="Arial" w:eastAsia="Arial" w:hAnsi="Arial"/>
          <w:sz w:val="19"/>
          <w:szCs w:val="19"/>
          <w:color w:val="auto"/>
        </w:rPr>
        <w:t>. From and after the Voting Threshold Date, the directors, other than any who may be elected by the holders of any series of Preferred Stock under specified circumstances, shall be divided into three (3) classes as nearly equal in size as is practicable, hereby designated Class I, Class II and Class III. The Board may assign members of the Board already in office to such classes at the time such classification becomes effective. The term of office of the initial Class I directors shall expire at the first regularly-scheduled annual meeting of the stockholders following the date on which the classified Board becomes effective (the “</w:t>
      </w:r>
      <w:r>
        <w:rPr>
          <w:rFonts w:ascii="Arial" w:cs="Arial" w:eastAsia="Arial" w:hAnsi="Arial"/>
          <w:sz w:val="19"/>
          <w:szCs w:val="19"/>
          <w:b w:val="1"/>
          <w:bCs w:val="1"/>
          <w:i w:val="1"/>
          <w:iCs w:val="1"/>
          <w:color w:val="auto"/>
        </w:rPr>
        <w:t>Classified Board Effective Date</w:t>
      </w:r>
      <w:r>
        <w:rPr>
          <w:rFonts w:ascii="Arial" w:cs="Arial" w:eastAsia="Arial" w:hAnsi="Arial"/>
          <w:sz w:val="19"/>
          <w:szCs w:val="19"/>
          <w:color w:val="auto"/>
        </w:rPr>
        <w:t>”), the term of office of the initial Class II directors shall expire at the second annual meeting of the stockholders following the Classified Board Effective Date, and the term of office of the initial Class III directors shall expire at the third annual meeting of the stockholders following the Classified Board Effective Date. At each annual meeting of stockholders, commencing with the first regularly scheduled annual meeting of stockholders following the Classified Board Effective Date, each of the successors elected to replace the directors of a Class whose term shall have expired at such annual meeting shall be elected to hold office for a three year term and until the third annual meeting next succeeding his or her election and until his or her respective successor shall have been duly elected and qualified. Prior to the Classified Board Effective Date, all directors shall be elected at each annual meeting of stockholders to serve until the next annual meeting of stockholders (except, for the avoidance of doubt, as provided in this Section VII.2 in the event a Classified Board Effective Date occurs) and until his or her successor shall have been duly elected and qualified. Notwithstanding the foregoing provisions of this Article VII, whether before or after the Classified Board Effective Date, each director shall serve until his or her successor is duly elected and qualified or until his or her death, resignation, or removal. From and after the Classified Board Effective Date, if the number of directors is thereafter changed, any newly created directorships or decrease in directorships shall be so apportioned among the classes as to make all classes as nearly equal in number as is practicable. No decrease in the number of directors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47" w:right="239" w:bottom="1440" w:gutter="0" w:footer="0" w:header="0"/>
        </w:sectPr>
      </w:pPr>
    </w:p>
    <w:bookmarkStart w:id="92" w:name="page93"/>
    <w:bookmarkEnd w:id="92"/>
    <w:p>
      <w:pPr>
        <w:ind w:right="640"/>
        <w:spacing w:after="0" w:line="263" w:lineRule="auto"/>
        <w:rPr>
          <w:sz w:val="20"/>
          <w:szCs w:val="20"/>
          <w:color w:val="auto"/>
        </w:rPr>
      </w:pPr>
      <w:r>
        <w:rPr>
          <w:rFonts w:ascii="Arial" w:cs="Arial" w:eastAsia="Arial" w:hAnsi="Arial"/>
          <w:sz w:val="22"/>
          <w:szCs w:val="22"/>
          <w:color w:val="auto"/>
        </w:rPr>
        <w:t>constituting the Board, whether before or after the Classified Board Effective Date, shall shorten the term of any incumbent director.</w:t>
      </w:r>
    </w:p>
    <w:p>
      <w:pPr>
        <w:spacing w:after="0" w:line="175" w:lineRule="exact"/>
        <w:rPr>
          <w:sz w:val="20"/>
          <w:szCs w:val="20"/>
          <w:color w:val="auto"/>
        </w:rPr>
      </w:pPr>
    </w:p>
    <w:p>
      <w:pPr>
        <w:ind w:right="100" w:firstLine="656"/>
        <w:spacing w:after="0" w:line="297" w:lineRule="auto"/>
        <w:tabs>
          <w:tab w:leader="none" w:pos="99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Removal; Vacancies</w:t>
      </w:r>
      <w:r>
        <w:rPr>
          <w:rFonts w:ascii="Arial" w:cs="Arial" w:eastAsia="Arial" w:hAnsi="Arial"/>
          <w:sz w:val="19"/>
          <w:szCs w:val="19"/>
          <w:color w:val="auto"/>
        </w:rPr>
        <w:t>. Any director may be removed from office by the stockholders of the Corporation as provided in Section 141(k) of the Delaware General Corporation Law.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at any meeting of the Board, and not by stockholders. A person elected to fill a vacancy or newly created directorship shall hold office until the next election of the class for which such director shall have been chosen and until his or her successor shall be duly elected and qualified.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VIII</w:t>
      </w:r>
    </w:p>
    <w:p>
      <w:pPr>
        <w:spacing w:after="0" w:line="226"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05" w:lineRule="exact"/>
        <w:rPr>
          <w:sz w:val="20"/>
          <w:szCs w:val="20"/>
          <w:color w:val="auto"/>
        </w:rPr>
      </w:pPr>
    </w:p>
    <w:p>
      <w:pPr>
        <w:jc w:val="both"/>
        <w:ind w:firstLine="656"/>
        <w:spacing w:after="0" w:line="254" w:lineRule="auto"/>
        <w:tabs>
          <w:tab w:leader="none" w:pos="99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Board Power</w:t>
      </w:r>
      <w:r>
        <w:rPr>
          <w:rFonts w:ascii="Arial" w:cs="Arial" w:eastAsia="Arial" w:hAnsi="Arial"/>
          <w:sz w:val="22"/>
          <w:szCs w:val="22"/>
          <w:color w:val="auto"/>
        </w:rPr>
        <w:t>. The business and affairs of the Corporation shall be managed by or under the direction of the Board. In addition to the powers and authority expressly conferred by statute or by this Amended and Restated Certificate or the Bylaws of the Corporation, the Board is hereby empowered to exercise all such powers and do all such acts and things as may be exercised or done by the Corporation.</w:t>
      </w:r>
    </w:p>
    <w:p>
      <w:pPr>
        <w:spacing w:after="0" w:line="185" w:lineRule="exact"/>
        <w:rPr>
          <w:rFonts w:ascii="Arial" w:cs="Arial" w:eastAsia="Arial" w:hAnsi="Arial"/>
          <w:sz w:val="22"/>
          <w:szCs w:val="22"/>
          <w:color w:val="auto"/>
        </w:rPr>
      </w:pPr>
    </w:p>
    <w:p>
      <w:pPr>
        <w:ind w:right="500" w:firstLine="656"/>
        <w:spacing w:after="0" w:line="276" w:lineRule="auto"/>
        <w:tabs>
          <w:tab w:leader="none" w:pos="99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Written Ballot</w:t>
      </w:r>
      <w:r>
        <w:rPr>
          <w:rFonts w:ascii="Arial" w:cs="Arial" w:eastAsia="Arial" w:hAnsi="Arial"/>
          <w:sz w:val="22"/>
          <w:szCs w:val="22"/>
          <w:color w:val="auto"/>
        </w:rPr>
        <w:t>. Elections of directors need not be by written ballot unless otherwise provided in the Bylaws of the Corporation.</w:t>
      </w:r>
    </w:p>
    <w:p>
      <w:pPr>
        <w:spacing w:after="0" w:line="160" w:lineRule="exact"/>
        <w:rPr>
          <w:rFonts w:ascii="Arial" w:cs="Arial" w:eastAsia="Arial" w:hAnsi="Arial"/>
          <w:sz w:val="22"/>
          <w:szCs w:val="22"/>
          <w:color w:val="auto"/>
        </w:rPr>
      </w:pPr>
    </w:p>
    <w:p>
      <w:pPr>
        <w:ind w:right="160" w:firstLine="656"/>
        <w:spacing w:after="0" w:line="276" w:lineRule="auto"/>
        <w:tabs>
          <w:tab w:leader="none" w:pos="99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Amendment of Bylaws</w:t>
      </w:r>
      <w:r>
        <w:rPr>
          <w:rFonts w:ascii="Arial" w:cs="Arial" w:eastAsia="Arial" w:hAnsi="Arial"/>
          <w:sz w:val="22"/>
          <w:szCs w:val="22"/>
          <w:color w:val="auto"/>
        </w:rPr>
        <w:t>. In furtherance and not in limitation of the powers conferred by the General Corporation Law, the Board is expressly authorized to adopt, amend or repeal the Bylaws of the Corporation.</w:t>
      </w:r>
    </w:p>
    <w:p>
      <w:pPr>
        <w:spacing w:after="0" w:line="160" w:lineRule="exact"/>
        <w:rPr>
          <w:rFonts w:ascii="Arial" w:cs="Arial" w:eastAsia="Arial" w:hAnsi="Arial"/>
          <w:sz w:val="22"/>
          <w:szCs w:val="22"/>
          <w:color w:val="auto"/>
        </w:rPr>
      </w:pPr>
    </w:p>
    <w:p>
      <w:pPr>
        <w:ind w:right="340" w:firstLine="656"/>
        <w:spacing w:after="0" w:line="299" w:lineRule="auto"/>
        <w:tabs>
          <w:tab w:leader="none" w:pos="990"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stockholders may be called only by (i) the Board pursuant to a resolution adopted by a majority of the Whole Board; (ii) the chairman of the Board; (iii) the chief executive officer of the Corporation;</w:t>
      </w:r>
    </w:p>
    <w:p>
      <w:pPr>
        <w:jc w:val="both"/>
        <w:ind w:right="380" w:firstLine="8"/>
        <w:spacing w:after="0" w:line="262" w:lineRule="auto"/>
        <w:tabs>
          <w:tab w:leader="none" w:pos="366"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president of the Corporation (in the absence of a chief executive officer); or (v) prior to the Final Conversion Date, the holders of at least thirty percent (30%) of the voting power of the Class A Common Stock and Class B Common Stock, voting together as a single class and acting in compliance with the Bylaws of the Corporation.</w:t>
      </w:r>
    </w:p>
    <w:p>
      <w:pPr>
        <w:spacing w:after="0" w:line="177" w:lineRule="exact"/>
        <w:rPr>
          <w:rFonts w:ascii="Arial" w:cs="Arial" w:eastAsia="Arial" w:hAnsi="Arial"/>
          <w:sz w:val="21"/>
          <w:szCs w:val="21"/>
          <w:color w:val="auto"/>
        </w:rPr>
      </w:pPr>
    </w:p>
    <w:p>
      <w:pPr>
        <w:ind w:firstLine="656"/>
        <w:spacing w:after="0" w:line="266" w:lineRule="auto"/>
        <w:tabs>
          <w:tab w:leader="none" w:pos="990"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Availability of Stockholder Action by Written Consent</w:t>
      </w:r>
      <w:r>
        <w:rPr>
          <w:rFonts w:ascii="Arial" w:cs="Arial" w:eastAsia="Arial" w:hAnsi="Arial"/>
          <w:sz w:val="21"/>
          <w:szCs w:val="21"/>
          <w:color w:val="auto"/>
        </w:rPr>
        <w:t>. Subject to the rights of the holders of any series of Preferred Stock, from and after the Voting Threshold Date, any action required or permitted to be taken by the stockholders of the Corporation must be effected at a duly called annual or special meeting of stockholders of the Corporation and may not be effected by any consent in writing by such stockholders. Subject to the rights of the holders of any series of Preferred Stock, before the Voting Threshold Date, any action required or permitted to be taken by the</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20"/>
          </w:cols>
          <w:pgMar w:left="240" w:top="847" w:right="339" w:bottom="1440" w:gutter="0" w:footer="0" w:header="0"/>
        </w:sectPr>
      </w:pPr>
    </w:p>
    <w:bookmarkStart w:id="93" w:name="page94"/>
    <w:bookmarkEnd w:id="93"/>
    <w:p>
      <w:pPr>
        <w:spacing w:after="0"/>
        <w:rPr>
          <w:sz w:val="20"/>
          <w:szCs w:val="20"/>
          <w:color w:val="auto"/>
        </w:rPr>
      </w:pPr>
      <w:r>
        <w:rPr>
          <w:rFonts w:ascii="Arial" w:cs="Arial" w:eastAsia="Arial" w:hAnsi="Arial"/>
          <w:sz w:val="19"/>
          <w:szCs w:val="19"/>
          <w:color w:val="auto"/>
        </w:rPr>
        <w:t>stockholders of the Corporation may be taken without a meeting only if the action is first recommended or approved by the Board.</w:t>
      </w:r>
    </w:p>
    <w:p>
      <w:pPr>
        <w:spacing w:after="0" w:line="254" w:lineRule="exact"/>
        <w:rPr>
          <w:sz w:val="20"/>
          <w:szCs w:val="20"/>
          <w:color w:val="auto"/>
        </w:rPr>
      </w:pPr>
    </w:p>
    <w:p>
      <w:pPr>
        <w:ind w:left="1000" w:hanging="344"/>
        <w:spacing w:after="0"/>
        <w:tabs>
          <w:tab w:leader="none" w:pos="10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No Cumulative Voting</w:t>
      </w:r>
      <w:r>
        <w:rPr>
          <w:rFonts w:ascii="Arial" w:cs="Arial" w:eastAsia="Arial" w:hAnsi="Arial"/>
          <w:sz w:val="22"/>
          <w:szCs w:val="22"/>
          <w:color w:val="auto"/>
        </w:rPr>
        <w:t>. No stockholder will be permitted to cumulate votes at any election of directors.</w:t>
      </w:r>
    </w:p>
    <w:p>
      <w:pPr>
        <w:spacing w:after="0" w:line="233" w:lineRule="exact"/>
        <w:rPr>
          <w:rFonts w:ascii="Arial" w:cs="Arial" w:eastAsia="Arial" w:hAnsi="Arial"/>
          <w:sz w:val="22"/>
          <w:szCs w:val="22"/>
          <w:color w:val="auto"/>
        </w:rPr>
      </w:pPr>
    </w:p>
    <w:p>
      <w:pPr>
        <w:jc w:val="both"/>
        <w:ind w:right="940" w:firstLine="656"/>
        <w:spacing w:after="0" w:line="260" w:lineRule="auto"/>
        <w:tabs>
          <w:tab w:leader="none" w:pos="99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No Reliance on the Controlled Company Exemption</w:t>
      </w:r>
      <w:r>
        <w:rPr>
          <w:rFonts w:ascii="Arial" w:cs="Arial" w:eastAsia="Arial" w:hAnsi="Arial"/>
          <w:sz w:val="22"/>
          <w:szCs w:val="22"/>
          <w:color w:val="auto"/>
        </w:rPr>
        <w:t>. At any time during which shares of capital stock of the Corporation are listed for trading on a Securities Exchange, the Corporation shall not rely upon the Controlled Company Exemption.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IX</w:t>
      </w:r>
    </w:p>
    <w:p>
      <w:pPr>
        <w:spacing w:after="0" w:line="226"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To the fullest extent permitted by law, no director of the Corporation shall be personally liable for monetary damages for breach of fiduciary duty as a director. Without limiting the effect of the preceding sentence, if the Delaware General Corporation Law is hereafter amended to authorize the further elimination or limitation of the liability of a director, then the liability of a director of the Corporation shall be eliminated or limited to the fullest extent permitted by the Delaware General Corporation Law, as so amended.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X</w:t>
      </w:r>
    </w:p>
    <w:p>
      <w:pPr>
        <w:spacing w:after="0" w:line="226"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Neither any amendment nor repeal of this Article X, nor the adoption of any provision of this Amended and Restated Certificate inconsistent with this Article X, shall eliminate, reduce or otherwise adversely affect any limitation on the personal liability of a director of the Corporation existing at the time of such amendment, repeal or adoption of such an inconsistent provision.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XI</w:t>
      </w:r>
    </w:p>
    <w:p>
      <w:pPr>
        <w:spacing w:after="0" w:line="226"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If any provision of this Amended and Restated Certificate becomes or is declared on any ground by a court of competent jurisdiction to be illegal, unenforceable or void, portions of such provision, or such provision in its entirety, to the extent necessary, shall be severed from this Amended and Restated Certificate, and the court will replace such illegal, void or unenforceable provision of this Amended and Restated Certificate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shall be enforceable in accordance with its terms.</w:t>
      </w:r>
    </w:p>
    <w:p>
      <w:pPr>
        <w:spacing w:after="0" w:line="197"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Except as provided in Article X above, the Corporation reserves the right to amend, alter, change or repeal any provision contained in this Amended and Restated Certificate, in the manner now or hereafter prescribed by statute, and all rights conferred upon stockholders herein are granted subject to this reservation;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notwithstanding any other provision of this Amended and Restated Certificate or any provision of law that might otherwise permit a lesser vote, but in addition to any vote of the holders of any class or series of the stock of this Corporation required by law or by this Amended and Restated Certificate,</w:t>
      </w:r>
    </w:p>
    <w:p>
      <w:pPr>
        <w:spacing w:after="0" w:line="4" w:lineRule="exact"/>
        <w:rPr>
          <w:sz w:val="20"/>
          <w:szCs w:val="20"/>
          <w:color w:val="auto"/>
        </w:rPr>
      </w:pPr>
    </w:p>
    <w:p>
      <w:pPr>
        <w:ind w:right="640" w:firstLine="8"/>
        <w:spacing w:after="0" w:line="246" w:lineRule="auto"/>
        <w:tabs>
          <w:tab w:leader="none" w:pos="258" w:val="left"/>
        </w:tabs>
        <w:numPr>
          <w:ilvl w:val="0"/>
          <w:numId w:val="57"/>
        </w:numPr>
        <w:rPr>
          <w:rFonts w:ascii="Arial" w:cs="Arial" w:eastAsia="Arial" w:hAnsi="Arial"/>
          <w:sz w:val="22"/>
          <w:szCs w:val="22"/>
          <w:color w:val="auto"/>
        </w:rPr>
      </w:pPr>
      <w:r>
        <w:rPr>
          <w:rFonts w:ascii="Arial" w:cs="Arial" w:eastAsia="Arial" w:hAnsi="Arial"/>
          <w:sz w:val="22"/>
          <w:szCs w:val="22"/>
          <w:color w:val="auto"/>
        </w:rPr>
        <w:t>prior to the Final Conversion Date, (a) the affirmative vote of the holders of at least two-thirds of the voting power of the outstanding</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60"/>
          </w:cols>
          <w:pgMar w:left="240" w:top="847" w:right="299" w:bottom="1440" w:gutter="0" w:footer="0" w:header="0"/>
        </w:sectPr>
      </w:pPr>
    </w:p>
    <w:bookmarkStart w:id="94" w:name="page95"/>
    <w:bookmarkEnd w:id="94"/>
    <w:p>
      <w:pPr>
        <w:spacing w:after="0" w:line="288" w:lineRule="auto"/>
        <w:rPr>
          <w:sz w:val="20"/>
          <w:szCs w:val="20"/>
          <w:color w:val="auto"/>
        </w:rPr>
      </w:pPr>
      <w:r>
        <w:rPr>
          <w:rFonts w:ascii="Arial" w:cs="Arial" w:eastAsia="Arial" w:hAnsi="Arial"/>
          <w:sz w:val="19"/>
          <w:szCs w:val="19"/>
          <w:color w:val="auto"/>
        </w:rPr>
        <w:t>shares of stock of the Corporation entitled to vote generally in the election of directors, voting together as a single class, shall be required to amend, alter, change or repeal any provision contained in this Amended and Restated Certificate or adopt any new provision of this Amended and Restated Certificate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this Amended and Restated Certificate inconsistent with, Article V or this clause (i)(b) of Article XI of this Amended and Restated Certificate (except in either case by virtue of a filing of a Preferred Stock Designation, but subject to any vote required by law or by other provisions of this Amended and Restated Certificate with respect to such Preferred Stock Designation),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this Amended and Restated Certificate inconsistent with, Article VII, Article VIII or this Article 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20"/>
          </w:cols>
          <w:pgMar w:left="240" w:top="847" w:right="3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AMENDED AND RESTATED BYLAWS OF</w:t>
      </w:r>
    </w:p>
    <w:p>
      <w:pPr>
        <w:sectPr>
          <w:pgSz w:w="11900" w:h="16838" w:orient="portrait"/>
          <w:cols w:equalWidth="0" w:num="1">
            <w:col w:w="9019"/>
          </w:cols>
          <w:pgMar w:left="1440" w:top="1440"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Dropbox, Inc.</w:t>
      </w:r>
    </w:p>
    <w:p>
      <w:pPr>
        <w:spacing w:after="0" w:line="227"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(as amended on March 8, 2018 effective as of the</w:t>
      </w:r>
    </w:p>
    <w:p>
      <w:pPr>
        <w:spacing w:after="0" w:line="6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closing of the corporation’s initial public offering)</w:t>
      </w:r>
    </w:p>
    <w:p>
      <w:pPr>
        <w:sectPr>
          <w:pgSz w:w="11900" w:h="16838" w:orient="portrait"/>
          <w:cols w:equalWidth="0" w:num="1">
            <w:col w:w="9019"/>
          </w:cols>
          <w:pgMar w:left="1440" w:top="1440" w:right="1440"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56"/>
        </w:trPr>
        <w:tc>
          <w:tcPr>
            <w:tcW w:w="1080" w:type="dxa"/>
            <w:vAlign w:val="bottom"/>
          </w:tcPr>
          <w:p>
            <w:pPr>
              <w:spacing w:after="0"/>
              <w:rPr>
                <w:sz w:val="22"/>
                <w:szCs w:val="22"/>
                <w:color w:val="auto"/>
              </w:rPr>
            </w:pPr>
          </w:p>
        </w:tc>
        <w:tc>
          <w:tcPr>
            <w:tcW w:w="8320" w:type="dxa"/>
            <w:vAlign w:val="bottom"/>
          </w:tcPr>
          <w:p>
            <w:pPr>
              <w:ind w:left="3540"/>
              <w:spacing w:after="0"/>
              <w:rPr>
                <w:sz w:val="20"/>
                <w:szCs w:val="20"/>
                <w:color w:val="auto"/>
              </w:rPr>
            </w:pPr>
            <w:r>
              <w:rPr>
                <w:rFonts w:ascii="Arial" w:cs="Arial" w:eastAsia="Arial" w:hAnsi="Arial"/>
                <w:sz w:val="20"/>
                <w:szCs w:val="20"/>
                <w:b w:val="1"/>
                <w:bCs w:val="1"/>
                <w:color w:val="auto"/>
              </w:rPr>
              <w:t>TABLE OF CONTENTS</w:t>
            </w:r>
          </w:p>
        </w:tc>
        <w:tc>
          <w:tcPr>
            <w:tcW w:w="1880" w:type="dxa"/>
            <w:vAlign w:val="bottom"/>
          </w:tcPr>
          <w:p>
            <w:pPr>
              <w:spacing w:after="0"/>
              <w:rPr>
                <w:sz w:val="22"/>
                <w:szCs w:val="22"/>
                <w:color w:val="auto"/>
              </w:rPr>
            </w:pPr>
          </w:p>
        </w:tc>
      </w:tr>
      <w:tr>
        <w:trPr>
          <w:trHeight w:val="392"/>
        </w:trPr>
        <w:tc>
          <w:tcPr>
            <w:tcW w:w="108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Page</w:t>
            </w:r>
          </w:p>
        </w:tc>
      </w:tr>
      <w:tr>
        <w:trPr>
          <w:trHeight w:val="581"/>
        </w:trPr>
        <w:tc>
          <w:tcPr>
            <w:tcW w:w="9400" w:type="dxa"/>
            <w:vAlign w:val="bottom"/>
            <w:gridSpan w:val="2"/>
          </w:tcPr>
          <w:p>
            <w:pPr>
              <w:spacing w:after="0"/>
              <w:rPr>
                <w:sz w:val="20"/>
                <w:szCs w:val="20"/>
                <w:color w:val="auto"/>
              </w:rPr>
            </w:pPr>
            <w:r>
              <w:rPr>
                <w:rFonts w:ascii="Arial" w:cs="Arial" w:eastAsia="Arial" w:hAnsi="Arial"/>
                <w:sz w:val="20"/>
                <w:szCs w:val="20"/>
                <w:color w:val="auto"/>
              </w:rPr>
              <w:t>ARTICLE I - CORPORATE OFFICES</w:t>
            </w: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1.1</w:t>
            </w:r>
          </w:p>
        </w:tc>
        <w:tc>
          <w:tcPr>
            <w:tcW w:w="8320" w:type="dxa"/>
            <w:vAlign w:val="bottom"/>
          </w:tcPr>
          <w:p>
            <w:pPr>
              <w:ind w:left="300"/>
              <w:spacing w:after="0"/>
              <w:rPr>
                <w:sz w:val="20"/>
                <w:szCs w:val="20"/>
                <w:color w:val="auto"/>
              </w:rPr>
            </w:pPr>
            <w:r>
              <w:rPr>
                <w:rFonts w:ascii="Arial" w:cs="Arial" w:eastAsia="Arial" w:hAnsi="Arial"/>
                <w:sz w:val="20"/>
                <w:szCs w:val="20"/>
                <w:color w:val="auto"/>
              </w:rPr>
              <w:t>REGISTERED OFFICE</w:t>
            </w:r>
          </w:p>
        </w:tc>
        <w:tc>
          <w:tcPr>
            <w:tcW w:w="18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1.2</w:t>
            </w:r>
          </w:p>
        </w:tc>
        <w:tc>
          <w:tcPr>
            <w:tcW w:w="8320" w:type="dxa"/>
            <w:vAlign w:val="bottom"/>
          </w:tcPr>
          <w:p>
            <w:pPr>
              <w:ind w:left="300"/>
              <w:spacing w:after="0"/>
              <w:rPr>
                <w:sz w:val="20"/>
                <w:szCs w:val="20"/>
                <w:color w:val="auto"/>
              </w:rPr>
            </w:pPr>
            <w:r>
              <w:rPr>
                <w:rFonts w:ascii="Arial" w:cs="Arial" w:eastAsia="Arial" w:hAnsi="Arial"/>
                <w:sz w:val="20"/>
                <w:szCs w:val="20"/>
                <w:color w:val="auto"/>
              </w:rPr>
              <w:t>OTHER OFFICES</w:t>
            </w:r>
          </w:p>
        </w:tc>
        <w:tc>
          <w:tcPr>
            <w:tcW w:w="18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9400" w:type="dxa"/>
            <w:vAlign w:val="bottom"/>
            <w:gridSpan w:val="2"/>
          </w:tcPr>
          <w:p>
            <w:pPr>
              <w:spacing w:after="0"/>
              <w:rPr>
                <w:sz w:val="20"/>
                <w:szCs w:val="20"/>
                <w:color w:val="auto"/>
              </w:rPr>
            </w:pPr>
            <w:r>
              <w:rPr>
                <w:rFonts w:ascii="Arial" w:cs="Arial" w:eastAsia="Arial" w:hAnsi="Arial"/>
                <w:sz w:val="20"/>
                <w:szCs w:val="20"/>
                <w:color w:val="auto"/>
              </w:rPr>
              <w:t>ARTICLE II - MEETINGS OF STOCKHOLDERS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2.1</w:t>
            </w:r>
          </w:p>
        </w:tc>
        <w:tc>
          <w:tcPr>
            <w:tcW w:w="8320" w:type="dxa"/>
            <w:vAlign w:val="bottom"/>
          </w:tcPr>
          <w:p>
            <w:pPr>
              <w:ind w:left="300"/>
              <w:spacing w:after="0"/>
              <w:rPr>
                <w:sz w:val="20"/>
                <w:szCs w:val="20"/>
                <w:color w:val="auto"/>
              </w:rPr>
            </w:pPr>
            <w:r>
              <w:rPr>
                <w:rFonts w:ascii="Arial" w:cs="Arial" w:eastAsia="Arial" w:hAnsi="Arial"/>
                <w:sz w:val="20"/>
                <w:szCs w:val="20"/>
                <w:color w:val="auto"/>
              </w:rPr>
              <w:t>PLACE OF MEETINGS</w:t>
            </w:r>
          </w:p>
        </w:tc>
        <w:tc>
          <w:tcPr>
            <w:tcW w:w="18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2.2</w:t>
            </w:r>
          </w:p>
        </w:tc>
        <w:tc>
          <w:tcPr>
            <w:tcW w:w="8320" w:type="dxa"/>
            <w:vAlign w:val="bottom"/>
          </w:tcPr>
          <w:p>
            <w:pPr>
              <w:ind w:left="300"/>
              <w:spacing w:after="0"/>
              <w:rPr>
                <w:sz w:val="20"/>
                <w:szCs w:val="20"/>
                <w:color w:val="auto"/>
              </w:rPr>
            </w:pPr>
            <w:r>
              <w:rPr>
                <w:rFonts w:ascii="Arial" w:cs="Arial" w:eastAsia="Arial" w:hAnsi="Arial"/>
                <w:sz w:val="20"/>
                <w:szCs w:val="20"/>
                <w:color w:val="auto"/>
              </w:rPr>
              <w:t>ANNUAL MEETING</w:t>
            </w:r>
          </w:p>
        </w:tc>
        <w:tc>
          <w:tcPr>
            <w:tcW w:w="18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2.3</w:t>
            </w:r>
          </w:p>
        </w:tc>
        <w:tc>
          <w:tcPr>
            <w:tcW w:w="8320" w:type="dxa"/>
            <w:vAlign w:val="bottom"/>
          </w:tcPr>
          <w:p>
            <w:pPr>
              <w:ind w:left="300"/>
              <w:spacing w:after="0"/>
              <w:rPr>
                <w:sz w:val="20"/>
                <w:szCs w:val="20"/>
                <w:color w:val="auto"/>
              </w:rPr>
            </w:pPr>
            <w:r>
              <w:rPr>
                <w:rFonts w:ascii="Arial" w:cs="Arial" w:eastAsia="Arial" w:hAnsi="Arial"/>
                <w:sz w:val="20"/>
                <w:szCs w:val="20"/>
                <w:color w:val="auto"/>
              </w:rPr>
              <w:t>SPECIAL MEETING</w:t>
            </w:r>
          </w:p>
        </w:tc>
        <w:tc>
          <w:tcPr>
            <w:tcW w:w="18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2.4</w:t>
            </w:r>
          </w:p>
        </w:tc>
        <w:tc>
          <w:tcPr>
            <w:tcW w:w="8320" w:type="dxa"/>
            <w:vAlign w:val="bottom"/>
          </w:tcPr>
          <w:p>
            <w:pPr>
              <w:ind w:left="300"/>
              <w:spacing w:after="0"/>
              <w:rPr>
                <w:sz w:val="20"/>
                <w:szCs w:val="20"/>
                <w:color w:val="auto"/>
              </w:rPr>
            </w:pPr>
            <w:r>
              <w:rPr>
                <w:rFonts w:ascii="Arial" w:cs="Arial" w:eastAsia="Arial" w:hAnsi="Arial"/>
                <w:sz w:val="20"/>
                <w:szCs w:val="20"/>
                <w:color w:val="auto"/>
              </w:rPr>
              <w:t>ADVANCE NOTICE PROCEDURES</w:t>
            </w:r>
          </w:p>
        </w:tc>
        <w:tc>
          <w:tcPr>
            <w:tcW w:w="18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2.5</w:t>
            </w:r>
          </w:p>
        </w:tc>
        <w:tc>
          <w:tcPr>
            <w:tcW w:w="8320" w:type="dxa"/>
            <w:vAlign w:val="bottom"/>
          </w:tcPr>
          <w:p>
            <w:pPr>
              <w:ind w:left="300"/>
              <w:spacing w:after="0"/>
              <w:rPr>
                <w:sz w:val="20"/>
                <w:szCs w:val="20"/>
                <w:color w:val="auto"/>
              </w:rPr>
            </w:pPr>
            <w:r>
              <w:rPr>
                <w:rFonts w:ascii="Arial" w:cs="Arial" w:eastAsia="Arial" w:hAnsi="Arial"/>
                <w:sz w:val="20"/>
                <w:szCs w:val="20"/>
                <w:color w:val="auto"/>
              </w:rPr>
              <w:t>NOTICE OF STOCKHOLDERS’ MEETINGS</w:t>
            </w:r>
          </w:p>
        </w:tc>
        <w:tc>
          <w:tcPr>
            <w:tcW w:w="18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2.6</w:t>
            </w:r>
          </w:p>
        </w:tc>
        <w:tc>
          <w:tcPr>
            <w:tcW w:w="8320" w:type="dxa"/>
            <w:vAlign w:val="bottom"/>
          </w:tcPr>
          <w:p>
            <w:pPr>
              <w:ind w:left="300"/>
              <w:spacing w:after="0"/>
              <w:rPr>
                <w:sz w:val="20"/>
                <w:szCs w:val="20"/>
                <w:color w:val="auto"/>
              </w:rPr>
            </w:pPr>
            <w:r>
              <w:rPr>
                <w:rFonts w:ascii="Arial" w:cs="Arial" w:eastAsia="Arial" w:hAnsi="Arial"/>
                <w:sz w:val="20"/>
                <w:szCs w:val="20"/>
                <w:color w:val="auto"/>
              </w:rPr>
              <w:t>QUORUM</w:t>
            </w:r>
          </w:p>
        </w:tc>
        <w:tc>
          <w:tcPr>
            <w:tcW w:w="18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2.7</w:t>
            </w:r>
          </w:p>
        </w:tc>
        <w:tc>
          <w:tcPr>
            <w:tcW w:w="8320" w:type="dxa"/>
            <w:vAlign w:val="bottom"/>
          </w:tcPr>
          <w:p>
            <w:pPr>
              <w:ind w:left="300"/>
              <w:spacing w:after="0"/>
              <w:rPr>
                <w:sz w:val="20"/>
                <w:szCs w:val="20"/>
                <w:color w:val="auto"/>
              </w:rPr>
            </w:pPr>
            <w:r>
              <w:rPr>
                <w:rFonts w:ascii="Arial" w:cs="Arial" w:eastAsia="Arial" w:hAnsi="Arial"/>
                <w:sz w:val="20"/>
                <w:szCs w:val="20"/>
                <w:color w:val="auto"/>
              </w:rPr>
              <w:t>ADJOURNED MEETING; NOTICE</w:t>
            </w:r>
          </w:p>
        </w:tc>
        <w:tc>
          <w:tcPr>
            <w:tcW w:w="18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2.8</w:t>
            </w:r>
          </w:p>
        </w:tc>
        <w:tc>
          <w:tcPr>
            <w:tcW w:w="8320" w:type="dxa"/>
            <w:vAlign w:val="bottom"/>
          </w:tcPr>
          <w:p>
            <w:pPr>
              <w:ind w:left="300"/>
              <w:spacing w:after="0"/>
              <w:rPr>
                <w:sz w:val="20"/>
                <w:szCs w:val="20"/>
                <w:color w:val="auto"/>
              </w:rPr>
            </w:pPr>
            <w:r>
              <w:rPr>
                <w:rFonts w:ascii="Arial" w:cs="Arial" w:eastAsia="Arial" w:hAnsi="Arial"/>
                <w:sz w:val="20"/>
                <w:szCs w:val="20"/>
                <w:color w:val="auto"/>
              </w:rPr>
              <w:t>CONDUCT OF BUSINESS</w:t>
            </w:r>
          </w:p>
        </w:tc>
        <w:tc>
          <w:tcPr>
            <w:tcW w:w="18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2.9</w:t>
            </w:r>
          </w:p>
        </w:tc>
        <w:tc>
          <w:tcPr>
            <w:tcW w:w="8320" w:type="dxa"/>
            <w:vAlign w:val="bottom"/>
          </w:tcPr>
          <w:p>
            <w:pPr>
              <w:ind w:left="300"/>
              <w:spacing w:after="0"/>
              <w:rPr>
                <w:sz w:val="20"/>
                <w:szCs w:val="20"/>
                <w:color w:val="auto"/>
              </w:rPr>
            </w:pPr>
            <w:r>
              <w:rPr>
                <w:rFonts w:ascii="Arial" w:cs="Arial" w:eastAsia="Arial" w:hAnsi="Arial"/>
                <w:sz w:val="20"/>
                <w:szCs w:val="20"/>
                <w:color w:val="auto"/>
              </w:rPr>
              <w:t>VOTING</w:t>
            </w:r>
          </w:p>
        </w:tc>
        <w:tc>
          <w:tcPr>
            <w:tcW w:w="18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2.1</w:t>
            </w:r>
          </w:p>
        </w:tc>
        <w:tc>
          <w:tcPr>
            <w:tcW w:w="8320" w:type="dxa"/>
            <w:vAlign w:val="bottom"/>
          </w:tcPr>
          <w:p>
            <w:pPr>
              <w:ind w:left="300"/>
              <w:spacing w:after="0"/>
              <w:rPr>
                <w:sz w:val="20"/>
                <w:szCs w:val="20"/>
                <w:color w:val="auto"/>
              </w:rPr>
            </w:pPr>
            <w:r>
              <w:rPr>
                <w:rFonts w:ascii="Arial" w:cs="Arial" w:eastAsia="Arial" w:hAnsi="Arial"/>
                <w:sz w:val="20"/>
                <w:szCs w:val="20"/>
                <w:color w:val="auto"/>
              </w:rPr>
              <w:t>STOCKHOLDER ACTION BY WRITTEN CONSENT WITHOUT A MEETING</w:t>
            </w:r>
          </w:p>
        </w:tc>
        <w:tc>
          <w:tcPr>
            <w:tcW w:w="18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2.11</w:t>
            </w:r>
          </w:p>
        </w:tc>
        <w:tc>
          <w:tcPr>
            <w:tcW w:w="8320" w:type="dxa"/>
            <w:vAlign w:val="bottom"/>
          </w:tcPr>
          <w:p>
            <w:pPr>
              <w:ind w:left="300"/>
              <w:spacing w:after="0"/>
              <w:rPr>
                <w:sz w:val="20"/>
                <w:szCs w:val="20"/>
                <w:color w:val="auto"/>
              </w:rPr>
            </w:pPr>
            <w:r>
              <w:rPr>
                <w:rFonts w:ascii="Arial" w:cs="Arial" w:eastAsia="Arial" w:hAnsi="Arial"/>
                <w:sz w:val="20"/>
                <w:szCs w:val="20"/>
                <w:color w:val="auto"/>
              </w:rPr>
              <w:t>RECORD DATES</w:t>
            </w:r>
          </w:p>
        </w:tc>
        <w:tc>
          <w:tcPr>
            <w:tcW w:w="18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2.12</w:t>
            </w:r>
          </w:p>
        </w:tc>
        <w:tc>
          <w:tcPr>
            <w:tcW w:w="8320" w:type="dxa"/>
            <w:vAlign w:val="bottom"/>
          </w:tcPr>
          <w:p>
            <w:pPr>
              <w:ind w:left="300"/>
              <w:spacing w:after="0"/>
              <w:rPr>
                <w:sz w:val="20"/>
                <w:szCs w:val="20"/>
                <w:color w:val="auto"/>
              </w:rPr>
            </w:pPr>
            <w:r>
              <w:rPr>
                <w:rFonts w:ascii="Arial" w:cs="Arial" w:eastAsia="Arial" w:hAnsi="Arial"/>
                <w:sz w:val="20"/>
                <w:szCs w:val="20"/>
                <w:color w:val="auto"/>
              </w:rPr>
              <w:t>PROXIES</w:t>
            </w:r>
          </w:p>
        </w:tc>
        <w:tc>
          <w:tcPr>
            <w:tcW w:w="18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2.13</w:t>
            </w:r>
          </w:p>
        </w:tc>
        <w:tc>
          <w:tcPr>
            <w:tcW w:w="8320" w:type="dxa"/>
            <w:vAlign w:val="bottom"/>
          </w:tcPr>
          <w:p>
            <w:pPr>
              <w:ind w:left="300"/>
              <w:spacing w:after="0"/>
              <w:rPr>
                <w:sz w:val="20"/>
                <w:szCs w:val="20"/>
                <w:color w:val="auto"/>
              </w:rPr>
            </w:pPr>
            <w:r>
              <w:rPr>
                <w:rFonts w:ascii="Arial" w:cs="Arial" w:eastAsia="Arial" w:hAnsi="Arial"/>
                <w:sz w:val="20"/>
                <w:szCs w:val="20"/>
                <w:color w:val="auto"/>
              </w:rPr>
              <w:t>LIST OF STOCKHOLDERS ENTITLED TO VOTE</w:t>
            </w:r>
          </w:p>
        </w:tc>
        <w:tc>
          <w:tcPr>
            <w:tcW w:w="18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2.14</w:t>
            </w:r>
          </w:p>
        </w:tc>
        <w:tc>
          <w:tcPr>
            <w:tcW w:w="8320" w:type="dxa"/>
            <w:vAlign w:val="bottom"/>
          </w:tcPr>
          <w:p>
            <w:pPr>
              <w:ind w:left="300"/>
              <w:spacing w:after="0"/>
              <w:rPr>
                <w:sz w:val="20"/>
                <w:szCs w:val="20"/>
                <w:color w:val="auto"/>
              </w:rPr>
            </w:pPr>
            <w:r>
              <w:rPr>
                <w:rFonts w:ascii="Arial" w:cs="Arial" w:eastAsia="Arial" w:hAnsi="Arial"/>
                <w:sz w:val="20"/>
                <w:szCs w:val="20"/>
                <w:color w:val="auto"/>
              </w:rPr>
              <w:t>INSPECTORS OF ELECTION</w:t>
            </w:r>
          </w:p>
        </w:tc>
        <w:tc>
          <w:tcPr>
            <w:tcW w:w="18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9400" w:type="dxa"/>
            <w:vAlign w:val="bottom"/>
            <w:gridSpan w:val="2"/>
          </w:tcPr>
          <w:p>
            <w:pPr>
              <w:spacing w:after="0"/>
              <w:rPr>
                <w:sz w:val="20"/>
                <w:szCs w:val="20"/>
                <w:color w:val="auto"/>
              </w:rPr>
            </w:pPr>
            <w:r>
              <w:rPr>
                <w:rFonts w:ascii="Arial" w:cs="Arial" w:eastAsia="Arial" w:hAnsi="Arial"/>
                <w:sz w:val="20"/>
                <w:szCs w:val="20"/>
                <w:color w:val="auto"/>
              </w:rPr>
              <w:t>ARTICLE III - DIRECTORS</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3.1</w:t>
            </w:r>
          </w:p>
        </w:tc>
        <w:tc>
          <w:tcPr>
            <w:tcW w:w="8320" w:type="dxa"/>
            <w:vAlign w:val="bottom"/>
          </w:tcPr>
          <w:p>
            <w:pPr>
              <w:ind w:left="300"/>
              <w:spacing w:after="0"/>
              <w:rPr>
                <w:sz w:val="20"/>
                <w:szCs w:val="20"/>
                <w:color w:val="auto"/>
              </w:rPr>
            </w:pPr>
            <w:r>
              <w:rPr>
                <w:rFonts w:ascii="Arial" w:cs="Arial" w:eastAsia="Arial" w:hAnsi="Arial"/>
                <w:sz w:val="20"/>
                <w:szCs w:val="20"/>
                <w:color w:val="auto"/>
              </w:rPr>
              <w:t>POWERS</w:t>
            </w:r>
          </w:p>
        </w:tc>
        <w:tc>
          <w:tcPr>
            <w:tcW w:w="18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3.2</w:t>
            </w:r>
          </w:p>
        </w:tc>
        <w:tc>
          <w:tcPr>
            <w:tcW w:w="8320" w:type="dxa"/>
            <w:vAlign w:val="bottom"/>
          </w:tcPr>
          <w:p>
            <w:pPr>
              <w:ind w:left="300"/>
              <w:spacing w:after="0"/>
              <w:rPr>
                <w:sz w:val="20"/>
                <w:szCs w:val="20"/>
                <w:color w:val="auto"/>
              </w:rPr>
            </w:pPr>
            <w:r>
              <w:rPr>
                <w:rFonts w:ascii="Arial" w:cs="Arial" w:eastAsia="Arial" w:hAnsi="Arial"/>
                <w:sz w:val="20"/>
                <w:szCs w:val="20"/>
                <w:color w:val="auto"/>
              </w:rPr>
              <w:t>NUMBER OF DIRECTORS</w:t>
            </w:r>
          </w:p>
        </w:tc>
        <w:tc>
          <w:tcPr>
            <w:tcW w:w="18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3.3</w:t>
            </w:r>
          </w:p>
        </w:tc>
        <w:tc>
          <w:tcPr>
            <w:tcW w:w="8320" w:type="dxa"/>
            <w:vAlign w:val="bottom"/>
          </w:tcPr>
          <w:p>
            <w:pPr>
              <w:ind w:left="300"/>
              <w:spacing w:after="0"/>
              <w:rPr>
                <w:sz w:val="20"/>
                <w:szCs w:val="20"/>
                <w:color w:val="auto"/>
              </w:rPr>
            </w:pPr>
            <w:r>
              <w:rPr>
                <w:rFonts w:ascii="Arial" w:cs="Arial" w:eastAsia="Arial" w:hAnsi="Arial"/>
                <w:sz w:val="20"/>
                <w:szCs w:val="20"/>
                <w:color w:val="auto"/>
              </w:rPr>
              <w:t>ELECTION, QUALIFICATION AND TERM OF OFFICE OF DIRECTORS</w:t>
            </w:r>
          </w:p>
        </w:tc>
        <w:tc>
          <w:tcPr>
            <w:tcW w:w="18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3.4</w:t>
            </w:r>
          </w:p>
        </w:tc>
        <w:tc>
          <w:tcPr>
            <w:tcW w:w="8320" w:type="dxa"/>
            <w:vAlign w:val="bottom"/>
          </w:tcPr>
          <w:p>
            <w:pPr>
              <w:ind w:left="300"/>
              <w:spacing w:after="0"/>
              <w:rPr>
                <w:sz w:val="20"/>
                <w:szCs w:val="20"/>
                <w:color w:val="auto"/>
              </w:rPr>
            </w:pPr>
            <w:r>
              <w:rPr>
                <w:rFonts w:ascii="Arial" w:cs="Arial" w:eastAsia="Arial" w:hAnsi="Arial"/>
                <w:sz w:val="20"/>
                <w:szCs w:val="20"/>
                <w:color w:val="auto"/>
              </w:rPr>
              <w:t>RESIGNATION AND VACANCIES</w:t>
            </w:r>
          </w:p>
        </w:tc>
        <w:tc>
          <w:tcPr>
            <w:tcW w:w="18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3.5</w:t>
            </w:r>
          </w:p>
        </w:tc>
        <w:tc>
          <w:tcPr>
            <w:tcW w:w="8320" w:type="dxa"/>
            <w:vAlign w:val="bottom"/>
          </w:tcPr>
          <w:p>
            <w:pPr>
              <w:ind w:left="300"/>
              <w:spacing w:after="0"/>
              <w:rPr>
                <w:sz w:val="20"/>
                <w:szCs w:val="20"/>
                <w:color w:val="auto"/>
              </w:rPr>
            </w:pPr>
            <w:r>
              <w:rPr>
                <w:rFonts w:ascii="Arial" w:cs="Arial" w:eastAsia="Arial" w:hAnsi="Arial"/>
                <w:sz w:val="20"/>
                <w:szCs w:val="20"/>
                <w:color w:val="auto"/>
              </w:rPr>
              <w:t>PLACE OF MEETINGS; MEETINGS BY TELEPHONE</w:t>
            </w:r>
          </w:p>
        </w:tc>
        <w:tc>
          <w:tcPr>
            <w:tcW w:w="18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3.6</w:t>
            </w:r>
          </w:p>
        </w:tc>
        <w:tc>
          <w:tcPr>
            <w:tcW w:w="8320" w:type="dxa"/>
            <w:vAlign w:val="bottom"/>
          </w:tcPr>
          <w:p>
            <w:pPr>
              <w:ind w:left="300"/>
              <w:spacing w:after="0"/>
              <w:rPr>
                <w:sz w:val="20"/>
                <w:szCs w:val="20"/>
                <w:color w:val="auto"/>
              </w:rPr>
            </w:pPr>
            <w:r>
              <w:rPr>
                <w:rFonts w:ascii="Arial" w:cs="Arial" w:eastAsia="Arial" w:hAnsi="Arial"/>
                <w:sz w:val="20"/>
                <w:szCs w:val="20"/>
                <w:color w:val="auto"/>
              </w:rPr>
              <w:t>REGULAR MEETINGS</w:t>
            </w:r>
          </w:p>
        </w:tc>
        <w:tc>
          <w:tcPr>
            <w:tcW w:w="18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3.7</w:t>
            </w:r>
          </w:p>
        </w:tc>
        <w:tc>
          <w:tcPr>
            <w:tcW w:w="8320" w:type="dxa"/>
            <w:vAlign w:val="bottom"/>
          </w:tcPr>
          <w:p>
            <w:pPr>
              <w:ind w:left="300"/>
              <w:spacing w:after="0"/>
              <w:rPr>
                <w:sz w:val="20"/>
                <w:szCs w:val="20"/>
                <w:color w:val="auto"/>
              </w:rPr>
            </w:pPr>
            <w:r>
              <w:rPr>
                <w:rFonts w:ascii="Arial" w:cs="Arial" w:eastAsia="Arial" w:hAnsi="Arial"/>
                <w:sz w:val="20"/>
                <w:szCs w:val="20"/>
                <w:color w:val="auto"/>
              </w:rPr>
              <w:t>SPECIAL MEETINGS; NOTICE</w:t>
            </w:r>
          </w:p>
        </w:tc>
        <w:tc>
          <w:tcPr>
            <w:tcW w:w="18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3.8</w:t>
            </w:r>
          </w:p>
        </w:tc>
        <w:tc>
          <w:tcPr>
            <w:tcW w:w="8320" w:type="dxa"/>
            <w:vAlign w:val="bottom"/>
          </w:tcPr>
          <w:p>
            <w:pPr>
              <w:ind w:left="300"/>
              <w:spacing w:after="0"/>
              <w:rPr>
                <w:sz w:val="20"/>
                <w:szCs w:val="20"/>
                <w:color w:val="auto"/>
              </w:rPr>
            </w:pPr>
            <w:r>
              <w:rPr>
                <w:rFonts w:ascii="Arial" w:cs="Arial" w:eastAsia="Arial" w:hAnsi="Arial"/>
                <w:sz w:val="20"/>
                <w:szCs w:val="20"/>
                <w:color w:val="auto"/>
              </w:rPr>
              <w:t>QUORUM; VOTING</w:t>
            </w:r>
          </w:p>
        </w:tc>
        <w:tc>
          <w:tcPr>
            <w:tcW w:w="18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3.9</w:t>
            </w:r>
          </w:p>
        </w:tc>
        <w:tc>
          <w:tcPr>
            <w:tcW w:w="8320" w:type="dxa"/>
            <w:vAlign w:val="bottom"/>
          </w:tcPr>
          <w:p>
            <w:pPr>
              <w:ind w:left="300"/>
              <w:spacing w:after="0"/>
              <w:rPr>
                <w:sz w:val="20"/>
                <w:szCs w:val="20"/>
                <w:color w:val="auto"/>
              </w:rPr>
            </w:pPr>
            <w:r>
              <w:rPr>
                <w:rFonts w:ascii="Arial" w:cs="Arial" w:eastAsia="Arial" w:hAnsi="Arial"/>
                <w:sz w:val="20"/>
                <w:szCs w:val="20"/>
                <w:color w:val="auto"/>
              </w:rPr>
              <w:t>BOARD ACTION BY WRITTEN CONSENT WITHOUT A MEETING</w:t>
            </w:r>
          </w:p>
        </w:tc>
        <w:tc>
          <w:tcPr>
            <w:tcW w:w="18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3.1</w:t>
            </w:r>
          </w:p>
        </w:tc>
        <w:tc>
          <w:tcPr>
            <w:tcW w:w="8320" w:type="dxa"/>
            <w:vAlign w:val="bottom"/>
          </w:tcPr>
          <w:p>
            <w:pPr>
              <w:ind w:left="300"/>
              <w:spacing w:after="0"/>
              <w:rPr>
                <w:sz w:val="20"/>
                <w:szCs w:val="20"/>
                <w:color w:val="auto"/>
              </w:rPr>
            </w:pPr>
            <w:r>
              <w:rPr>
                <w:rFonts w:ascii="Arial" w:cs="Arial" w:eastAsia="Arial" w:hAnsi="Arial"/>
                <w:sz w:val="20"/>
                <w:szCs w:val="20"/>
                <w:color w:val="auto"/>
              </w:rPr>
              <w:t>FEES AND COMPENSATION OF DIRECTORS</w:t>
            </w:r>
          </w:p>
        </w:tc>
        <w:tc>
          <w:tcPr>
            <w:tcW w:w="18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3.11</w:t>
            </w:r>
          </w:p>
        </w:tc>
        <w:tc>
          <w:tcPr>
            <w:tcW w:w="8320" w:type="dxa"/>
            <w:vAlign w:val="bottom"/>
          </w:tcPr>
          <w:p>
            <w:pPr>
              <w:ind w:left="300"/>
              <w:spacing w:after="0"/>
              <w:rPr>
                <w:sz w:val="20"/>
                <w:szCs w:val="20"/>
                <w:color w:val="auto"/>
              </w:rPr>
            </w:pPr>
            <w:r>
              <w:rPr>
                <w:rFonts w:ascii="Arial" w:cs="Arial" w:eastAsia="Arial" w:hAnsi="Arial"/>
                <w:sz w:val="20"/>
                <w:szCs w:val="20"/>
                <w:color w:val="auto"/>
              </w:rPr>
              <w:t>REMOVAL OF DIRECTORS</w:t>
            </w:r>
          </w:p>
        </w:tc>
        <w:tc>
          <w:tcPr>
            <w:tcW w:w="18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400" w:type="dxa"/>
            <w:vAlign w:val="bottom"/>
            <w:gridSpan w:val="2"/>
          </w:tcPr>
          <w:p>
            <w:pPr>
              <w:spacing w:after="0"/>
              <w:rPr>
                <w:sz w:val="20"/>
                <w:szCs w:val="20"/>
                <w:color w:val="auto"/>
              </w:rPr>
            </w:pPr>
            <w:r>
              <w:rPr>
                <w:rFonts w:ascii="Arial" w:cs="Arial" w:eastAsia="Arial" w:hAnsi="Arial"/>
                <w:sz w:val="20"/>
                <w:szCs w:val="20"/>
                <w:color w:val="auto"/>
              </w:rPr>
              <w:t>ARTICLE IV - COMMITTEES</w:t>
            </w: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4.1</w:t>
            </w:r>
          </w:p>
        </w:tc>
        <w:tc>
          <w:tcPr>
            <w:tcW w:w="8320" w:type="dxa"/>
            <w:vAlign w:val="bottom"/>
          </w:tcPr>
          <w:p>
            <w:pPr>
              <w:ind w:left="300"/>
              <w:spacing w:after="0"/>
              <w:rPr>
                <w:sz w:val="20"/>
                <w:szCs w:val="20"/>
                <w:color w:val="auto"/>
              </w:rPr>
            </w:pPr>
            <w:r>
              <w:rPr>
                <w:rFonts w:ascii="Arial" w:cs="Arial" w:eastAsia="Arial" w:hAnsi="Arial"/>
                <w:sz w:val="20"/>
                <w:szCs w:val="20"/>
                <w:color w:val="auto"/>
              </w:rPr>
              <w:t>COMMITTEES OF DIRECTORS</w:t>
            </w:r>
          </w:p>
        </w:tc>
        <w:tc>
          <w:tcPr>
            <w:tcW w:w="18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4.2</w:t>
            </w:r>
          </w:p>
        </w:tc>
        <w:tc>
          <w:tcPr>
            <w:tcW w:w="8320" w:type="dxa"/>
            <w:vAlign w:val="bottom"/>
          </w:tcPr>
          <w:p>
            <w:pPr>
              <w:ind w:left="300"/>
              <w:spacing w:after="0"/>
              <w:rPr>
                <w:sz w:val="20"/>
                <w:szCs w:val="20"/>
                <w:color w:val="auto"/>
              </w:rPr>
            </w:pPr>
            <w:r>
              <w:rPr>
                <w:rFonts w:ascii="Arial" w:cs="Arial" w:eastAsia="Arial" w:hAnsi="Arial"/>
                <w:sz w:val="20"/>
                <w:szCs w:val="20"/>
                <w:color w:val="auto"/>
              </w:rPr>
              <w:t>COMMITTEE MINUTES</w:t>
            </w:r>
          </w:p>
        </w:tc>
        <w:tc>
          <w:tcPr>
            <w:tcW w:w="18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4.3</w:t>
            </w:r>
          </w:p>
        </w:tc>
        <w:tc>
          <w:tcPr>
            <w:tcW w:w="8320" w:type="dxa"/>
            <w:vAlign w:val="bottom"/>
          </w:tcPr>
          <w:p>
            <w:pPr>
              <w:ind w:left="300"/>
              <w:spacing w:after="0"/>
              <w:rPr>
                <w:sz w:val="20"/>
                <w:szCs w:val="20"/>
                <w:color w:val="auto"/>
              </w:rPr>
            </w:pPr>
            <w:r>
              <w:rPr>
                <w:rFonts w:ascii="Arial" w:cs="Arial" w:eastAsia="Arial" w:hAnsi="Arial"/>
                <w:sz w:val="20"/>
                <w:szCs w:val="20"/>
                <w:color w:val="auto"/>
              </w:rPr>
              <w:t>MEETINGS AND ACTION OF COMMITTEES</w:t>
            </w:r>
          </w:p>
        </w:tc>
        <w:tc>
          <w:tcPr>
            <w:tcW w:w="1880" w:type="dxa"/>
            <w:vAlign w:val="bottom"/>
          </w:tcPr>
          <w:p>
            <w:pPr>
              <w:jc w:val="right"/>
              <w:spacing w:after="0"/>
              <w:rPr>
                <w:sz w:val="20"/>
                <w:szCs w:val="20"/>
                <w:color w:val="auto"/>
              </w:rPr>
            </w:pPr>
            <w:r>
              <w:rPr>
                <w:rFonts w:ascii="Arial" w:cs="Arial" w:eastAsia="Arial" w:hAnsi="Arial"/>
                <w:sz w:val="20"/>
                <w:szCs w:val="20"/>
                <w:color w:val="auto"/>
              </w:rPr>
              <w:t>12</w:t>
            </w:r>
          </w:p>
        </w:tc>
      </w:tr>
    </w:tbl>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80"/>
          </w:cols>
          <w:pgMar w:left="280" w:top="589"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9900" w:type="dxa"/>
            <w:vAlign w:val="bottom"/>
          </w:tcPr>
          <w:p>
            <w:pPr>
              <w:ind w:left="3540"/>
              <w:spacing w:after="0"/>
              <w:rPr>
                <w:sz w:val="20"/>
                <w:szCs w:val="20"/>
                <w:color w:val="auto"/>
              </w:rPr>
            </w:pPr>
            <w:r>
              <w:rPr>
                <w:rFonts w:ascii="Arial" w:cs="Arial" w:eastAsia="Arial" w:hAnsi="Arial"/>
                <w:sz w:val="20"/>
                <w:szCs w:val="20"/>
                <w:b w:val="1"/>
                <w:bCs w:val="1"/>
                <w:color w:val="auto"/>
              </w:rPr>
              <w:t>TABLE OF CONTENTS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2"/>
                <w:szCs w:val="22"/>
                <w:color w:val="auto"/>
              </w:rPr>
            </w:pPr>
          </w:p>
        </w:tc>
        <w:tc>
          <w:tcPr>
            <w:tcW w:w="9900" w:type="dxa"/>
            <w:vAlign w:val="bottom"/>
          </w:tcPr>
          <w:p>
            <w:pPr>
              <w:ind w:left="4120"/>
              <w:spacing w:after="0"/>
              <w:rPr>
                <w:sz w:val="20"/>
                <w:szCs w:val="20"/>
                <w:color w:val="auto"/>
              </w:rPr>
            </w:pPr>
            <w:r>
              <w:rPr>
                <w:rFonts w:ascii="Arial" w:cs="Arial" w:eastAsia="Arial" w:hAnsi="Arial"/>
                <w:sz w:val="20"/>
                <w:szCs w:val="20"/>
                <w:b w:val="1"/>
                <w:bCs w:val="1"/>
                <w:color w:val="auto"/>
              </w:rPr>
              <w:t>(continued)</w:t>
            </w:r>
          </w:p>
        </w:tc>
        <w:tc>
          <w:tcPr>
            <w:tcW w:w="40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79"/>
              </w:rPr>
              <w:t>Page</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9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9"/>
        </w:trPr>
        <w:tc>
          <w:tcPr>
            <w:tcW w:w="1080" w:type="dxa"/>
            <w:vAlign w:val="bottom"/>
          </w:tcPr>
          <w:p>
            <w:pPr>
              <w:ind w:left="460"/>
              <w:spacing w:after="0"/>
              <w:rPr>
                <w:sz w:val="20"/>
                <w:szCs w:val="20"/>
                <w:color w:val="auto"/>
              </w:rPr>
            </w:pPr>
            <w:r>
              <w:rPr>
                <w:rFonts w:ascii="Arial" w:cs="Arial" w:eastAsia="Arial" w:hAnsi="Arial"/>
                <w:sz w:val="20"/>
                <w:szCs w:val="20"/>
                <w:color w:val="auto"/>
              </w:rPr>
              <w:t>4.4</w:t>
            </w:r>
          </w:p>
        </w:tc>
        <w:tc>
          <w:tcPr>
            <w:tcW w:w="9900" w:type="dxa"/>
            <w:vAlign w:val="bottom"/>
          </w:tcPr>
          <w:p>
            <w:pPr>
              <w:ind w:left="300"/>
              <w:spacing w:after="0"/>
              <w:rPr>
                <w:sz w:val="20"/>
                <w:szCs w:val="20"/>
                <w:color w:val="auto"/>
              </w:rPr>
            </w:pPr>
            <w:r>
              <w:rPr>
                <w:rFonts w:ascii="Arial" w:cs="Arial" w:eastAsia="Arial" w:hAnsi="Arial"/>
                <w:sz w:val="20"/>
                <w:szCs w:val="20"/>
                <w:color w:val="auto"/>
              </w:rPr>
              <w:t>SUBCOMMITTEES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4"/>
        </w:trPr>
        <w:tc>
          <w:tcPr>
            <w:tcW w:w="10980" w:type="dxa"/>
            <w:vAlign w:val="bottom"/>
            <w:gridSpan w:val="2"/>
          </w:tcPr>
          <w:p>
            <w:pPr>
              <w:spacing w:after="0"/>
              <w:rPr>
                <w:sz w:val="20"/>
                <w:szCs w:val="20"/>
                <w:color w:val="auto"/>
              </w:rPr>
            </w:pPr>
            <w:r>
              <w:rPr>
                <w:rFonts w:ascii="Arial" w:cs="Arial" w:eastAsia="Arial" w:hAnsi="Arial"/>
                <w:sz w:val="20"/>
                <w:szCs w:val="20"/>
                <w:color w:val="auto"/>
              </w:rPr>
              <w:t>ARTICLE V - OFFICERS</w:t>
            </w:r>
          </w:p>
        </w:tc>
        <w:tc>
          <w:tcPr>
            <w:tcW w:w="400" w:type="dxa"/>
            <w:vAlign w:val="bottom"/>
          </w:tcPr>
          <w:p>
            <w:pPr>
              <w:jc w:val="right"/>
              <w:ind w:right="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5.1</w:t>
            </w:r>
          </w:p>
        </w:tc>
        <w:tc>
          <w:tcPr>
            <w:tcW w:w="9900" w:type="dxa"/>
            <w:vAlign w:val="bottom"/>
          </w:tcPr>
          <w:p>
            <w:pPr>
              <w:ind w:left="300"/>
              <w:spacing w:after="0"/>
              <w:rPr>
                <w:sz w:val="20"/>
                <w:szCs w:val="20"/>
                <w:color w:val="auto"/>
              </w:rPr>
            </w:pPr>
            <w:r>
              <w:rPr>
                <w:rFonts w:ascii="Arial" w:cs="Arial" w:eastAsia="Arial" w:hAnsi="Arial"/>
                <w:sz w:val="20"/>
                <w:szCs w:val="20"/>
                <w:color w:val="auto"/>
              </w:rPr>
              <w:t>OFFICERS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5.2</w:t>
            </w:r>
          </w:p>
        </w:tc>
        <w:tc>
          <w:tcPr>
            <w:tcW w:w="9900" w:type="dxa"/>
            <w:vAlign w:val="bottom"/>
          </w:tcPr>
          <w:p>
            <w:pPr>
              <w:ind w:left="300"/>
              <w:spacing w:after="0"/>
              <w:rPr>
                <w:sz w:val="20"/>
                <w:szCs w:val="20"/>
                <w:color w:val="auto"/>
              </w:rPr>
            </w:pPr>
            <w:r>
              <w:rPr>
                <w:rFonts w:ascii="Arial" w:cs="Arial" w:eastAsia="Arial" w:hAnsi="Arial"/>
                <w:sz w:val="20"/>
                <w:szCs w:val="20"/>
                <w:color w:val="auto"/>
              </w:rPr>
              <w:t>APPOINTMENT OF OFFICERS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5.3</w:t>
            </w:r>
          </w:p>
        </w:tc>
        <w:tc>
          <w:tcPr>
            <w:tcW w:w="9900" w:type="dxa"/>
            <w:vAlign w:val="bottom"/>
          </w:tcPr>
          <w:p>
            <w:pPr>
              <w:ind w:left="300"/>
              <w:spacing w:after="0"/>
              <w:rPr>
                <w:sz w:val="20"/>
                <w:szCs w:val="20"/>
                <w:color w:val="auto"/>
              </w:rPr>
            </w:pPr>
            <w:r>
              <w:rPr>
                <w:rFonts w:ascii="Arial" w:cs="Arial" w:eastAsia="Arial" w:hAnsi="Arial"/>
                <w:sz w:val="20"/>
                <w:szCs w:val="20"/>
                <w:color w:val="auto"/>
              </w:rPr>
              <w:t>SUBORDINATE OFFICERS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5.4</w:t>
            </w:r>
          </w:p>
        </w:tc>
        <w:tc>
          <w:tcPr>
            <w:tcW w:w="9900" w:type="dxa"/>
            <w:vAlign w:val="bottom"/>
          </w:tcPr>
          <w:p>
            <w:pPr>
              <w:ind w:left="300"/>
              <w:spacing w:after="0"/>
              <w:rPr>
                <w:sz w:val="20"/>
                <w:szCs w:val="20"/>
                <w:color w:val="auto"/>
              </w:rPr>
            </w:pPr>
            <w:r>
              <w:rPr>
                <w:rFonts w:ascii="Arial" w:cs="Arial" w:eastAsia="Arial" w:hAnsi="Arial"/>
                <w:sz w:val="20"/>
                <w:szCs w:val="20"/>
                <w:color w:val="auto"/>
              </w:rPr>
              <w:t>REMOVAL AND RESIGNATION OF OFFICERS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5.5</w:t>
            </w:r>
          </w:p>
        </w:tc>
        <w:tc>
          <w:tcPr>
            <w:tcW w:w="9900" w:type="dxa"/>
            <w:vAlign w:val="bottom"/>
          </w:tcPr>
          <w:p>
            <w:pPr>
              <w:ind w:left="300"/>
              <w:spacing w:after="0"/>
              <w:rPr>
                <w:sz w:val="20"/>
                <w:szCs w:val="20"/>
                <w:color w:val="auto"/>
              </w:rPr>
            </w:pPr>
            <w:r>
              <w:rPr>
                <w:rFonts w:ascii="Arial" w:cs="Arial" w:eastAsia="Arial" w:hAnsi="Arial"/>
                <w:sz w:val="20"/>
                <w:szCs w:val="20"/>
                <w:color w:val="auto"/>
              </w:rPr>
              <w:t>VACANCIES IN OFFICES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5.6</w:t>
            </w:r>
          </w:p>
        </w:tc>
        <w:tc>
          <w:tcPr>
            <w:tcW w:w="9900" w:type="dxa"/>
            <w:vAlign w:val="bottom"/>
          </w:tcPr>
          <w:p>
            <w:pPr>
              <w:ind w:left="300"/>
              <w:spacing w:after="0"/>
              <w:rPr>
                <w:sz w:val="20"/>
                <w:szCs w:val="20"/>
                <w:color w:val="auto"/>
              </w:rPr>
            </w:pPr>
            <w:r>
              <w:rPr>
                <w:rFonts w:ascii="Arial" w:cs="Arial" w:eastAsia="Arial" w:hAnsi="Arial"/>
                <w:sz w:val="20"/>
                <w:szCs w:val="20"/>
                <w:color w:val="auto"/>
              </w:rPr>
              <w:t>REPRESENTATION OF SECURITIES OF OTHER ENTITIES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5.7</w:t>
            </w:r>
          </w:p>
        </w:tc>
        <w:tc>
          <w:tcPr>
            <w:tcW w:w="9900" w:type="dxa"/>
            <w:vAlign w:val="bottom"/>
          </w:tcPr>
          <w:p>
            <w:pPr>
              <w:ind w:left="300"/>
              <w:spacing w:after="0"/>
              <w:rPr>
                <w:sz w:val="20"/>
                <w:szCs w:val="20"/>
                <w:color w:val="auto"/>
              </w:rPr>
            </w:pPr>
            <w:r>
              <w:rPr>
                <w:rFonts w:ascii="Arial" w:cs="Arial" w:eastAsia="Arial" w:hAnsi="Arial"/>
                <w:sz w:val="20"/>
                <w:szCs w:val="20"/>
                <w:color w:val="auto"/>
              </w:rPr>
              <w:t>AUTHORITY AND DUTIES OF OFFICERS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4"/>
        </w:trPr>
        <w:tc>
          <w:tcPr>
            <w:tcW w:w="10980" w:type="dxa"/>
            <w:vAlign w:val="bottom"/>
            <w:gridSpan w:val="2"/>
          </w:tcPr>
          <w:p>
            <w:pPr>
              <w:spacing w:after="0"/>
              <w:rPr>
                <w:sz w:val="20"/>
                <w:szCs w:val="20"/>
                <w:color w:val="auto"/>
              </w:rPr>
            </w:pPr>
            <w:r>
              <w:rPr>
                <w:rFonts w:ascii="Arial" w:cs="Arial" w:eastAsia="Arial" w:hAnsi="Arial"/>
                <w:sz w:val="20"/>
                <w:szCs w:val="20"/>
                <w:color w:val="auto"/>
              </w:rPr>
              <w:t>ARTICLE VI - STOCK</w:t>
            </w:r>
          </w:p>
        </w:tc>
        <w:tc>
          <w:tcPr>
            <w:tcW w:w="400" w:type="dxa"/>
            <w:vAlign w:val="bottom"/>
          </w:tcPr>
          <w:p>
            <w:pPr>
              <w:jc w:val="right"/>
              <w:ind w:right="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6.1</w:t>
            </w:r>
          </w:p>
        </w:tc>
        <w:tc>
          <w:tcPr>
            <w:tcW w:w="9900" w:type="dxa"/>
            <w:vAlign w:val="bottom"/>
          </w:tcPr>
          <w:p>
            <w:pPr>
              <w:ind w:left="300"/>
              <w:spacing w:after="0"/>
              <w:rPr>
                <w:sz w:val="20"/>
                <w:szCs w:val="20"/>
                <w:color w:val="auto"/>
              </w:rPr>
            </w:pPr>
            <w:r>
              <w:rPr>
                <w:rFonts w:ascii="Arial" w:cs="Arial" w:eastAsia="Arial" w:hAnsi="Arial"/>
                <w:sz w:val="20"/>
                <w:szCs w:val="20"/>
                <w:color w:val="auto"/>
              </w:rPr>
              <w:t>STOCK CERTIFICATES; PARTLY PAID SHARES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6.2</w:t>
            </w:r>
          </w:p>
        </w:tc>
        <w:tc>
          <w:tcPr>
            <w:tcW w:w="9900" w:type="dxa"/>
            <w:vAlign w:val="bottom"/>
          </w:tcPr>
          <w:p>
            <w:pPr>
              <w:ind w:left="300"/>
              <w:spacing w:after="0"/>
              <w:rPr>
                <w:sz w:val="20"/>
                <w:szCs w:val="20"/>
                <w:color w:val="auto"/>
              </w:rPr>
            </w:pPr>
            <w:r>
              <w:rPr>
                <w:rFonts w:ascii="Arial" w:cs="Arial" w:eastAsia="Arial" w:hAnsi="Arial"/>
                <w:sz w:val="20"/>
                <w:szCs w:val="20"/>
                <w:color w:val="auto"/>
              </w:rPr>
              <w:t>SPECIAL DESIGNATION ON CERTIFICATES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6.3</w:t>
            </w:r>
          </w:p>
        </w:tc>
        <w:tc>
          <w:tcPr>
            <w:tcW w:w="9900" w:type="dxa"/>
            <w:vAlign w:val="bottom"/>
          </w:tcPr>
          <w:p>
            <w:pPr>
              <w:ind w:left="300"/>
              <w:spacing w:after="0"/>
              <w:rPr>
                <w:sz w:val="20"/>
                <w:szCs w:val="20"/>
                <w:color w:val="auto"/>
              </w:rPr>
            </w:pPr>
            <w:r>
              <w:rPr>
                <w:rFonts w:ascii="Arial" w:cs="Arial" w:eastAsia="Arial" w:hAnsi="Arial"/>
                <w:sz w:val="20"/>
                <w:szCs w:val="20"/>
                <w:color w:val="auto"/>
              </w:rPr>
              <w:t>LOST CERTIFICATES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6.4</w:t>
            </w:r>
          </w:p>
        </w:tc>
        <w:tc>
          <w:tcPr>
            <w:tcW w:w="9900" w:type="dxa"/>
            <w:vAlign w:val="bottom"/>
          </w:tcPr>
          <w:p>
            <w:pPr>
              <w:ind w:left="300"/>
              <w:spacing w:after="0"/>
              <w:rPr>
                <w:sz w:val="20"/>
                <w:szCs w:val="20"/>
                <w:color w:val="auto"/>
              </w:rPr>
            </w:pPr>
            <w:r>
              <w:rPr>
                <w:rFonts w:ascii="Arial" w:cs="Arial" w:eastAsia="Arial" w:hAnsi="Arial"/>
                <w:sz w:val="20"/>
                <w:szCs w:val="20"/>
                <w:color w:val="auto"/>
              </w:rPr>
              <w:t>DIVIDENDS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6.5</w:t>
            </w:r>
          </w:p>
        </w:tc>
        <w:tc>
          <w:tcPr>
            <w:tcW w:w="9900" w:type="dxa"/>
            <w:vAlign w:val="bottom"/>
          </w:tcPr>
          <w:p>
            <w:pPr>
              <w:ind w:left="300"/>
              <w:spacing w:after="0"/>
              <w:rPr>
                <w:sz w:val="20"/>
                <w:szCs w:val="20"/>
                <w:color w:val="auto"/>
              </w:rPr>
            </w:pPr>
            <w:r>
              <w:rPr>
                <w:rFonts w:ascii="Arial" w:cs="Arial" w:eastAsia="Arial" w:hAnsi="Arial"/>
                <w:sz w:val="20"/>
                <w:szCs w:val="20"/>
                <w:color w:val="auto"/>
              </w:rPr>
              <w:t>TRANSFER OF STOCK</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6.6</w:t>
            </w:r>
          </w:p>
        </w:tc>
        <w:tc>
          <w:tcPr>
            <w:tcW w:w="9900" w:type="dxa"/>
            <w:vAlign w:val="bottom"/>
          </w:tcPr>
          <w:p>
            <w:pPr>
              <w:ind w:left="300"/>
              <w:spacing w:after="0"/>
              <w:rPr>
                <w:sz w:val="20"/>
                <w:szCs w:val="20"/>
                <w:color w:val="auto"/>
              </w:rPr>
            </w:pPr>
            <w:r>
              <w:rPr>
                <w:rFonts w:ascii="Arial" w:cs="Arial" w:eastAsia="Arial" w:hAnsi="Arial"/>
                <w:sz w:val="20"/>
                <w:szCs w:val="20"/>
                <w:color w:val="auto"/>
              </w:rPr>
              <w:t>STOCK TRANSFER AGREEMENTS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6.7</w:t>
            </w:r>
          </w:p>
        </w:tc>
        <w:tc>
          <w:tcPr>
            <w:tcW w:w="9900" w:type="dxa"/>
            <w:vAlign w:val="bottom"/>
          </w:tcPr>
          <w:p>
            <w:pPr>
              <w:ind w:left="300"/>
              <w:spacing w:after="0"/>
              <w:rPr>
                <w:sz w:val="20"/>
                <w:szCs w:val="20"/>
                <w:color w:val="auto"/>
              </w:rPr>
            </w:pPr>
            <w:r>
              <w:rPr>
                <w:rFonts w:ascii="Arial" w:cs="Arial" w:eastAsia="Arial" w:hAnsi="Arial"/>
                <w:sz w:val="20"/>
                <w:szCs w:val="20"/>
                <w:color w:val="auto"/>
              </w:rPr>
              <w:t>REGISTERED STOCKHOLDERS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84"/>
        </w:trPr>
        <w:tc>
          <w:tcPr>
            <w:tcW w:w="10980" w:type="dxa"/>
            <w:vAlign w:val="bottom"/>
            <w:gridSpan w:val="2"/>
          </w:tcPr>
          <w:p>
            <w:pPr>
              <w:spacing w:after="0"/>
              <w:rPr>
                <w:sz w:val="20"/>
                <w:szCs w:val="20"/>
                <w:color w:val="auto"/>
              </w:rPr>
            </w:pPr>
            <w:r>
              <w:rPr>
                <w:rFonts w:ascii="Arial" w:cs="Arial" w:eastAsia="Arial" w:hAnsi="Arial"/>
                <w:sz w:val="20"/>
                <w:szCs w:val="20"/>
                <w:color w:val="auto"/>
              </w:rPr>
              <w:t>ARTICLE VII - MANNER OF GIVING NOTICE AND WAIVER</w:t>
            </w:r>
          </w:p>
        </w:tc>
        <w:tc>
          <w:tcPr>
            <w:tcW w:w="400" w:type="dxa"/>
            <w:vAlign w:val="bottom"/>
          </w:tcPr>
          <w:p>
            <w:pPr>
              <w:jc w:val="right"/>
              <w:ind w:right="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7.1</w:t>
            </w:r>
          </w:p>
        </w:tc>
        <w:tc>
          <w:tcPr>
            <w:tcW w:w="9900" w:type="dxa"/>
            <w:vAlign w:val="bottom"/>
          </w:tcPr>
          <w:p>
            <w:pPr>
              <w:ind w:left="300"/>
              <w:spacing w:after="0"/>
              <w:rPr>
                <w:sz w:val="20"/>
                <w:szCs w:val="20"/>
                <w:color w:val="auto"/>
              </w:rPr>
            </w:pPr>
            <w:r>
              <w:rPr>
                <w:rFonts w:ascii="Arial" w:cs="Arial" w:eastAsia="Arial" w:hAnsi="Arial"/>
                <w:sz w:val="20"/>
                <w:szCs w:val="20"/>
                <w:color w:val="auto"/>
              </w:rPr>
              <w:t>NOTICE OF STOCKHOLDERS’ MEETINGS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7.2</w:t>
            </w:r>
          </w:p>
        </w:tc>
        <w:tc>
          <w:tcPr>
            <w:tcW w:w="9900" w:type="dxa"/>
            <w:vAlign w:val="bottom"/>
          </w:tcPr>
          <w:p>
            <w:pPr>
              <w:ind w:left="300"/>
              <w:spacing w:after="0"/>
              <w:rPr>
                <w:sz w:val="20"/>
                <w:szCs w:val="20"/>
                <w:color w:val="auto"/>
              </w:rPr>
            </w:pPr>
            <w:r>
              <w:rPr>
                <w:rFonts w:ascii="Arial" w:cs="Arial" w:eastAsia="Arial" w:hAnsi="Arial"/>
                <w:sz w:val="20"/>
                <w:szCs w:val="20"/>
                <w:color w:val="auto"/>
              </w:rPr>
              <w:t>NOTICE BY ELECTRONIC TRANSMISSION</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7.3</w:t>
            </w:r>
          </w:p>
        </w:tc>
        <w:tc>
          <w:tcPr>
            <w:tcW w:w="9900" w:type="dxa"/>
            <w:vAlign w:val="bottom"/>
          </w:tcPr>
          <w:p>
            <w:pPr>
              <w:ind w:left="300"/>
              <w:spacing w:after="0"/>
              <w:rPr>
                <w:sz w:val="20"/>
                <w:szCs w:val="20"/>
                <w:color w:val="auto"/>
              </w:rPr>
            </w:pPr>
            <w:r>
              <w:rPr>
                <w:rFonts w:ascii="Arial" w:cs="Arial" w:eastAsia="Arial" w:hAnsi="Arial"/>
                <w:sz w:val="20"/>
                <w:szCs w:val="20"/>
                <w:color w:val="auto"/>
              </w:rPr>
              <w:t>NOTICE TO STOCKHOLDERS SHARING AN ADDRESS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7.4</w:t>
            </w:r>
          </w:p>
        </w:tc>
        <w:tc>
          <w:tcPr>
            <w:tcW w:w="9900" w:type="dxa"/>
            <w:vAlign w:val="bottom"/>
          </w:tcPr>
          <w:p>
            <w:pPr>
              <w:ind w:left="300"/>
              <w:spacing w:after="0"/>
              <w:rPr>
                <w:sz w:val="20"/>
                <w:szCs w:val="20"/>
                <w:color w:val="auto"/>
              </w:rPr>
            </w:pPr>
            <w:r>
              <w:rPr>
                <w:rFonts w:ascii="Arial" w:cs="Arial" w:eastAsia="Arial" w:hAnsi="Arial"/>
                <w:sz w:val="20"/>
                <w:szCs w:val="20"/>
                <w:color w:val="auto"/>
              </w:rPr>
              <w:t>NOTICE TO PERSON WITH WHOM COMMUNICATION IS UNLAWFUL</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7.5</w:t>
            </w:r>
          </w:p>
        </w:tc>
        <w:tc>
          <w:tcPr>
            <w:tcW w:w="9900" w:type="dxa"/>
            <w:vAlign w:val="bottom"/>
          </w:tcPr>
          <w:p>
            <w:pPr>
              <w:ind w:left="300"/>
              <w:spacing w:after="0"/>
              <w:rPr>
                <w:sz w:val="20"/>
                <w:szCs w:val="20"/>
                <w:color w:val="auto"/>
              </w:rPr>
            </w:pPr>
            <w:r>
              <w:rPr>
                <w:rFonts w:ascii="Arial" w:cs="Arial" w:eastAsia="Arial" w:hAnsi="Arial"/>
                <w:sz w:val="20"/>
                <w:szCs w:val="20"/>
                <w:color w:val="auto"/>
              </w:rPr>
              <w:t>WAIVER OF NOTICE</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84"/>
        </w:trPr>
        <w:tc>
          <w:tcPr>
            <w:tcW w:w="10980" w:type="dxa"/>
            <w:vAlign w:val="bottom"/>
            <w:gridSpan w:val="2"/>
          </w:tcPr>
          <w:p>
            <w:pPr>
              <w:spacing w:after="0"/>
              <w:rPr>
                <w:sz w:val="20"/>
                <w:szCs w:val="20"/>
                <w:color w:val="auto"/>
              </w:rPr>
            </w:pPr>
            <w:r>
              <w:rPr>
                <w:rFonts w:ascii="Arial" w:cs="Arial" w:eastAsia="Arial" w:hAnsi="Arial"/>
                <w:sz w:val="20"/>
                <w:szCs w:val="20"/>
                <w:color w:val="auto"/>
              </w:rPr>
              <w:t>ARTICLE VIII - INDEMNIFICATION</w:t>
            </w:r>
          </w:p>
        </w:tc>
        <w:tc>
          <w:tcPr>
            <w:tcW w:w="400" w:type="dxa"/>
            <w:vAlign w:val="bottom"/>
          </w:tcPr>
          <w:p>
            <w:pPr>
              <w:jc w:val="right"/>
              <w:ind w:right="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8.1</w:t>
            </w:r>
          </w:p>
        </w:tc>
        <w:tc>
          <w:tcPr>
            <w:tcW w:w="9900" w:type="dxa"/>
            <w:vAlign w:val="bottom"/>
          </w:tcPr>
          <w:p>
            <w:pPr>
              <w:ind w:left="300"/>
              <w:spacing w:after="0"/>
              <w:rPr>
                <w:sz w:val="20"/>
                <w:szCs w:val="20"/>
                <w:color w:val="auto"/>
              </w:rPr>
            </w:pPr>
            <w:r>
              <w:rPr>
                <w:rFonts w:ascii="Arial" w:cs="Arial" w:eastAsia="Arial" w:hAnsi="Arial"/>
                <w:sz w:val="20"/>
                <w:szCs w:val="20"/>
                <w:color w:val="auto"/>
              </w:rPr>
              <w:t>INDEMNIFICATION OF DIRECTORS AND OFFICERS IN THIRD PARTY PROCEEDINGS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9900" w:type="dxa"/>
            <w:vAlign w:val="bottom"/>
          </w:tcPr>
          <w:p>
            <w:pPr>
              <w:ind w:left="300"/>
              <w:spacing w:after="0"/>
              <w:rPr>
                <w:sz w:val="20"/>
                <w:szCs w:val="20"/>
                <w:color w:val="auto"/>
              </w:rPr>
            </w:pPr>
            <w:r>
              <w:rPr>
                <w:rFonts w:ascii="Arial" w:cs="Arial" w:eastAsia="Arial" w:hAnsi="Arial"/>
                <w:sz w:val="20"/>
                <w:szCs w:val="20"/>
                <w:color w:val="auto"/>
              </w:rPr>
              <w:t>INDEMNIFICATION OF DIRECTORS AND OFFICERS IN ACTIONS BY OR IN THE RIGHT OF THE</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460"/>
              <w:spacing w:after="0"/>
              <w:rPr>
                <w:sz w:val="20"/>
                <w:szCs w:val="20"/>
                <w:color w:val="auto"/>
              </w:rPr>
            </w:pPr>
            <w:r>
              <w:rPr>
                <w:rFonts w:ascii="Arial" w:cs="Arial" w:eastAsia="Arial" w:hAnsi="Arial"/>
                <w:sz w:val="20"/>
                <w:szCs w:val="20"/>
                <w:color w:val="auto"/>
              </w:rPr>
              <w:t>8.2</w:t>
            </w:r>
          </w:p>
        </w:tc>
        <w:tc>
          <w:tcPr>
            <w:tcW w:w="9900" w:type="dxa"/>
            <w:vAlign w:val="bottom"/>
          </w:tcPr>
          <w:p>
            <w:pPr>
              <w:ind w:left="300"/>
              <w:spacing w:after="0"/>
              <w:rPr>
                <w:sz w:val="20"/>
                <w:szCs w:val="20"/>
                <w:color w:val="auto"/>
              </w:rPr>
            </w:pPr>
            <w:r>
              <w:rPr>
                <w:rFonts w:ascii="Arial" w:cs="Arial" w:eastAsia="Arial" w:hAnsi="Arial"/>
                <w:sz w:val="20"/>
                <w:szCs w:val="20"/>
                <w:color w:val="auto"/>
              </w:rPr>
              <w:t>CORPORATION</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8.3</w:t>
            </w:r>
          </w:p>
        </w:tc>
        <w:tc>
          <w:tcPr>
            <w:tcW w:w="9900" w:type="dxa"/>
            <w:vAlign w:val="bottom"/>
          </w:tcPr>
          <w:p>
            <w:pPr>
              <w:ind w:left="300"/>
              <w:spacing w:after="0"/>
              <w:rPr>
                <w:sz w:val="20"/>
                <w:szCs w:val="20"/>
                <w:color w:val="auto"/>
              </w:rPr>
            </w:pPr>
            <w:r>
              <w:rPr>
                <w:rFonts w:ascii="Arial" w:cs="Arial" w:eastAsia="Arial" w:hAnsi="Arial"/>
                <w:sz w:val="20"/>
                <w:szCs w:val="20"/>
                <w:color w:val="auto"/>
              </w:rPr>
              <w:t>SUCCESSFUL DEFENSE</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8.4</w:t>
            </w:r>
          </w:p>
        </w:tc>
        <w:tc>
          <w:tcPr>
            <w:tcW w:w="9900" w:type="dxa"/>
            <w:vAlign w:val="bottom"/>
          </w:tcPr>
          <w:p>
            <w:pPr>
              <w:ind w:left="300"/>
              <w:spacing w:after="0"/>
              <w:rPr>
                <w:sz w:val="20"/>
                <w:szCs w:val="20"/>
                <w:color w:val="auto"/>
              </w:rPr>
            </w:pPr>
            <w:r>
              <w:rPr>
                <w:rFonts w:ascii="Arial" w:cs="Arial" w:eastAsia="Arial" w:hAnsi="Arial"/>
                <w:sz w:val="20"/>
                <w:szCs w:val="20"/>
                <w:color w:val="auto"/>
              </w:rPr>
              <w:t>INDEMNIFICATION OF OTHERS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8.5</w:t>
            </w:r>
          </w:p>
        </w:tc>
        <w:tc>
          <w:tcPr>
            <w:tcW w:w="9900" w:type="dxa"/>
            <w:vAlign w:val="bottom"/>
          </w:tcPr>
          <w:p>
            <w:pPr>
              <w:ind w:left="300"/>
              <w:spacing w:after="0"/>
              <w:rPr>
                <w:sz w:val="20"/>
                <w:szCs w:val="20"/>
                <w:color w:val="auto"/>
              </w:rPr>
            </w:pPr>
            <w:r>
              <w:rPr>
                <w:rFonts w:ascii="Arial" w:cs="Arial" w:eastAsia="Arial" w:hAnsi="Arial"/>
                <w:sz w:val="20"/>
                <w:szCs w:val="20"/>
                <w:color w:val="auto"/>
              </w:rPr>
              <w:t>ADVANCE PAYMENT OF EXPENSES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8.6</w:t>
            </w:r>
          </w:p>
        </w:tc>
        <w:tc>
          <w:tcPr>
            <w:tcW w:w="9900" w:type="dxa"/>
            <w:vAlign w:val="bottom"/>
          </w:tcPr>
          <w:p>
            <w:pPr>
              <w:ind w:left="300"/>
              <w:spacing w:after="0"/>
              <w:rPr>
                <w:sz w:val="20"/>
                <w:szCs w:val="20"/>
                <w:color w:val="auto"/>
              </w:rPr>
            </w:pPr>
            <w:r>
              <w:rPr>
                <w:rFonts w:ascii="Arial" w:cs="Arial" w:eastAsia="Arial" w:hAnsi="Arial"/>
                <w:sz w:val="20"/>
                <w:szCs w:val="20"/>
                <w:color w:val="auto"/>
              </w:rPr>
              <w:t>LIMITATION ON INDEMNIFICATION</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8.7</w:t>
            </w:r>
          </w:p>
        </w:tc>
        <w:tc>
          <w:tcPr>
            <w:tcW w:w="9900" w:type="dxa"/>
            <w:vAlign w:val="bottom"/>
          </w:tcPr>
          <w:p>
            <w:pPr>
              <w:ind w:left="300"/>
              <w:spacing w:after="0"/>
              <w:rPr>
                <w:sz w:val="20"/>
                <w:szCs w:val="20"/>
                <w:color w:val="auto"/>
              </w:rPr>
            </w:pPr>
            <w:r>
              <w:rPr>
                <w:rFonts w:ascii="Arial" w:cs="Arial" w:eastAsia="Arial" w:hAnsi="Arial"/>
                <w:sz w:val="20"/>
                <w:szCs w:val="20"/>
                <w:color w:val="auto"/>
              </w:rPr>
              <w:t>DETERMINATION; CLAIM</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8.8</w:t>
            </w:r>
          </w:p>
        </w:tc>
        <w:tc>
          <w:tcPr>
            <w:tcW w:w="9900" w:type="dxa"/>
            <w:vAlign w:val="bottom"/>
          </w:tcPr>
          <w:p>
            <w:pPr>
              <w:ind w:left="300"/>
              <w:spacing w:after="0"/>
              <w:rPr>
                <w:sz w:val="20"/>
                <w:szCs w:val="20"/>
                <w:color w:val="auto"/>
              </w:rPr>
            </w:pPr>
            <w:r>
              <w:rPr>
                <w:rFonts w:ascii="Arial" w:cs="Arial" w:eastAsia="Arial" w:hAnsi="Arial"/>
                <w:sz w:val="20"/>
                <w:szCs w:val="20"/>
                <w:color w:val="auto"/>
              </w:rPr>
              <w:t>NON-EXCLUSIVITY OF RIGHTS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8.9</w:t>
            </w:r>
          </w:p>
        </w:tc>
        <w:tc>
          <w:tcPr>
            <w:tcW w:w="9900" w:type="dxa"/>
            <w:vAlign w:val="bottom"/>
          </w:tcPr>
          <w:p>
            <w:pPr>
              <w:ind w:left="300"/>
              <w:spacing w:after="0"/>
              <w:rPr>
                <w:sz w:val="20"/>
                <w:szCs w:val="20"/>
                <w:color w:val="auto"/>
              </w:rPr>
            </w:pPr>
            <w:r>
              <w:rPr>
                <w:rFonts w:ascii="Arial" w:cs="Arial" w:eastAsia="Arial" w:hAnsi="Arial"/>
                <w:sz w:val="20"/>
                <w:szCs w:val="20"/>
                <w:color w:val="auto"/>
              </w:rPr>
              <w:t>INSURANCE</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8.1</w:t>
            </w:r>
          </w:p>
        </w:tc>
        <w:tc>
          <w:tcPr>
            <w:tcW w:w="9900" w:type="dxa"/>
            <w:vAlign w:val="bottom"/>
          </w:tcPr>
          <w:p>
            <w:pPr>
              <w:ind w:left="300"/>
              <w:spacing w:after="0"/>
              <w:rPr>
                <w:sz w:val="20"/>
                <w:szCs w:val="20"/>
                <w:color w:val="auto"/>
              </w:rPr>
            </w:pPr>
            <w:r>
              <w:rPr>
                <w:rFonts w:ascii="Arial" w:cs="Arial" w:eastAsia="Arial" w:hAnsi="Arial"/>
                <w:sz w:val="20"/>
                <w:szCs w:val="20"/>
                <w:color w:val="auto"/>
              </w:rPr>
              <w:t>SURVIVAL</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8.11</w:t>
            </w:r>
          </w:p>
        </w:tc>
        <w:tc>
          <w:tcPr>
            <w:tcW w:w="9900" w:type="dxa"/>
            <w:vAlign w:val="bottom"/>
          </w:tcPr>
          <w:p>
            <w:pPr>
              <w:ind w:left="300"/>
              <w:spacing w:after="0"/>
              <w:rPr>
                <w:sz w:val="20"/>
                <w:szCs w:val="20"/>
                <w:color w:val="auto"/>
              </w:rPr>
            </w:pPr>
            <w:r>
              <w:rPr>
                <w:rFonts w:ascii="Arial" w:cs="Arial" w:eastAsia="Arial" w:hAnsi="Arial"/>
                <w:sz w:val="20"/>
                <w:szCs w:val="20"/>
                <w:color w:val="auto"/>
              </w:rPr>
              <w:t>EFFECT OF REPEAL OR MODIFICATION</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84"/>
        </w:trPr>
        <w:tc>
          <w:tcPr>
            <w:tcW w:w="1080" w:type="dxa"/>
            <w:vAlign w:val="bottom"/>
          </w:tcPr>
          <w:p>
            <w:pPr>
              <w:ind w:left="460"/>
              <w:spacing w:after="0"/>
              <w:rPr>
                <w:sz w:val="20"/>
                <w:szCs w:val="20"/>
                <w:color w:val="auto"/>
              </w:rPr>
            </w:pPr>
            <w:r>
              <w:rPr>
                <w:rFonts w:ascii="Arial" w:cs="Arial" w:eastAsia="Arial" w:hAnsi="Arial"/>
                <w:sz w:val="20"/>
                <w:szCs w:val="20"/>
                <w:color w:val="auto"/>
              </w:rPr>
              <w:t>8.12</w:t>
            </w:r>
          </w:p>
        </w:tc>
        <w:tc>
          <w:tcPr>
            <w:tcW w:w="9900" w:type="dxa"/>
            <w:vAlign w:val="bottom"/>
          </w:tcPr>
          <w:p>
            <w:pPr>
              <w:ind w:left="300"/>
              <w:spacing w:after="0"/>
              <w:rPr>
                <w:sz w:val="20"/>
                <w:szCs w:val="20"/>
                <w:color w:val="auto"/>
              </w:rPr>
            </w:pPr>
            <w:r>
              <w:rPr>
                <w:rFonts w:ascii="Arial" w:cs="Arial" w:eastAsia="Arial" w:hAnsi="Arial"/>
                <w:sz w:val="20"/>
                <w:szCs w:val="20"/>
                <w:color w:val="auto"/>
              </w:rPr>
              <w:t>CERTAIN DEFINITIONS</w:t>
            </w:r>
          </w:p>
        </w:tc>
        <w:tc>
          <w:tcPr>
            <w:tcW w:w="400" w:type="dxa"/>
            <w:vAlign w:val="bottom"/>
          </w:tcPr>
          <w:p>
            <w:pPr>
              <w:jc w:val="right"/>
              <w:ind w:right="2"/>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380"/>
          </w:cols>
          <w:pgMar w:left="280" w:top="346" w:right="239" w:bottom="1440" w:gutter="0" w:footer="0" w:header="0"/>
        </w:sectPr>
      </w:pPr>
    </w:p>
    <w:bookmarkStart w:id="98" w:name="page99"/>
    <w:bookmarkEnd w:id="98"/>
    <w:p>
      <w:pPr>
        <w:jc w:val="center"/>
        <w:ind w:right="40"/>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(continued)</w:t>
      </w: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20"/>
                <w:szCs w:val="20"/>
                <w:b w:val="1"/>
                <w:bCs w:val="1"/>
                <w:color w:val="auto"/>
                <w:w w:val="79"/>
              </w:rPr>
              <w:t>Page</w:t>
            </w:r>
          </w:p>
        </w:tc>
      </w:tr>
      <w:tr>
        <w:trPr>
          <w:trHeight w:val="659"/>
        </w:trPr>
        <w:tc>
          <w:tcPr>
            <w:tcW w:w="10980" w:type="dxa"/>
            <w:vAlign w:val="bottom"/>
            <w:gridSpan w:val="2"/>
          </w:tcPr>
          <w:p>
            <w:pPr>
              <w:spacing w:after="0"/>
              <w:rPr>
                <w:sz w:val="20"/>
                <w:szCs w:val="20"/>
                <w:color w:val="auto"/>
              </w:rPr>
            </w:pPr>
            <w:r>
              <w:rPr>
                <w:rFonts w:ascii="Arial" w:cs="Arial" w:eastAsia="Arial" w:hAnsi="Arial"/>
                <w:sz w:val="20"/>
                <w:szCs w:val="20"/>
                <w:color w:val="auto"/>
              </w:rPr>
              <w:t>ARTICLE IX - GENERAL MATTERS</w:t>
            </w:r>
          </w:p>
        </w:tc>
        <w:tc>
          <w:tcPr>
            <w:tcW w:w="400" w:type="dxa"/>
            <w:vAlign w:val="bottom"/>
          </w:tcPr>
          <w:p>
            <w:pPr>
              <w:jc w:val="right"/>
              <w:ind w:right="4"/>
              <w:spacing w:after="0"/>
              <w:rPr>
                <w:sz w:val="20"/>
                <w:szCs w:val="20"/>
                <w:color w:val="auto"/>
              </w:rPr>
            </w:pPr>
            <w:r>
              <w:rPr>
                <w:rFonts w:ascii="Arial" w:cs="Arial" w:eastAsia="Arial" w:hAnsi="Arial"/>
                <w:sz w:val="18"/>
                <w:szCs w:val="18"/>
                <w:color w:val="auto"/>
              </w:rPr>
              <w:t>22</w:t>
            </w:r>
          </w:p>
        </w:tc>
      </w:tr>
      <w:tr>
        <w:trPr>
          <w:trHeight w:val="284"/>
        </w:trPr>
        <w:tc>
          <w:tcPr>
            <w:tcW w:w="1040" w:type="dxa"/>
            <w:vAlign w:val="bottom"/>
          </w:tcPr>
          <w:p>
            <w:pPr>
              <w:jc w:val="right"/>
              <w:ind w:right="241"/>
              <w:spacing w:after="0"/>
              <w:rPr>
                <w:sz w:val="20"/>
                <w:szCs w:val="20"/>
                <w:color w:val="auto"/>
              </w:rPr>
            </w:pPr>
            <w:r>
              <w:rPr>
                <w:rFonts w:ascii="Arial" w:cs="Arial" w:eastAsia="Arial" w:hAnsi="Arial"/>
                <w:sz w:val="20"/>
                <w:szCs w:val="20"/>
                <w:color w:val="auto"/>
              </w:rPr>
              <w:t>9.1</w:t>
            </w:r>
          </w:p>
        </w:tc>
        <w:tc>
          <w:tcPr>
            <w:tcW w:w="9940" w:type="dxa"/>
            <w:vAlign w:val="bottom"/>
          </w:tcPr>
          <w:p>
            <w:pPr>
              <w:ind w:left="340"/>
              <w:spacing w:after="0"/>
              <w:rPr>
                <w:sz w:val="20"/>
                <w:szCs w:val="20"/>
                <w:color w:val="auto"/>
              </w:rPr>
            </w:pPr>
            <w:r>
              <w:rPr>
                <w:rFonts w:ascii="Arial" w:cs="Arial" w:eastAsia="Arial" w:hAnsi="Arial"/>
                <w:sz w:val="20"/>
                <w:szCs w:val="20"/>
                <w:color w:val="auto"/>
              </w:rPr>
              <w:t>EXECUTION OF CORPORATE CONTRACTS AND INSTRUMENTS</w:t>
            </w:r>
          </w:p>
        </w:tc>
        <w:tc>
          <w:tcPr>
            <w:tcW w:w="400" w:type="dxa"/>
            <w:vAlign w:val="bottom"/>
          </w:tcPr>
          <w:p>
            <w:pPr>
              <w:jc w:val="right"/>
              <w:ind w:right="4"/>
              <w:spacing w:after="0"/>
              <w:rPr>
                <w:sz w:val="20"/>
                <w:szCs w:val="20"/>
                <w:color w:val="auto"/>
              </w:rPr>
            </w:pPr>
            <w:r>
              <w:rPr>
                <w:rFonts w:ascii="Arial" w:cs="Arial" w:eastAsia="Arial" w:hAnsi="Arial"/>
                <w:sz w:val="20"/>
                <w:szCs w:val="20"/>
                <w:color w:val="auto"/>
              </w:rPr>
              <w:t>22</w:t>
            </w:r>
          </w:p>
        </w:tc>
      </w:tr>
      <w:tr>
        <w:trPr>
          <w:trHeight w:val="284"/>
        </w:trPr>
        <w:tc>
          <w:tcPr>
            <w:tcW w:w="1040" w:type="dxa"/>
            <w:vAlign w:val="bottom"/>
          </w:tcPr>
          <w:p>
            <w:pPr>
              <w:jc w:val="right"/>
              <w:ind w:right="241"/>
              <w:spacing w:after="0"/>
              <w:rPr>
                <w:sz w:val="20"/>
                <w:szCs w:val="20"/>
                <w:color w:val="auto"/>
              </w:rPr>
            </w:pPr>
            <w:r>
              <w:rPr>
                <w:rFonts w:ascii="Arial" w:cs="Arial" w:eastAsia="Arial" w:hAnsi="Arial"/>
                <w:sz w:val="20"/>
                <w:szCs w:val="20"/>
                <w:color w:val="auto"/>
              </w:rPr>
              <w:t>9.2</w:t>
            </w:r>
          </w:p>
        </w:tc>
        <w:tc>
          <w:tcPr>
            <w:tcW w:w="9940" w:type="dxa"/>
            <w:vAlign w:val="bottom"/>
          </w:tcPr>
          <w:p>
            <w:pPr>
              <w:ind w:left="340"/>
              <w:spacing w:after="0"/>
              <w:rPr>
                <w:sz w:val="20"/>
                <w:szCs w:val="20"/>
                <w:color w:val="auto"/>
              </w:rPr>
            </w:pPr>
            <w:r>
              <w:rPr>
                <w:rFonts w:ascii="Arial" w:cs="Arial" w:eastAsia="Arial" w:hAnsi="Arial"/>
                <w:sz w:val="20"/>
                <w:szCs w:val="20"/>
                <w:color w:val="auto"/>
              </w:rPr>
              <w:t>FISCAL YEAR</w:t>
            </w:r>
          </w:p>
        </w:tc>
        <w:tc>
          <w:tcPr>
            <w:tcW w:w="400" w:type="dxa"/>
            <w:vAlign w:val="bottom"/>
          </w:tcPr>
          <w:p>
            <w:pPr>
              <w:jc w:val="right"/>
              <w:ind w:right="4"/>
              <w:spacing w:after="0"/>
              <w:rPr>
                <w:sz w:val="20"/>
                <w:szCs w:val="20"/>
                <w:color w:val="auto"/>
              </w:rPr>
            </w:pPr>
            <w:r>
              <w:rPr>
                <w:rFonts w:ascii="Arial" w:cs="Arial" w:eastAsia="Arial" w:hAnsi="Arial"/>
                <w:sz w:val="20"/>
                <w:szCs w:val="20"/>
                <w:color w:val="auto"/>
              </w:rPr>
              <w:t>22</w:t>
            </w:r>
          </w:p>
        </w:tc>
      </w:tr>
      <w:tr>
        <w:trPr>
          <w:trHeight w:val="284"/>
        </w:trPr>
        <w:tc>
          <w:tcPr>
            <w:tcW w:w="1040" w:type="dxa"/>
            <w:vAlign w:val="bottom"/>
          </w:tcPr>
          <w:p>
            <w:pPr>
              <w:jc w:val="right"/>
              <w:ind w:right="241"/>
              <w:spacing w:after="0"/>
              <w:rPr>
                <w:sz w:val="20"/>
                <w:szCs w:val="20"/>
                <w:color w:val="auto"/>
              </w:rPr>
            </w:pPr>
            <w:r>
              <w:rPr>
                <w:rFonts w:ascii="Arial" w:cs="Arial" w:eastAsia="Arial" w:hAnsi="Arial"/>
                <w:sz w:val="20"/>
                <w:szCs w:val="20"/>
                <w:color w:val="auto"/>
              </w:rPr>
              <w:t>9.3</w:t>
            </w:r>
          </w:p>
        </w:tc>
        <w:tc>
          <w:tcPr>
            <w:tcW w:w="9940" w:type="dxa"/>
            <w:vAlign w:val="bottom"/>
          </w:tcPr>
          <w:p>
            <w:pPr>
              <w:ind w:left="340"/>
              <w:spacing w:after="0"/>
              <w:rPr>
                <w:sz w:val="20"/>
                <w:szCs w:val="20"/>
                <w:color w:val="auto"/>
              </w:rPr>
            </w:pPr>
            <w:r>
              <w:rPr>
                <w:rFonts w:ascii="Arial" w:cs="Arial" w:eastAsia="Arial" w:hAnsi="Arial"/>
                <w:sz w:val="20"/>
                <w:szCs w:val="20"/>
                <w:color w:val="auto"/>
              </w:rPr>
              <w:t>SEAL</w:t>
            </w:r>
          </w:p>
        </w:tc>
        <w:tc>
          <w:tcPr>
            <w:tcW w:w="400" w:type="dxa"/>
            <w:vAlign w:val="bottom"/>
          </w:tcPr>
          <w:p>
            <w:pPr>
              <w:jc w:val="right"/>
              <w:ind w:right="4"/>
              <w:spacing w:after="0"/>
              <w:rPr>
                <w:sz w:val="20"/>
                <w:szCs w:val="20"/>
                <w:color w:val="auto"/>
              </w:rPr>
            </w:pPr>
            <w:r>
              <w:rPr>
                <w:rFonts w:ascii="Arial" w:cs="Arial" w:eastAsia="Arial" w:hAnsi="Arial"/>
                <w:sz w:val="20"/>
                <w:szCs w:val="20"/>
                <w:color w:val="auto"/>
              </w:rPr>
              <w:t>22</w:t>
            </w:r>
          </w:p>
        </w:tc>
      </w:tr>
      <w:tr>
        <w:trPr>
          <w:trHeight w:val="284"/>
        </w:trPr>
        <w:tc>
          <w:tcPr>
            <w:tcW w:w="1040" w:type="dxa"/>
            <w:vAlign w:val="bottom"/>
          </w:tcPr>
          <w:p>
            <w:pPr>
              <w:jc w:val="right"/>
              <w:ind w:right="241"/>
              <w:spacing w:after="0"/>
              <w:rPr>
                <w:sz w:val="20"/>
                <w:szCs w:val="20"/>
                <w:color w:val="auto"/>
              </w:rPr>
            </w:pPr>
            <w:r>
              <w:rPr>
                <w:rFonts w:ascii="Arial" w:cs="Arial" w:eastAsia="Arial" w:hAnsi="Arial"/>
                <w:sz w:val="20"/>
                <w:szCs w:val="20"/>
                <w:color w:val="auto"/>
              </w:rPr>
              <w:t>9.4</w:t>
            </w:r>
          </w:p>
        </w:tc>
        <w:tc>
          <w:tcPr>
            <w:tcW w:w="9940" w:type="dxa"/>
            <w:vAlign w:val="bottom"/>
          </w:tcPr>
          <w:p>
            <w:pPr>
              <w:ind w:left="340"/>
              <w:spacing w:after="0"/>
              <w:rPr>
                <w:sz w:val="20"/>
                <w:szCs w:val="20"/>
                <w:color w:val="auto"/>
              </w:rPr>
            </w:pPr>
            <w:r>
              <w:rPr>
                <w:rFonts w:ascii="Arial" w:cs="Arial" w:eastAsia="Arial" w:hAnsi="Arial"/>
                <w:sz w:val="20"/>
                <w:szCs w:val="20"/>
                <w:color w:val="auto"/>
              </w:rPr>
              <w:t>CONSTRUCTION; DEFINITIONS</w:t>
            </w:r>
          </w:p>
        </w:tc>
        <w:tc>
          <w:tcPr>
            <w:tcW w:w="400" w:type="dxa"/>
            <w:vAlign w:val="bottom"/>
          </w:tcPr>
          <w:p>
            <w:pPr>
              <w:jc w:val="right"/>
              <w:ind w:right="4"/>
              <w:spacing w:after="0"/>
              <w:rPr>
                <w:sz w:val="20"/>
                <w:szCs w:val="20"/>
                <w:color w:val="auto"/>
              </w:rPr>
            </w:pPr>
            <w:r>
              <w:rPr>
                <w:rFonts w:ascii="Arial" w:cs="Arial" w:eastAsia="Arial" w:hAnsi="Arial"/>
                <w:sz w:val="20"/>
                <w:szCs w:val="20"/>
                <w:color w:val="auto"/>
              </w:rPr>
              <w:t>22</w:t>
            </w:r>
          </w:p>
        </w:tc>
      </w:tr>
      <w:tr>
        <w:trPr>
          <w:trHeight w:val="284"/>
        </w:trPr>
        <w:tc>
          <w:tcPr>
            <w:tcW w:w="10980" w:type="dxa"/>
            <w:vAlign w:val="bottom"/>
            <w:gridSpan w:val="2"/>
          </w:tcPr>
          <w:p>
            <w:pPr>
              <w:spacing w:after="0"/>
              <w:rPr>
                <w:sz w:val="20"/>
                <w:szCs w:val="20"/>
                <w:color w:val="auto"/>
              </w:rPr>
            </w:pPr>
            <w:r>
              <w:rPr>
                <w:rFonts w:ascii="Arial" w:cs="Arial" w:eastAsia="Arial" w:hAnsi="Arial"/>
                <w:sz w:val="20"/>
                <w:szCs w:val="20"/>
                <w:color w:val="auto"/>
              </w:rPr>
              <w:t>ARTICLE X - AMENDMENTS</w:t>
            </w:r>
          </w:p>
        </w:tc>
        <w:tc>
          <w:tcPr>
            <w:tcW w:w="400" w:type="dxa"/>
            <w:vAlign w:val="bottom"/>
          </w:tcPr>
          <w:p>
            <w:pPr>
              <w:jc w:val="right"/>
              <w:ind w:right="4"/>
              <w:spacing w:after="0"/>
              <w:rPr>
                <w:sz w:val="20"/>
                <w:szCs w:val="20"/>
                <w:color w:val="auto"/>
              </w:rPr>
            </w:pPr>
            <w:r>
              <w:rPr>
                <w:rFonts w:ascii="Arial" w:cs="Arial" w:eastAsia="Arial" w:hAnsi="Arial"/>
                <w:sz w:val="18"/>
                <w:szCs w:val="18"/>
                <w:color w:val="auto"/>
              </w:rPr>
              <w:t>22</w:t>
            </w:r>
          </w:p>
        </w:tc>
      </w:tr>
      <w:tr>
        <w:trPr>
          <w:trHeight w:val="284"/>
        </w:trPr>
        <w:tc>
          <w:tcPr>
            <w:tcW w:w="10980" w:type="dxa"/>
            <w:vAlign w:val="bottom"/>
            <w:gridSpan w:val="2"/>
          </w:tcPr>
          <w:p>
            <w:pPr>
              <w:spacing w:after="0"/>
              <w:rPr>
                <w:sz w:val="20"/>
                <w:szCs w:val="20"/>
                <w:color w:val="auto"/>
              </w:rPr>
            </w:pPr>
            <w:r>
              <w:rPr>
                <w:rFonts w:ascii="Arial" w:cs="Arial" w:eastAsia="Arial" w:hAnsi="Arial"/>
                <w:sz w:val="20"/>
                <w:szCs w:val="20"/>
                <w:color w:val="auto"/>
              </w:rPr>
              <w:t>ARTICLE XI - EXCLUSIVE FORUM</w:t>
            </w:r>
          </w:p>
        </w:tc>
        <w:tc>
          <w:tcPr>
            <w:tcW w:w="400" w:type="dxa"/>
            <w:vAlign w:val="bottom"/>
          </w:tcPr>
          <w:p>
            <w:pPr>
              <w:jc w:val="right"/>
              <w:ind w:right="4"/>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380"/>
          </w:cols>
          <w:pgMar w:left="280" w:top="346"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0"/>
          <w:szCs w:val="20"/>
          <w:b w:val="1"/>
          <w:bCs w:val="1"/>
          <w:color w:val="auto"/>
        </w:rPr>
        <w:t>BYLAWS OF 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323215</wp:posOffset>
            </wp:positionV>
            <wp:extent cx="25812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2581275"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237490</wp:posOffset>
            </wp:positionV>
            <wp:extent cx="2581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tabs>
          <w:tab w:leader="none" w:pos="6180" w:val="left"/>
        </w:tabs>
        <w:rPr>
          <w:sz w:val="20"/>
          <w:szCs w:val="20"/>
          <w:color w:val="auto"/>
        </w:rPr>
      </w:pPr>
      <w:r>
        <w:rPr>
          <w:rFonts w:ascii="Arial" w:cs="Arial" w:eastAsia="Arial" w:hAnsi="Arial"/>
          <w:sz w:val="20"/>
          <w:szCs w:val="20"/>
          <w:b w:val="1"/>
          <w:bCs w:val="1"/>
          <w:color w:val="auto"/>
        </w:rPr>
        <w:t>ARTICLE I -</w:t>
      </w:r>
      <w:r>
        <w:rPr>
          <w:sz w:val="20"/>
          <w:szCs w:val="20"/>
          <w:color w:val="auto"/>
        </w:rPr>
        <w:tab/>
      </w:r>
      <w:r>
        <w:rPr>
          <w:rFonts w:ascii="Arial" w:cs="Arial" w:eastAsia="Arial" w:hAnsi="Arial"/>
          <w:sz w:val="19"/>
          <w:szCs w:val="19"/>
          <w:b w:val="1"/>
          <w:bCs w:val="1"/>
          <w:color w:val="auto"/>
        </w:rPr>
        <w:t>CORPORATE OFFICES</w:t>
      </w:r>
    </w:p>
    <w:p>
      <w:pPr>
        <w:spacing w:after="0" w:line="23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REGISTERED OFFICE</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registered office of Dropbox, Inc. shall be fixed in the corporation’s certificate of incorporation, as the same may be amended from time to time.</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OTHER OFFICES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corporation may at any time establish other offices at any place or places.</w:t>
      </w:r>
    </w:p>
    <w:p>
      <w:pPr>
        <w:spacing w:after="0" w:line="200" w:lineRule="exact"/>
        <w:rPr>
          <w:sz w:val="20"/>
          <w:szCs w:val="20"/>
          <w:color w:val="auto"/>
        </w:rPr>
      </w:pPr>
    </w:p>
    <w:p>
      <w:pPr>
        <w:spacing w:after="0" w:line="226" w:lineRule="exact"/>
        <w:rPr>
          <w:sz w:val="20"/>
          <w:szCs w:val="20"/>
          <w:color w:val="auto"/>
        </w:rPr>
      </w:pPr>
    </w:p>
    <w:p>
      <w:pPr>
        <w:ind w:left="3760"/>
        <w:spacing w:after="0"/>
        <w:tabs>
          <w:tab w:leader="none" w:pos="5200" w:val="left"/>
        </w:tabs>
        <w:rPr>
          <w:sz w:val="20"/>
          <w:szCs w:val="20"/>
          <w:color w:val="auto"/>
        </w:rPr>
      </w:pPr>
      <w:r>
        <w:rPr>
          <w:rFonts w:ascii="Arial" w:cs="Arial" w:eastAsia="Arial" w:hAnsi="Arial"/>
          <w:sz w:val="20"/>
          <w:szCs w:val="20"/>
          <w:b w:val="1"/>
          <w:bCs w:val="1"/>
          <w:color w:val="auto"/>
        </w:rPr>
        <w:t>ARTICLE II -</w:t>
      </w:r>
      <w:r>
        <w:rPr>
          <w:sz w:val="20"/>
          <w:szCs w:val="20"/>
          <w:color w:val="auto"/>
        </w:rPr>
        <w:tab/>
      </w:r>
      <w:r>
        <w:rPr>
          <w:rFonts w:ascii="Arial" w:cs="Arial" w:eastAsia="Arial" w:hAnsi="Arial"/>
          <w:sz w:val="19"/>
          <w:szCs w:val="19"/>
          <w:b w:val="1"/>
          <w:bCs w:val="1"/>
          <w:color w:val="auto"/>
        </w:rPr>
        <w:t>MEETINGS OF STOCKHOLDERS</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PLACE OF MEETINGS</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Meetings of stockholders shall be held at any place, within or outside the State of Delaware, designated by the board of directors.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5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2.2</w:t>
        <w:tab/>
        <w:t>ANNUAL MEETING</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purposes of these bylaws, the term “</w:t>
      </w:r>
      <w:r>
        <w:rPr>
          <w:rFonts w:ascii="Arial" w:cs="Arial" w:eastAsia="Arial" w:hAnsi="Arial"/>
          <w:sz w:val="19"/>
          <w:szCs w:val="19"/>
          <w:b w:val="1"/>
          <w:bCs w:val="1"/>
          <w:color w:val="auto"/>
        </w:rPr>
        <w:t>Whole Board</w:t>
      </w:r>
      <w:r>
        <w:rPr>
          <w:rFonts w:ascii="Arial" w:cs="Arial" w:eastAsia="Arial" w:hAnsi="Arial"/>
          <w:sz w:val="19"/>
          <w:szCs w:val="19"/>
          <w:color w:val="auto"/>
        </w:rPr>
        <w:t>” shall mean the total number of authorized directors whether or not there exist any vacancies or unfilled seats in previously authorized directorships.</w:t>
      </w:r>
    </w:p>
    <w:p>
      <w:pPr>
        <w:spacing w:after="0" w:line="17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SPECIAL MEETING</w:t>
      </w:r>
    </w:p>
    <w:p>
      <w:pPr>
        <w:spacing w:after="0" w:line="216" w:lineRule="exact"/>
        <w:rPr>
          <w:sz w:val="20"/>
          <w:szCs w:val="20"/>
          <w:color w:val="auto"/>
        </w:rPr>
      </w:pPr>
    </w:p>
    <w:p>
      <w:pPr>
        <w:jc w:val="both"/>
        <w:ind w:firstLine="656"/>
        <w:spacing w:after="0" w:line="273" w:lineRule="auto"/>
        <w:tabs>
          <w:tab w:leader="none" w:pos="10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special meeting of the stockholders, other than as required by statute, may be called at any time by (a) the board of directors, acting pursuant to a resolution adopted by a majority of the Whole Board, (b) the chairperson of the board of directors, (c) the chief executive officer or the president (in the absence of a chief executive officer) or (d) prior to the Final Conversion Date (as such term is defined in the corporation’s certificate of incorporation), by written request of the holders of at least 30% of the voting power of the Company’s Class A Common Stock and Class B Common Stock, voting together as a single class, provided that such written request is in compliance with the requirements of Section 2.3(ii), but a special meeting may not be called by any other person or persons.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89" w:right="239" w:bottom="1440" w:gutter="0" w:footer="0" w:header="0"/>
        </w:sectPr>
      </w:pPr>
    </w:p>
    <w:bookmarkStart w:id="100" w:name="page101"/>
    <w:bookmarkEnd w:id="100"/>
    <w:p>
      <w:pPr>
        <w:ind w:left="660"/>
        <w:spacing w:after="0"/>
        <w:tabs>
          <w:tab w:leader="none" w:pos="106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6"/>
          <w:szCs w:val="16"/>
          <w:color w:val="auto"/>
        </w:rPr>
        <w:t>If any person(s) other than the board of directors calls a special meeting, the request shall:</w:t>
      </w:r>
    </w:p>
    <w:p>
      <w:pPr>
        <w:spacing w:after="0" w:line="216" w:lineRule="exact"/>
        <w:rPr>
          <w:sz w:val="20"/>
          <w:szCs w:val="20"/>
          <w:color w:val="auto"/>
        </w:rPr>
      </w:pPr>
    </w:p>
    <w:p>
      <w:pPr>
        <w:ind w:left="1060" w:hanging="404"/>
        <w:spacing w:after="0"/>
        <w:tabs>
          <w:tab w:leader="none" w:pos="10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be in writing;</w:t>
      </w:r>
    </w:p>
    <w:p>
      <w:pPr>
        <w:spacing w:after="0" w:line="215" w:lineRule="exact"/>
        <w:rPr>
          <w:rFonts w:ascii="Arial" w:cs="Arial" w:eastAsia="Arial" w:hAnsi="Arial"/>
          <w:sz w:val="20"/>
          <w:szCs w:val="20"/>
          <w:color w:val="auto"/>
        </w:rPr>
      </w:pPr>
    </w:p>
    <w:p>
      <w:pPr>
        <w:ind w:firstLine="656"/>
        <w:spacing w:after="0" w:line="260" w:lineRule="auto"/>
        <w:tabs>
          <w:tab w:leader="none" w:pos="1099" w:val="left"/>
        </w:tabs>
        <w:numPr>
          <w:ilvl w:val="0"/>
          <w:numId w:val="59"/>
        </w:numPr>
        <w:rPr>
          <w:rFonts w:ascii="Arial" w:cs="Arial" w:eastAsia="Arial" w:hAnsi="Arial"/>
          <w:sz w:val="20"/>
          <w:szCs w:val="20"/>
          <w:color w:val="auto"/>
        </w:rPr>
      </w:pPr>
      <w:r>
        <w:rPr>
          <w:rFonts w:ascii="Arial" w:cs="Arial" w:eastAsia="Arial" w:hAnsi="Arial"/>
          <w:sz w:val="20"/>
          <w:szCs w:val="20"/>
          <w:color w:val="auto"/>
        </w:rPr>
        <w:t>specify the general nature of the business proposed to be transacted, subject to any additional applicable requirements as are set forth in Section 2.4(iii) and in Section 2.4(i)(b) (for the proposal of business other than nominations); and</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be delivered personally or sent by registered mail to the secretary of the corporation.</w:t>
      </w:r>
    </w:p>
    <w:p>
      <w:pPr>
        <w:spacing w:after="0" w:line="216"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Upon receipt of such a request, the board of directors shall determine the date, time and place of such special meeting, which must be scheduled to be held on a date that not less than thirty (30) and not more than ninety (90) days after receipt by the secretary of the request therefor, and the secretary of the corporation shall prepare a proper notice thereof. No business may be transacted at such special meeting other than the business specified in the notice to stockholders of such meeting. A request to call a special meeting by any person other than the board of directors will not be valid unless made in accordance with the requirements and procedures set forth in this Section 2.3(ii).</w:t>
      </w:r>
    </w:p>
    <w:p>
      <w:pPr>
        <w:spacing w:after="0" w:line="165" w:lineRule="exact"/>
        <w:rPr>
          <w:sz w:val="20"/>
          <w:szCs w:val="20"/>
          <w:color w:val="auto"/>
        </w:rPr>
      </w:pPr>
    </w:p>
    <w:p>
      <w:pPr>
        <w:jc w:val="both"/>
        <w:ind w:firstLine="656"/>
        <w:spacing w:after="0" w:line="244" w:lineRule="auto"/>
        <w:tabs>
          <w:tab w:leader="none" w:pos="1138"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notice of a special meeting shall include the purpose for which the meeting is called. Only such business shall be conducted at a special meeting of stockholders as shall have been brought before the meeting by or at the direction of the board of directors, chairperson of the board of directors, chief executive officer or president (in the absence of a chief executive officer) or in the notice specified in Section 2.3(ii) above. Nothing contained in this Section 2.3(iii) shall be construed as limiting, fixing or affecting the time when a meeting of stockholders called by action of the board of directors may be held.</w:t>
      </w:r>
    </w:p>
    <w:p>
      <w:pPr>
        <w:spacing w:after="0" w:line="1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color w:val="auto"/>
        </w:rPr>
        <w:t>ADVANCE NOTICE PROCEDURES</w:t>
      </w:r>
    </w:p>
    <w:p>
      <w:pPr>
        <w:spacing w:after="0" w:line="216" w:lineRule="exact"/>
        <w:rPr>
          <w:sz w:val="20"/>
          <w:szCs w:val="20"/>
          <w:color w:val="auto"/>
        </w:rPr>
      </w:pPr>
    </w:p>
    <w:p>
      <w:pPr>
        <w:jc w:val="both"/>
        <w:ind w:firstLine="656"/>
        <w:spacing w:after="0" w:line="271" w:lineRule="auto"/>
        <w:tabs>
          <w:tab w:leader="none" w:pos="1029"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of Stockholder Business. </w:t>
      </w:r>
      <w:r>
        <w:rPr>
          <w:rFonts w:ascii="Arial" w:cs="Arial" w:eastAsia="Arial" w:hAnsi="Arial"/>
          <w:sz w:val="18"/>
          <w:szCs w:val="18"/>
          <w:color w:val="auto"/>
        </w:rPr>
        <w:t>At an annual meeting of the stockholders, only such business shall be conducted as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properly brought before the 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2.4(i), on the record date for the determination of stockholders entitled to notice of the annual meeting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For the avoidance of doubt, clause (C) above shall be the exclusive means for a stockholder to bring business (other than business included in the corporation’s proxy materials pursuant to Rule 14a-8 under the Securities Exchange Act of 1934, as amended, or any successor thereto (the “</w:t>
      </w:r>
      <w:r>
        <w:rPr>
          <w:rFonts w:ascii="Arial" w:cs="Arial" w:eastAsia="Arial" w:hAnsi="Arial"/>
          <w:sz w:val="18"/>
          <w:szCs w:val="18"/>
          <w:b w:val="1"/>
          <w:bCs w:val="1"/>
          <w:color w:val="auto"/>
        </w:rPr>
        <w:t>1934 Act</w:t>
      </w:r>
      <w:r>
        <w:rPr>
          <w:rFonts w:ascii="Arial" w:cs="Arial" w:eastAsia="Arial" w:hAnsi="Arial"/>
          <w:sz w:val="18"/>
          <w:szCs w:val="18"/>
          <w:color w:val="auto"/>
        </w:rPr>
        <w:t>”)) before an annual meeting of stockholders.</w:t>
      </w:r>
    </w:p>
    <w:p>
      <w:pPr>
        <w:spacing w:after="0" w:line="175" w:lineRule="exact"/>
        <w:rPr>
          <w:sz w:val="20"/>
          <w:szCs w:val="20"/>
          <w:color w:val="auto"/>
        </w:rPr>
      </w:pPr>
    </w:p>
    <w:p>
      <w:pPr>
        <w:jc w:val="both"/>
        <w:ind w:firstLine="656"/>
        <w:spacing w:after="0" w:line="243" w:lineRule="auto"/>
        <w:tabs>
          <w:tab w:leader="none" w:pos="1156"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the event that no annual meeting was held in the previous year or if the date of the annual meeting is advanced by more than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1" w:right="239" w:bottom="1440" w:gutter="0" w:footer="0" w:header="0"/>
        </w:sectPr>
      </w:pPr>
    </w:p>
    <w:bookmarkStart w:id="101" w:name="page102"/>
    <w:bookmarkEnd w:id="101"/>
    <w:p>
      <w:pPr>
        <w:jc w:val="both"/>
        <w:spacing w:after="0" w:line="257" w:lineRule="auto"/>
        <w:rPr>
          <w:sz w:val="20"/>
          <w:szCs w:val="20"/>
          <w:color w:val="auto"/>
        </w:rPr>
      </w:pPr>
      <w:r>
        <w:rPr>
          <w:rFonts w:ascii="Arial" w:cs="Arial" w:eastAsia="Arial" w:hAnsi="Arial"/>
          <w:sz w:val="19"/>
          <w:szCs w:val="19"/>
          <w:color w:val="auto"/>
        </w:rPr>
        <w:t>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as described in this Section 2.4(i)(a). “</w:t>
      </w:r>
      <w:r>
        <w:rPr>
          <w:rFonts w:ascii="Arial" w:cs="Arial" w:eastAsia="Arial" w:hAnsi="Arial"/>
          <w:sz w:val="19"/>
          <w:szCs w:val="19"/>
          <w:b w:val="1"/>
          <w:bCs w:val="1"/>
          <w:color w:val="auto"/>
        </w:rPr>
        <w:t>Public Announcement</w:t>
      </w:r>
      <w:r>
        <w:rPr>
          <w:rFonts w:ascii="Arial" w:cs="Arial" w:eastAsia="Arial" w:hAnsi="Arial"/>
          <w:sz w:val="19"/>
          <w:szCs w:val="19"/>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1934 Act.</w:t>
      </w:r>
    </w:p>
    <w:p>
      <w:pPr>
        <w:spacing w:after="0" w:line="181" w:lineRule="exact"/>
        <w:rPr>
          <w:sz w:val="20"/>
          <w:szCs w:val="20"/>
          <w:color w:val="auto"/>
        </w:rPr>
      </w:pPr>
    </w:p>
    <w:p>
      <w:pPr>
        <w:jc w:val="both"/>
        <w:ind w:firstLine="656"/>
        <w:spacing w:after="0" w:line="268" w:lineRule="auto"/>
        <w:tabs>
          <w:tab w:leader="none" w:pos="10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be in proper written form, a stockholder’s notice to the secretary must set forth as to each matter of business the stockholder intends to bring before the annual meeting: (1) a brief description of the business intended to be brought before the annual meeting, the text of the proposed business (including the text of any resolutions proposed for consideration)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Arial" w:cs="Arial" w:eastAsia="Arial" w:hAnsi="Arial"/>
          <w:sz w:val="18"/>
          <w:szCs w:val="18"/>
          <w:b w:val="1"/>
          <w:bCs w:val="1"/>
          <w:color w:val="auto"/>
        </w:rPr>
        <w:t>Business Solicitation Statement</w:t>
      </w:r>
      <w:r>
        <w:rPr>
          <w:rFonts w:ascii="Arial" w:cs="Arial" w:eastAsia="Arial" w:hAnsi="Arial"/>
          <w:sz w:val="18"/>
          <w:szCs w:val="18"/>
          <w:color w:val="auto"/>
        </w:rPr>
        <w:t>”). In addition, to be in proper written form, a stockholder’s notice to the secretary must be supplemented not later than ten days following the record date for the determination of stockholders entitled to notice of the meeting to disclose the information contained in clauses (3) and (4) above as of such record date. For purposes of this Section 2.4, a “</w:t>
      </w:r>
      <w:r>
        <w:rPr>
          <w:rFonts w:ascii="Arial" w:cs="Arial" w:eastAsia="Arial" w:hAnsi="Arial"/>
          <w:sz w:val="18"/>
          <w:szCs w:val="18"/>
          <w:b w:val="1"/>
          <w:bCs w:val="1"/>
          <w:color w:val="auto"/>
        </w:rPr>
        <w:t>Stockholder Associated Person</w:t>
      </w:r>
      <w:r>
        <w:rPr>
          <w:rFonts w:ascii="Arial" w:cs="Arial" w:eastAsia="Arial" w:hAnsi="Arial"/>
          <w:sz w:val="18"/>
          <w:szCs w:val="18"/>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83" w:lineRule="exact"/>
        <w:rPr>
          <w:rFonts w:ascii="Arial" w:cs="Arial" w:eastAsia="Arial" w:hAnsi="Arial"/>
          <w:sz w:val="18"/>
          <w:szCs w:val="18"/>
          <w:color w:val="auto"/>
        </w:rPr>
      </w:pPr>
    </w:p>
    <w:p>
      <w:pPr>
        <w:jc w:val="both"/>
        <w:ind w:firstLine="656"/>
        <w:spacing w:after="0" w:line="274" w:lineRule="auto"/>
        <w:tabs>
          <w:tab w:leader="none" w:pos="10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12" w:right="239" w:bottom="1440" w:gutter="0" w:footer="0" w:header="0"/>
        </w:sectPr>
      </w:pPr>
    </w:p>
    <w:bookmarkStart w:id="102" w:name="page103"/>
    <w:bookmarkEnd w:id="102"/>
    <w:p>
      <w:pPr>
        <w:spacing w:after="0" w:line="260" w:lineRule="auto"/>
        <w:rPr>
          <w:sz w:val="20"/>
          <w:szCs w:val="20"/>
          <w:color w:val="auto"/>
        </w:rPr>
      </w:pPr>
      <w:r>
        <w:rPr>
          <w:rFonts w:ascii="Arial" w:cs="Arial" w:eastAsia="Arial" w:hAnsi="Arial"/>
          <w:sz w:val="20"/>
          <w:szCs w:val="20"/>
          <w:color w:val="auto"/>
        </w:rPr>
        <w:t>should so determine, he or she shall so declare at the annual meeting that any such business not properly brought before the annual meeting shall not be conducted.</w:t>
      </w:r>
    </w:p>
    <w:p>
      <w:pPr>
        <w:spacing w:after="0" w:line="177" w:lineRule="exact"/>
        <w:rPr>
          <w:sz w:val="20"/>
          <w:szCs w:val="20"/>
          <w:color w:val="auto"/>
        </w:rPr>
      </w:pPr>
    </w:p>
    <w:p>
      <w:pPr>
        <w:jc w:val="both"/>
        <w:ind w:firstLine="656"/>
        <w:spacing w:after="0" w:line="270" w:lineRule="auto"/>
        <w:tabs>
          <w:tab w:leader="none" w:pos="1151"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of Director Nominations at Annual Meetings. </w:t>
      </w:r>
      <w:r>
        <w:rPr>
          <w:rFonts w:ascii="Arial" w:cs="Arial" w:eastAsia="Arial" w:hAnsi="Arial"/>
          <w:sz w:val="18"/>
          <w:szCs w:val="18"/>
          <w:color w:val="auto"/>
        </w:rPr>
        <w:t>Notwithstanding anything in these bylaws to the contrary, only</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who are nominated in accordance with the procedures set forth in this Section 2.4(ii) shall be eligible for election or re-election as directors at an annual meeting of stockholders. Nominations of persons for election to the board of directors of the corporation shall be made at an annual meeting of stockholders only (A) by or at the direction of the board of directors or (B) by a stockholder of the corporation who</w:t>
      </w:r>
    </w:p>
    <w:p>
      <w:pPr>
        <w:spacing w:after="0" w:line="2" w:lineRule="exact"/>
        <w:rPr>
          <w:rFonts w:ascii="Arial" w:cs="Arial" w:eastAsia="Arial" w:hAnsi="Arial"/>
          <w:sz w:val="18"/>
          <w:szCs w:val="18"/>
          <w:color w:val="auto"/>
        </w:rPr>
      </w:pPr>
    </w:p>
    <w:p>
      <w:pPr>
        <w:jc w:val="both"/>
        <w:ind w:firstLine="8"/>
        <w:spacing w:after="0"/>
        <w:tabs>
          <w:tab w:leader="none" w:pos="281" w:val="left"/>
        </w:tabs>
        <w:numPr>
          <w:ilvl w:val="0"/>
          <w:numId w:val="65"/>
        </w:numPr>
        <w:rPr>
          <w:rFonts w:ascii="Arial" w:cs="Arial" w:eastAsia="Arial" w:hAnsi="Arial"/>
          <w:sz w:val="20"/>
          <w:szCs w:val="20"/>
          <w:color w:val="auto"/>
        </w:rPr>
      </w:pPr>
      <w:r>
        <w:rPr>
          <w:rFonts w:ascii="Arial" w:cs="Arial" w:eastAsia="Arial" w:hAnsi="Arial"/>
          <w:sz w:val="20"/>
          <w:szCs w:val="20"/>
          <w:color w:val="auto"/>
        </w:rPr>
        <w:t>was a stockholder of record at the time of the giving of the notice required by this Section 2.4(ii), on the record date for the determination of stockholders entitled to notice of the annual meeting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198" w:lineRule="exact"/>
        <w:rPr>
          <w:rFonts w:ascii="Arial" w:cs="Arial" w:eastAsia="Arial" w:hAnsi="Arial"/>
          <w:sz w:val="20"/>
          <w:szCs w:val="20"/>
          <w:color w:val="auto"/>
        </w:rPr>
      </w:pPr>
    </w:p>
    <w:p>
      <w:pPr>
        <w:jc w:val="both"/>
        <w:ind w:firstLine="656"/>
        <w:spacing w:after="0" w:line="256" w:lineRule="auto"/>
        <w:tabs>
          <w:tab w:leader="none" w:pos="1129" w:val="left"/>
        </w:tabs>
        <w:numPr>
          <w:ilvl w:val="1"/>
          <w:numId w:val="65"/>
        </w:numPr>
        <w:rPr>
          <w:rFonts w:ascii="Arial" w:cs="Arial" w:eastAsia="Arial" w:hAnsi="Arial"/>
          <w:sz w:val="19"/>
          <w:szCs w:val="19"/>
          <w:color w:val="auto"/>
        </w:rPr>
      </w:pPr>
      <w:r>
        <w:rPr>
          <w:rFonts w:ascii="Arial" w:cs="Arial" w:eastAsia="Arial" w:hAnsi="Arial"/>
          <w:sz w:val="19"/>
          <w:szCs w:val="19"/>
          <w:color w:val="auto"/>
        </w:rPr>
        <w:t>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 provided, however, that in the event that the number of directors to be elected to the board of directors is increased and there is no Public Announcement naming all of the nominees for director or specifying the size of the increased board made by the corporation at least ten (10) days before the last day a stockholder may deliver a notice of nomination pursuant to the foregoing provisions, a stockholder’s notice required by this Section 2.4(ii)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84" w:lineRule="exact"/>
        <w:rPr>
          <w:rFonts w:ascii="Arial" w:cs="Arial" w:eastAsia="Arial" w:hAnsi="Arial"/>
          <w:sz w:val="19"/>
          <w:szCs w:val="19"/>
          <w:color w:val="auto"/>
        </w:rPr>
      </w:pPr>
    </w:p>
    <w:p>
      <w:pPr>
        <w:ind w:left="1060" w:hanging="404"/>
        <w:spacing w:after="0"/>
        <w:tabs>
          <w:tab w:leader="none" w:pos="1060" w:val="left"/>
        </w:tabs>
        <w:numPr>
          <w:ilvl w:val="1"/>
          <w:numId w:val="65"/>
        </w:numPr>
        <w:rPr>
          <w:rFonts w:ascii="Arial" w:cs="Arial" w:eastAsia="Arial" w:hAnsi="Arial"/>
          <w:sz w:val="20"/>
          <w:szCs w:val="20"/>
          <w:color w:val="auto"/>
        </w:rPr>
      </w:pPr>
      <w:r>
        <w:rPr>
          <w:rFonts w:ascii="Arial" w:cs="Arial" w:eastAsia="Arial" w:hAnsi="Arial"/>
          <w:sz w:val="20"/>
          <w:szCs w:val="20"/>
          <w:color w:val="auto"/>
        </w:rPr>
        <w:t>To be in proper written form, such stockholder’s notice to the secretary must set forth:</w:t>
      </w:r>
    </w:p>
    <w:p>
      <w:pPr>
        <w:spacing w:after="0" w:line="210" w:lineRule="exact"/>
        <w:rPr>
          <w:sz w:val="20"/>
          <w:szCs w:val="20"/>
          <w:color w:val="auto"/>
        </w:rPr>
      </w:pPr>
    </w:p>
    <w:p>
      <w:pPr>
        <w:jc w:val="both"/>
        <w:ind w:firstLine="656"/>
        <w:spacing w:after="0" w:line="270" w:lineRule="auto"/>
        <w:tabs>
          <w:tab w:leader="none" w:pos="11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to each person (a “</w:t>
      </w:r>
      <w:r>
        <w:rPr>
          <w:rFonts w:ascii="Arial" w:cs="Arial" w:eastAsia="Arial" w:hAnsi="Arial"/>
          <w:sz w:val="18"/>
          <w:szCs w:val="18"/>
          <w:b w:val="1"/>
          <w:bCs w:val="1"/>
          <w:color w:val="auto"/>
        </w:rPr>
        <w:t>nominee</w:t>
      </w:r>
      <w:r>
        <w:rPr>
          <w:rFonts w:ascii="Arial" w:cs="Arial" w:eastAsia="Arial" w:hAnsi="Arial"/>
          <w:sz w:val="18"/>
          <w:szCs w:val="18"/>
          <w:color w:val="auto"/>
        </w:rPr>
        <w:t>”) whom the stockholder proposes to nominate for election or re-election as a director: (A) the name, age, business address and residence address of the nominee, (B) 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or among the stockholder, any nominee or any other person or persons (naming such person or persons) pursuant to which the nominations are to be made by the stockholder, including a description of any compensatory, payment or other financial agreement, arrangement or understanding involving the nominee and of any compensation or other payment received by or on behalf of the nominee, in each case in connection with candidacy or service as a director of the corporation, (F) a written statement executed by the nominee acknowledging and representing that the nominee intends to serve a full term on the board of directors if elected and that, as a director of the corporation, the nominee will owe a fiduciary duty under Delaware law with respect to the corporation and its stockholders, and (G) any other information relating to the nominee that would be required to be disclosed about such nominee if proxies were being solicited for the election of the nominee as a director, or that is otherwise required, in each case pursuant to Regulation 14A under the 1934 Act (including without limitation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811" w:right="239" w:bottom="1440" w:gutter="0" w:footer="0" w:header="0"/>
        </w:sectPr>
      </w:pPr>
    </w:p>
    <w:bookmarkStart w:id="103" w:name="page104"/>
    <w:bookmarkEnd w:id="103"/>
    <w:p>
      <w:pPr>
        <w:spacing w:after="0"/>
        <w:rPr>
          <w:sz w:val="20"/>
          <w:szCs w:val="20"/>
          <w:color w:val="auto"/>
        </w:rPr>
      </w:pPr>
      <w:r>
        <w:rPr>
          <w:rFonts w:ascii="Arial" w:cs="Arial" w:eastAsia="Arial" w:hAnsi="Arial"/>
          <w:sz w:val="19"/>
          <w:szCs w:val="19"/>
          <w:color w:val="auto"/>
        </w:rPr>
        <w:t>the nominee’s written consent to being named in the proxy statement, if any, as a nominee and to serving as a director if elected); and</w:t>
      </w:r>
    </w:p>
    <w:p>
      <w:pPr>
        <w:spacing w:after="0" w:line="227" w:lineRule="exact"/>
        <w:rPr>
          <w:sz w:val="20"/>
          <w:szCs w:val="20"/>
          <w:color w:val="auto"/>
        </w:rPr>
      </w:pPr>
    </w:p>
    <w:p>
      <w:pPr>
        <w:jc w:val="both"/>
        <w:ind w:firstLine="656"/>
        <w:spacing w:after="0" w:line="276" w:lineRule="auto"/>
        <w:tabs>
          <w:tab w:leader="none" w:pos="122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to such stockholder giving notice, (A) the information required to be provided pursuant to clauses (2) through (5) of Section 2.4(i)(b) above, and the supplement referenced in the second sentence of Section 2.4(i)(b) above (except that the references to “business” in such clauses shall instead refer to nominations of directors for purposes of this paragraph), and (B) a statement whether either such stockholder or Stockholder Associated Person will deliver a proxy statement and form of proxy to holders of a number of the corporation’s voting shares reasonably believed by such stockholder or Stockholder Associated Person to be necessary to elect such nominee(s) (such information provided and statements made as required by clauses (A) and (B) above, a “</w:t>
      </w:r>
      <w:r>
        <w:rPr>
          <w:rFonts w:ascii="Arial" w:cs="Arial" w:eastAsia="Arial" w:hAnsi="Arial"/>
          <w:sz w:val="18"/>
          <w:szCs w:val="18"/>
          <w:b w:val="1"/>
          <w:bCs w:val="1"/>
          <w:color w:val="auto"/>
        </w:rPr>
        <w:t>Nominee Solicitation Statement</w:t>
      </w:r>
      <w:r>
        <w:rPr>
          <w:rFonts w:ascii="Arial" w:cs="Arial" w:eastAsia="Arial" w:hAnsi="Arial"/>
          <w:sz w:val="18"/>
          <w:szCs w:val="18"/>
          <w:color w:val="auto"/>
        </w:rPr>
        <w:t>”).</w:t>
      </w:r>
    </w:p>
    <w:p>
      <w:pPr>
        <w:spacing w:after="0" w:line="165" w:lineRule="exact"/>
        <w:rPr>
          <w:sz w:val="20"/>
          <w:szCs w:val="20"/>
          <w:color w:val="auto"/>
        </w:rPr>
      </w:pPr>
    </w:p>
    <w:p>
      <w:pPr>
        <w:jc w:val="both"/>
        <w:ind w:firstLine="656"/>
        <w:spacing w:after="0" w:line="243" w:lineRule="auto"/>
        <w:tabs>
          <w:tab w:leader="none" w:pos="1129" w:val="left"/>
        </w:tabs>
        <w:numPr>
          <w:ilvl w:val="0"/>
          <w:numId w:val="68"/>
        </w:numPr>
        <w:rPr>
          <w:rFonts w:ascii="Arial" w:cs="Arial" w:eastAsia="Arial" w:hAnsi="Arial"/>
          <w:sz w:val="20"/>
          <w:szCs w:val="20"/>
          <w:color w:val="auto"/>
        </w:rPr>
      </w:pPr>
      <w:r>
        <w:rPr>
          <w:rFonts w:ascii="Arial" w:cs="Arial" w:eastAsia="Arial" w:hAnsi="Arial"/>
          <w:sz w:val="20"/>
          <w:szCs w:val="20"/>
          <w:color w:val="auto"/>
        </w:rPr>
        <w:t>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193" w:lineRule="exact"/>
        <w:rPr>
          <w:rFonts w:ascii="Arial" w:cs="Arial" w:eastAsia="Arial" w:hAnsi="Arial"/>
          <w:sz w:val="20"/>
          <w:szCs w:val="20"/>
          <w:color w:val="auto"/>
        </w:rPr>
      </w:pPr>
    </w:p>
    <w:p>
      <w:pPr>
        <w:jc w:val="both"/>
        <w:ind w:firstLine="656"/>
        <w:spacing w:after="0" w:line="273" w:lineRule="auto"/>
        <w:tabs>
          <w:tab w:leader="none" w:pos="10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relevant notice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169" w:lineRule="exact"/>
        <w:rPr>
          <w:sz w:val="20"/>
          <w:szCs w:val="20"/>
          <w:color w:val="auto"/>
        </w:rPr>
      </w:pPr>
    </w:p>
    <w:p>
      <w:pPr>
        <w:ind w:left="1140" w:hanging="484"/>
        <w:spacing w:after="0"/>
        <w:tabs>
          <w:tab w:leader="none" w:pos="1140" w:val="left"/>
        </w:tabs>
        <w:numPr>
          <w:ilvl w:val="0"/>
          <w:numId w:val="69"/>
        </w:numPr>
        <w:rPr>
          <w:rFonts w:ascii="Arial" w:cs="Arial" w:eastAsia="Arial" w:hAnsi="Arial"/>
          <w:sz w:val="20"/>
          <w:szCs w:val="20"/>
          <w:color w:val="auto"/>
        </w:rPr>
      </w:pPr>
      <w:r>
        <w:rPr>
          <w:rFonts w:ascii="Arial" w:cs="Arial" w:eastAsia="Arial" w:hAnsi="Arial"/>
          <w:sz w:val="20"/>
          <w:szCs w:val="20"/>
          <w:i w:val="1"/>
          <w:iCs w:val="1"/>
          <w:color w:val="auto"/>
        </w:rPr>
        <w:t>Advance Notice of Director Nominations for Special Meetings.</w:t>
      </w:r>
    </w:p>
    <w:p>
      <w:pPr>
        <w:spacing w:after="0" w:line="216" w:lineRule="exact"/>
        <w:rPr>
          <w:sz w:val="20"/>
          <w:szCs w:val="20"/>
          <w:color w:val="auto"/>
        </w:rPr>
      </w:pPr>
    </w:p>
    <w:p>
      <w:pPr>
        <w:jc w:val="both"/>
        <w:ind w:firstLine="656"/>
        <w:spacing w:after="0" w:line="271" w:lineRule="auto"/>
        <w:tabs>
          <w:tab w:leader="none" w:pos="1129"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a special meeting of stockholders at which directors are to be elected pursuant to Section 2.3, nominations of persons for election to the board of directors shall be made only (1) by or at the direction of the board of directors or (2) by any stockholder of the corporation who (A) is a stockholder of record at the time of the giving of the notice required by this Section 2.4(iii), on the record date for the determination of stockholders entitled to notice of the special meeting and on the record date for the determination of stockholders entitled to vote at the special meeting and (B) delivers a timely written notice of the nomination to the secretary of the corporation that includes the information set forth in Sections 2.4(ii)(b) and (ii)(c) above.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A person shall not be eligible for election or re-election as a director at a special meeting unless the person is nominated (i) by or at the direction of the board of directors or (ii) by a stockholder in accordance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11" w:right="239" w:bottom="1440" w:gutter="0" w:footer="0" w:header="0"/>
        </w:sectPr>
      </w:pPr>
    </w:p>
    <w:bookmarkStart w:id="104" w:name="page105"/>
    <w:bookmarkEnd w:id="104"/>
    <w:p>
      <w:pPr>
        <w:jc w:val="both"/>
        <w:spacing w:after="0" w:line="244" w:lineRule="auto"/>
        <w:rPr>
          <w:sz w:val="20"/>
          <w:szCs w:val="20"/>
          <w:color w:val="auto"/>
        </w:rPr>
      </w:pPr>
      <w:r>
        <w:rPr>
          <w:rFonts w:ascii="Arial" w:cs="Arial" w:eastAsia="Arial" w:hAnsi="Arial"/>
          <w:sz w:val="20"/>
          <w:szCs w:val="20"/>
          <w:color w:val="auto"/>
        </w:rPr>
        <w:t>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relevant notice contains an untrue statement of a material fact or omits to state a material fact necessary to make the statements therein not misleading.</w:t>
      </w:r>
    </w:p>
    <w:p>
      <w:pPr>
        <w:spacing w:after="0" w:line="195" w:lineRule="exact"/>
        <w:rPr>
          <w:sz w:val="20"/>
          <w:szCs w:val="20"/>
          <w:color w:val="auto"/>
        </w:rPr>
      </w:pPr>
    </w:p>
    <w:p>
      <w:pPr>
        <w:jc w:val="both"/>
        <w:ind w:firstLine="656"/>
        <w:spacing w:after="0" w:line="250" w:lineRule="auto"/>
        <w:tabs>
          <w:tab w:leader="none" w:pos="1153"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186" w:lineRule="exact"/>
        <w:rPr>
          <w:sz w:val="20"/>
          <w:szCs w:val="20"/>
          <w:color w:val="auto"/>
        </w:rPr>
      </w:pPr>
    </w:p>
    <w:p>
      <w:pPr>
        <w:jc w:val="both"/>
        <w:ind w:firstLine="656"/>
        <w:spacing w:after="0" w:line="259" w:lineRule="auto"/>
        <w:tabs>
          <w:tab w:leader="none" w:pos="1141"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 xml:space="preserve">Other Requirements and Rights. </w:t>
      </w:r>
      <w:r>
        <w:rPr>
          <w:rFonts w:ascii="Arial" w:cs="Arial" w:eastAsia="Arial" w:hAnsi="Arial"/>
          <w:sz w:val="19"/>
          <w:szCs w:val="19"/>
          <w:color w:val="auto"/>
        </w:rPr>
        <w:t>In addition to the foregoing provisions of this Section 2.4, a stockholder must also comply with</w:t>
      </w:r>
      <w:r>
        <w:rPr>
          <w:rFonts w:ascii="Arial" w:cs="Arial" w:eastAsia="Arial" w:hAnsi="Arial"/>
          <w:sz w:val="19"/>
          <w:szCs w:val="19"/>
          <w:i w:val="1"/>
          <w:iCs w:val="1"/>
          <w:color w:val="auto"/>
        </w:rPr>
        <w:t xml:space="preserve"> </w:t>
      </w:r>
      <w:r>
        <w:rPr>
          <w:rFonts w:ascii="Arial" w:cs="Arial" w:eastAsia="Arial" w:hAnsi="Arial"/>
          <w:sz w:val="19"/>
          <w:szCs w:val="19"/>
          <w:color w:val="auto"/>
        </w:rPr>
        <w:t>all applicable requirements of state law and of the 1934 Act and the rules and regulations thereunder with respect to the matters set forth in this Section 2.4, including, with respect to business such stockholder intends to bring before the annual meeting that involves a proposal that such stockholder requests to be included in the corporation’s proxy statement, the requirements of Rule 14a-8 (or any successor provision) under the 1934 Act. Nothing in this Section 2.4 shall be deemed to affect any right of the corporation to omit a proposal from the corporation’s proxy statement pursuant to Rule 14a-8 (or any successor provision) under the 1934 Act.</w:t>
      </w:r>
    </w:p>
    <w:p>
      <w:pPr>
        <w:spacing w:after="0" w:line="17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color w:val="auto"/>
        </w:rPr>
        <w:t>NOTICE OF STOCKHOLDERS’ MEETINGS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8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9"/>
          <w:szCs w:val="19"/>
          <w:color w:val="auto"/>
        </w:rPr>
        <w:t>QUORUM</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holders of a majority of the voting power of the stock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811" w:right="239" w:bottom="1440" w:gutter="0" w:footer="0" w:header="0"/>
        </w:sectPr>
      </w:pPr>
    </w:p>
    <w:bookmarkStart w:id="105" w:name="page106"/>
    <w:bookmarkEnd w:id="105"/>
    <w:p>
      <w:pPr>
        <w:ind w:left="660"/>
        <w:spacing w:after="0"/>
        <w:tabs>
          <w:tab w:leader="none" w:pos="106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color w:val="auto"/>
        </w:rPr>
        <w:t>ADJOURNED MEETING; NOTICE</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8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8"/>
          <w:szCs w:val="18"/>
          <w:color w:val="auto"/>
        </w:rPr>
        <w:t>CONDUCT OF BUSINESS</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have the power to adjourn the meeting to another place, if any, date or time. The chairperson of any meeting of stockholders shall be designated by the board of directors; in the absence of such designation, the chairperson of the board, if any, or the chief executive officer (in the absence of the chairperson of the board), or the president (in the absence of the chairperson of the board and the chief executive officer), or in their absence any other executive officer of the corporation, shall serve as chairperson of the stockholder meeting.</w:t>
      </w:r>
    </w:p>
    <w:p>
      <w:pPr>
        <w:spacing w:after="0" w:line="16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9"/>
          <w:szCs w:val="19"/>
          <w:color w:val="auto"/>
        </w:rPr>
        <w:t>VOTING</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Except as otherwise provided by law, the certificate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9"/>
          <w:szCs w:val="19"/>
          <w:color w:val="auto"/>
        </w:rPr>
        <w:t>STOCKHOLDER ACTION BY WRITTEN CONSENT WITHOUT A MEETING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11" w:right="239" w:bottom="1440" w:gutter="0" w:footer="0" w:header="0"/>
        </w:sectPr>
      </w:pPr>
    </w:p>
    <w:bookmarkStart w:id="106" w:name="page107"/>
    <w:bookmarkEnd w:id="106"/>
    <w:p>
      <w:pPr>
        <w:jc w:val="both"/>
        <w:ind w:firstLine="648"/>
        <w:spacing w:after="0" w:line="270" w:lineRule="auto"/>
        <w:rPr>
          <w:sz w:val="20"/>
          <w:szCs w:val="20"/>
          <w:color w:val="auto"/>
        </w:rPr>
      </w:pPr>
      <w:r>
        <w:rPr>
          <w:rFonts w:ascii="Arial" w:cs="Arial" w:eastAsia="Arial" w:hAnsi="Arial"/>
          <w:sz w:val="18"/>
          <w:szCs w:val="18"/>
          <w:color w:val="auto"/>
        </w:rPr>
        <w:t>Unless otherwise restricted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 No written consent shall be effective to take the corporate action referred to therein unless a valid written consent or valid written consents signed by a sufficient number of stockholders to take such action are delivered to the corporation in the manner prescribed in this Section 2.10 and applicable law within sixty (60) days of the first date on which a written consent is so delivered to the corporation.</w:t>
      </w:r>
    </w:p>
    <w:p>
      <w:pPr>
        <w:spacing w:after="0" w:line="17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color w:val="auto"/>
        </w:rPr>
        <w:t>RECORD DATES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A determination of stockholders of record entitled to notice of or to vote at a meeting of stockholders shall apply to any adjournment of the meeting;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9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color w:val="auto"/>
        </w:rPr>
        <w:t>PROXIES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811" w:right="239" w:bottom="1440" w:gutter="0" w:footer="0" w:header="0"/>
        </w:sectPr>
      </w:pPr>
    </w:p>
    <w:bookmarkStart w:id="107" w:name="page108"/>
    <w:bookmarkEnd w:id="107"/>
    <w:p>
      <w:pPr>
        <w:jc w:val="both"/>
        <w:ind w:firstLine="648"/>
        <w:spacing w:after="0" w:line="244" w:lineRule="auto"/>
        <w:rPr>
          <w:sz w:val="20"/>
          <w:szCs w:val="20"/>
          <w:color w:val="auto"/>
        </w:rPr>
      </w:pPr>
      <w:r>
        <w:rPr>
          <w:rFonts w:ascii="Arial" w:cs="Arial" w:eastAsia="Arial" w:hAnsi="Arial"/>
          <w:sz w:val="20"/>
          <w:szCs w:val="20"/>
          <w:color w:val="auto"/>
        </w:rPr>
        <w:t>Each stockholder entitled to vote at a meeting of stockholders, or to take corporate action by written consent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 written proxy may be in the form of an electronic transmission which sets forth or is submitted with information from which it can be determined that the electronic transmission was authorized by the stockholder or in any other form permitted by law.</w:t>
      </w:r>
    </w:p>
    <w:p>
      <w:pPr>
        <w:spacing w:after="0" w:line="15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color w:val="auto"/>
        </w:rPr>
        <w:t>LIST OF STOCKHOLDERS ENTITLED TO VOTE</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The corporation shall prepare, at least 10 days before every meeting of stockholders, a complete list of the stockholders entitled to vote at the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9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color w:val="auto"/>
        </w:rPr>
        <w:t>INSPECTORS OF ELECTION</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Before any meeting of stockholders, the board of directors shall appoint an inspector or inspectors of election to act at the meeting or its adjournment. The corporation may designate one (1) or more persons as alternate inspectors to replace any inspector who fails to act. Such inspectors shall take all actions as contemplated under Section 231 of the DGCL or any successor provision thereto.</w:t>
      </w:r>
    </w:p>
    <w:p>
      <w:pPr>
        <w:spacing w:after="0" w:line="1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700"/>
        <w:spacing w:after="0"/>
        <w:tabs>
          <w:tab w:leader="none" w:pos="6200" w:val="left"/>
        </w:tabs>
        <w:rPr>
          <w:sz w:val="20"/>
          <w:szCs w:val="20"/>
          <w:color w:val="auto"/>
        </w:rPr>
      </w:pPr>
      <w:r>
        <w:rPr>
          <w:rFonts w:ascii="Arial" w:cs="Arial" w:eastAsia="Arial" w:hAnsi="Arial"/>
          <w:sz w:val="20"/>
          <w:szCs w:val="20"/>
          <w:b w:val="1"/>
          <w:bCs w:val="1"/>
          <w:color w:val="auto"/>
        </w:rPr>
        <w:t>ARTICLE III -</w:t>
      </w:r>
      <w:r>
        <w:rPr>
          <w:sz w:val="20"/>
          <w:szCs w:val="20"/>
          <w:color w:val="auto"/>
        </w:rPr>
        <w:tab/>
      </w:r>
      <w:r>
        <w:rPr>
          <w:rFonts w:ascii="Arial" w:cs="Arial" w:eastAsia="Arial" w:hAnsi="Arial"/>
          <w:sz w:val="19"/>
          <w:szCs w:val="19"/>
          <w:b w:val="1"/>
          <w:bCs w:val="1"/>
          <w:color w:val="auto"/>
        </w:rPr>
        <w:t>DIRECTORS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811" w:right="239" w:bottom="1440" w:gutter="0" w:footer="0" w:header="0"/>
        </w:sectPr>
      </w:pPr>
    </w:p>
    <w:bookmarkStart w:id="108" w:name="page109"/>
    <w:bookmarkEnd w:id="108"/>
    <w:p>
      <w:pPr>
        <w:ind w:left="660"/>
        <w:spacing w:after="0"/>
        <w:tabs>
          <w:tab w:leader="none" w:pos="10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color w:val="auto"/>
        </w:rPr>
        <w:t>POWERS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business and affairs of the corporation shall be managed by or under the direction of the board of directors, except as may be otherwise provided in the DGCL or the certificate of incorporation.</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NUMBER OF DIRECTORS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board of directors shall consist of one or more members, each of whom shall be a natural person. Unless the certificate of incorporation fixes the number of directors, the number of directors shall be determined from time to time by resolution adopted by a majority of the Whole Board. No reduction of the authorized number of directors shall have the effect of removing any director before that director’s term of office expires.</w:t>
      </w:r>
    </w:p>
    <w:p>
      <w:pPr>
        <w:spacing w:after="0" w:line="19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ELECTION, QUALIFICATION AND TERM OF OFFICE OF DIRECTORS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9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If so provided in the certificate of incorporation, the directors of the corporation shall be divided into three classes. Until such time, the directors of the corporation shall be elected at each annual meeting of stockholders to hold office until the next annual meeting.</w:t>
      </w:r>
    </w:p>
    <w:p>
      <w:pPr>
        <w:spacing w:after="0" w:line="13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color w:val="auto"/>
        </w:rPr>
        <w:t>RESIGNATION AND VACANCIES</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Any director may resign at any time upon notice given in writing or by electronic transmission to the chairperson of the board of directors (or, if none, to the chief executive officer of the corporation) or to the secretary of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as provided by the certificate of incorporation,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9"/>
          <w:szCs w:val="19"/>
          <w:color w:val="auto"/>
        </w:rPr>
        <w:t>PLACE OF MEETINGS; MEETINGS BY TELEPHONE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811"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20"/>
          <w:szCs w:val="20"/>
          <w:color w:val="auto"/>
        </w:rPr>
        <w:t>The board of directors may hold meetings, both regular and special, either within or outside the State of Delaware.</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5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9"/>
          <w:szCs w:val="19"/>
          <w:color w:val="auto"/>
        </w:rPr>
        <w:t>REGULAR MEETINGS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Regular meetings of the board of directors may be held without notice at such time and at such place as shall from time to time be determined by the board of directors.</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9"/>
          <w:szCs w:val="19"/>
          <w:color w:val="auto"/>
        </w:rPr>
        <w:t>SPECIAL MEETINGS; NOTICE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Special meetings of the board of directors for any purpose or purposes may be called at any time by the chairperson of the board of directors, the chief executive officer, the president, the secretary or a majority of the authorized number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Notice of the time and place of special meetings shall be:</w:t>
      </w:r>
    </w:p>
    <w:p>
      <w:pPr>
        <w:spacing w:after="0" w:line="229" w:lineRule="exact"/>
        <w:rPr>
          <w:sz w:val="20"/>
          <w:szCs w:val="20"/>
          <w:color w:val="auto"/>
        </w:rPr>
      </w:pPr>
    </w:p>
    <w:p>
      <w:pPr>
        <w:ind w:left="2120" w:hanging="572"/>
        <w:spacing w:after="0"/>
        <w:tabs>
          <w:tab w:leader="none" w:pos="21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delivered personally by hand, by courier or by telephone;</w:t>
      </w:r>
    </w:p>
    <w:p>
      <w:pPr>
        <w:spacing w:after="0" w:line="242" w:lineRule="exact"/>
        <w:rPr>
          <w:rFonts w:ascii="Arial" w:cs="Arial" w:eastAsia="Arial" w:hAnsi="Arial"/>
          <w:sz w:val="20"/>
          <w:szCs w:val="20"/>
          <w:color w:val="auto"/>
        </w:rPr>
      </w:pPr>
    </w:p>
    <w:p>
      <w:pPr>
        <w:ind w:left="2180" w:hanging="632"/>
        <w:spacing w:after="0"/>
        <w:tabs>
          <w:tab w:leader="none" w:pos="21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sent by United States first-class mail, postage prepaid;</w:t>
      </w:r>
    </w:p>
    <w:p>
      <w:pPr>
        <w:spacing w:after="0" w:line="242" w:lineRule="exact"/>
        <w:rPr>
          <w:rFonts w:ascii="Arial" w:cs="Arial" w:eastAsia="Arial" w:hAnsi="Arial"/>
          <w:sz w:val="20"/>
          <w:szCs w:val="20"/>
          <w:color w:val="auto"/>
        </w:rPr>
      </w:pPr>
    </w:p>
    <w:p>
      <w:pPr>
        <w:ind w:left="2240" w:hanging="692"/>
        <w:spacing w:after="0"/>
        <w:tabs>
          <w:tab w:leader="none" w:pos="22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sent by facsimile;</w:t>
      </w:r>
    </w:p>
    <w:p>
      <w:pPr>
        <w:spacing w:after="0" w:line="242" w:lineRule="exact"/>
        <w:rPr>
          <w:rFonts w:ascii="Arial" w:cs="Arial" w:eastAsia="Arial" w:hAnsi="Arial"/>
          <w:sz w:val="20"/>
          <w:szCs w:val="20"/>
          <w:color w:val="auto"/>
        </w:rPr>
      </w:pPr>
    </w:p>
    <w:p>
      <w:pPr>
        <w:ind w:left="2220" w:hanging="672"/>
        <w:spacing w:after="0"/>
        <w:tabs>
          <w:tab w:leader="none" w:pos="22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sent by electronic mail; or</w:t>
      </w:r>
    </w:p>
    <w:p>
      <w:pPr>
        <w:spacing w:after="0" w:line="242" w:lineRule="exact"/>
        <w:rPr>
          <w:rFonts w:ascii="Arial" w:cs="Arial" w:eastAsia="Arial" w:hAnsi="Arial"/>
          <w:sz w:val="20"/>
          <w:szCs w:val="20"/>
          <w:color w:val="auto"/>
        </w:rPr>
      </w:pPr>
    </w:p>
    <w:p>
      <w:pPr>
        <w:ind w:left="2180" w:hanging="632"/>
        <w:spacing w:after="0"/>
        <w:tabs>
          <w:tab w:leader="none" w:pos="21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otherwise given by electronic transmission (as defined in Section 7.2),</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 unless required by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9"/>
          <w:szCs w:val="19"/>
          <w:color w:val="auto"/>
        </w:rPr>
        <w:t>QUORUM; VOTING</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811" w:right="239" w:bottom="1440" w:gutter="0" w:footer="0" w:header="0"/>
        </w:sectPr>
      </w:pPr>
    </w:p>
    <w:bookmarkStart w:id="110" w:name="page111"/>
    <w:bookmarkEnd w:id="110"/>
    <w:p>
      <w:pPr>
        <w:jc w:val="both"/>
        <w:ind w:firstLine="648"/>
        <w:spacing w:after="0" w:line="250" w:lineRule="auto"/>
        <w:rPr>
          <w:sz w:val="20"/>
          <w:szCs w:val="20"/>
          <w:color w:val="auto"/>
        </w:rPr>
      </w:pPr>
      <w:r>
        <w:rPr>
          <w:rFonts w:ascii="Arial" w:cs="Arial" w:eastAsia="Arial" w:hAnsi="Arial"/>
          <w:sz w:val="20"/>
          <w:szCs w:val="20"/>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5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9"/>
          <w:szCs w:val="19"/>
          <w:color w:val="auto"/>
        </w:rPr>
        <w:t>BOARD ACTION BY WRITTEN CONSENT WITHOUT A MEETING</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8"/>
          <w:szCs w:val="18"/>
          <w:color w:val="auto"/>
        </w:rPr>
        <w:t>FEES AND COMPENSATION OF DIRECTORS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restricted by the certificate of incorporation or these bylaws, the board of directors shall have the authority to fix the compensation of directors.</w:t>
      </w:r>
    </w:p>
    <w:p>
      <w:pPr>
        <w:spacing w:after="0" w:line="17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color w:val="auto"/>
        </w:rPr>
        <w:t>REMOVAL OF DIRECTORS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director may be removed from office at any time, with or without cause, by the affirmative vote of the holders of at least a majority of the voting power of the outstanding shares then entitled to vote for the election of directors; provided, however, for so long as the directors of the corporation are divided into classes, any director may be removed from office by the stockholders of the corporation only for cause.</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 reduction of the authorized number of directors shall have the effect of removing any director prior to the expiration of such director’s term of office.</w:t>
      </w:r>
    </w:p>
    <w:p>
      <w:pPr>
        <w:spacing w:after="0" w:line="387" w:lineRule="exact"/>
        <w:rPr>
          <w:sz w:val="20"/>
          <w:szCs w:val="20"/>
          <w:color w:val="auto"/>
        </w:rPr>
      </w:pPr>
    </w:p>
    <w:p>
      <w:pPr>
        <w:ind w:left="4600"/>
        <w:spacing w:after="0"/>
        <w:tabs>
          <w:tab w:leader="none" w:pos="6080" w:val="left"/>
        </w:tabs>
        <w:rPr>
          <w:sz w:val="20"/>
          <w:szCs w:val="20"/>
          <w:color w:val="auto"/>
        </w:rPr>
      </w:pPr>
      <w:r>
        <w:rPr>
          <w:rFonts w:ascii="Arial" w:cs="Arial" w:eastAsia="Arial" w:hAnsi="Arial"/>
          <w:sz w:val="20"/>
          <w:szCs w:val="20"/>
          <w:b w:val="1"/>
          <w:bCs w:val="1"/>
          <w:color w:val="auto"/>
        </w:rPr>
        <w:t>ARTICLE IV -</w:t>
        <w:tab/>
        <w:t>COMMITTEES</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color w:val="auto"/>
        </w:rPr>
        <w:t>COMMITTEES OF DIRECTORS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board of directors may, by resolution passed by a majority of the Whole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811" w:right="239" w:bottom="1440" w:gutter="0" w:footer="0" w:header="0"/>
        </w:sectPr>
      </w:pPr>
    </w:p>
    <w:bookmarkStart w:id="111" w:name="page112"/>
    <w:bookmarkEnd w:id="111"/>
    <w:p>
      <w:pPr>
        <w:jc w:val="both"/>
        <w:spacing w:after="0" w:line="259" w:lineRule="auto"/>
        <w:rPr>
          <w:sz w:val="20"/>
          <w:szCs w:val="20"/>
          <w:color w:val="auto"/>
        </w:rPr>
      </w:pPr>
      <w:r>
        <w:rPr>
          <w:rFonts w:ascii="Arial" w:cs="Arial" w:eastAsia="Arial" w:hAnsi="Arial"/>
          <w:sz w:val="19"/>
          <w:szCs w:val="19"/>
          <w:color w:val="auto"/>
        </w:rPr>
        <w:t>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7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COMMITTEE MINUTES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committee shall keep regular minutes of its meetings and report the same to the board of directors when required.</w:t>
      </w:r>
    </w:p>
    <w:p>
      <w:pPr>
        <w:spacing w:after="0" w:line="21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color w:val="auto"/>
        </w:rPr>
        <w:t>MEETINGS AND ACTION OF COMMITTEES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Meetings and actions of committees shall be governed by, and held and taken in accordance with, the provisions of:</w:t>
      </w:r>
    </w:p>
    <w:p>
      <w:pPr>
        <w:spacing w:after="0" w:line="229" w:lineRule="exact"/>
        <w:rPr>
          <w:sz w:val="20"/>
          <w:szCs w:val="20"/>
          <w:color w:val="auto"/>
        </w:rPr>
      </w:pPr>
    </w:p>
    <w:p>
      <w:pPr>
        <w:ind w:left="2120" w:hanging="572"/>
        <w:spacing w:after="0"/>
        <w:tabs>
          <w:tab w:leader="none" w:pos="21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3.5 (place of meetings and meetings by telephone);</w:t>
      </w:r>
    </w:p>
    <w:p>
      <w:pPr>
        <w:spacing w:after="0" w:line="242" w:lineRule="exact"/>
        <w:rPr>
          <w:rFonts w:ascii="Arial" w:cs="Arial" w:eastAsia="Arial" w:hAnsi="Arial"/>
          <w:sz w:val="20"/>
          <w:szCs w:val="20"/>
          <w:color w:val="auto"/>
        </w:rPr>
      </w:pPr>
    </w:p>
    <w:p>
      <w:pPr>
        <w:ind w:left="2180" w:hanging="632"/>
        <w:spacing w:after="0"/>
        <w:tabs>
          <w:tab w:leader="none" w:pos="21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3.6 (regular meetings);</w:t>
      </w:r>
    </w:p>
    <w:p>
      <w:pPr>
        <w:spacing w:after="0" w:line="242" w:lineRule="exact"/>
        <w:rPr>
          <w:rFonts w:ascii="Arial" w:cs="Arial" w:eastAsia="Arial" w:hAnsi="Arial"/>
          <w:sz w:val="20"/>
          <w:szCs w:val="20"/>
          <w:color w:val="auto"/>
        </w:rPr>
      </w:pPr>
    </w:p>
    <w:p>
      <w:pPr>
        <w:ind w:left="2240" w:hanging="692"/>
        <w:spacing w:after="0"/>
        <w:tabs>
          <w:tab w:leader="none" w:pos="22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3.7 (special meetings and notice);</w:t>
      </w:r>
    </w:p>
    <w:p>
      <w:pPr>
        <w:spacing w:after="0" w:line="242" w:lineRule="exact"/>
        <w:rPr>
          <w:rFonts w:ascii="Arial" w:cs="Arial" w:eastAsia="Arial" w:hAnsi="Arial"/>
          <w:sz w:val="20"/>
          <w:szCs w:val="20"/>
          <w:color w:val="auto"/>
        </w:rPr>
      </w:pPr>
    </w:p>
    <w:p>
      <w:pPr>
        <w:ind w:left="2220" w:hanging="672"/>
        <w:spacing w:after="0"/>
        <w:tabs>
          <w:tab w:leader="none" w:pos="22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3.8 (quorum; voting);</w:t>
      </w:r>
    </w:p>
    <w:p>
      <w:pPr>
        <w:spacing w:after="0" w:line="242" w:lineRule="exact"/>
        <w:rPr>
          <w:rFonts w:ascii="Arial" w:cs="Arial" w:eastAsia="Arial" w:hAnsi="Arial"/>
          <w:sz w:val="20"/>
          <w:szCs w:val="20"/>
          <w:color w:val="auto"/>
        </w:rPr>
      </w:pPr>
    </w:p>
    <w:p>
      <w:pPr>
        <w:ind w:left="2180" w:hanging="632"/>
        <w:spacing w:after="0"/>
        <w:tabs>
          <w:tab w:leader="none" w:pos="21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3.9 (action without a meeting); and</w:t>
      </w:r>
    </w:p>
    <w:p>
      <w:pPr>
        <w:spacing w:after="0" w:line="242" w:lineRule="exact"/>
        <w:rPr>
          <w:rFonts w:ascii="Arial" w:cs="Arial" w:eastAsia="Arial" w:hAnsi="Arial"/>
          <w:sz w:val="20"/>
          <w:szCs w:val="20"/>
          <w:color w:val="auto"/>
        </w:rPr>
      </w:pPr>
    </w:p>
    <w:p>
      <w:pPr>
        <w:ind w:left="2220" w:hanging="672"/>
        <w:spacing w:after="0"/>
        <w:tabs>
          <w:tab w:leader="none" w:pos="22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7.5 (waiver of notice)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with such changes in the context of those bylaws as are necessary to substitute the committee and its members for the board of directors and its members. </w:t>
      </w:r>
      <w:r>
        <w:rPr>
          <w:rFonts w:ascii="Arial" w:cs="Arial" w:eastAsia="Arial" w:hAnsi="Arial"/>
          <w:sz w:val="20"/>
          <w:szCs w:val="20"/>
          <w:i w:val="1"/>
          <w:iCs w:val="1"/>
          <w:color w:val="auto"/>
        </w:rPr>
        <w:t>However</w:t>
      </w:r>
      <w:r>
        <w:rPr>
          <w:rFonts w:ascii="Arial" w:cs="Arial" w:eastAsia="Arial" w:hAnsi="Arial"/>
          <w:sz w:val="20"/>
          <w:szCs w:val="20"/>
          <w:color w:val="auto"/>
        </w:rPr>
        <w: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time of regular meetings of committees may be determined either by resolution of the board of directors or by resolution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committee;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special meetings of committees may also be called by resolution of the board of directors; and</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color w:val="auto"/>
        </w:rPr>
        <w:t>SUBCOMMITTEES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811" w:right="239" w:bottom="1440" w:gutter="0" w:footer="0" w:header="0"/>
        </w:sectPr>
      </w:pPr>
    </w:p>
    <w:bookmarkStart w:id="112" w:name="page113"/>
    <w:bookmarkEnd w:id="112"/>
    <w:p>
      <w:pPr>
        <w:jc w:val="both"/>
        <w:ind w:firstLine="648"/>
        <w:spacing w:after="0" w:line="250" w:lineRule="auto"/>
        <w:rPr>
          <w:sz w:val="20"/>
          <w:szCs w:val="20"/>
          <w:color w:val="auto"/>
        </w:rPr>
      </w:pPr>
      <w:r>
        <w:rPr>
          <w:rFonts w:ascii="Arial" w:cs="Arial" w:eastAsia="Arial" w:hAnsi="Arial"/>
          <w:sz w:val="20"/>
          <w:szCs w:val="20"/>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96" w:lineRule="exact"/>
        <w:rPr>
          <w:sz w:val="20"/>
          <w:szCs w:val="20"/>
          <w:color w:val="auto"/>
        </w:rPr>
      </w:pPr>
    </w:p>
    <w:p>
      <w:pPr>
        <w:ind w:left="4820"/>
        <w:spacing w:after="0"/>
        <w:tabs>
          <w:tab w:leader="none" w:pos="6240" w:val="left"/>
        </w:tabs>
        <w:rPr>
          <w:sz w:val="20"/>
          <w:szCs w:val="20"/>
          <w:color w:val="auto"/>
        </w:rPr>
      </w:pPr>
      <w:r>
        <w:rPr>
          <w:rFonts w:ascii="Arial" w:cs="Arial" w:eastAsia="Arial" w:hAnsi="Arial"/>
          <w:sz w:val="20"/>
          <w:szCs w:val="20"/>
          <w:b w:val="1"/>
          <w:bCs w:val="1"/>
          <w:color w:val="auto"/>
        </w:rPr>
        <w:t>ARTICLE V -</w:t>
      </w:r>
      <w:r>
        <w:rPr>
          <w:sz w:val="20"/>
          <w:szCs w:val="20"/>
          <w:color w:val="auto"/>
        </w:rPr>
        <w:tab/>
      </w:r>
      <w:r>
        <w:rPr>
          <w:rFonts w:ascii="Arial" w:cs="Arial" w:eastAsia="Arial" w:hAnsi="Arial"/>
          <w:sz w:val="19"/>
          <w:szCs w:val="19"/>
          <w:b w:val="1"/>
          <w:bCs w:val="1"/>
          <w:color w:val="auto"/>
        </w:rPr>
        <w:t>OFFICERS</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color w:val="auto"/>
        </w:rPr>
        <w:t>OFFICERS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officers of the corporation shall be a president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APPOINTMENT OF OFFICERS</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board of directors shall appoint the officers of the corporation, except such officers as may be appointed in accordance with the provisions of Sections 5.3 of these bylaws, subject to the rights, if any, of an officer under any contract of employment.</w:t>
      </w:r>
    </w:p>
    <w:p>
      <w:pPr>
        <w:spacing w:after="0" w:line="15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color w:val="auto"/>
        </w:rPr>
        <w:t>SUBORDINATE OFFICERS</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board of directors may appoint, or empower the chief executive officer or, in the absence of a chief executive officer, the president, to appoint, such other officers as the business of the corporation may require. Each of such officers shall hold office for such period, have such authority, and perform such duties as are provided in these bylaws or as the board of directors may from time to time determine.</w:t>
      </w:r>
    </w:p>
    <w:p>
      <w:pPr>
        <w:spacing w:after="0" w:line="15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color w:val="auto"/>
        </w:rPr>
        <w:t>REMOVAL AND RESIGNATION OF OFFICERS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Subject to the rights, if any, of an officer under any contract of employment, any officer may be removed, either with or without cause, by the board of directors or, except in the case of an officer chosen by the board of directors unless as otherwise provided by resolution of the board of directors, by any officer upon whom such power of removal may be conferred by the board of directors.</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9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color w:val="auto"/>
        </w:rPr>
        <w:t>VACANCIES IN OFFICES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Any vacancy occurring in any office of the corporation shall be filled by the board of directors or as provided in Section 5.3.</w:t>
      </w:r>
    </w:p>
    <w:p>
      <w:pPr>
        <w:spacing w:after="0" w:line="22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color w:val="auto"/>
        </w:rPr>
        <w:t>REPRESENTATION OF SECURITIES OF OTHER ENTITIES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811" w:right="239" w:bottom="1440" w:gutter="0" w:footer="0" w:header="0"/>
        </w:sectPr>
      </w:pPr>
    </w:p>
    <w:bookmarkStart w:id="113" w:name="page114"/>
    <w:bookmarkEnd w:id="113"/>
    <w:p>
      <w:pPr>
        <w:jc w:val="both"/>
        <w:ind w:firstLine="648"/>
        <w:spacing w:after="0" w:line="243" w:lineRule="auto"/>
        <w:rPr>
          <w:sz w:val="20"/>
          <w:szCs w:val="20"/>
          <w:color w:val="auto"/>
        </w:rPr>
      </w:pPr>
      <w:r>
        <w:rPr>
          <w:rFonts w:ascii="Arial" w:cs="Arial" w:eastAsia="Arial" w:hAnsi="Arial"/>
          <w:sz w:val="20"/>
          <w:szCs w:val="20"/>
          <w:color w:val="auto"/>
        </w:rPr>
        <w:t>The chairperson of the board of directors, the chief executive officer, the president, any vice president, the treasurer, the secretary or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or other securities of any other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9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9"/>
          <w:szCs w:val="19"/>
          <w:color w:val="auto"/>
        </w:rPr>
        <w:t>AUTHORITY AND DUTIES OF OFFICERS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396" w:lineRule="exact"/>
        <w:rPr>
          <w:sz w:val="20"/>
          <w:szCs w:val="20"/>
          <w:color w:val="auto"/>
        </w:rPr>
      </w:pPr>
    </w:p>
    <w:p>
      <w:pPr>
        <w:ind w:left="4940"/>
        <w:spacing w:after="0"/>
        <w:tabs>
          <w:tab w:leader="none" w:pos="6420" w:val="left"/>
        </w:tabs>
        <w:rPr>
          <w:sz w:val="20"/>
          <w:szCs w:val="20"/>
          <w:color w:val="auto"/>
        </w:rPr>
      </w:pPr>
      <w:r>
        <w:rPr>
          <w:rFonts w:ascii="Arial" w:cs="Arial" w:eastAsia="Arial" w:hAnsi="Arial"/>
          <w:sz w:val="20"/>
          <w:szCs w:val="20"/>
          <w:b w:val="1"/>
          <w:bCs w:val="1"/>
          <w:color w:val="auto"/>
        </w:rPr>
        <w:t>ARTICLE VI -</w:t>
        <w:tab/>
        <w:t>STOCK</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color w:val="auto"/>
        </w:rPr>
        <w:t>STOCK CERTIFICATES; PARTLY PAID SHARES</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16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SPECIAL DESIGNATION ON CERTIFICATES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20"/>
          <w:szCs w:val="20"/>
          <w:i w:val="1"/>
          <w:iCs w:val="1"/>
          <w:color w:val="auto"/>
        </w:rPr>
        <w:t>provided, however</w:t>
      </w:r>
      <w:r>
        <w:rPr>
          <w:rFonts w:ascii="Arial" w:cs="Arial" w:eastAsia="Arial" w:hAnsi="Arial"/>
          <w:sz w:val="20"/>
          <w:szCs w:val="20"/>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811" w:right="239" w:bottom="1440" w:gutter="0" w:footer="0" w:header="0"/>
        </w:sectPr>
      </w:pPr>
    </w:p>
    <w:bookmarkStart w:id="114" w:name="page115"/>
    <w:bookmarkEnd w:id="114"/>
    <w:p>
      <w:pPr>
        <w:jc w:val="both"/>
        <w:spacing w:after="0" w:line="311" w:lineRule="auto"/>
        <w:rPr>
          <w:sz w:val="20"/>
          <w:szCs w:val="20"/>
          <w:color w:val="auto"/>
        </w:rPr>
      </w:pPr>
      <w:r>
        <w:rPr>
          <w:rFonts w:ascii="Arial" w:cs="Arial" w:eastAsia="Arial" w:hAnsi="Arial"/>
          <w:sz w:val="16"/>
          <w:szCs w:val="16"/>
          <w:color w:val="auto"/>
        </w:rPr>
        <w:t>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4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color w:val="auto"/>
        </w:rPr>
        <w:t>LOST CERTIFICATES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9"/>
          <w:szCs w:val="19"/>
          <w:color w:val="auto"/>
        </w:rPr>
        <w:t>DIVIDENDS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 The board of directors may set apart out of any of the funds of the corporation available for dividends a reserve or reserves for any proper purpose and may abolish any such reserve.</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8"/>
          <w:szCs w:val="18"/>
          <w:color w:val="auto"/>
        </w:rPr>
        <w:t>TRANSFER OF STOCK</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8"/>
          <w:szCs w:val="18"/>
          <w:color w:val="auto"/>
        </w:rPr>
        <w:t>STOCK TRANSFER AGREEMENTS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8"/>
          <w:szCs w:val="18"/>
          <w:color w:val="auto"/>
        </w:rPr>
        <w:t>REGISTERED STOCKHOLDERS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811"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20"/>
          <w:szCs w:val="20"/>
          <w:color w:val="auto"/>
        </w:rPr>
        <w:t>The corporation:</w:t>
      </w:r>
    </w:p>
    <w:p>
      <w:pPr>
        <w:spacing w:after="0" w:line="229" w:lineRule="exact"/>
        <w:rPr>
          <w:sz w:val="20"/>
          <w:szCs w:val="20"/>
          <w:color w:val="auto"/>
        </w:rPr>
      </w:pPr>
    </w:p>
    <w:p>
      <w:pPr>
        <w:ind w:firstLine="1548"/>
        <w:spacing w:after="0" w:line="289" w:lineRule="auto"/>
        <w:tabs>
          <w:tab w:leader="none" w:pos="2118" w:val="left"/>
        </w:tabs>
        <w:numPr>
          <w:ilvl w:val="0"/>
          <w:numId w:val="75"/>
        </w:numPr>
        <w:rPr>
          <w:rFonts w:ascii="Arial" w:cs="Arial" w:eastAsia="Arial" w:hAnsi="Arial"/>
          <w:sz w:val="20"/>
          <w:szCs w:val="20"/>
          <w:color w:val="auto"/>
        </w:rPr>
      </w:pPr>
      <w:r>
        <w:rPr>
          <w:rFonts w:ascii="Arial" w:cs="Arial" w:eastAsia="Arial" w:hAnsi="Arial"/>
          <w:sz w:val="20"/>
          <w:szCs w:val="20"/>
          <w:color w:val="auto"/>
        </w:rPr>
        <w:t>shall be entitled to recognize the exclusive right of a person registered on its books as the owner of shares to receive dividends and to vote as such owner; and</w:t>
      </w:r>
    </w:p>
    <w:p>
      <w:pPr>
        <w:spacing w:after="0" w:line="175" w:lineRule="exact"/>
        <w:rPr>
          <w:rFonts w:ascii="Arial" w:cs="Arial" w:eastAsia="Arial" w:hAnsi="Arial"/>
          <w:sz w:val="20"/>
          <w:szCs w:val="20"/>
          <w:color w:val="auto"/>
        </w:rPr>
      </w:pPr>
    </w:p>
    <w:p>
      <w:pPr>
        <w:ind w:firstLine="1548"/>
        <w:spacing w:after="0" w:line="316" w:lineRule="auto"/>
        <w:tabs>
          <w:tab w:leader="none" w:pos="2173" w:val="left"/>
        </w:tabs>
        <w:numPr>
          <w:ilvl w:val="0"/>
          <w:numId w:val="75"/>
        </w:numPr>
        <w:rPr>
          <w:rFonts w:ascii="Arial" w:cs="Arial" w:eastAsia="Arial" w:hAnsi="Arial"/>
          <w:sz w:val="19"/>
          <w:szCs w:val="19"/>
          <w:color w:val="auto"/>
        </w:rPr>
      </w:pPr>
      <w:r>
        <w:rPr>
          <w:rFonts w:ascii="Arial" w:cs="Arial" w:eastAsia="Arial" w:hAnsi="Arial"/>
          <w:sz w:val="19"/>
          <w:szCs w:val="19"/>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51" w:lineRule="exact"/>
        <w:rPr>
          <w:sz w:val="20"/>
          <w:szCs w:val="20"/>
          <w:color w:val="auto"/>
        </w:rPr>
      </w:pPr>
    </w:p>
    <w:p>
      <w:pPr>
        <w:ind w:left="3160"/>
        <w:spacing w:after="0"/>
        <w:tabs>
          <w:tab w:leader="none" w:pos="4720" w:val="left"/>
        </w:tabs>
        <w:rPr>
          <w:sz w:val="20"/>
          <w:szCs w:val="20"/>
          <w:color w:val="auto"/>
        </w:rPr>
      </w:pPr>
      <w:r>
        <w:rPr>
          <w:rFonts w:ascii="Arial" w:cs="Arial" w:eastAsia="Arial" w:hAnsi="Arial"/>
          <w:sz w:val="20"/>
          <w:szCs w:val="20"/>
          <w:b w:val="1"/>
          <w:bCs w:val="1"/>
          <w:color w:val="auto"/>
        </w:rPr>
        <w:t>ARTICLE VII -</w:t>
        <w:tab/>
        <w:t>MANNER OF GIVING NOTICE AND WAIVER</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color w:val="auto"/>
        </w:rPr>
        <w:t>NOTICE OF STOCKHOLDERS’ MEETINGS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Notice of any meeting of stockholders, if mailed, is given when deposited in the United 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facts stated therein.</w:t>
      </w:r>
    </w:p>
    <w:p>
      <w:pPr>
        <w:spacing w:after="0" w:line="19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color w:val="auto"/>
        </w:rPr>
        <w:t>NOTICE BY ELECTRONIC TRANSMISSION</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208" w:lineRule="exact"/>
        <w:rPr>
          <w:sz w:val="20"/>
          <w:szCs w:val="20"/>
          <w:color w:val="auto"/>
        </w:rPr>
      </w:pPr>
    </w:p>
    <w:p>
      <w:pPr>
        <w:ind w:right="20" w:firstLine="1548"/>
        <w:spacing w:after="0" w:line="289" w:lineRule="auto"/>
        <w:tabs>
          <w:tab w:leader="none" w:pos="2118"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corporation is unable to deliver by electronic transmission two consecutive notices given by the corporation in accordance with such consent; and</w:t>
      </w:r>
    </w:p>
    <w:p>
      <w:pPr>
        <w:spacing w:after="0" w:line="175" w:lineRule="exact"/>
        <w:rPr>
          <w:rFonts w:ascii="Arial" w:cs="Arial" w:eastAsia="Arial" w:hAnsi="Arial"/>
          <w:sz w:val="20"/>
          <w:szCs w:val="20"/>
          <w:color w:val="auto"/>
        </w:rPr>
      </w:pPr>
    </w:p>
    <w:p>
      <w:pPr>
        <w:ind w:firstLine="1548"/>
        <w:spacing w:after="0" w:line="289" w:lineRule="auto"/>
        <w:tabs>
          <w:tab w:leader="none" w:pos="2173" w:val="left"/>
        </w:tabs>
        <w:numPr>
          <w:ilvl w:val="0"/>
          <w:numId w:val="76"/>
        </w:numPr>
        <w:rPr>
          <w:rFonts w:ascii="Arial" w:cs="Arial" w:eastAsia="Arial" w:hAnsi="Arial"/>
          <w:sz w:val="20"/>
          <w:szCs w:val="20"/>
          <w:color w:val="auto"/>
        </w:rPr>
      </w:pPr>
      <w:r>
        <w:rPr>
          <w:rFonts w:ascii="Arial" w:cs="Arial" w:eastAsia="Arial" w:hAnsi="Arial"/>
          <w:sz w:val="20"/>
          <w:szCs w:val="20"/>
          <w:color w:val="auto"/>
        </w:rPr>
        <w:t>such inability becomes known to the secretary or an assistant secretary of the corporation or to the transfer agent, or other person responsible for the giving of notice.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However, the inadvertent failure to treat such inability as a revocation shall not invalidate any meeting or other action.</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Any notice given pursuant to the preceding paragraph shall be deemed given as provided under Section 232 of the DGCL. 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facts stated therein.</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An “</w:t>
      </w:r>
      <w:r>
        <w:rPr>
          <w:rFonts w:ascii="Arial" w:cs="Arial" w:eastAsia="Arial" w:hAnsi="Arial"/>
          <w:sz w:val="20"/>
          <w:szCs w:val="20"/>
          <w:b w:val="1"/>
          <w:bCs w:val="1"/>
          <w:color w:val="auto"/>
        </w:rPr>
        <w:t>electronic transmission</w:t>
      </w:r>
      <w:r>
        <w:rPr>
          <w:rFonts w:ascii="Arial" w:cs="Arial" w:eastAsia="Arial" w:hAnsi="Arial"/>
          <w:sz w:val="20"/>
          <w:szCs w:val="20"/>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811" w:right="239" w:bottom="1440" w:gutter="0" w:footer="0" w:header="0"/>
        </w:sectPr>
      </w:pPr>
    </w:p>
    <w:bookmarkStart w:id="116" w:name="page117"/>
    <w:bookmarkEnd w:id="116"/>
    <w:p>
      <w:pPr>
        <w:ind w:left="660"/>
        <w:spacing w:after="0"/>
        <w:rPr>
          <w:sz w:val="20"/>
          <w:szCs w:val="20"/>
          <w:color w:val="auto"/>
        </w:rPr>
      </w:pPr>
      <w:r>
        <w:rPr>
          <w:rFonts w:ascii="Arial" w:cs="Arial" w:eastAsia="Arial" w:hAnsi="Arial"/>
          <w:sz w:val="20"/>
          <w:szCs w:val="20"/>
          <w:color w:val="auto"/>
        </w:rPr>
        <w:t>Notice by a form of electronic transmission shall not apply to Sections 164, 296, 311, 312 or 324 of the DGCL.</w:t>
      </w:r>
    </w:p>
    <w:p>
      <w:pPr>
        <w:spacing w:after="0" w:line="21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color w:val="auto"/>
        </w:rPr>
        <w:t>NOTICE TO STOCKHOLDERS SHARING AN ADDRESS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7.3 shall not apply to Sections 164, 296, 311, 312 or 324 of the DGCL.</w:t>
      </w:r>
    </w:p>
    <w:p>
      <w:pPr>
        <w:spacing w:after="0" w:line="19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9"/>
          <w:szCs w:val="19"/>
          <w:color w:val="auto"/>
        </w:rPr>
        <w:t>NOTICE TO PERSON WITH WHOM COMMUNICATION IS UNLAWFUL</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9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9"/>
          <w:szCs w:val="19"/>
          <w:color w:val="auto"/>
        </w:rPr>
        <w:t>WAIVER OF NOTICE</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or a committee thereof, as the case may be,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8" w:lineRule="exact"/>
        <w:rPr>
          <w:sz w:val="20"/>
          <w:szCs w:val="20"/>
          <w:color w:val="auto"/>
        </w:rPr>
      </w:pPr>
    </w:p>
    <w:p>
      <w:pPr>
        <w:ind w:left="4260"/>
        <w:spacing w:after="0"/>
        <w:tabs>
          <w:tab w:leader="none" w:pos="5920" w:val="left"/>
        </w:tabs>
        <w:rPr>
          <w:sz w:val="20"/>
          <w:szCs w:val="20"/>
          <w:color w:val="auto"/>
        </w:rPr>
      </w:pPr>
      <w:r>
        <w:rPr>
          <w:rFonts w:ascii="Arial" w:cs="Arial" w:eastAsia="Arial" w:hAnsi="Arial"/>
          <w:sz w:val="20"/>
          <w:szCs w:val="20"/>
          <w:b w:val="1"/>
          <w:bCs w:val="1"/>
          <w:color w:val="auto"/>
        </w:rPr>
        <w:t>ARTICLE VIII -</w:t>
        <w:tab/>
        <w:t>INDEMNIFICATION</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INDEMNIFICATION OF DIRECTORS AND OFFICERS IN THIRD PARTY PROCEEDINGS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20"/>
          <w:szCs w:val="20"/>
          <w:b w:val="1"/>
          <w:bCs w:val="1"/>
          <w:color w:val="auto"/>
        </w:rPr>
        <w:t>Proceeding</w:t>
      </w:r>
      <w:r>
        <w:rPr>
          <w:rFonts w:ascii="Arial" w:cs="Arial" w:eastAsia="Arial" w:hAnsi="Arial"/>
          <w:sz w:val="20"/>
          <w:szCs w:val="20"/>
          <w:color w:val="auto"/>
        </w:rPr>
        <w:t>”) (other than an action by or in the right of the corporation)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811" w:right="239" w:bottom="1440" w:gutter="0" w:footer="0" w:header="0"/>
        </w:sectPr>
      </w:pPr>
    </w:p>
    <w:bookmarkStart w:id="117" w:name="page118"/>
    <w:bookmarkEnd w:id="117"/>
    <w:p>
      <w:pPr>
        <w:jc w:val="both"/>
        <w:spacing w:after="0" w:line="272" w:lineRule="auto"/>
        <w:rPr>
          <w:sz w:val="20"/>
          <w:szCs w:val="20"/>
          <w:color w:val="auto"/>
        </w:rPr>
      </w:pPr>
      <w:r>
        <w:rPr>
          <w:rFonts w:ascii="Arial" w:cs="Arial" w:eastAsia="Arial" w:hAnsi="Arial"/>
          <w:sz w:val="18"/>
          <w:szCs w:val="18"/>
          <w:color w:val="auto"/>
        </w:rPr>
        <w:t xml:space="preserve">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8"/>
          <w:szCs w:val="18"/>
          <w:i w:val="1"/>
          <w:iCs w:val="1"/>
          <w:color w:val="auto"/>
        </w:rPr>
        <w:t>nolo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contendere </w:t>
      </w:r>
      <w:r>
        <w:rPr>
          <w:rFonts w:ascii="Arial" w:cs="Arial" w:eastAsia="Arial" w:hAnsi="Arial"/>
          <w:sz w:val="18"/>
          <w:szCs w:val="18"/>
          <w:color w:val="auto"/>
        </w:rPr>
        <w:t>or its equivalent, shall not, of itself, create a presumption that the person did not act in good faith and in a manner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person reasonably believed to be in or not opposed to the best interests of the corporation, and, with respect to any criminal action or proceeding, had reasonable cause to believe that such person’s conduct was unlawful.</w:t>
      </w:r>
    </w:p>
    <w:p>
      <w:pPr>
        <w:spacing w:after="0" w:line="17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color w:val="auto"/>
        </w:rPr>
        <w:t>INDEMNIFICATION OF DIRECTORS AND OFFICERS IN ACTIONS BY OR IN THE RIGHT OF THE CORPORATION</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8"/>
          <w:szCs w:val="18"/>
          <w:color w:val="auto"/>
        </w:rPr>
        <w:t>SUCCESSFUL DEFENSE</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To the extent that a present or former director or officer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15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9"/>
          <w:szCs w:val="19"/>
          <w:color w:val="auto"/>
        </w:rPr>
        <w:t>INDEMNIFICATION OF OTHERS</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Subject to the other provisions of this Article VIII, the corporation shall have power to indemnify its employees and agents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811" w:right="239" w:bottom="1440" w:gutter="0" w:footer="0" w:header="0"/>
        </w:sectPr>
      </w:pPr>
    </w:p>
    <w:bookmarkStart w:id="118" w:name="page119"/>
    <w:bookmarkEnd w:id="118"/>
    <w:p>
      <w:pPr>
        <w:ind w:left="660"/>
        <w:spacing w:after="0"/>
        <w:tabs>
          <w:tab w:leader="none" w:pos="106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8"/>
          <w:szCs w:val="18"/>
          <w:color w:val="auto"/>
        </w:rPr>
        <w:t>ADVANCE PAYMENT OF EXPENSES</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current or former employees and agents of the corporation or by persons currently or formerly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claim for which indemnity is excluded pursuant to these bylaws, but shall apply to any Proceeding referenced in Section 8.6(ii) or 8.6(iii) prior to a determination that the person is not entitled to be indemnified by the corporation.</w:t>
      </w:r>
    </w:p>
    <w:p>
      <w:pPr>
        <w:spacing w:after="0" w:line="18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19"/>
          <w:szCs w:val="19"/>
          <w:color w:val="auto"/>
        </w:rPr>
        <w:t>LIMITATION ON INDEMNIFICATION</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Subject to the requirements in Section 8.3 and the DGCL, the corporation shall not be obligated to indemnify any person pursuant to this Article VIII in connection with any Proceeding (or any part of any Proceeding):</w:t>
      </w:r>
    </w:p>
    <w:p>
      <w:pPr>
        <w:spacing w:after="0" w:line="177" w:lineRule="exact"/>
        <w:rPr>
          <w:sz w:val="20"/>
          <w:szCs w:val="20"/>
          <w:color w:val="auto"/>
        </w:rPr>
      </w:pPr>
    </w:p>
    <w:p>
      <w:pPr>
        <w:ind w:firstLine="656"/>
        <w:spacing w:after="0" w:line="260" w:lineRule="auto"/>
        <w:tabs>
          <w:tab w:leader="none" w:pos="1015" w:val="left"/>
        </w:tabs>
        <w:numPr>
          <w:ilvl w:val="0"/>
          <w:numId w:val="77"/>
        </w:numPr>
        <w:rPr>
          <w:rFonts w:ascii="Arial" w:cs="Arial" w:eastAsia="Arial" w:hAnsi="Arial"/>
          <w:sz w:val="20"/>
          <w:szCs w:val="20"/>
          <w:color w:val="auto"/>
        </w:rPr>
      </w:pPr>
      <w:r>
        <w:rPr>
          <w:rFonts w:ascii="Arial" w:cs="Arial" w:eastAsia="Arial" w:hAnsi="Arial"/>
          <w:sz w:val="20"/>
          <w:szCs w:val="20"/>
          <w:color w:val="auto"/>
        </w:rPr>
        <w:t>for which payment has actually been made to or on behalf of such person under any statute, insurance policy, indemnity provision, vote or otherwise, except with respect to any excess beyond the amount paid;</w:t>
      </w:r>
    </w:p>
    <w:p>
      <w:pPr>
        <w:spacing w:after="0" w:line="176" w:lineRule="exact"/>
        <w:rPr>
          <w:rFonts w:ascii="Arial" w:cs="Arial" w:eastAsia="Arial" w:hAnsi="Arial"/>
          <w:sz w:val="20"/>
          <w:szCs w:val="20"/>
          <w:color w:val="auto"/>
        </w:rPr>
      </w:pPr>
    </w:p>
    <w:p>
      <w:pPr>
        <w:ind w:right="20" w:firstLine="656"/>
        <w:spacing w:after="0" w:line="287" w:lineRule="auto"/>
        <w:tabs>
          <w:tab w:leader="none" w:pos="1110" w:val="left"/>
        </w:tabs>
        <w:numPr>
          <w:ilvl w:val="0"/>
          <w:numId w:val="77"/>
        </w:numPr>
        <w:rPr>
          <w:rFonts w:ascii="Arial" w:cs="Arial" w:eastAsia="Arial" w:hAnsi="Arial"/>
          <w:sz w:val="19"/>
          <w:szCs w:val="19"/>
          <w:color w:val="auto"/>
        </w:rPr>
      </w:pPr>
      <w:r>
        <w:rPr>
          <w:rFonts w:ascii="Arial" w:cs="Arial" w:eastAsia="Arial" w:hAnsi="Arial"/>
          <w:sz w:val="19"/>
          <w:szCs w:val="19"/>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52" w:lineRule="exact"/>
        <w:rPr>
          <w:rFonts w:ascii="Arial" w:cs="Arial" w:eastAsia="Arial" w:hAnsi="Arial"/>
          <w:sz w:val="19"/>
          <w:szCs w:val="19"/>
          <w:color w:val="auto"/>
        </w:rPr>
      </w:pPr>
    </w:p>
    <w:p>
      <w:pPr>
        <w:jc w:val="both"/>
        <w:ind w:firstLine="656"/>
        <w:spacing w:after="0" w:line="278" w:lineRule="auto"/>
        <w:tabs>
          <w:tab w:leader="none" w:pos="1138"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65" w:lineRule="exact"/>
        <w:rPr>
          <w:rFonts w:ascii="Arial" w:cs="Arial" w:eastAsia="Arial" w:hAnsi="Arial"/>
          <w:sz w:val="18"/>
          <w:szCs w:val="18"/>
          <w:color w:val="auto"/>
        </w:rPr>
      </w:pPr>
    </w:p>
    <w:p>
      <w:pPr>
        <w:jc w:val="both"/>
        <w:ind w:firstLine="656"/>
        <w:spacing w:after="0" w:line="244" w:lineRule="auto"/>
        <w:tabs>
          <w:tab w:leader="none" w:pos="1276"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194" w:lineRule="exact"/>
        <w:rPr>
          <w:rFonts w:ascii="Arial" w:cs="Arial" w:eastAsia="Arial" w:hAnsi="Arial"/>
          <w:sz w:val="20"/>
          <w:szCs w:val="20"/>
          <w:color w:val="auto"/>
        </w:rPr>
      </w:pPr>
    </w:p>
    <w:p>
      <w:pPr>
        <w:ind w:left="1060" w:hanging="404"/>
        <w:spacing w:after="0"/>
        <w:tabs>
          <w:tab w:leader="none" w:pos="10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if prohibited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811" w:right="239" w:bottom="1440" w:gutter="0" w:footer="0" w:header="0"/>
        </w:sectPr>
      </w:pPr>
    </w:p>
    <w:bookmarkStart w:id="119" w:name="page120"/>
    <w:bookmarkEnd w:id="119"/>
    <w:p>
      <w:pPr>
        <w:ind w:left="660"/>
        <w:spacing w:after="0"/>
        <w:tabs>
          <w:tab w:leader="none" w:pos="106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9"/>
          <w:szCs w:val="19"/>
          <w:color w:val="auto"/>
        </w:rPr>
        <w:t>DETERMINATION; CLAIM</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9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8.8</w:t>
      </w:r>
      <w:r>
        <w:rPr>
          <w:sz w:val="20"/>
          <w:szCs w:val="20"/>
          <w:color w:val="auto"/>
        </w:rPr>
        <w:tab/>
      </w:r>
      <w:r>
        <w:rPr>
          <w:rFonts w:ascii="Arial" w:cs="Arial" w:eastAsia="Arial" w:hAnsi="Arial"/>
          <w:sz w:val="19"/>
          <w:szCs w:val="19"/>
          <w:color w:val="auto"/>
        </w:rPr>
        <w:t>NON-EXCLUSIVITY OF RIGHTS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9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19"/>
          <w:szCs w:val="19"/>
          <w:color w:val="auto"/>
        </w:rPr>
        <w:t>INSURANCE</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9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19"/>
          <w:szCs w:val="19"/>
          <w:color w:val="auto"/>
        </w:rPr>
        <w:t>SURVIVAL</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3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8"/>
          <w:szCs w:val="18"/>
          <w:color w:val="auto"/>
        </w:rPr>
        <w:t>EFFECT OF REPEAL OR MODIFICATION</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811" w:right="239" w:bottom="1440" w:gutter="0" w:footer="0" w:header="0"/>
        </w:sectPr>
      </w:pPr>
    </w:p>
    <w:bookmarkStart w:id="120" w:name="page121"/>
    <w:bookmarkEnd w:id="120"/>
    <w:p>
      <w:pPr>
        <w:ind w:left="660"/>
        <w:spacing w:after="0"/>
        <w:tabs>
          <w:tab w:leader="none" w:pos="116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9"/>
          <w:szCs w:val="19"/>
          <w:color w:val="auto"/>
        </w:rPr>
        <w:t>CERTAIN DEFINITIONS</w:t>
      </w:r>
    </w:p>
    <w:p>
      <w:pPr>
        <w:spacing w:after="0" w:line="2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For purposes of this Article VIII, references to the “</w:t>
      </w:r>
      <w:r>
        <w:rPr>
          <w:rFonts w:ascii="Arial" w:cs="Arial" w:eastAsia="Arial" w:hAnsi="Arial"/>
          <w:sz w:val="18"/>
          <w:szCs w:val="18"/>
          <w:b w:val="1"/>
          <w:bCs w:val="1"/>
          <w:color w:val="auto"/>
        </w:rPr>
        <w:t>corporation</w:t>
      </w:r>
      <w:r>
        <w:rPr>
          <w:rFonts w:ascii="Arial" w:cs="Arial" w:eastAsia="Arial" w:hAnsi="Arial"/>
          <w:sz w:val="18"/>
          <w:szCs w:val="18"/>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8"/>
          <w:szCs w:val="18"/>
          <w:b w:val="1"/>
          <w:b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color w:val="auto"/>
        </w:rPr>
        <w:t>fines</w:t>
      </w:r>
      <w:r>
        <w:rPr>
          <w:rFonts w:ascii="Arial" w:cs="Arial" w:eastAsia="Arial" w:hAnsi="Arial"/>
          <w:sz w:val="18"/>
          <w:szCs w:val="18"/>
          <w:color w:val="auto"/>
        </w:rPr>
        <w:t>” shall include any excise taxes assessed on a person with respect to an employee benefit plan; and references to “</w:t>
      </w:r>
      <w:r>
        <w:rPr>
          <w:rFonts w:ascii="Arial" w:cs="Arial" w:eastAsia="Arial" w:hAnsi="Arial"/>
          <w:sz w:val="18"/>
          <w:szCs w:val="18"/>
          <w:b w:val="1"/>
          <w:bCs w:val="1"/>
          <w:color w:val="auto"/>
        </w:rPr>
        <w:t>serving at the request of the corporation</w:t>
      </w:r>
      <w:r>
        <w:rPr>
          <w:rFonts w:ascii="Arial" w:cs="Arial" w:eastAsia="Arial" w:hAnsi="Arial"/>
          <w:sz w:val="18"/>
          <w:szCs w:val="18"/>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8"/>
          <w:szCs w:val="18"/>
          <w:b w:val="1"/>
          <w:bCs w:val="1"/>
          <w:color w:val="auto"/>
        </w:rPr>
        <w:t>not opposed to the best interests of the corporation</w:t>
      </w:r>
      <w:r>
        <w:rPr>
          <w:rFonts w:ascii="Arial" w:cs="Arial" w:eastAsia="Arial" w:hAnsi="Arial"/>
          <w:sz w:val="18"/>
          <w:szCs w:val="18"/>
          <w:color w:val="auto"/>
        </w:rPr>
        <w:t>” as referred to in this Article VIII.</w:t>
      </w:r>
    </w:p>
    <w:p>
      <w:pPr>
        <w:spacing w:after="0" w:line="390" w:lineRule="exact"/>
        <w:rPr>
          <w:sz w:val="20"/>
          <w:szCs w:val="20"/>
          <w:color w:val="auto"/>
        </w:rPr>
      </w:pPr>
    </w:p>
    <w:p>
      <w:pPr>
        <w:ind w:left="4280"/>
        <w:spacing w:after="0"/>
        <w:tabs>
          <w:tab w:leader="none" w:pos="5780" w:val="left"/>
        </w:tabs>
        <w:rPr>
          <w:sz w:val="20"/>
          <w:szCs w:val="20"/>
          <w:color w:val="auto"/>
        </w:rPr>
      </w:pPr>
      <w:r>
        <w:rPr>
          <w:rFonts w:ascii="Arial" w:cs="Arial" w:eastAsia="Arial" w:hAnsi="Arial"/>
          <w:sz w:val="20"/>
          <w:szCs w:val="20"/>
          <w:b w:val="1"/>
          <w:bCs w:val="1"/>
          <w:color w:val="auto"/>
        </w:rPr>
        <w:t>ARTICLE IX -</w:t>
      </w:r>
      <w:r>
        <w:rPr>
          <w:sz w:val="20"/>
          <w:szCs w:val="20"/>
          <w:color w:val="auto"/>
        </w:rPr>
        <w:tab/>
      </w:r>
      <w:r>
        <w:rPr>
          <w:rFonts w:ascii="Arial" w:cs="Arial" w:eastAsia="Arial" w:hAnsi="Arial"/>
          <w:sz w:val="19"/>
          <w:szCs w:val="19"/>
          <w:b w:val="1"/>
          <w:bCs w:val="1"/>
          <w:color w:val="auto"/>
        </w:rPr>
        <w:t>GENERAL MATTERS</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color w:val="auto"/>
        </w:rPr>
        <w:t>EXECUTION OF CORPORATE CONTRACTS AND INSTRUMENTS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color w:val="auto"/>
        </w:rPr>
        <w:t>FISCAL YEAR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 and may be changed by the board of directors.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9"/>
          <w:szCs w:val="19"/>
          <w:color w:val="auto"/>
        </w:rPr>
        <w:t>SEAL</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3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9"/>
          <w:szCs w:val="19"/>
          <w:color w:val="auto"/>
        </w:rPr>
        <w:t>CONSTRUCTION; DEFINITIONS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20"/>
          <w:szCs w:val="20"/>
          <w:b w:val="1"/>
          <w:bCs w:val="1"/>
          <w:color w:val="auto"/>
        </w:rPr>
        <w:t>person</w:t>
      </w:r>
      <w:r>
        <w:rPr>
          <w:rFonts w:ascii="Arial" w:cs="Arial" w:eastAsia="Arial" w:hAnsi="Arial"/>
          <w:sz w:val="20"/>
          <w:szCs w:val="20"/>
          <w:color w:val="auto"/>
        </w:rPr>
        <w:t>” includes both a corporation and a natural person.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811" w:right="239" w:bottom="1440" w:gutter="0" w:footer="0" w:header="0"/>
        </w:sectPr>
      </w:pPr>
    </w:p>
    <w:bookmarkStart w:id="121" w:name="page122"/>
    <w:bookmarkEnd w:id="121"/>
    <w:p>
      <w:pPr>
        <w:jc w:val="center"/>
        <w:ind w:left="660"/>
        <w:spacing w:after="0"/>
        <w:tabs>
          <w:tab w:leader="none" w:pos="200" w:val="left"/>
        </w:tabs>
        <w:rPr>
          <w:sz w:val="20"/>
          <w:szCs w:val="20"/>
          <w:color w:val="auto"/>
        </w:rPr>
      </w:pPr>
      <w:r>
        <w:rPr>
          <w:rFonts w:ascii="Arial" w:cs="Arial" w:eastAsia="Arial" w:hAnsi="Arial"/>
          <w:sz w:val="20"/>
          <w:szCs w:val="20"/>
          <w:b w:val="1"/>
          <w:bCs w:val="1"/>
          <w:color w:val="auto"/>
        </w:rPr>
        <w:t>ARTICLE X -</w:t>
        <w:tab/>
        <w:t>AMENDMENTS</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These bylaws may be adopted, amended or repealed by the stockholders entitled to vote;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affirmative vote of the holders of at least two-thirds (2/3) of the total voting power of outstanding voting securities, voting together as a single class, shall be required for the stockholders of the Corporation to alter, amend or repeal, or adopt any provision of these bylaws. However,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bylaw amendment adopted by stockholders which specifies the votes that shall be necessary for the election of directors shall not be further amended or repealed by the board of directors.</w:t>
      </w:r>
    </w:p>
    <w:p>
      <w:pPr>
        <w:spacing w:after="0" w:line="387" w:lineRule="exact"/>
        <w:rPr>
          <w:sz w:val="20"/>
          <w:szCs w:val="20"/>
          <w:color w:val="auto"/>
        </w:rPr>
      </w:pPr>
    </w:p>
    <w:p>
      <w:pPr>
        <w:jc w:val="center"/>
        <w:ind w:left="640"/>
        <w:spacing w:after="0"/>
        <w:tabs>
          <w:tab w:leader="none" w:pos="220" w:val="left"/>
        </w:tabs>
        <w:rPr>
          <w:sz w:val="20"/>
          <w:szCs w:val="20"/>
          <w:color w:val="auto"/>
        </w:rPr>
      </w:pPr>
      <w:r>
        <w:rPr>
          <w:rFonts w:ascii="Arial" w:cs="Arial" w:eastAsia="Arial" w:hAnsi="Arial"/>
          <w:sz w:val="20"/>
          <w:szCs w:val="20"/>
          <w:b w:val="1"/>
          <w:bCs w:val="1"/>
          <w:color w:val="auto"/>
        </w:rPr>
        <w:t>ARTICLE XI -</w:t>
        <w:tab/>
        <w:t>EXCLUSIVE FORUM</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arising pursuant to any provision of the DGCL or the certificate of incorporation or these bylaws (as either may be amended from time to time), or (iv) any action asserting a claim governed by the internal affairs doctrine, except for, as to each of (i) through</w:t>
      </w:r>
    </w:p>
    <w:p>
      <w:pPr>
        <w:spacing w:after="0" w:line="2" w:lineRule="exact"/>
        <w:rPr>
          <w:sz w:val="20"/>
          <w:szCs w:val="20"/>
          <w:color w:val="auto"/>
        </w:rPr>
      </w:pPr>
    </w:p>
    <w:p>
      <w:pPr>
        <w:jc w:val="both"/>
        <w:ind w:firstLine="8"/>
        <w:spacing w:after="0" w:line="282" w:lineRule="auto"/>
        <w:tabs>
          <w:tab w:leader="none" w:pos="3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above, any claim as to which such court determines that there is an indispensable party not subject to the jurisdiction of such court (and the indispensable party does not consent to the personal jurisdiction of such court within ten (10) days following such determination), which is vested in the exclusive jurisdiction of a court or forum other than such court, or for which such court does not have subject matter jurisdiction.</w:t>
      </w:r>
    </w:p>
    <w:p>
      <w:pPr>
        <w:spacing w:after="0" w:line="159"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w:t>
      </w:r>
    </w:p>
    <w:p>
      <w:pPr>
        <w:spacing w:after="0" w:line="13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Any person or entity purchasing or otherwise acquiring any interest in any security of the corporation shall be deemed to have notice of and consented to the provisions of this Article XI.</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1022"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u w:val="single" w:color="auto"/>
          <w:color w:val="auto"/>
        </w:rPr>
        <w:t>DROPBOX, INC.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NO. 2 TO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INVESTORS’ RIGHTS AGREEMENT</w:t>
      </w:r>
    </w:p>
    <w:p>
      <w:pPr>
        <w:spacing w:after="0" w:line="2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This Amendment No. 2 to the Amended and Restated Investors’ Rights Agreement, as amended (this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is made as of March 27, 2018 by and among Dropbox,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Investors set forth on the signature pages hereto. Capitalized terms not herein defined shall have the meanings ascribed to them in the Amended and Restated Investors’ Rights Agreement by and among the Company and the Investors dated as of January 30, 2014, as amended (the “</w:t>
      </w:r>
      <w:r>
        <w:rPr>
          <w:rFonts w:ascii="Arial" w:cs="Arial" w:eastAsia="Arial" w:hAnsi="Arial"/>
          <w:sz w:val="22"/>
          <w:szCs w:val="22"/>
          <w:b w:val="1"/>
          <w:bCs w:val="1"/>
          <w:i w:val="1"/>
          <w:iCs w:val="1"/>
          <w:color w:val="auto"/>
        </w:rPr>
        <w:t>Existing Rights Agreement</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entered into that certain Class A Common Stock Purchase Agreement, dated March 7, 2018,</w:t>
      </w:r>
      <w:r>
        <w:rPr>
          <w:rFonts w:ascii="Arial" w:cs="Arial" w:eastAsia="Arial" w:hAnsi="Arial"/>
          <w:sz w:val="22"/>
          <w:szCs w:val="22"/>
          <w:b w:val="1"/>
          <w:bCs w:val="1"/>
          <w:color w:val="auto"/>
        </w:rPr>
        <w:t xml:space="preserve"> </w:t>
      </w:r>
      <w:r>
        <w:rPr>
          <w:rFonts w:ascii="Arial" w:cs="Arial" w:eastAsia="Arial" w:hAnsi="Arial"/>
          <w:sz w:val="22"/>
          <w:szCs w:val="22"/>
          <w:color w:val="auto"/>
        </w:rPr>
        <w:t>with Salesforce Ventures LLC, a Delaware limited liability company (“</w:t>
      </w:r>
      <w:r>
        <w:rPr>
          <w:rFonts w:ascii="Arial" w:cs="Arial" w:eastAsia="Arial" w:hAnsi="Arial"/>
          <w:sz w:val="22"/>
          <w:szCs w:val="22"/>
          <w:b w:val="1"/>
          <w:bCs w:val="1"/>
          <w:i w:val="1"/>
          <w:iCs w:val="1"/>
          <w:color w:val="auto"/>
        </w:rPr>
        <w:t>Salesforce</w:t>
      </w:r>
      <w:r>
        <w:rPr>
          <w:rFonts w:ascii="Arial" w:cs="Arial" w:eastAsia="Arial" w:hAnsi="Arial"/>
          <w:sz w:val="22"/>
          <w:szCs w:val="22"/>
          <w:color w:val="auto"/>
        </w:rPr>
        <w:t>”), and salesforce.com, inc., a Delaware corporation (the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pursuant to which Salesforce will purchase shares of the Company’s Class A Common Stock, par value $0.0001 per share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immediately subsequent to the closing of the Qualified IPO (as defined in the Purchase Agreement).</w:t>
      </w:r>
    </w:p>
    <w:p>
      <w:pPr>
        <w:spacing w:after="0" w:line="1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undersigned parties desire to amend the terms of the Existing Rights Agreement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purposes of providing Salesforce with certain “piggyback” registration rights under Section 2.3 of the Existing Rights Agreement with respect to the Shares.</w:t>
      </w:r>
    </w:p>
    <w:p>
      <w:pPr>
        <w:spacing w:after="0" w:line="15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Section 4.2 of the Existing Rights Agreement, the Existing Rights Agreement may be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only with the written consent of the Company and Investors holding shares of Preferred Stock convertible into a majority of all the Investors’ Shares (collectively, the “</w:t>
      </w:r>
      <w:r>
        <w:rPr>
          <w:rFonts w:ascii="Arial" w:cs="Arial" w:eastAsia="Arial" w:hAnsi="Arial"/>
          <w:sz w:val="22"/>
          <w:szCs w:val="22"/>
          <w:b w:val="1"/>
          <w:bCs w:val="1"/>
          <w:i w:val="1"/>
          <w:iCs w:val="1"/>
          <w:color w:val="auto"/>
        </w:rPr>
        <w:t>Requisite Consent</w:t>
      </w:r>
      <w:r>
        <w:rPr>
          <w:rFonts w:ascii="Arial" w:cs="Arial" w:eastAsia="Arial" w:hAnsi="Arial"/>
          <w:sz w:val="22"/>
          <w:szCs w:val="22"/>
          <w:color w:val="auto"/>
        </w:rPr>
        <w:t>”).</w:t>
      </w:r>
    </w:p>
    <w:p>
      <w:pPr>
        <w:spacing w:after="0" w:line="151" w:lineRule="exact"/>
        <w:rPr>
          <w:sz w:val="20"/>
          <w:szCs w:val="20"/>
          <w:color w:val="auto"/>
        </w:rPr>
      </w:pPr>
    </w:p>
    <w:p>
      <w:pPr>
        <w:ind w:right="820" w:firstLine="648"/>
        <w:spacing w:after="0" w:line="30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undersigned parties constitute the Requisite Consent and consent to the change as set forth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undersigned parties hereby agree as follows:</w:t>
      </w:r>
    </w:p>
    <w:p>
      <w:pPr>
        <w:spacing w:after="0" w:line="44" w:lineRule="exact"/>
        <w:rPr>
          <w:sz w:val="20"/>
          <w:szCs w:val="20"/>
          <w:color w:val="auto"/>
        </w:rPr>
      </w:pPr>
    </w:p>
    <w:p>
      <w:pPr>
        <w:jc w:val="both"/>
        <w:ind w:firstLine="656"/>
        <w:spacing w:after="0" w:line="349" w:lineRule="auto"/>
        <w:tabs>
          <w:tab w:leader="none" w:pos="1459"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Grant of Piggyback Registration Rights and Assumption of Obligations Related Thereto</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consummation of the transaction contemplated by the Purchase Agreement, Salesforce (i) shall become a party to the Existing Rights Agreement, but only with respect to the “piggyback” registration rights set forth in Section 2.3 of the Existing Rights Agreement (“</w:t>
      </w:r>
      <w:r>
        <w:rPr>
          <w:rFonts w:ascii="Arial" w:cs="Arial" w:eastAsia="Arial" w:hAnsi="Arial"/>
          <w:sz w:val="19"/>
          <w:szCs w:val="19"/>
          <w:b w:val="1"/>
          <w:bCs w:val="1"/>
          <w:i w:val="1"/>
          <w:iCs w:val="1"/>
          <w:color w:val="auto"/>
        </w:rPr>
        <w:t>Piggyback Registration Rights</w:t>
      </w:r>
      <w:r>
        <w:rPr>
          <w:rFonts w:ascii="Arial" w:cs="Arial" w:eastAsia="Arial" w:hAnsi="Arial"/>
          <w:sz w:val="19"/>
          <w:szCs w:val="19"/>
          <w:color w:val="auto"/>
        </w:rPr>
        <w:t>”) and the Related Provisions (as defined below) and (ii) shall be</w:t>
      </w:r>
    </w:p>
    <w:p>
      <w:pPr>
        <w:sectPr>
          <w:pgSz w:w="11900" w:h="16838" w:orient="portrait"/>
          <w:cols w:equalWidth="0" w:num="1">
            <w:col w:w="11420"/>
          </w:cols>
          <w:pgMar w:left="240" w:top="625" w:right="239" w:bottom="1440" w:gutter="0" w:footer="0" w:header="0"/>
        </w:sectPr>
      </w:pPr>
    </w:p>
    <w:bookmarkStart w:id="123" w:name="page124"/>
    <w:bookmarkEnd w:id="123"/>
    <w:p>
      <w:pPr>
        <w:jc w:val="both"/>
        <w:spacing w:after="0" w:line="300" w:lineRule="auto"/>
        <w:rPr>
          <w:sz w:val="20"/>
          <w:szCs w:val="20"/>
          <w:color w:val="auto"/>
        </w:rPr>
      </w:pPr>
      <w:r>
        <w:rPr>
          <w:rFonts w:ascii="Arial" w:cs="Arial" w:eastAsia="Arial" w:hAnsi="Arial"/>
          <w:sz w:val="21"/>
          <w:szCs w:val="21"/>
          <w:color w:val="auto"/>
        </w:rPr>
        <w:t>deemed a Holder (as defined in the Existing Rights Agreement) only for the purposes of Section 2.3 and the Related Provisions. In connection with the grant of such Piggyback Registration Rights, Salesforce hereby assumes the rights, obligations and restrictions on Holders as set forth in Section 2.1, Section 2.5 through Section 2.12 inclusive and Section 4.2 of the Existing Rights Agreement (collectively, the “</w:t>
      </w:r>
      <w:r>
        <w:rPr>
          <w:rFonts w:ascii="Arial" w:cs="Arial" w:eastAsia="Arial" w:hAnsi="Arial"/>
          <w:sz w:val="21"/>
          <w:szCs w:val="21"/>
          <w:b w:val="1"/>
          <w:bCs w:val="1"/>
          <w:i w:val="1"/>
          <w:iCs w:val="1"/>
          <w:color w:val="auto"/>
        </w:rPr>
        <w:t>Related Provisions</w:t>
      </w:r>
      <w:r>
        <w:rPr>
          <w:rFonts w:ascii="Arial" w:cs="Arial" w:eastAsia="Arial" w:hAnsi="Arial"/>
          <w:sz w:val="21"/>
          <w:szCs w:val="21"/>
          <w:color w:val="auto"/>
        </w:rPr>
        <w:t>”). With respect to the Shares purchased by Salesforce in connection with the Purchase Agreement, Salesforce shall not be deemed to possess any rights set forth in the Existing Rights Agreement (including, without limitation, any demand or Form S-3 registration rights, information rights, preemptive rights, rights of first refusal, or rights of co-sale) other than the Piggyback Registration Rights.</w:t>
      </w:r>
    </w:p>
    <w:p>
      <w:pPr>
        <w:spacing w:after="0" w:line="258" w:lineRule="exact"/>
        <w:rPr>
          <w:sz w:val="20"/>
          <w:szCs w:val="20"/>
          <w:color w:val="auto"/>
        </w:rPr>
      </w:pPr>
    </w:p>
    <w:p>
      <w:pPr>
        <w:jc w:val="both"/>
        <w:ind w:firstLine="656"/>
        <w:spacing w:after="0" w:line="294" w:lineRule="auto"/>
        <w:tabs>
          <w:tab w:leader="none" w:pos="1459"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Registrable Securities</w:t>
      </w:r>
      <w:r>
        <w:rPr>
          <w:rFonts w:ascii="Arial" w:cs="Arial" w:eastAsia="Arial" w:hAnsi="Arial"/>
          <w:sz w:val="22"/>
          <w:szCs w:val="22"/>
          <w:b w:val="1"/>
          <w:bCs w:val="1"/>
          <w:color w:val="auto"/>
        </w:rPr>
        <w:t xml:space="preserve">. </w:t>
      </w:r>
      <w:r>
        <w:rPr>
          <w:rFonts w:ascii="Arial" w:cs="Arial" w:eastAsia="Arial" w:hAnsi="Arial"/>
          <w:sz w:val="22"/>
          <w:szCs w:val="22"/>
          <w:color w:val="auto"/>
        </w:rPr>
        <w:t>Solely for purposes of Section 2.3 of the Existing Rights Agreement and the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the Shares purchased by Salesforce in connection with the Purchase Agreement shall be deemed “Registrable Securities” as such term is defined in Section 2.1(b) of the Existing Rights Agreement.</w:t>
      </w:r>
    </w:p>
    <w:p>
      <w:pPr>
        <w:spacing w:after="0" w:line="204" w:lineRule="exact"/>
        <w:rPr>
          <w:rFonts w:ascii="Arial" w:cs="Arial" w:eastAsia="Arial" w:hAnsi="Arial"/>
          <w:sz w:val="22"/>
          <w:szCs w:val="22"/>
          <w:b w:val="1"/>
          <w:bCs w:val="1"/>
          <w:color w:val="auto"/>
        </w:rPr>
      </w:pPr>
    </w:p>
    <w:p>
      <w:pPr>
        <w:jc w:val="both"/>
        <w:ind w:firstLine="656"/>
        <w:spacing w:after="0" w:line="252" w:lineRule="auto"/>
        <w:tabs>
          <w:tab w:leader="none" w:pos="1459"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Consent</w:t>
      </w:r>
      <w:r>
        <w:rPr>
          <w:rFonts w:ascii="Arial" w:cs="Arial" w:eastAsia="Arial" w:hAnsi="Arial"/>
          <w:sz w:val="22"/>
          <w:szCs w:val="22"/>
          <w:b w:val="1"/>
          <w:bCs w:val="1"/>
          <w:color w:val="auto"/>
        </w:rPr>
        <w:t xml:space="preserve">. </w:t>
      </w:r>
      <w:r>
        <w:rPr>
          <w:rFonts w:ascii="Arial" w:cs="Arial" w:eastAsia="Arial" w:hAnsi="Arial"/>
          <w:sz w:val="22"/>
          <w:szCs w:val="22"/>
          <w:color w:val="auto"/>
        </w:rPr>
        <w:t>The undersigned parties hereby consent to the addition of Salesforce as an “Investor” party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Existing Rights Agreement, as amended, solely for the purposes set forth in this Amendment. Salesforce shall become a party to the Existing Rights Agreement, as amended, solely for the purposes set forth in this Amendment by executing and delivering a counterpart signature to this Amendment.</w:t>
      </w:r>
    </w:p>
    <w:p>
      <w:pPr>
        <w:spacing w:after="0" w:line="234" w:lineRule="exact"/>
        <w:rPr>
          <w:rFonts w:ascii="Arial" w:cs="Arial" w:eastAsia="Arial" w:hAnsi="Arial"/>
          <w:sz w:val="22"/>
          <w:szCs w:val="22"/>
          <w:b w:val="1"/>
          <w:bCs w:val="1"/>
          <w:color w:val="auto"/>
        </w:rPr>
      </w:pPr>
    </w:p>
    <w:p>
      <w:pPr>
        <w:ind w:right="20" w:firstLine="656"/>
        <w:spacing w:after="0" w:line="308" w:lineRule="auto"/>
        <w:tabs>
          <w:tab w:leader="none" w:pos="1459"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Full Force and Effect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expressly modified by this Amendment, the terms of the Existing Rights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remain in full force and effect.</w:t>
      </w:r>
    </w:p>
    <w:p>
      <w:pPr>
        <w:spacing w:after="0" w:line="242" w:lineRule="exact"/>
        <w:rPr>
          <w:rFonts w:ascii="Arial" w:cs="Arial" w:eastAsia="Arial" w:hAnsi="Arial"/>
          <w:sz w:val="22"/>
          <w:szCs w:val="22"/>
          <w:b w:val="1"/>
          <w:bCs w:val="1"/>
          <w:color w:val="auto"/>
        </w:rPr>
      </w:pPr>
    </w:p>
    <w:p>
      <w:pPr>
        <w:ind w:firstLine="656"/>
        <w:spacing w:after="0" w:line="281" w:lineRule="auto"/>
        <w:tabs>
          <w:tab w:leader="none" w:pos="1459"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 governed, construed and interpreted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California, without giving effect to principles of conflicts of law.</w:t>
      </w:r>
    </w:p>
    <w:p>
      <w:pPr>
        <w:spacing w:after="0" w:line="1" w:lineRule="exact"/>
        <w:rPr>
          <w:rFonts w:ascii="Arial" w:cs="Arial" w:eastAsia="Arial" w:hAnsi="Arial"/>
          <w:sz w:val="22"/>
          <w:szCs w:val="22"/>
          <w:b w:val="1"/>
          <w:bCs w:val="1"/>
          <w:color w:val="auto"/>
        </w:rPr>
      </w:pPr>
    </w:p>
    <w:p>
      <w:pPr>
        <w:jc w:val="both"/>
        <w:ind w:firstLine="656"/>
        <w:spacing w:after="0" w:line="290" w:lineRule="auto"/>
        <w:tabs>
          <w:tab w:leader="none" w:pos="1459"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Integration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and the Existing Rights Agreement, and the documents referred to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therein and the exhibits and schedules thereto, constitute the entire agreement among the parties hereto pertaining to the subject matter hereof, and any and all other written or oral agreements relating to the subject matter hereof existing between the parties hereto are expressly canceled.</w:t>
      </w:r>
    </w:p>
    <w:p>
      <w:pPr>
        <w:spacing w:after="0" w:line="181" w:lineRule="exact"/>
        <w:rPr>
          <w:rFonts w:ascii="Arial" w:cs="Arial" w:eastAsia="Arial" w:hAnsi="Arial"/>
          <w:sz w:val="22"/>
          <w:szCs w:val="22"/>
          <w:b w:val="1"/>
          <w:bCs w:val="1"/>
          <w:color w:val="auto"/>
        </w:rPr>
      </w:pPr>
    </w:p>
    <w:p>
      <w:pPr>
        <w:ind w:right="20" w:firstLine="656"/>
        <w:spacing w:after="0" w:line="308" w:lineRule="auto"/>
        <w:tabs>
          <w:tab w:leader="none" w:pos="1459"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ectPr>
          <w:pgSz w:w="11900" w:h="16838" w:orient="portrait"/>
          <w:cols w:equalWidth="0" w:num="1">
            <w:col w:w="11420"/>
          </w:cols>
          <w:pgMar w:left="240" w:top="618" w:right="239" w:bottom="1440" w:gutter="0" w:footer="0" w:header="0"/>
        </w:sectPr>
      </w:pPr>
    </w:p>
    <w:bookmarkStart w:id="124" w:name="page125"/>
    <w:bookmarkEnd w:id="12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ind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Amendment No. 2 to the Existing Rights Agreement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written above.</w:t>
      </w:r>
    </w:p>
    <w:p>
      <w:pPr>
        <w:spacing w:after="0" w:line="296" w:lineRule="exact"/>
        <w:rPr>
          <w:sz w:val="20"/>
          <w:szCs w:val="20"/>
          <w:color w:val="auto"/>
        </w:rPr>
      </w:pPr>
    </w:p>
    <w:p>
      <w:pPr>
        <w:ind w:left="5180"/>
        <w:spacing w:after="0"/>
        <w:rPr>
          <w:sz w:val="20"/>
          <w:szCs w:val="20"/>
          <w:color w:val="auto"/>
        </w:rPr>
      </w:pPr>
      <w:r>
        <w:rPr>
          <w:rFonts w:ascii="Arial" w:cs="Arial" w:eastAsia="Arial" w:hAnsi="Arial"/>
          <w:sz w:val="22"/>
          <w:szCs w:val="22"/>
          <w:b w:val="1"/>
          <w:bCs w:val="1"/>
          <w:u w:val="single" w:color="auto"/>
          <w:color w:val="auto"/>
        </w:rPr>
        <w:t>THE COMPANY:</w:t>
      </w:r>
    </w:p>
    <w:p>
      <w:pPr>
        <w:spacing w:after="0" w:line="200" w:lineRule="exact"/>
        <w:rPr>
          <w:sz w:val="20"/>
          <w:szCs w:val="20"/>
          <w:color w:val="auto"/>
        </w:rPr>
      </w:pPr>
    </w:p>
    <w:p>
      <w:pPr>
        <w:spacing w:after="0" w:line="38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DROPBOX,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51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Houston</w:t>
            </w:r>
          </w:p>
        </w:tc>
      </w:tr>
      <w:tr>
        <w:trPr>
          <w:trHeight w:val="496"/>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440" w:type="dxa"/>
            <w:vAlign w:val="bottom"/>
          </w:tcPr>
          <w:p>
            <w:pPr>
              <w:ind w:left="20"/>
              <w:spacing w:after="0"/>
              <w:rPr>
                <w:sz w:val="20"/>
                <w:szCs w:val="20"/>
                <w:color w:val="auto"/>
              </w:rPr>
            </w:pPr>
            <w:r>
              <w:rPr>
                <w:rFonts w:ascii="Arial" w:cs="Arial" w:eastAsia="Arial" w:hAnsi="Arial"/>
                <w:sz w:val="22"/>
                <w:szCs w:val="22"/>
                <w:color w:val="auto"/>
              </w:rPr>
              <w:t>Andrew Houston</w:t>
            </w:r>
          </w:p>
        </w:tc>
      </w:tr>
      <w:tr>
        <w:trPr>
          <w:trHeight w:val="513"/>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44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ectPr>
          <w:pgSz w:w="11900" w:h="16838" w:orient="portrait"/>
          <w:cols w:equalWidth="0" w:num="1">
            <w:col w:w="11420"/>
          </w:cols>
          <w:pgMar w:left="240" w:top="625" w:right="239" w:bottom="1440" w:gutter="0" w:footer="0" w:header="0"/>
        </w:sectPr>
      </w:pPr>
    </w:p>
    <w:bookmarkStart w:id="126" w:name="page127"/>
    <w:bookmarkEnd w:id="126"/>
    <w:p>
      <w:pPr>
        <w:ind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Amendment No. 2 to the Existing Rights Agreement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written above.</w:t>
      </w: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INVESTOR:</w:t>
      </w:r>
    </w:p>
    <w:p>
      <w:pPr>
        <w:spacing w:after="0" w:line="200" w:lineRule="exact"/>
        <w:rPr>
          <w:sz w:val="20"/>
          <w:szCs w:val="20"/>
          <w:color w:val="auto"/>
        </w:rPr>
      </w:pPr>
    </w:p>
    <w:p>
      <w:pPr>
        <w:spacing w:after="0" w:line="398"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SALESFORCE VENTURES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180"/>
        <w:spacing w:after="0"/>
        <w:tabs>
          <w:tab w:leader="none" w:pos="6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Somorjai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28213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4" w:lineRule="exact"/>
        <w:rPr>
          <w:sz w:val="20"/>
          <w:szCs w:val="20"/>
          <w:color w:val="auto"/>
        </w:rPr>
      </w:pPr>
    </w:p>
    <w:p>
      <w:pPr>
        <w:ind w:left="5180"/>
        <w:spacing w:after="0"/>
        <w:tabs>
          <w:tab w:leader="none" w:pos="61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John Somorjai</w:t>
      </w:r>
    </w:p>
    <w:p>
      <w:pPr>
        <w:spacing w:after="0" w:line="260" w:lineRule="exact"/>
        <w:rPr>
          <w:sz w:val="20"/>
          <w:szCs w:val="20"/>
          <w:color w:val="auto"/>
        </w:rPr>
      </w:pPr>
    </w:p>
    <w:p>
      <w:pPr>
        <w:ind w:left="5180"/>
        <w:spacing w:after="0"/>
        <w:tabs>
          <w:tab w:leader="none" w:pos="6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w:t>
      </w:r>
    </w:p>
    <w:p>
      <w:pPr>
        <w:sectPr>
          <w:pgSz w:w="11900" w:h="16838" w:orient="portrait"/>
          <w:cols w:equalWidth="0" w:num="1">
            <w:col w:w="11420"/>
          </w:cols>
          <w:pgMar w:left="240" w:top="625" w:right="239" w:bottom="1440" w:gutter="0" w:footer="0" w:header="0"/>
        </w:sectPr>
      </w:pPr>
    </w:p>
    <w:bookmarkStart w:id="127" w:name="page128"/>
    <w:bookmarkEnd w:id="127"/>
    <w:p>
      <w:pPr>
        <w:ind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Amendment No. 2 to the Existing Rights Agreement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written above.</w:t>
      </w:r>
    </w:p>
    <w:p>
      <w:pPr>
        <w:spacing w:after="0" w:line="296" w:lineRule="exact"/>
        <w:rPr>
          <w:sz w:val="20"/>
          <w:szCs w:val="20"/>
          <w:color w:val="auto"/>
        </w:rPr>
      </w:pPr>
    </w:p>
    <w:p>
      <w:pPr>
        <w:ind w:left="4500"/>
        <w:spacing w:after="0"/>
        <w:rPr>
          <w:sz w:val="20"/>
          <w:szCs w:val="20"/>
          <w:color w:val="auto"/>
        </w:rPr>
      </w:pPr>
      <w:r>
        <w:rPr>
          <w:rFonts w:ascii="Arial" w:cs="Arial" w:eastAsia="Arial" w:hAnsi="Arial"/>
          <w:sz w:val="22"/>
          <w:szCs w:val="22"/>
          <w:b w:val="1"/>
          <w:bCs w:val="1"/>
          <w:u w:val="single" w:color="auto"/>
          <w:color w:val="auto"/>
        </w:rPr>
        <w:t>INVESTOR: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SEQUOIA CAPITAL XII</w:t>
      </w:r>
    </w:p>
    <w:p>
      <w:pPr>
        <w:spacing w:after="0" w:line="44"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SEQUOIA TECHNOLOGY PARTNERS XII</w:t>
      </w:r>
    </w:p>
    <w:p>
      <w:pPr>
        <w:spacing w:after="0" w:line="44"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SEQUOIA CAPITAL XII PRINCIPALS FUND</w:t>
      </w:r>
    </w:p>
    <w:p>
      <w:pPr>
        <w:spacing w:after="0" w:line="374" w:lineRule="exact"/>
        <w:rPr>
          <w:sz w:val="20"/>
          <w:szCs w:val="20"/>
          <w:color w:val="auto"/>
        </w:rPr>
      </w:pPr>
    </w:p>
    <w:p>
      <w:pPr>
        <w:ind w:left="4500"/>
        <w:spacing w:after="0"/>
        <w:tabs>
          <w:tab w:leader="none" w:pos="5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SC XII Management, LLC</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 Delaware Limited Liability Company</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General Partner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51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 Bryan Schreier</w:t>
            </w:r>
          </w:p>
        </w:tc>
      </w:tr>
      <w:tr>
        <w:trPr>
          <w:trHeight w:val="483"/>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220" w:type="dxa"/>
            <w:vAlign w:val="bottom"/>
          </w:tcPr>
          <w:p>
            <w:pPr>
              <w:ind w:left="20"/>
              <w:spacing w:after="0"/>
              <w:rPr>
                <w:sz w:val="20"/>
                <w:szCs w:val="20"/>
                <w:color w:val="auto"/>
              </w:rPr>
            </w:pPr>
            <w:r>
              <w:rPr>
                <w:rFonts w:ascii="Arial" w:cs="Arial" w:eastAsia="Arial" w:hAnsi="Arial"/>
                <w:sz w:val="22"/>
                <w:szCs w:val="22"/>
                <w:color w:val="auto"/>
              </w:rPr>
              <w:t>R. Bryan Schreier</w:t>
            </w:r>
          </w:p>
        </w:tc>
      </w:tr>
      <w:tr>
        <w:trPr>
          <w:trHeight w:val="513"/>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Pr>
          <w:p>
            <w:pPr>
              <w:ind w:left="20"/>
              <w:spacing w:after="0"/>
              <w:rPr>
                <w:sz w:val="20"/>
                <w:szCs w:val="20"/>
                <w:color w:val="auto"/>
              </w:rPr>
            </w:pPr>
            <w:r>
              <w:rPr>
                <w:rFonts w:ascii="Arial" w:cs="Arial" w:eastAsia="Arial" w:hAnsi="Arial"/>
                <w:sz w:val="22"/>
                <w:szCs w:val="22"/>
                <w:color w:val="auto"/>
              </w:rPr>
              <w:t>Partner</w:t>
            </w:r>
          </w:p>
        </w:tc>
      </w:tr>
    </w:tbl>
    <w:p>
      <w:pPr>
        <w:sectPr>
          <w:pgSz w:w="11900" w:h="16838" w:orient="portrait"/>
          <w:cols w:equalWidth="0" w:num="1">
            <w:col w:w="11420"/>
          </w:cols>
          <w:pgMar w:left="240" w:top="625" w:right="239" w:bottom="1440" w:gutter="0" w:footer="0" w:header="0"/>
        </w:sectPr>
      </w:pPr>
    </w:p>
    <w:bookmarkStart w:id="128" w:name="page129"/>
    <w:bookmarkEnd w:id="128"/>
    <w:p>
      <w:pPr>
        <w:ind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Amendment No. 2 to the Existing Rights Agreement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written above.</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INVESTOR: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ACCEL X L.P.</w:t>
      </w:r>
    </w:p>
    <w:p>
      <w:pPr>
        <w:spacing w:after="0" w:line="50" w:lineRule="exact"/>
        <w:rPr>
          <w:sz w:val="20"/>
          <w:szCs w:val="20"/>
          <w:color w:val="auto"/>
        </w:rPr>
      </w:pPr>
    </w:p>
    <w:p>
      <w:pPr>
        <w:ind w:left="51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Accel X Associates L.L.C.</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8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Tracy L. Sedlock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2710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5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Attorney-In-Fact</w:t>
      </w:r>
    </w:p>
    <w:p>
      <w:pPr>
        <w:spacing w:after="0" w:line="341" w:lineRule="exact"/>
        <w:rPr>
          <w:sz w:val="20"/>
          <w:szCs w:val="20"/>
          <w:color w:val="auto"/>
        </w:rPr>
      </w:pPr>
    </w:p>
    <w:p>
      <w:pPr>
        <w:ind w:left="5180"/>
        <w:spacing w:after="0"/>
        <w:tabs>
          <w:tab w:leader="none" w:pos="61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Tracy L. Sedlock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ACCEL X STRATEGIC PARTNERS L.P.</w:t>
      </w:r>
    </w:p>
    <w:p>
      <w:pPr>
        <w:spacing w:after="0" w:line="50" w:lineRule="exact"/>
        <w:rPr>
          <w:sz w:val="20"/>
          <w:szCs w:val="20"/>
          <w:color w:val="auto"/>
        </w:rPr>
      </w:pPr>
    </w:p>
    <w:p>
      <w:pPr>
        <w:ind w:left="51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Accel X Associates L.L.C.</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8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Tracy L. Sedlock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2710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5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Attorney-In-Fact</w:t>
      </w:r>
    </w:p>
    <w:p>
      <w:pPr>
        <w:spacing w:after="0" w:line="368" w:lineRule="exact"/>
        <w:rPr>
          <w:sz w:val="20"/>
          <w:szCs w:val="20"/>
          <w:color w:val="auto"/>
        </w:rPr>
      </w:pPr>
    </w:p>
    <w:p>
      <w:pPr>
        <w:ind w:left="5180"/>
        <w:spacing w:after="0"/>
        <w:tabs>
          <w:tab w:leader="none" w:pos="61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Tracy L. Sedlock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ACCEL INVESTORS 2008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18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Tracy L. Sedlock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27101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5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Attorney-In-Fact</w:t>
      </w:r>
    </w:p>
    <w:p>
      <w:pPr>
        <w:spacing w:after="0" w:line="368" w:lineRule="exact"/>
        <w:rPr>
          <w:sz w:val="20"/>
          <w:szCs w:val="20"/>
          <w:color w:val="auto"/>
        </w:rPr>
      </w:pPr>
    </w:p>
    <w:p>
      <w:pPr>
        <w:ind w:left="5180"/>
        <w:spacing w:after="0"/>
        <w:tabs>
          <w:tab w:leader="none" w:pos="61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Tracy L. Sedlock</w:t>
      </w:r>
    </w:p>
    <w:p>
      <w:pPr>
        <w:sectPr>
          <w:pgSz w:w="11900" w:h="16838" w:orient="portrait"/>
          <w:cols w:equalWidth="0" w:num="1">
            <w:col w:w="11420"/>
          </w:cols>
          <w:pgMar w:left="240" w:top="625" w:right="239" w:bottom="1440" w:gutter="0" w:footer="0" w:header="0"/>
        </w:sectPr>
      </w:pPr>
    </w:p>
    <w:bookmarkStart w:id="129" w:name="page130"/>
    <w:bookmarkEnd w:id="129"/>
    <w:p>
      <w:pPr>
        <w:spacing w:after="0"/>
        <w:tabs>
          <w:tab w:leader="none" w:pos="6180" w:val="left"/>
        </w:tabs>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ind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Amendment No. 2 to the Existing Rights Agreement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written above.</w:t>
      </w:r>
    </w:p>
    <w:p>
      <w:pPr>
        <w:spacing w:after="0" w:line="296"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u w:val="single" w:color="auto"/>
          <w:color w:val="auto"/>
        </w:rPr>
        <w:t>INVESTOR:</w:t>
      </w:r>
    </w:p>
    <w:p>
      <w:pPr>
        <w:spacing w:after="0" w:line="368"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INDEX VENTURES GROWTH I (JERSEY), L.P.</w:t>
      </w:r>
    </w:p>
    <w:p>
      <w:pPr>
        <w:spacing w:after="0" w:line="374"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22"/>
          <w:szCs w:val="22"/>
          <w:color w:val="auto"/>
        </w:rPr>
        <w:t>By:</w:t>
        <w:tab/>
        <w:t>its Managing General Partner</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Index Venture Growth Associates I Limited</w:t>
      </w:r>
    </w:p>
    <w:p>
      <w:pPr>
        <w:spacing w:after="0" w:line="368" w:lineRule="exact"/>
        <w:rPr>
          <w:sz w:val="20"/>
          <w:szCs w:val="20"/>
          <w:color w:val="auto"/>
        </w:rPr>
      </w:pPr>
    </w:p>
    <w:tbl>
      <w:tblPr>
        <w:tblLayout w:type="fixed"/>
        <w:tblInd w:w="5540" w:type="dxa"/>
        <w:tblCellMar>
          <w:top w:w="0" w:type="dxa"/>
          <w:left w:w="0" w:type="dxa"/>
          <w:bottom w:w="0" w:type="dxa"/>
          <w:right w:w="0" w:type="dxa"/>
        </w:tblCellMar>
      </w:tblPr>
      <w:tr>
        <w:trPr>
          <w:trHeight w:val="28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N.T. Greenwood</w:t>
            </w:r>
          </w:p>
        </w:tc>
      </w:tr>
      <w:tr>
        <w:trPr>
          <w:trHeight w:val="280"/>
        </w:trPr>
        <w:tc>
          <w:tcPr>
            <w:tcW w:w="860" w:type="dxa"/>
            <w:vAlign w:val="bottom"/>
          </w:tcPr>
          <w:p>
            <w:pPr>
              <w:spacing w:after="0"/>
              <w:rPr>
                <w:sz w:val="20"/>
                <w:szCs w:val="20"/>
                <w:color w:val="auto"/>
              </w:rPr>
            </w:pPr>
            <w:r>
              <w:rPr>
                <w:rFonts w:ascii="Arial" w:cs="Arial" w:eastAsia="Arial" w:hAnsi="Arial"/>
                <w:sz w:val="22"/>
                <w:szCs w:val="22"/>
                <w:color w:val="auto"/>
              </w:rPr>
              <w:t>Name:</w:t>
            </w:r>
          </w:p>
        </w:tc>
        <w:tc>
          <w:tcPr>
            <w:tcW w:w="4220" w:type="dxa"/>
            <w:vAlign w:val="bottom"/>
          </w:tcPr>
          <w:p>
            <w:pPr>
              <w:ind w:left="40"/>
              <w:spacing w:after="0"/>
              <w:rPr>
                <w:sz w:val="20"/>
                <w:szCs w:val="20"/>
                <w:color w:val="auto"/>
              </w:rPr>
            </w:pPr>
            <w:r>
              <w:rPr>
                <w:rFonts w:ascii="Arial" w:cs="Arial" w:eastAsia="Arial" w:hAnsi="Arial"/>
                <w:sz w:val="22"/>
                <w:szCs w:val="22"/>
                <w:color w:val="auto"/>
              </w:rPr>
              <w:t>N.T. Greenwood</w:t>
            </w:r>
          </w:p>
        </w:tc>
      </w:tr>
      <w:tr>
        <w:trPr>
          <w:trHeight w:val="297"/>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INDEX VENTURES GROWTH I PARALLEL</w:t>
      </w:r>
    </w:p>
    <w:p>
      <w:pPr>
        <w:spacing w:after="0" w:line="4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ENTREPRENEUR FUND (JERSEY), L.P.</w:t>
      </w:r>
    </w:p>
    <w:p>
      <w:pPr>
        <w:spacing w:after="0" w:line="374"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22"/>
          <w:szCs w:val="22"/>
          <w:color w:val="auto"/>
        </w:rPr>
        <w:t>By:</w:t>
        <w:tab/>
        <w:t>its Managing General Partner</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Index Venture Growth Associates I Limited</w:t>
      </w:r>
    </w:p>
    <w:p>
      <w:pPr>
        <w:spacing w:after="0" w:line="200" w:lineRule="exact"/>
        <w:rPr>
          <w:sz w:val="20"/>
          <w:szCs w:val="20"/>
          <w:color w:val="auto"/>
        </w:rPr>
      </w:pPr>
    </w:p>
    <w:p>
      <w:pPr>
        <w:spacing w:after="0" w:line="384" w:lineRule="exact"/>
        <w:rPr>
          <w:sz w:val="20"/>
          <w:szCs w:val="20"/>
          <w:color w:val="auto"/>
        </w:rPr>
      </w:pPr>
    </w:p>
    <w:tbl>
      <w:tblPr>
        <w:tblLayout w:type="fixed"/>
        <w:tblInd w:w="5540" w:type="dxa"/>
        <w:tblCellMar>
          <w:top w:w="0" w:type="dxa"/>
          <w:left w:w="0" w:type="dxa"/>
          <w:bottom w:w="0" w:type="dxa"/>
          <w:right w:w="0" w:type="dxa"/>
        </w:tblCellMar>
      </w:tblPr>
      <w:tr>
        <w:trPr>
          <w:trHeight w:val="28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N.T. Greenwood</w:t>
            </w:r>
          </w:p>
        </w:tc>
      </w:tr>
      <w:tr>
        <w:trPr>
          <w:trHeight w:val="483"/>
        </w:trPr>
        <w:tc>
          <w:tcPr>
            <w:tcW w:w="860" w:type="dxa"/>
            <w:vAlign w:val="bottom"/>
          </w:tcPr>
          <w:p>
            <w:pPr>
              <w:spacing w:after="0"/>
              <w:rPr>
                <w:sz w:val="20"/>
                <w:szCs w:val="20"/>
                <w:color w:val="auto"/>
              </w:rPr>
            </w:pPr>
            <w:r>
              <w:rPr>
                <w:rFonts w:ascii="Arial" w:cs="Arial" w:eastAsia="Arial" w:hAnsi="Arial"/>
                <w:sz w:val="22"/>
                <w:szCs w:val="22"/>
                <w:color w:val="auto"/>
              </w:rPr>
              <w:t>Name:</w:t>
            </w:r>
          </w:p>
        </w:tc>
        <w:tc>
          <w:tcPr>
            <w:tcW w:w="4220" w:type="dxa"/>
            <w:vAlign w:val="bottom"/>
          </w:tcPr>
          <w:p>
            <w:pPr>
              <w:ind w:left="40"/>
              <w:spacing w:after="0"/>
              <w:rPr>
                <w:sz w:val="20"/>
                <w:szCs w:val="20"/>
                <w:color w:val="auto"/>
              </w:rPr>
            </w:pPr>
            <w:r>
              <w:rPr>
                <w:rFonts w:ascii="Arial" w:cs="Arial" w:eastAsia="Arial" w:hAnsi="Arial"/>
                <w:sz w:val="22"/>
                <w:szCs w:val="22"/>
                <w:color w:val="auto"/>
              </w:rPr>
              <w:t>N.T. Greenwood</w:t>
            </w:r>
          </w:p>
        </w:tc>
      </w:tr>
      <w:tr>
        <w:trPr>
          <w:trHeight w:val="297"/>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INDEX VENTURES GROWTH II (JERSEY), L.P.</w:t>
      </w:r>
    </w:p>
    <w:p>
      <w:pPr>
        <w:spacing w:after="0" w:line="374"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22"/>
          <w:szCs w:val="22"/>
          <w:color w:val="auto"/>
        </w:rPr>
        <w:t>By:</w:t>
        <w:tab/>
        <w:t>its Managing General Partner</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Index Venture Growth Associates II Limited</w:t>
      </w:r>
    </w:p>
    <w:p>
      <w:pPr>
        <w:spacing w:after="0" w:line="200" w:lineRule="exact"/>
        <w:rPr>
          <w:sz w:val="20"/>
          <w:szCs w:val="20"/>
          <w:color w:val="auto"/>
        </w:rPr>
      </w:pPr>
    </w:p>
    <w:p>
      <w:pPr>
        <w:spacing w:after="0" w:line="384" w:lineRule="exact"/>
        <w:rPr>
          <w:sz w:val="20"/>
          <w:szCs w:val="20"/>
          <w:color w:val="auto"/>
        </w:rPr>
      </w:pPr>
    </w:p>
    <w:tbl>
      <w:tblPr>
        <w:tblLayout w:type="fixed"/>
        <w:tblInd w:w="5540" w:type="dxa"/>
        <w:tblCellMar>
          <w:top w:w="0" w:type="dxa"/>
          <w:left w:w="0" w:type="dxa"/>
          <w:bottom w:w="0" w:type="dxa"/>
          <w:right w:w="0" w:type="dxa"/>
        </w:tblCellMar>
      </w:tblPr>
      <w:tr>
        <w:trPr>
          <w:trHeight w:val="28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N.T. Greenwood</w:t>
            </w:r>
          </w:p>
        </w:tc>
      </w:tr>
      <w:tr>
        <w:trPr>
          <w:trHeight w:val="483"/>
        </w:trPr>
        <w:tc>
          <w:tcPr>
            <w:tcW w:w="860" w:type="dxa"/>
            <w:vAlign w:val="bottom"/>
          </w:tcPr>
          <w:p>
            <w:pPr>
              <w:spacing w:after="0"/>
              <w:rPr>
                <w:sz w:val="20"/>
                <w:szCs w:val="20"/>
                <w:color w:val="auto"/>
              </w:rPr>
            </w:pPr>
            <w:r>
              <w:rPr>
                <w:rFonts w:ascii="Arial" w:cs="Arial" w:eastAsia="Arial" w:hAnsi="Arial"/>
                <w:sz w:val="22"/>
                <w:szCs w:val="22"/>
                <w:color w:val="auto"/>
              </w:rPr>
              <w:t>Name:</w:t>
            </w:r>
          </w:p>
        </w:tc>
        <w:tc>
          <w:tcPr>
            <w:tcW w:w="4220" w:type="dxa"/>
            <w:vAlign w:val="bottom"/>
          </w:tcPr>
          <w:p>
            <w:pPr>
              <w:ind w:left="40"/>
              <w:spacing w:after="0"/>
              <w:rPr>
                <w:sz w:val="20"/>
                <w:szCs w:val="20"/>
                <w:color w:val="auto"/>
              </w:rPr>
            </w:pPr>
            <w:r>
              <w:rPr>
                <w:rFonts w:ascii="Arial" w:cs="Arial" w:eastAsia="Arial" w:hAnsi="Arial"/>
                <w:sz w:val="22"/>
                <w:szCs w:val="22"/>
                <w:color w:val="auto"/>
              </w:rPr>
              <w:t>N.T. Greenwood</w:t>
            </w:r>
          </w:p>
        </w:tc>
      </w:tr>
      <w:tr>
        <w:trPr>
          <w:trHeight w:val="297"/>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INDEX VENTURES GROWTH II PARALLEL</w:t>
      </w:r>
    </w:p>
    <w:p>
      <w:pPr>
        <w:spacing w:after="0" w:line="4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ENTREPRENEUR FUND (JERSEY), L.P.</w:t>
      </w:r>
    </w:p>
    <w:p>
      <w:pPr>
        <w:spacing w:after="0" w:line="374"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22"/>
          <w:szCs w:val="22"/>
          <w:color w:val="auto"/>
        </w:rPr>
        <w:t>By:</w:t>
        <w:tab/>
        <w:t>its Managing General Partner</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Index Venture Growth Associates II Limited</w:t>
      </w:r>
    </w:p>
    <w:p>
      <w:pPr>
        <w:spacing w:after="0" w:line="200" w:lineRule="exact"/>
        <w:rPr>
          <w:sz w:val="20"/>
          <w:szCs w:val="20"/>
          <w:color w:val="auto"/>
        </w:rPr>
      </w:pPr>
    </w:p>
    <w:p>
      <w:pPr>
        <w:spacing w:after="0" w:line="384" w:lineRule="exact"/>
        <w:rPr>
          <w:sz w:val="20"/>
          <w:szCs w:val="20"/>
          <w:color w:val="auto"/>
        </w:rPr>
      </w:pPr>
    </w:p>
    <w:tbl>
      <w:tblPr>
        <w:tblLayout w:type="fixed"/>
        <w:tblInd w:w="5540" w:type="dxa"/>
        <w:tblCellMar>
          <w:top w:w="0" w:type="dxa"/>
          <w:left w:w="0" w:type="dxa"/>
          <w:bottom w:w="0" w:type="dxa"/>
          <w:right w:w="0" w:type="dxa"/>
        </w:tblCellMar>
      </w:tblPr>
      <w:tr>
        <w:trPr>
          <w:trHeight w:val="28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N.T. Greenwood</w:t>
            </w:r>
          </w:p>
        </w:tc>
      </w:tr>
      <w:tr>
        <w:trPr>
          <w:trHeight w:val="483"/>
        </w:trPr>
        <w:tc>
          <w:tcPr>
            <w:tcW w:w="860" w:type="dxa"/>
            <w:vAlign w:val="bottom"/>
          </w:tcPr>
          <w:p>
            <w:pPr>
              <w:spacing w:after="0"/>
              <w:rPr>
                <w:sz w:val="20"/>
                <w:szCs w:val="20"/>
                <w:color w:val="auto"/>
              </w:rPr>
            </w:pPr>
            <w:r>
              <w:rPr>
                <w:rFonts w:ascii="Arial" w:cs="Arial" w:eastAsia="Arial" w:hAnsi="Arial"/>
                <w:sz w:val="22"/>
                <w:szCs w:val="22"/>
                <w:color w:val="auto"/>
              </w:rPr>
              <w:t>Name:</w:t>
            </w:r>
          </w:p>
        </w:tc>
        <w:tc>
          <w:tcPr>
            <w:tcW w:w="4220" w:type="dxa"/>
            <w:vAlign w:val="bottom"/>
          </w:tcPr>
          <w:p>
            <w:pPr>
              <w:ind w:left="40"/>
              <w:spacing w:after="0"/>
              <w:rPr>
                <w:sz w:val="20"/>
                <w:szCs w:val="20"/>
                <w:color w:val="auto"/>
              </w:rPr>
            </w:pPr>
            <w:r>
              <w:rPr>
                <w:rFonts w:ascii="Arial" w:cs="Arial" w:eastAsia="Arial" w:hAnsi="Arial"/>
                <w:sz w:val="22"/>
                <w:szCs w:val="22"/>
                <w:color w:val="auto"/>
              </w:rPr>
              <w:t>N.T. Greenwood</w:t>
            </w:r>
          </w:p>
        </w:tc>
      </w:tr>
      <w:tr>
        <w:trPr>
          <w:trHeight w:val="297"/>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ectPr>
          <w:pgSz w:w="11900" w:h="16838" w:orient="portrait"/>
          <w:cols w:equalWidth="0" w:num="1">
            <w:col w:w="11420"/>
          </w:cols>
          <w:pgMar w:left="240" w:top="625" w:right="239" w:bottom="526" w:gutter="0" w:footer="0" w:header="0"/>
        </w:sectPr>
      </w:pPr>
    </w:p>
    <w:bookmarkStart w:id="131" w:name="page132"/>
    <w:bookmarkEnd w:id="131"/>
    <w:p>
      <w:pPr>
        <w:ind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Amendment No. 2 to the Existing Rights Agreement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written above.</w:t>
      </w:r>
    </w:p>
    <w:p>
      <w:pPr>
        <w:spacing w:after="0" w:line="200" w:lineRule="exact"/>
        <w:rPr>
          <w:sz w:val="20"/>
          <w:szCs w:val="20"/>
          <w:color w:val="auto"/>
        </w:rPr>
      </w:pPr>
    </w:p>
    <w:p>
      <w:pPr>
        <w:spacing w:after="0" w:line="366" w:lineRule="exact"/>
        <w:rPr>
          <w:sz w:val="20"/>
          <w:szCs w:val="20"/>
          <w:color w:val="auto"/>
        </w:rPr>
      </w:pPr>
    </w:p>
    <w:p>
      <w:pPr>
        <w:ind w:left="4500"/>
        <w:spacing w:after="0"/>
        <w:rPr>
          <w:sz w:val="20"/>
          <w:szCs w:val="20"/>
          <w:color w:val="auto"/>
        </w:rPr>
      </w:pPr>
      <w:r>
        <w:rPr>
          <w:rFonts w:ascii="Arial" w:cs="Arial" w:eastAsia="Arial" w:hAnsi="Arial"/>
          <w:sz w:val="22"/>
          <w:szCs w:val="22"/>
          <w:b w:val="1"/>
          <w:bCs w:val="1"/>
          <w:u w:val="single" w:color="auto"/>
          <w:color w:val="auto"/>
        </w:rPr>
        <w:t>INVESTOR:</w:t>
      </w:r>
    </w:p>
    <w:p>
      <w:pPr>
        <w:spacing w:after="0" w:line="36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 xml:space="preserve">YUCCA (JERSEY) SLP </w:t>
      </w:r>
      <w:r>
        <w:rPr>
          <w:rFonts w:ascii="Arial" w:cs="Arial" w:eastAsia="Arial" w:hAnsi="Arial"/>
          <w:sz w:val="22"/>
          <w:szCs w:val="22"/>
          <w:color w:val="auto"/>
        </w:rPr>
        <w:t>by Intertrust Employee Benefit</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Services Limited as Authorised Signatory of Yucca</w:t>
      </w:r>
    </w:p>
    <w:p>
      <w:pPr>
        <w:spacing w:after="0" w:line="4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(Jersey) SLP in its capacity as administrator of the Index</w:t>
      </w:r>
    </w:p>
    <w:p>
      <w:pPr>
        <w:spacing w:after="0" w:line="4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Co-Investment Scheme</w:t>
      </w:r>
    </w:p>
    <w:p>
      <w:pPr>
        <w:sectPr>
          <w:pgSz w:w="11900" w:h="16838" w:orient="portrait"/>
          <w:cols w:equalWidth="0" w:num="1">
            <w:col w:w="11420"/>
          </w:cols>
          <w:pgMar w:left="240" w:top="882" w:right="239" w:bottom="1440" w:gutter="0" w:footer="0" w:header="0"/>
        </w:sectPr>
      </w:pPr>
    </w:p>
    <w:p>
      <w:pPr>
        <w:spacing w:after="0" w:line="36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Name:</w:t>
      </w:r>
    </w:p>
    <w:p>
      <w:pPr>
        <w:spacing w:after="0" w:line="7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color w:val="auto"/>
        </w:rPr>
        <w:t>/s/ Sarah Earles</w:t>
      </w:r>
      <w:r>
        <w:rPr>
          <w:sz w:val="20"/>
          <w:szCs w:val="20"/>
          <w:color w:val="auto"/>
        </w:rPr>
        <w:tab/>
      </w:r>
      <w:r>
        <w:rPr>
          <w:rFonts w:ascii="Arial" w:cs="Arial" w:eastAsia="Arial" w:hAnsi="Arial"/>
          <w:sz w:val="19"/>
          <w:szCs w:val="19"/>
          <w:color w:val="auto"/>
        </w:rPr>
        <w:t>/s/ Nick McHardy</w:t>
      </w:r>
    </w:p>
    <w:p>
      <w:pPr>
        <w:spacing w:after="0" w:line="44" w:lineRule="exact"/>
        <w:rPr>
          <w:sz w:val="20"/>
          <w:szCs w:val="20"/>
          <w:color w:val="auto"/>
        </w:rPr>
      </w:pPr>
    </w:p>
    <w:p>
      <w:pPr>
        <w:ind w:left="160"/>
        <w:spacing w:after="0"/>
        <w:tabs>
          <w:tab w:leader="none" w:pos="1860" w:val="left"/>
        </w:tabs>
        <w:rPr>
          <w:sz w:val="20"/>
          <w:szCs w:val="20"/>
          <w:color w:val="auto"/>
        </w:rPr>
      </w:pPr>
      <w:r>
        <w:rPr>
          <w:rFonts w:ascii="Arial" w:cs="Arial" w:eastAsia="Arial" w:hAnsi="Arial"/>
          <w:sz w:val="22"/>
          <w:szCs w:val="22"/>
          <w:color w:val="auto"/>
        </w:rPr>
        <w:t>Sarah Earles</w:t>
      </w:r>
      <w:r>
        <w:rPr>
          <w:sz w:val="20"/>
          <w:szCs w:val="20"/>
          <w:color w:val="auto"/>
        </w:rPr>
        <w:tab/>
      </w:r>
      <w:r>
        <w:rPr>
          <w:rFonts w:ascii="Arial" w:cs="Arial" w:eastAsia="Arial" w:hAnsi="Arial"/>
          <w:sz w:val="19"/>
          <w:szCs w:val="19"/>
          <w:color w:val="auto"/>
        </w:rPr>
        <w:t>Nick McHardy</w:t>
      </w:r>
    </w:p>
    <w:p>
      <w:pPr>
        <w:spacing w:after="0" w:line="44" w:lineRule="exact"/>
        <w:rPr>
          <w:sz w:val="20"/>
          <w:szCs w:val="20"/>
          <w:color w:val="auto"/>
        </w:rPr>
      </w:pPr>
    </w:p>
    <w:p>
      <w:pPr>
        <w:ind w:left="80"/>
        <w:spacing w:after="0"/>
        <w:rPr>
          <w:sz w:val="20"/>
          <w:szCs w:val="20"/>
          <w:color w:val="auto"/>
        </w:rPr>
      </w:pPr>
      <w:r>
        <w:rPr>
          <w:rFonts w:ascii="Arial" w:cs="Arial" w:eastAsia="Arial" w:hAnsi="Arial"/>
          <w:sz w:val="22"/>
          <w:szCs w:val="22"/>
          <w:color w:val="auto"/>
        </w:rPr>
        <w:t>Authorised Signatories</w:t>
      </w:r>
    </w:p>
    <w:p>
      <w:pPr>
        <w:sectPr>
          <w:pgSz w:w="11900" w:h="16838" w:orient="portrait"/>
          <w:cols w:equalWidth="0" w:num="2">
            <w:col w:w="5060" w:space="360"/>
            <w:col w:w="6000"/>
          </w:cols>
          <w:pgMar w:left="240" w:top="882" w:right="2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W. Houston, certify that:</w:t>
      </w:r>
    </w:p>
    <w:p>
      <w:pPr>
        <w:spacing w:after="0" w:line="225"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2018</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20"/>
              <w:spacing w:after="0"/>
              <w:rPr>
                <w:sz w:val="20"/>
                <w:szCs w:val="20"/>
                <w:color w:val="auto"/>
              </w:rPr>
            </w:pPr>
            <w:r>
              <w:rPr>
                <w:rFonts w:ascii="Arial" w:cs="Arial" w:eastAsia="Arial" w:hAnsi="Arial"/>
                <w:sz w:val="18"/>
                <w:szCs w:val="18"/>
                <w:color w:val="auto"/>
              </w:rPr>
              <w:t>/s/ Andrew W. Houston</w:t>
            </w:r>
          </w:p>
        </w:tc>
      </w:tr>
      <w:tr>
        <w:trPr>
          <w:trHeight w:val="27"/>
        </w:trPr>
        <w:tc>
          <w:tcPr>
            <w:tcW w:w="7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Andrew W. Houston</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Ajay V. Vashee, certify that:</w:t>
      </w:r>
    </w:p>
    <w:p>
      <w:pPr>
        <w:spacing w:after="0" w:line="225"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2018</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20"/>
              <w:spacing w:after="0"/>
              <w:rPr>
                <w:sz w:val="20"/>
                <w:szCs w:val="20"/>
                <w:color w:val="auto"/>
              </w:rPr>
            </w:pPr>
            <w:r>
              <w:rPr>
                <w:rFonts w:ascii="Arial" w:cs="Arial" w:eastAsia="Arial" w:hAnsi="Arial"/>
                <w:sz w:val="18"/>
                <w:szCs w:val="18"/>
                <w:color w:val="auto"/>
              </w:rPr>
              <w:t>/s/ Ajay V. Vashee</w:t>
            </w:r>
          </w:p>
        </w:tc>
      </w:tr>
      <w:tr>
        <w:trPr>
          <w:trHeight w:val="27"/>
        </w:trPr>
        <w:tc>
          <w:tcPr>
            <w:tcW w:w="7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Ajay V. Vashee</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64"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 OF PRINCIPAL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March 31, 2018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16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May 11, 2018</w:t>
            </w:r>
          </w:p>
        </w:tc>
        <w:tc>
          <w:tcPr>
            <w:tcW w:w="9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44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 Andrew W. Houston</w:t>
            </w:r>
          </w:p>
        </w:tc>
      </w:tr>
      <w:tr>
        <w:trPr>
          <w:trHeight w:val="261"/>
        </w:trPr>
        <w:tc>
          <w:tcPr>
            <w:tcW w:w="1160" w:type="dxa"/>
            <w:vAlign w:val="bottom"/>
            <w:shd w:val="clear" w:color="auto" w:fill="FEFEFE"/>
          </w:tcPr>
          <w:p>
            <w:pPr>
              <w:spacing w:after="0"/>
              <w:rPr>
                <w:sz w:val="22"/>
                <w:szCs w:val="22"/>
                <w:color w:val="auto"/>
              </w:rPr>
            </w:pPr>
          </w:p>
        </w:tc>
        <w:tc>
          <w:tcPr>
            <w:tcW w:w="4920" w:type="dxa"/>
            <w:vAlign w:val="bottom"/>
            <w:shd w:val="clear" w:color="auto" w:fill="FEFEFE"/>
          </w:tcPr>
          <w:p>
            <w:pPr>
              <w:spacing w:after="0"/>
              <w:rPr>
                <w:sz w:val="22"/>
                <w:szCs w:val="22"/>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Andrew W. Houston</w:t>
            </w:r>
          </w:p>
        </w:tc>
      </w:tr>
      <w:tr>
        <w:trPr>
          <w:trHeight w:val="270"/>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Executive Officer</w:t>
            </w:r>
          </w:p>
        </w:tc>
      </w:tr>
      <w:tr>
        <w:trPr>
          <w:trHeight w:val="297"/>
        </w:trPr>
        <w:tc>
          <w:tcPr>
            <w:tcW w:w="1160" w:type="dxa"/>
            <w:vAlign w:val="bottom"/>
            <w:shd w:val="clear" w:color="auto" w:fill="FEFEFE"/>
          </w:tcPr>
          <w:p>
            <w:pPr>
              <w:spacing w:after="0"/>
              <w:rPr>
                <w:sz w:val="24"/>
                <w:szCs w:val="24"/>
                <w:color w:val="auto"/>
              </w:rPr>
            </w:pPr>
          </w:p>
        </w:tc>
        <w:tc>
          <w:tcPr>
            <w:tcW w:w="492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Executive Officer)</w:t>
            </w:r>
          </w:p>
        </w:tc>
      </w:tr>
      <w:tr>
        <w:trPr>
          <w:trHeight w:val="266"/>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spacing w:after="0"/>
              <w:rPr>
                <w:sz w:val="23"/>
                <w:szCs w:val="23"/>
                <w:color w:val="auto"/>
              </w:rPr>
            </w:pPr>
          </w:p>
        </w:tc>
        <w:tc>
          <w:tcPr>
            <w:tcW w:w="4440" w:type="dxa"/>
            <w:vAlign w:val="bottom"/>
            <w:shd w:val="clear" w:color="auto" w:fill="FEFEFE"/>
          </w:tcPr>
          <w:p>
            <w:pPr>
              <w:spacing w:after="0"/>
              <w:rPr>
                <w:sz w:val="23"/>
                <w:szCs w:val="23"/>
                <w:color w:val="auto"/>
              </w:rPr>
            </w:pPr>
          </w:p>
        </w:tc>
      </w:tr>
    </w:tbl>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 Ajay V. Vashee, certify, pursuant to 18 U.S.C. Section 1350, as adopted pursuant to Section 906 of the Sarbanes-Oxley Act of 2002, that the Quarterly Report on Form 10-Q of Dropbox, Inc. for the fiscal quarter ended March 31, 2018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16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May 11, 2018</w:t>
            </w:r>
          </w:p>
        </w:tc>
        <w:tc>
          <w:tcPr>
            <w:tcW w:w="9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44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 Ajay V. Vashee</w:t>
            </w:r>
          </w:p>
        </w:tc>
      </w:tr>
      <w:tr>
        <w:trPr>
          <w:trHeight w:val="250"/>
        </w:trPr>
        <w:tc>
          <w:tcPr>
            <w:tcW w:w="1160" w:type="dxa"/>
            <w:vAlign w:val="bottom"/>
            <w:shd w:val="clear" w:color="auto" w:fill="FEFEFE"/>
          </w:tcPr>
          <w:p>
            <w:pPr>
              <w:spacing w:after="0"/>
              <w:rPr>
                <w:sz w:val="21"/>
                <w:szCs w:val="21"/>
                <w:color w:val="auto"/>
              </w:rPr>
            </w:pPr>
          </w:p>
        </w:tc>
        <w:tc>
          <w:tcPr>
            <w:tcW w:w="4920" w:type="dxa"/>
            <w:vAlign w:val="bottom"/>
            <w:shd w:val="clear" w:color="auto" w:fill="FEFEFE"/>
          </w:tcPr>
          <w:p>
            <w:pPr>
              <w:spacing w:after="0"/>
              <w:rPr>
                <w:sz w:val="21"/>
                <w:szCs w:val="21"/>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Ajay V. Vashee</w:t>
            </w:r>
          </w:p>
        </w:tc>
      </w:tr>
      <w:tr>
        <w:trPr>
          <w:trHeight w:val="267"/>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Financial Officer</w:t>
            </w:r>
          </w:p>
        </w:tc>
      </w:tr>
      <w:tr>
        <w:trPr>
          <w:trHeight w:val="270"/>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spacing w:after="0"/>
              <w:rPr>
                <w:sz w:val="23"/>
                <w:szCs w:val="23"/>
                <w:color w:val="auto"/>
              </w:rPr>
            </w:pP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Financial Officer)</w:t>
            </w:r>
          </w:p>
        </w:tc>
      </w:tr>
      <w:tr>
        <w:trPr>
          <w:trHeight w:val="23"/>
        </w:trPr>
        <w:tc>
          <w:tcPr>
            <w:tcW w:w="1160" w:type="dxa"/>
            <w:vAlign w:val="bottom"/>
            <w:shd w:val="clear" w:color="auto" w:fill="FEFEFE"/>
          </w:tcPr>
          <w:p>
            <w:pPr>
              <w:spacing w:after="0"/>
              <w:rPr>
                <w:sz w:val="2"/>
                <w:szCs w:val="2"/>
                <w:color w:val="auto"/>
              </w:rPr>
            </w:pPr>
          </w:p>
        </w:tc>
        <w:tc>
          <w:tcPr>
            <w:tcW w:w="4920" w:type="dxa"/>
            <w:vAlign w:val="bottom"/>
            <w:shd w:val="clear" w:color="auto" w:fill="FEFEFE"/>
          </w:tcPr>
          <w:p>
            <w:pPr>
              <w:spacing w:after="0"/>
              <w:rPr>
                <w:sz w:val="2"/>
                <w:szCs w:val="2"/>
                <w:color w:val="auto"/>
              </w:rPr>
            </w:pPr>
          </w:p>
        </w:tc>
        <w:tc>
          <w:tcPr>
            <w:tcW w:w="900" w:type="dxa"/>
            <w:vAlign w:val="bottom"/>
            <w:shd w:val="clear" w:color="auto" w:fill="FEFEFE"/>
          </w:tcPr>
          <w:p>
            <w:pPr>
              <w:spacing w:after="0"/>
              <w:rPr>
                <w:sz w:val="2"/>
                <w:szCs w:val="2"/>
                <w:color w:val="auto"/>
              </w:rPr>
            </w:pPr>
          </w:p>
        </w:tc>
        <w:tc>
          <w:tcPr>
            <w:tcW w:w="4440" w:type="dxa"/>
            <w:vAlign w:val="bottom"/>
            <w:shd w:val="clear" w:color="auto" w:fill="FEFEFE"/>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lowerLetter"/>
      <w:start w:val="1"/>
    </w:lvl>
  </w:abstractNum>
  <w:abstractNum w:abstractNumId="32">
    <w:nsid w:val="180115BE"/>
    <w:multiLevelType w:val="hybridMultilevel"/>
    <w:lvl w:ilvl="0">
      <w:lvlJc w:val="left"/>
      <w:lvlText w:val="(%1)"/>
      <w:numFmt w:val="lowerLetter"/>
      <w:start w:val="2"/>
    </w:lvl>
  </w:abstractNum>
  <w:abstractNum w:abstractNumId="33">
    <w:nsid w:val="235BA861"/>
    <w:multiLevelType w:val="hybridMultilevel"/>
    <w:lvl w:ilvl="0">
      <w:lvlJc w:val="left"/>
      <w:lvlText w:val="(%1)"/>
      <w:numFmt w:val="lowerLetter"/>
      <w:start w:val="1"/>
    </w:lvl>
  </w:abstractNum>
  <w:abstractNum w:abstractNumId="34">
    <w:nsid w:val="47398C89"/>
    <w:multiLevelType w:val="hybridMultilevel"/>
    <w:lvl w:ilvl="0">
      <w:lvlJc w:val="left"/>
      <w:lvlText w:val="(%1)"/>
      <w:numFmt w:val="lowerRoman"/>
      <w:start w:val="1"/>
    </w:lvl>
  </w:abstractNum>
  <w:abstractNum w:abstractNumId="35">
    <w:nsid w:val="354FE9F9"/>
    <w:multiLevelType w:val="hybridMultilevel"/>
    <w:lvl w:ilvl="0">
      <w:lvlJc w:val="left"/>
      <w:lvlText w:val="(%1)"/>
      <w:numFmt w:val="lowerRoman"/>
      <w:start w:val="6"/>
    </w:lvl>
  </w:abstractNum>
  <w:abstractNum w:abstractNumId="36">
    <w:nsid w:val="15B5AF5C"/>
    <w:multiLevelType w:val="hybridMultilevel"/>
    <w:lvl w:ilvl="0">
      <w:lvlJc w:val="left"/>
      <w:lvlText w:val="(%1)"/>
      <w:numFmt w:val="lowerLetter"/>
      <w:start w:val="1"/>
    </w:lvl>
  </w:abstractNum>
  <w:abstractNum w:abstractNumId="37">
    <w:nsid w:val="741226BB"/>
    <w:multiLevelType w:val="hybridMultilevel"/>
    <w:lvl w:ilvl="0">
      <w:lvlJc w:val="left"/>
      <w:lvlText w:val="(%1)"/>
      <w:numFmt w:val="lowerLetter"/>
      <w:start w:val="8"/>
    </w:lvl>
  </w:abstractNum>
  <w:abstractNum w:abstractNumId="38">
    <w:nsid w:val="D34B6A8"/>
    <w:multiLevelType w:val="hybridMultilevel"/>
    <w:lvl w:ilvl="0">
      <w:lvlJc w:val="left"/>
      <w:lvlText w:val="%1."/>
      <w:numFmt w:val="decimal"/>
      <w:start w:val="2"/>
    </w:lvl>
  </w:abstractNum>
  <w:abstractNum w:abstractNumId="39">
    <w:nsid w:val="10233C99"/>
    <w:multiLevelType w:val="hybridMultilevel"/>
    <w:lvl w:ilvl="0">
      <w:lvlJc w:val="left"/>
      <w:lvlText w:val="%1."/>
      <w:numFmt w:val="decimal"/>
      <w:start w:val="3"/>
    </w:lvl>
  </w:abstractNum>
  <w:abstractNum w:abstractNumId="40">
    <w:nsid w:val="3F6AB60F"/>
    <w:multiLevelType w:val="hybridMultilevel"/>
    <w:lvl w:ilvl="0">
      <w:lvlJc w:val="left"/>
      <w:lvlText w:val="(%1)"/>
      <w:numFmt w:val="lowerLetter"/>
      <w:start w:val="1"/>
    </w:lvl>
  </w:abstractNum>
  <w:abstractNum w:abstractNumId="41">
    <w:nsid w:val="61574095"/>
    <w:multiLevelType w:val="hybridMultilevel"/>
    <w:lvl w:ilvl="0">
      <w:lvlJc w:val="left"/>
      <w:lvlText w:val="(%1)"/>
      <w:numFmt w:val="lowerRoman"/>
      <w:start w:val="2"/>
    </w:lvl>
  </w:abstractNum>
  <w:abstractNum w:abstractNumId="42">
    <w:nsid w:val="7E0C57B1"/>
    <w:multiLevelType w:val="hybridMultilevel"/>
    <w:lvl w:ilvl="0">
      <w:lvlJc w:val="left"/>
      <w:lvlText w:val="%1."/>
      <w:numFmt w:val="decimal"/>
      <w:start w:val="4"/>
    </w:lvl>
  </w:abstractNum>
  <w:abstractNum w:abstractNumId="43">
    <w:nsid w:val="77AE35EB"/>
    <w:multiLevelType w:val="hybridMultilevel"/>
    <w:lvl w:ilvl="0">
      <w:lvlJc w:val="left"/>
      <w:lvlText w:val="%1"/>
      <w:numFmt w:val="decimal"/>
      <w:start w:val="1"/>
    </w:lvl>
    <w:lvl w:ilvl="1">
      <w:lvlJc w:val="left"/>
      <w:lvlText w:val="(%2)"/>
      <w:numFmt w:val="lowerLetter"/>
      <w:start w:val="1"/>
    </w:lvl>
  </w:abstractNum>
  <w:abstractNum w:abstractNumId="44">
    <w:nsid w:val="579BE4F1"/>
    <w:multiLevelType w:val="hybridMultilevel"/>
    <w:lvl w:ilvl="0">
      <w:lvlJc w:val="left"/>
      <w:lvlText w:val="(%1)"/>
      <w:numFmt w:val="decimal"/>
      <w:start w:val="9"/>
    </w:lvl>
    <w:lvl w:ilvl="1">
      <w:lvlJc w:val="left"/>
      <w:lvlText w:val="%2"/>
      <w:numFmt w:val="lowerLetter"/>
      <w:start w:val="1"/>
    </w:lvl>
  </w:abstractNum>
  <w:abstractNum w:abstractNumId="45">
    <w:nsid w:val="310C50B3"/>
    <w:multiLevelType w:val="hybridMultilevel"/>
    <w:lvl w:ilvl="0">
      <w:lvlJc w:val="left"/>
      <w:lvlText w:val="(%1)"/>
      <w:numFmt w:val="decimal"/>
      <w:start w:val="9"/>
    </w:lvl>
    <w:lvl w:ilvl="1">
      <w:lvlJc w:val="left"/>
      <w:lvlText w:val="%2"/>
      <w:numFmt w:val="lowerLetter"/>
      <w:start w:val="1"/>
    </w:lvl>
  </w:abstractNum>
  <w:abstractNum w:abstractNumId="46">
    <w:nsid w:val="5FF87E05"/>
    <w:multiLevelType w:val="hybridMultilevel"/>
    <w:lvl w:ilvl="0">
      <w:lvlJc w:val="left"/>
      <w:lvlText w:val="%1."/>
      <w:numFmt w:val="decimal"/>
      <w:start w:val="6"/>
    </w:lvl>
  </w:abstractNum>
  <w:abstractNum w:abstractNumId="47">
    <w:nsid w:val="2F305DEF"/>
    <w:multiLevelType w:val="hybridMultilevel"/>
    <w:lvl w:ilvl="0">
      <w:lvlJc w:val="left"/>
      <w:lvlText w:val="%1."/>
      <w:numFmt w:val="decimal"/>
      <w:start w:val="7"/>
    </w:lvl>
  </w:abstractNum>
  <w:abstractNum w:abstractNumId="48">
    <w:nsid w:val="25A70BF7"/>
    <w:multiLevelType w:val="hybridMultilevel"/>
    <w:lvl w:ilvl="0">
      <w:lvlJc w:val="left"/>
      <w:lvlText w:val="%1."/>
      <w:numFmt w:val="decimal"/>
      <w:start w:val="10"/>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2"/>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3"/>
    </w:lvl>
  </w:abstractNum>
  <w:abstractNum w:abstractNumId="53">
    <w:nsid w:val="5DB70AE5"/>
    <w:multiLevelType w:val="hybridMultilevel"/>
    <w:lvl w:ilvl="0">
      <w:lvlJc w:val="left"/>
      <w:lvlText w:val="%1"/>
      <w:numFmt w:val="lowerRoman"/>
      <w:start w:val="1"/>
    </w:lvl>
    <w:lvl w:ilvl="1">
      <w:lvlJc w:val="left"/>
      <w:lvlText w:val="%2."/>
      <w:numFmt w:val="decimal"/>
      <w:start w:val="1"/>
    </w:lvl>
  </w:abstractNum>
  <w:abstractNum w:abstractNumId="54">
    <w:nsid w:val="100F8FCA"/>
    <w:multiLevelType w:val="hybridMultilevel"/>
    <w:lvl w:ilvl="0">
      <w:lvlJc w:val="left"/>
      <w:lvlText w:val="(%1)"/>
      <w:numFmt w:val="lowerRoman"/>
      <w:start w:val="4"/>
    </w:lvl>
    <w:lvl w:ilvl="1">
      <w:lvlJc w:val="left"/>
      <w:lvlText w:val="%2."/>
      <w:numFmt w:val="decimal"/>
      <w:start w:val="5"/>
    </w:lvl>
  </w:abstractNum>
  <w:abstractNum w:abstractNumId="55">
    <w:nsid w:val="6590700B"/>
    <w:multiLevelType w:val="hybridMultilevel"/>
    <w:lvl w:ilvl="0">
      <w:lvlJc w:val="left"/>
      <w:lvlText w:val="%1."/>
      <w:numFmt w:val="decimal"/>
      <w:start w:val="6"/>
    </w:lvl>
  </w:abstractNum>
  <w:abstractNum w:abstractNumId="56">
    <w:nsid w:val="15014ACB"/>
    <w:multiLevelType w:val="hybridMultilevel"/>
    <w:lvl w:ilvl="0">
      <w:lvlJc w:val="left"/>
      <w:lvlText w:val="(%1)"/>
      <w:numFmt w:val="lowerRoman"/>
      <w:start w:val="1"/>
    </w:lvl>
  </w:abstractNum>
  <w:abstractNum w:abstractNumId="57">
    <w:nsid w:val="5F5E7FD0"/>
    <w:multiLevelType w:val="hybridMultilevel"/>
    <w:lvl w:ilvl="0">
      <w:lvlJc w:val="left"/>
      <w:lvlText w:val="(%1)"/>
      <w:numFmt w:val="lowerRoman"/>
      <w:start w:val="1"/>
    </w:lvl>
  </w:abstractNum>
  <w:abstractNum w:abstractNumId="58">
    <w:nsid w:val="98A3148"/>
    <w:multiLevelType w:val="hybridMultilevel"/>
    <w:lvl w:ilvl="0">
      <w:lvlJc w:val="left"/>
      <w:lvlText w:val="(%1)"/>
      <w:numFmt w:val="lowerLetter"/>
      <w:start w:val="1"/>
    </w:lvl>
  </w:abstractNum>
  <w:abstractNum w:abstractNumId="59">
    <w:nsid w:val="799D0247"/>
    <w:multiLevelType w:val="hybridMultilevel"/>
    <w:lvl w:ilvl="0">
      <w:lvlJc w:val="left"/>
      <w:lvlText w:val="(%1)"/>
      <w:numFmt w:val="lowerRoman"/>
      <w:start w:val="3"/>
    </w:lvl>
  </w:abstractNum>
  <w:abstractNum w:abstractNumId="60">
    <w:nsid w:val="6B94764"/>
    <w:multiLevelType w:val="hybridMultilevel"/>
    <w:lvl w:ilvl="0">
      <w:lvlJc w:val="left"/>
      <w:lvlText w:val="(%1)"/>
      <w:numFmt w:val="lowerRoman"/>
      <w:start w:val="1"/>
    </w:lvl>
  </w:abstractNum>
  <w:abstractNum w:abstractNumId="61">
    <w:nsid w:val="42C296BD"/>
    <w:multiLevelType w:val="hybridMultilevel"/>
    <w:lvl w:ilvl="0">
      <w:lvlJc w:val="left"/>
      <w:lvlText w:val="(%1)"/>
      <w:numFmt w:val="lowerLetter"/>
      <w:start w:val="1"/>
    </w:lvl>
  </w:abstractNum>
  <w:abstractNum w:abstractNumId="62">
    <w:nsid w:val="168E121F"/>
    <w:multiLevelType w:val="hybridMultilevel"/>
    <w:lvl w:ilvl="0">
      <w:lvlJc w:val="left"/>
      <w:lvlText w:val="(%1)"/>
      <w:numFmt w:val="lowerLetter"/>
      <w:start w:val="2"/>
    </w:lvl>
  </w:abstractNum>
  <w:abstractNum w:abstractNumId="63">
    <w:nsid w:val="1EBA5D23"/>
    <w:multiLevelType w:val="hybridMultilevel"/>
    <w:lvl w:ilvl="0">
      <w:lvlJc w:val="left"/>
      <w:lvlText w:val="%1"/>
      <w:numFmt w:val="decimal"/>
      <w:start w:val="1"/>
    </w:lvl>
    <w:lvl w:ilvl="1">
      <w:lvlJc w:val="left"/>
      <w:lvlText w:val="(%2)"/>
      <w:numFmt w:val="lowerLetter"/>
      <w:start w:val="35"/>
    </w:lvl>
  </w:abstractNum>
  <w:abstractNum w:abstractNumId="64">
    <w:nsid w:val="661E3F1E"/>
    <w:multiLevelType w:val="hybridMultilevel"/>
    <w:lvl w:ilvl="0">
      <w:lvlJc w:val="left"/>
      <w:lvlText w:val="(%1)"/>
      <w:numFmt w:val="decimal"/>
      <w:start w:val="1"/>
    </w:lvl>
    <w:lvl w:ilvl="1">
      <w:lvlJc w:val="left"/>
      <w:lvlText w:val="(%2)"/>
      <w:numFmt w:val="lowerLetter"/>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2"/>
    </w:lvl>
  </w:abstractNum>
  <w:abstractNum w:abstractNumId="67">
    <w:nsid w:val="7BD3EE7B"/>
    <w:multiLevelType w:val="hybridMultilevel"/>
    <w:lvl w:ilvl="0">
      <w:lvlJc w:val="left"/>
      <w:lvlText w:val="(%1)"/>
      <w:numFmt w:val="lowerLetter"/>
      <w:start w:val="3"/>
    </w:lvl>
  </w:abstractNum>
  <w:abstractNum w:abstractNumId="68">
    <w:nsid w:val="51D9C564"/>
    <w:multiLevelType w:val="hybridMultilevel"/>
    <w:lvl w:ilvl="0">
      <w:lvlJc w:val="left"/>
      <w:lvlText w:val="(%1)"/>
      <w:numFmt w:val="lowerRoman"/>
      <w:start w:val="3"/>
    </w:lvl>
  </w:abstractNum>
  <w:abstractNum w:abstractNumId="69">
    <w:nsid w:val="613EFDC5"/>
    <w:multiLevelType w:val="hybridMultilevel"/>
    <w:lvl w:ilvl="0">
      <w:lvlJc w:val="left"/>
      <w:lvlText w:val="(%1)"/>
      <w:numFmt w:val="lowerLetter"/>
      <w:start w:val="1"/>
    </w:lvl>
  </w:abstractNum>
  <w:abstractNum w:abstractNumId="70">
    <w:nsid w:val="BF72B14"/>
    <w:multiLevelType w:val="hybridMultilevel"/>
    <w:lvl w:ilvl="0">
      <w:lvlJc w:val="left"/>
      <w:lvlText w:val="(%1)"/>
      <w:numFmt w:val="lowerLetter"/>
      <w:start w:val="2"/>
    </w:lvl>
  </w:abstractNum>
  <w:abstractNum w:abstractNumId="71">
    <w:nsid w:val="11447B73"/>
    <w:multiLevelType w:val="hybridMultilevel"/>
    <w:lvl w:ilvl="0">
      <w:lvlJc w:val="left"/>
      <w:lvlText w:val="(%1)"/>
      <w:numFmt w:val="lowerRoman"/>
      <w:start w:val="4"/>
    </w:lvl>
  </w:abstractNum>
  <w:abstractNum w:abstractNumId="72">
    <w:nsid w:val="42963E5A"/>
    <w:multiLevelType w:val="hybridMultilevel"/>
    <w:lvl w:ilvl="0">
      <w:lvlJc w:val="left"/>
      <w:lvlText w:val="(%1)"/>
      <w:numFmt w:val="lowerRoman"/>
      <w:start w:val="1"/>
    </w:lvl>
  </w:abstractNum>
  <w:abstractNum w:abstractNumId="73">
    <w:nsid w:val="A0382C5"/>
    <w:multiLevelType w:val="hybridMultilevel"/>
    <w:lvl w:ilvl="0">
      <w:lvlJc w:val="left"/>
      <w:lvlText w:val="(%1)"/>
      <w:numFmt w:val="lowerRoman"/>
      <w:start w:val="1"/>
    </w:lvl>
  </w:abstractNum>
  <w:abstractNum w:abstractNumId="74">
    <w:nsid w:val="8F2B15E"/>
    <w:multiLevelType w:val="hybridMultilevel"/>
    <w:lvl w:ilvl="0">
      <w:lvlJc w:val="left"/>
      <w:lvlText w:val="(%1)"/>
      <w:numFmt w:val="lowerRoman"/>
      <w:start w:val="1"/>
    </w:lvl>
  </w:abstractNum>
  <w:abstractNum w:abstractNumId="75">
    <w:nsid w:val="1A32234B"/>
    <w:multiLevelType w:val="hybridMultilevel"/>
    <w:lvl w:ilvl="0">
      <w:lvlJc w:val="left"/>
      <w:lvlText w:val="(%1)"/>
      <w:numFmt w:val="lowerRoman"/>
      <w:start w:val="1"/>
    </w:lvl>
  </w:abstractNum>
  <w:abstractNum w:abstractNumId="76">
    <w:nsid w:val="3B0FD379"/>
    <w:multiLevelType w:val="hybridMultilevel"/>
    <w:lvl w:ilvl="0">
      <w:lvlJc w:val="left"/>
      <w:lvlText w:val="(%1)"/>
      <w:numFmt w:val="lowerRoman"/>
      <w:start w:val="1"/>
    </w:lvl>
  </w:abstractNum>
  <w:abstractNum w:abstractNumId="77">
    <w:nsid w:val="68EB2F63"/>
    <w:multiLevelType w:val="hybridMultilevel"/>
    <w:lvl w:ilvl="0">
      <w:lvlJc w:val="left"/>
      <w:lvlText w:val="(%1)"/>
      <w:numFmt w:val="lowerRoman"/>
      <w:start w:val="4"/>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2"/>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34" Type="http://schemas.openxmlformats.org/officeDocument/2006/relationships/hyperlink" Target="http://www.sec.gov/Archives/edgar/data/1467623/000119312518078140/d451946dex34.htm" TargetMode="External"/><Relationship Id="rId35" Type="http://schemas.openxmlformats.org/officeDocument/2006/relationships/hyperlink" Target="http://www.sec.gov/Archives/edgar/data/1467623/000119312518078140/d451946dex41.htm" TargetMode="External"/><Relationship Id="rId36" Type="http://schemas.openxmlformats.org/officeDocument/2006/relationships/hyperlink" Target="http://www.sec.gov/Archives/edgar/data/1467623/000119312518055809/d451946dex42.htm" TargetMode="External"/><Relationship Id="rId37" Type="http://schemas.openxmlformats.org/officeDocument/2006/relationships/hyperlink" Target="http://www.sec.gov/Archives/edgar/data/1467623/000119312518055809/d451946dex101.htm" TargetMode="External"/><Relationship Id="rId38" Type="http://schemas.openxmlformats.org/officeDocument/2006/relationships/hyperlink" Target="http://www.sec.gov/Archives/edgar/data/1467623/000119312518089786/d553522dex102.htm" TargetMode="External"/><Relationship Id="rId39" Type="http://schemas.openxmlformats.org/officeDocument/2006/relationships/hyperlink" Target="http://www.sec.gov/Archives/edgar/data/1467623/000119312518089786/d553522dex103.htm" TargetMode="External"/><Relationship Id="rId40" Type="http://schemas.openxmlformats.org/officeDocument/2006/relationships/hyperlink" Target="http://www.sec.gov/Archives/edgar/data/1467623/000119312518089786/d553522dex104.htm" TargetMode="External"/><Relationship Id="rId41" Type="http://schemas.openxmlformats.org/officeDocument/2006/relationships/hyperlink" Target="http://www.sec.gov/Archives/edgar/data/1467623/000119312518089786/d553522dex105.htm" TargetMode="External"/><Relationship Id="rId42" Type="http://schemas.openxmlformats.org/officeDocument/2006/relationships/hyperlink" Target="http://www.sec.gov/Archives/edgar/data/1467623/000119312518055809/d451946dex108.htm" TargetMode="External"/><Relationship Id="rId43" Type="http://schemas.openxmlformats.org/officeDocument/2006/relationships/hyperlink" Target="http://www.sec.gov/Archives/edgar/data/1467623/000119312518055809/d451946dex1011.htm" TargetMode="External"/><Relationship Id="rId44" Type="http://schemas.openxmlformats.org/officeDocument/2006/relationships/hyperlink" Target="http://www.sec.gov/Archives/edgar/data/1467623/000119312518078140/d451946dex1012.htm" TargetMode="External"/><Relationship Id="rId45" Type="http://schemas.openxmlformats.org/officeDocument/2006/relationships/hyperlink" Target="http://www.sec.gov/Archives/edgar/data/1467623/000119312518078140/d451946dex1013.htm" TargetMode="External"/><Relationship Id="rId46" Type="http://schemas.openxmlformats.org/officeDocument/2006/relationships/hyperlink" Target="http://www.sec.gov/Archives/edgar/data/1467623/000119312518078140/d451946dex1014.htm" TargetMode="External"/><Relationship Id="rId47" Type="http://schemas.openxmlformats.org/officeDocument/2006/relationships/hyperlink" Target="http://www.sec.gov/Archives/edgar/data/1467623/000119312518055809/d451946dex1021.htm" TargetMode="External"/><Relationship Id="rId48" Type="http://schemas.openxmlformats.org/officeDocument/2006/relationships/hyperlink" Target="http://www.sec.gov/Archives/edgar/data/1467623/000119312518078140/d451946dex1022.htm" TargetMode="External"/><Relationship Id="rId49" Type="http://schemas.openxmlformats.org/officeDocument/2006/relationships/hyperlink" Target="http://www.sec.gov/Archives/edgar/data/1467623/000119312518078140/d451946d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2019-12-28T22:25:42Z</dcterms:created>
  <dcterms:modified xsi:type="dcterms:W3CDTF">2019-12-28T22:25:42Z</dcterms:modified>
</cp:coreProperties>
</file>