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001-38434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26-0138832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930-7766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Layout w:type="fixed"/>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August 5, 2024, there were 245,866,446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348,058 shares of Class A common stock subject to restricted stock awards that were granted to other Dropbox executives and vest upon the satisfaction of a service condition and as applicable, achievement of certain stock price goals), 79,551,154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prevent security breaches and our liability or other potential legal, regulatory, or reputational consequences of any unauthorized access to our data or our customer data, including the impact of the incident we experienced in April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expectations regarding general economic, political, and market trends and their respective impacts on our business;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the potential impacts of a more permanent global shift to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retain, integrate, and manage key and other highly qualified personnel, including in light of our workforce reduction in April 2023 and as a result of our Virtual First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Acquisitions of companies and assets.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rate of growth has declined in past periods. If we do not successfully execute our plan for future growth, our growth rate may continue to decline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limited history of operating with a Virtual First workforce and the long-term impact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Servicing our 2026 Notes and 2028 Notes (as defined below)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0"/>
        <w:gridCol w:w="253"/>
        <w:gridCol w:w="2965"/>
        <w:gridCol w:w="2965"/>
        <w:gridCol w:w="2971"/>
        <w:gridCol w:w="149"/>
        <w:gridCol w:w="149"/>
        <w:gridCol w:w="217"/>
      </w:tblGrid>
      <w:tr>
        <w:trPr/>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fd6dd01d3964676a1c3fc1d1d06b4ff_13">
              <w:r>
                <w:rPr>
                  <w:rStyle w:val="InternetLink"/>
                  <w:rFonts w:ascii="Times New Roman;sans-serif" w:hAnsi="Times New Roman;sans-serif"/>
                  <w:b w:val="false"/>
                  <w:color w:val="0000FF"/>
                  <w:sz w:val="18"/>
                  <w:u w:val="single"/>
                </w:rPr>
                <w:t>PART I. 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9">
              <w:r>
                <w:rPr>
                  <w:rStyle w:val="InternetLink"/>
                  <w:rFonts w:ascii="Times New Roman;sans-serif" w:hAnsi="Times New Roman;sans-serif"/>
                  <w:b w:val="false"/>
                  <w:color w:val="0000FF"/>
                  <w:sz w:val="18"/>
                  <w:u w:val="single"/>
                </w:rPr>
                <w:t>Condensed Consolidated 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6">
              <w:r>
                <w:rPr>
                  <w:rStyle w:val="InternetLink"/>
                  <w:rFonts w:ascii="Times New Roman;sans-serif" w:hAnsi="Times New Roman;sans-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9">
              <w:r>
                <w:rPr>
                  <w:rStyle w:val="InternetLink"/>
                  <w:rFonts w:ascii="Times New Roman;sans-serif" w:hAnsi="Times New Roman;sans-serif"/>
                  <w:b w:val="false"/>
                  <w:color w:val="000080"/>
                  <w:sz w:val="18"/>
                  <w:u w:val="single"/>
                </w:rPr>
                <w:t xml:space="preserve">Condensed Consolidated Balance Sheets as of </w:t>
              </w:r>
            </w:hyperlink>
            <w:hyperlink w:anchor="iafd6dd01d3964676a1c3fc1d1d06b4ff_19">
              <w:r>
                <w:rPr>
                  <w:rStyle w:val="InternetLink"/>
                  <w:rFonts w:ascii="Times New Roman;sans-serif" w:hAnsi="Times New Roman;sans-serif"/>
                  <w:b w:val="false"/>
                  <w:color w:val="000080"/>
                  <w:sz w:val="18"/>
                  <w:u w:val="single"/>
                </w:rPr>
                <w:t>June</w:t>
              </w:r>
            </w:hyperlink>
            <w:hyperlink w:anchor="iafd6dd01d3964676a1c3fc1d1d06b4ff_19">
              <w:r>
                <w:rPr>
                  <w:rStyle w:val="InternetLink"/>
                  <w:rFonts w:ascii="Times New Roman;sans-serif" w:hAnsi="Times New Roman;sans-serif"/>
                  <w:b w:val="false"/>
                  <w:color w:val="000080"/>
                  <w:sz w:val="18"/>
                  <w:u w:val="single"/>
                </w:rPr>
                <w:t xml:space="preserve"> 3</w:t>
              </w:r>
            </w:hyperlink>
            <w:hyperlink w:anchor="iafd6dd01d3964676a1c3fc1d1d06b4ff_19">
              <w:r>
                <w:rPr>
                  <w:rStyle w:val="InternetLink"/>
                  <w:rFonts w:ascii="Times New Roman;sans-serif" w:hAnsi="Times New Roman;sans-serif"/>
                  <w:b w:val="false"/>
                  <w:color w:val="000080"/>
                  <w:sz w:val="18"/>
                  <w:u w:val="single"/>
                </w:rPr>
                <w:t>0</w:t>
              </w:r>
            </w:hyperlink>
            <w:hyperlink w:anchor="iafd6dd01d3964676a1c3fc1d1d06b4ff_19">
              <w:r>
                <w:rPr>
                  <w:rStyle w:val="InternetLink"/>
                  <w:rFonts w:ascii="Times New Roman;sans-serif" w:hAnsi="Times New Roman;sans-serif"/>
                  <w:b w:val="false"/>
                  <w:color w:val="000080"/>
                  <w:sz w:val="18"/>
                  <w:u w:val="single"/>
                </w:rPr>
                <w:t>, 2024 and December 31,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9">
              <w:r>
                <w:rPr>
                  <w:rStyle w:val="InternetLink"/>
                  <w:rFonts w:ascii="Times New Roman;sans-serif" w:hAnsi="Times New Roman;sans-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22">
              <w:r>
                <w:rPr>
                  <w:rStyle w:val="InternetLink"/>
                  <w:rFonts w:ascii="Times New Roman;sans-serif" w:hAnsi="Times New Roman;sans-serif"/>
                  <w:b w:val="false"/>
                  <w:color w:val="000080"/>
                  <w:sz w:val="18"/>
                  <w:u w:val="single"/>
                </w:rPr>
                <w:t>Condensed Consolidated Statements of Operations for the Three</w:t>
              </w:r>
            </w:hyperlink>
            <w:hyperlink w:anchor="iafd6dd01d3964676a1c3fc1d1d06b4ff_22">
              <w:r>
                <w:rPr>
                  <w:rStyle w:val="InternetLink"/>
                  <w:rFonts w:ascii="Times New Roman;sans-serif" w:hAnsi="Times New Roman;sans-serif"/>
                  <w:b w:val="false"/>
                  <w:color w:val="000080"/>
                  <w:sz w:val="18"/>
                  <w:u w:val="single"/>
                </w:rPr>
                <w:t xml:space="preserve"> and Six</w:t>
              </w:r>
            </w:hyperlink>
            <w:hyperlink w:anchor="iafd6dd01d3964676a1c3fc1d1d06b4ff_22">
              <w:r>
                <w:rPr>
                  <w:rStyle w:val="InternetLink"/>
                  <w:rFonts w:ascii="Times New Roman;sans-serif" w:hAnsi="Times New Roman;sans-serif"/>
                  <w:b w:val="false"/>
                  <w:color w:val="000080"/>
                  <w:sz w:val="18"/>
                  <w:u w:val="single"/>
                </w:rPr>
                <w:t xml:space="preserve"> Months Ended </w:t>
              </w:r>
            </w:hyperlink>
            <w:hyperlink w:anchor="iafd6dd01d3964676a1c3fc1d1d06b4ff_22">
              <w:r>
                <w:rPr>
                  <w:rStyle w:val="InternetLink"/>
                  <w:rFonts w:ascii="Times New Roman;sans-serif" w:hAnsi="Times New Roman;sans-serif"/>
                  <w:b w:val="false"/>
                  <w:color w:val="000080"/>
                  <w:sz w:val="18"/>
                  <w:u w:val="single"/>
                </w:rPr>
                <w:t>June</w:t>
              </w:r>
            </w:hyperlink>
            <w:hyperlink w:anchor="iafd6dd01d3964676a1c3fc1d1d06b4ff_22">
              <w:r>
                <w:rPr>
                  <w:rStyle w:val="InternetLink"/>
                  <w:rFonts w:ascii="Times New Roman;sans-serif" w:hAnsi="Times New Roman;sans-serif"/>
                  <w:b w:val="false"/>
                  <w:color w:val="000080"/>
                  <w:sz w:val="18"/>
                  <w:u w:val="single"/>
                </w:rPr>
                <w:t xml:space="preserve"> 3</w:t>
              </w:r>
            </w:hyperlink>
            <w:hyperlink w:anchor="iafd6dd01d3964676a1c3fc1d1d06b4ff_22">
              <w:r>
                <w:rPr>
                  <w:rStyle w:val="InternetLink"/>
                  <w:rFonts w:ascii="Times New Roman;sans-serif" w:hAnsi="Times New Roman;sans-serif"/>
                  <w:b w:val="false"/>
                  <w:color w:val="000080"/>
                  <w:sz w:val="18"/>
                  <w:u w:val="single"/>
                </w:rPr>
                <w:t>0</w:t>
              </w:r>
            </w:hyperlink>
            <w:hyperlink w:anchor="iafd6dd01d3964676a1c3fc1d1d06b4ff_22">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22">
              <w:r>
                <w:rPr>
                  <w:rStyle w:val="InternetLink"/>
                  <w:rFonts w:ascii="Times New Roman;sans-serif" w:hAnsi="Times New Roman;sans-serif"/>
                  <w:b w:val="false"/>
                  <w:color w:val="0000FF"/>
                  <w:sz w:val="18"/>
                  <w:u w:val="single"/>
                </w:rPr>
                <w:t>7</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28">
              <w:r>
                <w:rPr>
                  <w:rStyle w:val="InternetLink"/>
                  <w:rFonts w:ascii="Times New Roman;sans-serif" w:hAnsi="Times New Roman;sans-serif"/>
                  <w:b w:val="false"/>
                  <w:color w:val="000080"/>
                  <w:sz w:val="18"/>
                  <w:u w:val="single"/>
                </w:rPr>
                <w:t>Condensed Consolidated Statements of Comprehensive Income for the Three</w:t>
              </w:r>
            </w:hyperlink>
            <w:hyperlink w:anchor="iafd6dd01d3964676a1c3fc1d1d06b4ff_28">
              <w:r>
                <w:rPr>
                  <w:rStyle w:val="InternetLink"/>
                  <w:rFonts w:ascii="Times New Roman;sans-serif" w:hAnsi="Times New Roman;sans-serif"/>
                  <w:b w:val="false"/>
                  <w:color w:val="000080"/>
                  <w:sz w:val="18"/>
                  <w:u w:val="single"/>
                </w:rPr>
                <w:t xml:space="preserve"> and Six</w:t>
              </w:r>
            </w:hyperlink>
            <w:hyperlink w:anchor="iafd6dd01d3964676a1c3fc1d1d06b4ff_28">
              <w:r>
                <w:rPr>
                  <w:rStyle w:val="InternetLink"/>
                  <w:rFonts w:ascii="Times New Roman;sans-serif" w:hAnsi="Times New Roman;sans-serif"/>
                  <w:b w:val="false"/>
                  <w:color w:val="000080"/>
                  <w:sz w:val="18"/>
                  <w:u w:val="single"/>
                </w:rPr>
                <w:t xml:space="preserve"> Months Ended </w:t>
              </w:r>
            </w:hyperlink>
            <w:hyperlink w:anchor="iafd6dd01d3964676a1c3fc1d1d06b4ff_28">
              <w:r>
                <w:rPr>
                  <w:rStyle w:val="InternetLink"/>
                  <w:rFonts w:ascii="Times New Roman;sans-serif" w:hAnsi="Times New Roman;sans-serif"/>
                  <w:b w:val="false"/>
                  <w:color w:val="000080"/>
                  <w:sz w:val="18"/>
                  <w:u w:val="single"/>
                </w:rPr>
                <w:t>June</w:t>
              </w:r>
            </w:hyperlink>
            <w:hyperlink w:anchor="iafd6dd01d3964676a1c3fc1d1d06b4ff_28">
              <w:r>
                <w:rPr>
                  <w:rStyle w:val="InternetLink"/>
                  <w:rFonts w:ascii="Times New Roman;sans-serif" w:hAnsi="Times New Roman;sans-serif"/>
                  <w:b w:val="false"/>
                  <w:color w:val="000080"/>
                  <w:sz w:val="18"/>
                  <w:u w:val="single"/>
                </w:rPr>
                <w:t xml:space="preserve"> 3</w:t>
              </w:r>
            </w:hyperlink>
            <w:hyperlink w:anchor="iafd6dd01d3964676a1c3fc1d1d06b4ff_28">
              <w:r>
                <w:rPr>
                  <w:rStyle w:val="InternetLink"/>
                  <w:rFonts w:ascii="Times New Roman;sans-serif" w:hAnsi="Times New Roman;sans-serif"/>
                  <w:b w:val="false"/>
                  <w:color w:val="000080"/>
                  <w:sz w:val="18"/>
                  <w:u w:val="single"/>
                </w:rPr>
                <w:t>0</w:t>
              </w:r>
            </w:hyperlink>
            <w:hyperlink w:anchor="iafd6dd01d3964676a1c3fc1d1d06b4ff_28">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28">
              <w:r>
                <w:rPr>
                  <w:rStyle w:val="InternetLink"/>
                  <w:rFonts w:ascii="Times New Roman;sans-serif" w:hAnsi="Times New Roman;sans-serif"/>
                  <w:b w:val="false"/>
                  <w:color w:val="0000FF"/>
                  <w:sz w:val="18"/>
                  <w:u w:val="single"/>
                </w:rPr>
                <w:t>8</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31">
              <w:r>
                <w:rPr>
                  <w:rStyle w:val="InternetLink"/>
                  <w:rFonts w:ascii="Times New Roman;sans-serif" w:hAnsi="Times New Roman;sans-serif"/>
                  <w:b w:val="false"/>
                  <w:color w:val="000080"/>
                  <w:sz w:val="18"/>
                  <w:u w:val="single"/>
                </w:rPr>
                <w:t xml:space="preserve">Condensed Consolidated Statements of Stockholders' Deficit for the Three </w:t>
              </w:r>
            </w:hyperlink>
            <w:hyperlink w:anchor="iafd6dd01d3964676a1c3fc1d1d06b4ff_31">
              <w:r>
                <w:rPr>
                  <w:rStyle w:val="InternetLink"/>
                  <w:rFonts w:ascii="Times New Roman;sans-serif" w:hAnsi="Times New Roman;sans-serif"/>
                  <w:b w:val="false"/>
                  <w:color w:val="000080"/>
                  <w:sz w:val="18"/>
                  <w:u w:val="single"/>
                </w:rPr>
                <w:t xml:space="preserve">and Six </w:t>
              </w:r>
            </w:hyperlink>
            <w:hyperlink w:anchor="iafd6dd01d3964676a1c3fc1d1d06b4ff_31">
              <w:r>
                <w:rPr>
                  <w:rStyle w:val="InternetLink"/>
                  <w:rFonts w:ascii="Times New Roman;sans-serif" w:hAnsi="Times New Roman;sans-serif"/>
                  <w:b w:val="false"/>
                  <w:color w:val="000080"/>
                  <w:sz w:val="18"/>
                  <w:u w:val="single"/>
                </w:rPr>
                <w:t xml:space="preserve">Months Ended </w:t>
              </w:r>
            </w:hyperlink>
            <w:hyperlink w:anchor="iafd6dd01d3964676a1c3fc1d1d06b4ff_31">
              <w:r>
                <w:rPr>
                  <w:rStyle w:val="InternetLink"/>
                  <w:rFonts w:ascii="Times New Roman;sans-serif" w:hAnsi="Times New Roman;sans-serif"/>
                  <w:b w:val="false"/>
                  <w:color w:val="000080"/>
                  <w:sz w:val="18"/>
                  <w:u w:val="single"/>
                </w:rPr>
                <w:t>June</w:t>
              </w:r>
            </w:hyperlink>
            <w:hyperlink w:anchor="iafd6dd01d3964676a1c3fc1d1d06b4ff_31">
              <w:r>
                <w:rPr>
                  <w:rStyle w:val="InternetLink"/>
                  <w:rFonts w:ascii="Times New Roman;sans-serif" w:hAnsi="Times New Roman;sans-serif"/>
                  <w:b w:val="false"/>
                  <w:color w:val="000080"/>
                  <w:sz w:val="18"/>
                  <w:u w:val="single"/>
                </w:rPr>
                <w:t xml:space="preserve"> 3</w:t>
              </w:r>
            </w:hyperlink>
            <w:hyperlink w:anchor="iafd6dd01d3964676a1c3fc1d1d06b4ff_31">
              <w:r>
                <w:rPr>
                  <w:rStyle w:val="InternetLink"/>
                  <w:rFonts w:ascii="Times New Roman;sans-serif" w:hAnsi="Times New Roman;sans-serif"/>
                  <w:b w:val="false"/>
                  <w:color w:val="000080"/>
                  <w:sz w:val="18"/>
                  <w:u w:val="single"/>
                </w:rPr>
                <w:t>0</w:t>
              </w:r>
            </w:hyperlink>
            <w:hyperlink w:anchor="iafd6dd01d3964676a1c3fc1d1d06b4ff_31">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31">
              <w:r>
                <w:rPr>
                  <w:rStyle w:val="InternetLink"/>
                  <w:rFonts w:ascii="Times New Roman;sans-serif" w:hAnsi="Times New Roman;sans-serif"/>
                  <w:b w:val="false"/>
                  <w:color w:val="0000FF"/>
                  <w:sz w:val="18"/>
                  <w:u w:val="single"/>
                </w:rPr>
                <w:t>9</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34">
              <w:r>
                <w:rPr>
                  <w:rStyle w:val="InternetLink"/>
                  <w:rFonts w:ascii="Times New Roman;sans-serif" w:hAnsi="Times New Roman;sans-serif"/>
                  <w:b w:val="false"/>
                  <w:color w:val="000080"/>
                  <w:sz w:val="18"/>
                  <w:u w:val="single"/>
                </w:rPr>
                <w:t xml:space="preserve">Condensed Consolidated Statements of Cash Flows for the </w:t>
              </w:r>
            </w:hyperlink>
            <w:hyperlink w:anchor="iafd6dd01d3964676a1c3fc1d1d06b4ff_34">
              <w:r>
                <w:rPr>
                  <w:rStyle w:val="InternetLink"/>
                  <w:rFonts w:ascii="Times New Roman;sans-serif" w:hAnsi="Times New Roman;sans-serif"/>
                  <w:b w:val="false"/>
                  <w:color w:val="000080"/>
                  <w:sz w:val="18"/>
                  <w:u w:val="single"/>
                </w:rPr>
                <w:t>Six</w:t>
              </w:r>
            </w:hyperlink>
            <w:hyperlink w:anchor="iafd6dd01d3964676a1c3fc1d1d06b4ff_34">
              <w:r>
                <w:rPr>
                  <w:rStyle w:val="InternetLink"/>
                  <w:rFonts w:ascii="Times New Roman;sans-serif" w:hAnsi="Times New Roman;sans-serif"/>
                  <w:b w:val="false"/>
                  <w:color w:val="000080"/>
                  <w:sz w:val="18"/>
                  <w:u w:val="single"/>
                </w:rPr>
                <w:t xml:space="preserve"> Months Ended </w:t>
              </w:r>
            </w:hyperlink>
            <w:hyperlink w:anchor="iafd6dd01d3964676a1c3fc1d1d06b4ff_34">
              <w:r>
                <w:rPr>
                  <w:rStyle w:val="InternetLink"/>
                  <w:rFonts w:ascii="Times New Roman;sans-serif" w:hAnsi="Times New Roman;sans-serif"/>
                  <w:b w:val="false"/>
                  <w:color w:val="000080"/>
                  <w:sz w:val="18"/>
                  <w:u w:val="single"/>
                </w:rPr>
                <w:t>June</w:t>
              </w:r>
            </w:hyperlink>
            <w:hyperlink w:anchor="iafd6dd01d3964676a1c3fc1d1d06b4ff_34">
              <w:r>
                <w:rPr>
                  <w:rStyle w:val="InternetLink"/>
                  <w:rFonts w:ascii="Times New Roman;sans-serif" w:hAnsi="Times New Roman;sans-serif"/>
                  <w:b w:val="false"/>
                  <w:color w:val="000080"/>
                  <w:sz w:val="18"/>
                  <w:u w:val="single"/>
                </w:rPr>
                <w:t xml:space="preserve"> </w:t>
              </w:r>
            </w:hyperlink>
            <w:hyperlink w:anchor="iafd6dd01d3964676a1c3fc1d1d06b4ff_34">
              <w:r>
                <w:rPr>
                  <w:rStyle w:val="InternetLink"/>
                  <w:rFonts w:ascii="Times New Roman;sans-serif" w:hAnsi="Times New Roman;sans-serif"/>
                  <w:b w:val="false"/>
                  <w:color w:val="000080"/>
                  <w:sz w:val="18"/>
                  <w:u w:val="single"/>
                </w:rPr>
                <w:t>3</w:t>
              </w:r>
            </w:hyperlink>
            <w:hyperlink w:anchor="iafd6dd01d3964676a1c3fc1d1d06b4ff_34">
              <w:r>
                <w:rPr>
                  <w:rStyle w:val="InternetLink"/>
                  <w:rFonts w:ascii="Times New Roman;sans-serif" w:hAnsi="Times New Roman;sans-serif"/>
                  <w:b w:val="false"/>
                  <w:color w:val="000080"/>
                  <w:sz w:val="18"/>
                  <w:u w:val="single"/>
                </w:rPr>
                <w:t>0</w:t>
              </w:r>
            </w:hyperlink>
            <w:hyperlink w:anchor="iafd6dd01d3964676a1c3fc1d1d06b4ff_34">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34">
              <w:r>
                <w:rPr>
                  <w:rStyle w:val="InternetLink"/>
                  <w:rFonts w:ascii="Times New Roman;sans-serif" w:hAnsi="Times New Roman;sans-serif"/>
                  <w:b w:val="false"/>
                  <w:color w:val="0000FF"/>
                  <w:sz w:val="18"/>
                  <w:u w:val="single"/>
                </w:rPr>
                <w:t>10</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37">
              <w:r>
                <w:rPr>
                  <w:rStyle w:val="InternetLink"/>
                  <w:rFonts w:ascii="Times New Roman;sans-serif" w:hAnsi="Times New Roman;sans-serif"/>
                  <w:b w:val="false"/>
                  <w:color w:val="0000FF"/>
                  <w:sz w:val="18"/>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37">
              <w:r>
                <w:rPr>
                  <w:rStyle w:val="InternetLink"/>
                  <w:rFonts w:ascii="Times New Roman;sans-serif" w:hAnsi="Times New Roman;sans-serif"/>
                  <w:b w:val="false"/>
                  <w:color w:val="0000FF"/>
                  <w:sz w:val="18"/>
                  <w:u w:val="single"/>
                </w:rPr>
                <w:t>11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9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97">
              <w:r>
                <w:rPr>
                  <w:rStyle w:val="InternetLink"/>
                  <w:rFonts w:ascii="Times New Roman;sans-serif" w:hAnsi="Times New Roman;sans-serif"/>
                  <w:b w:val="false"/>
                  <w:color w:val="0000FF"/>
                  <w:sz w:val="18"/>
                  <w:u w:val="single"/>
                </w:rPr>
                <w:t>39</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3.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21">
              <w:r>
                <w:rPr>
                  <w:rStyle w:val="InternetLink"/>
                  <w:rFonts w:ascii="Times New Roman;sans-serif" w:hAnsi="Times New Roman;sans-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21">
              <w:r>
                <w:rPr>
                  <w:rStyle w:val="InternetLink"/>
                  <w:rFonts w:ascii="Times New Roman;sans-serif" w:hAnsi="Times New Roman;sans-serif"/>
                  <w:b w:val="false"/>
                  <w:color w:val="0000FF"/>
                  <w:sz w:val="18"/>
                  <w:u w:val="single"/>
                </w:rPr>
                <w:t>58</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4.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27">
              <w:r>
                <w:rPr>
                  <w:rStyle w:val="InternetLink"/>
                  <w:rFonts w:ascii="Times New Roman;sans-serif" w:hAnsi="Times New Roman;sans-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27">
              <w:r>
                <w:rPr>
                  <w:rStyle w:val="InternetLink"/>
                  <w:rFonts w:ascii="Times New Roman;sans-serif" w:hAnsi="Times New Roman;sans-serif"/>
                  <w:b w:val="false"/>
                  <w:color w:val="0000FF"/>
                  <w:sz w:val="18"/>
                  <w:u w:val="single"/>
                </w:rPr>
                <w:t>59</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fd6dd01d3964676a1c3fc1d1d06b4ff_133">
              <w:r>
                <w:rPr>
                  <w:rStyle w:val="InternetLink"/>
                  <w:rFonts w:ascii="Times New Roman;sans-serif" w:hAnsi="Times New Roman;sans-serif"/>
                  <w:b w:val="false"/>
                  <w:color w:val="0000FF"/>
                  <w:sz w:val="18"/>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36">
              <w:r>
                <w:rPr>
                  <w:rStyle w:val="InternetLink"/>
                  <w:rFonts w:ascii="Times New Roman;sans-serif" w:hAnsi="Times New Roman;sans-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36">
              <w:r>
                <w:rPr>
                  <w:rStyle w:val="InternetLink"/>
                  <w:rFonts w:ascii="Times New Roman;sans-serif" w:hAnsi="Times New Roman;sans-serif"/>
                  <w:b w:val="false"/>
                  <w:color w:val="0000FF"/>
                  <w:sz w:val="18"/>
                  <w:u w:val="single"/>
                </w:rPr>
                <w:t>60</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1A.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39">
              <w:r>
                <w:rPr>
                  <w:rStyle w:val="InternetLink"/>
                  <w:rFonts w:ascii="Times New Roman;sans-serif" w:hAnsi="Times New Roman;sans-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39">
              <w:r>
                <w:rPr>
                  <w:rStyle w:val="InternetLink"/>
                  <w:rFonts w:ascii="Times New Roman;sans-serif" w:hAnsi="Times New Roman;sans-serif"/>
                  <w:b w:val="false"/>
                  <w:color w:val="0000FF"/>
                  <w:sz w:val="18"/>
                  <w:u w:val="single"/>
                </w:rPr>
                <w:t>61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42">
              <w:r>
                <w:rPr>
                  <w:rStyle w:val="InternetLink"/>
                  <w:rFonts w:ascii="Times New Roman;sans-serif" w:hAnsi="Times New Roman;sans-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51">
              <w:r>
                <w:rPr>
                  <w:rStyle w:val="InternetLink"/>
                  <w:rFonts w:ascii="Times New Roman;sans-serif" w:hAnsi="Times New Roman;sans-serif"/>
                  <w:b w:val="false"/>
                  <w:color w:val="0000FF"/>
                  <w:sz w:val="18"/>
                  <w:u w:val="single"/>
                </w:rPr>
                <w:t>92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5.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45">
              <w:r>
                <w:rPr>
                  <w:rStyle w:val="InternetLink"/>
                  <w:rFonts w:ascii="Times New Roman;sans-serif" w:hAnsi="Times New Roman;sans-serif"/>
                  <w:b w:val="false"/>
                  <w:color w:val="0000FF"/>
                  <w:sz w:val="18"/>
                  <w:u w:val="single"/>
                </w:rPr>
                <w:t>Other Information</w:t>
              </w:r>
            </w:hyperlink>
            <w:r>
              <w:rPr>
                <w:color w:val="000000"/>
              </w:rPr>
              <w:t xml:space="preserve">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45">
              <w:r>
                <w:rPr>
                  <w:rStyle w:val="InternetLink"/>
                  <w:rFonts w:ascii="Times New Roman;sans-serif" w:hAnsi="Times New Roman;sans-serif"/>
                  <w:b w:val="false"/>
                  <w:color w:val="0000FF"/>
                  <w:sz w:val="18"/>
                  <w:u w:val="single"/>
                </w:rPr>
                <w:t>92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6.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51">
              <w:r>
                <w:rPr>
                  <w:rStyle w:val="InternetLink"/>
                  <w:rFonts w:ascii="Times New Roman;sans-serif" w:hAnsi="Times New Roman;sans-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51">
              <w:r>
                <w:rPr>
                  <w:rStyle w:val="InternetLink"/>
                  <w:rFonts w:ascii="Times New Roman;sans-serif" w:hAnsi="Times New Roman;sans-serif"/>
                  <w:b w:val="false"/>
                  <w:color w:val="0000FF"/>
                  <w:sz w:val="18"/>
                  <w:u w:val="single"/>
                </w:rPr>
                <w:t>92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54">
              <w:r>
                <w:rPr>
                  <w:rStyle w:val="InternetLink"/>
                  <w:rFonts w:ascii="Times New Roman;sans-serif" w:hAnsi="Times New Roman;sans-serif"/>
                  <w:b w:val="false"/>
                  <w:color w:val="0000FF"/>
                  <w:sz w:val="18"/>
                  <w:u w:val="single"/>
                </w:rPr>
                <w:t>Exhibit Index</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54">
              <w:r>
                <w:rPr>
                  <w:rStyle w:val="InternetLink"/>
                  <w:rFonts w:ascii="Times New Roman;sans-serif" w:hAnsi="Times New Roman;sans-serif"/>
                  <w:b w:val="false"/>
                  <w:color w:val="0000FF"/>
                  <w:sz w:val="18"/>
                  <w:u w:val="single"/>
                </w:rPr>
                <w:t>93</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d6dd01d3964676a1c3fc1d1d06b4ff_157">
              <w:r>
                <w:rPr>
                  <w:rStyle w:val="InternetLink"/>
                  <w:rFonts w:ascii="Times New Roman;sans-serif" w:hAnsi="Times New Roman;sans-serif"/>
                  <w:b w:val="false"/>
                  <w:color w:val="0000FF"/>
                  <w:sz w:val="18"/>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d6dd01d3964676a1c3fc1d1d06b4ff_157">
              <w:r>
                <w:rPr>
                  <w:rStyle w:val="InternetLink"/>
                  <w:rFonts w:ascii="Times New Roman;sans-serif" w:hAnsi="Times New Roman;sans-serif"/>
                  <w:b w:val="false"/>
                  <w:color w:val="0000FF"/>
                  <w:sz w:val="18"/>
                  <w:u w:val="single"/>
                </w:rPr>
                <w:t>94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6897" w:type="dxa"/>
        <w:jc w:val="left"/>
        <w:tblInd w:w="0" w:type="dxa"/>
        <w:tblLayout w:type="fixed"/>
        <w:tblCellMar>
          <w:top w:w="28" w:type="dxa"/>
          <w:left w:w="28" w:type="dxa"/>
          <w:bottom w:w="28" w:type="dxa"/>
          <w:right w:w="28" w:type="dxa"/>
        </w:tblCellMar>
      </w:tblPr>
      <w:tblGrid>
        <w:gridCol w:w="1270"/>
        <w:gridCol w:w="1120"/>
        <w:gridCol w:w="1135"/>
        <w:gridCol w:w="247"/>
        <w:gridCol w:w="900"/>
        <w:gridCol w:w="128"/>
        <w:gridCol w:w="109"/>
        <w:gridCol w:w="109"/>
        <w:gridCol w:w="109"/>
        <w:gridCol w:w="330"/>
        <w:gridCol w:w="1199"/>
        <w:gridCol w:w="241"/>
      </w:tblGrid>
      <w:tr>
        <w:trPr/>
        <w:tc>
          <w:tcPr>
            <w:tcW w:w="12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85"/>
        <w:gridCol w:w="1536"/>
        <w:gridCol w:w="151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share-basic and diluted: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bidi w:val="0"/>
        <w:spacing w:before="20" w:after="283"/>
        <w:jc w:val="left"/>
        <w:rPr/>
      </w:pPr>
      <w:r>
        <w:rPr/>
      </w:r>
    </w:p>
    <w:tbl>
      <w:tblPr>
        <w:tblW w:w="7304" w:type="dxa"/>
        <w:jc w:val="left"/>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the Company's reduction in workforce such as severance, benefits and other related items during the three and six months ended June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the Company's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the Company's former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07"/>
        <w:gridCol w:w="1758"/>
        <w:gridCol w:w="177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200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gains and losses on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51"/>
        <w:gridCol w:w="733"/>
        <w:gridCol w:w="14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51"/>
        <w:gridCol w:w="733"/>
        <w:gridCol w:w="14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29" w:type="dxa"/>
        <w:jc w:val="left"/>
        <w:tblInd w:w="0" w:type="dxa"/>
        <w:tblLayout w:type="fixed"/>
        <w:tblCellMar>
          <w:top w:w="28" w:type="dxa"/>
          <w:left w:w="28" w:type="dxa"/>
          <w:bottom w:w="28" w:type="dxa"/>
          <w:right w:w="28" w:type="dxa"/>
        </w:tblCellMar>
      </w:tblPr>
      <w:tblGrid>
        <w:gridCol w:w="2222"/>
        <w:gridCol w:w="1949"/>
        <w:gridCol w:w="1964"/>
        <w:gridCol w:w="196"/>
        <w:gridCol w:w="556"/>
        <w:gridCol w:w="109"/>
        <w:gridCol w:w="109"/>
        <w:gridCol w:w="109"/>
        <w:gridCol w:w="109"/>
        <w:gridCol w:w="196"/>
        <w:gridCol w:w="55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lease termination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2023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2024 or any future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2023, included in the Company's Annual Report on Form 10-K on file with the SEC ("Annual Report"). </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significant estimates and judgments are related to the valuation of right-of-use and other lease related property and equipment assets as well as income taxes.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useful lives of long-lived assets on an ongoing basis, and effective January 1, 2024, the Company changed the estimate of the useful lives of certain infrastructure server and component assets, which are included in property and equipment, net and are depreciated through cost of revenue, from four to five years. The Company has extended the economic life of these assets in light of recent technological advancements. The effect of this change in estimate during the three months ended June 30, 2024 was a reduction in depreciation expense of $9.0 million, and a benefit to net income of $7.1 million or $0.02 per basic and diluted share. The effect of this change in estimate during the six months ended June 30, 2024 was a reduction in depreciation expense of $19.4 million, and a benefit to net income of $15.2 million or $0.05 per basic and diluted share. The Company estimates that this change in estimate will have a favorable impact to cost of revenue in fiscal year 2024 of approximately $30.5 million. The impact from the change in the Company's estimate was calculated based on assets that existed as of the effective date of the change and applying the revised estimated useful lives prospectively. </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Financial information about segments and geographic areas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14 "Geographic Areas" to the Company's condensed consolidated financial statements included elsewhere in this Quarterly Report on Form 10-Q for information regarding the Company’s long-lived assets and revenue by geography.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three and six months ended June 30, 2024 and 2023, respectively.</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The Company recognized </w:t>
      </w:r>
      <w:r>
        <w:rPr>
          <w:rFonts w:ascii="Times New Roman;sans-serif" w:hAnsi="Times New Roman;sans-serif"/>
          <w:b w:val="false"/>
          <w:color w:val="000000"/>
          <w:sz w:val="20"/>
          <w:shd w:fill="FFFFFF" w:val="clear"/>
        </w:rPr>
        <w:t xml:space="preserve">$348.4 million and </w:t>
      </w:r>
      <w:r>
        <w:rPr>
          <w:rFonts w:ascii="Times New Roman;sans-serif" w:hAnsi="Times New Roman;sans-serif"/>
          <w:b w:val="false"/>
          <w:color w:val="000000"/>
          <w:sz w:val="20"/>
        </w:rPr>
        <w:t>$555.5 million of revenue during the three and six months ended June 30, 2024, respectively, and recognized $341.9 million and $536.7 million of revenue during the three and six months ended June 30, 2023,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As of June 30, 2024, future estimated revenue related to performance obligations that were unsatisfied or partially unsatisfied was </w:t>
      </w:r>
      <w:r>
        <w:rPr>
          <w:rFonts w:ascii="Times New Roman;sans-serif" w:hAnsi="Times New Roman;sans-serif"/>
          <w:b w:val="false"/>
          <w:color w:val="000000"/>
          <w:sz w:val="20"/>
          <w:shd w:fill="FFFFFF" w:val="clear"/>
        </w:rPr>
        <w:t>$818.3</w:t>
      </w:r>
      <w:r>
        <w:rPr>
          <w:color w:val="000000"/>
        </w:rPr>
        <w:t xml:space="preserve"> </w:t>
      </w:r>
      <w:r>
        <w:rPr>
          <w:rFonts w:ascii="Times New Roman;sans-serif" w:hAnsi="Times New Roman;sans-serif"/>
          <w:b w:val="false"/>
          <w:color w:val="000000"/>
          <w:sz w:val="20"/>
        </w:rPr>
        <w:t>million. The substantial majority of the unsatisfied performance obligations will be satisfied over the next twelve months.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awards to its employees, with the exception of restricted stock awards ("RSAs")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11, "Stockholders' Deficit" to the Company's condensed consolidated financial statements included elsewhere in this Quarterly Report on Form 10-Q for further information.</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Reduction in Workforce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announced a reduction of its global workforce by approximately 16% to streamline its team structure in support of its long-term growth and profitability objectives. During the three and six months ended June 30, 2023, the Company incurred $37.5 million in charges in connection with the reduction in workforce, primarily consisting of cash expenditures for severance payments, employee benefits and related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severance charges are included within the Company's condensed consolidated statements of operations for the three and six months ended June 30, 2023 as follows:</w:t>
      </w:r>
    </w:p>
    <w:p>
      <w:pPr>
        <w:pStyle w:val="TextBody"/>
        <w:bidi w:val="0"/>
        <w:spacing w:before="0" w:after="0"/>
        <w:ind w:left="0" w:right="0" w:firstLine="495"/>
        <w:jc w:val="left"/>
        <w:rPr/>
      </w:pPr>
      <w:r>
        <w:rPr/>
      </w:r>
    </w:p>
    <w:tbl>
      <w:tblPr>
        <w:tblW w:w="4874" w:type="dxa"/>
        <w:jc w:val="left"/>
        <w:tblInd w:w="0" w:type="dxa"/>
        <w:tblLayout w:type="fixed"/>
        <w:tblCellMar>
          <w:top w:w="28" w:type="dxa"/>
          <w:left w:w="28" w:type="dxa"/>
          <w:bottom w:w="28" w:type="dxa"/>
          <w:right w:w="28" w:type="dxa"/>
        </w:tblCellMar>
      </w:tblPr>
      <w:tblGrid>
        <w:gridCol w:w="835"/>
        <w:gridCol w:w="736"/>
        <w:gridCol w:w="739"/>
        <w:gridCol w:w="615"/>
        <w:gridCol w:w="1495"/>
        <w:gridCol w:w="4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Severance and Related Costs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Charges</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Short-term investments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2024. As of June 30, 2024 and December 31, 2023,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Trade accounts receivable are typically unsecured and are derived from revenue earned from customers located around the world. Two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11% and 47% of</w:t>
      </w:r>
      <w:r>
        <w:rPr>
          <w:color w:val="000000"/>
          <w:shd w:fill="FFFFFF" w:val="clear"/>
        </w:rPr>
        <w:t xml:space="preserve"> </w:t>
      </w:r>
      <w:r>
        <w:rPr>
          <w:rFonts w:ascii="Times New Roman;sans-serif" w:hAnsi="Times New Roman;sans-serif"/>
          <w:b w:val="false"/>
          <w:color w:val="000000"/>
          <w:sz w:val="20"/>
          <w:shd w:fill="FFFFFF" w:val="clear"/>
        </w:rPr>
        <w:t xml:space="preserve">total trade and other receivables, net as of June 30, 2024.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11% and 43% o</w:t>
      </w:r>
      <w:r>
        <w:rPr>
          <w:rFonts w:ascii="Times New Roman;sans-serif" w:hAnsi="Times New Roman;sans-serif"/>
          <w:b w:val="false"/>
          <w:color w:val="000000"/>
          <w:sz w:val="20"/>
          <w:shd w:fill="FFFFFF" w:val="clear"/>
        </w:rPr>
        <w:t xml:space="preserve">f total trade and other receivables, net as of December 31, 2023. </w:t>
      </w:r>
      <w:r>
        <w:rPr>
          <w:rFonts w:ascii="Times New Roman;sans-serif" w:hAnsi="Times New Roman;sans-serif"/>
          <w:b w:val="false"/>
          <w:color w:val="000000"/>
          <w:sz w:val="20"/>
        </w:rPr>
        <w:t>No customer accounted for more than 10% of the Company’s revenue in the periods presented.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Deferred commissions, net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$7.9 million and $15.5 million during the three and six months ended June 30, 2024, respectively and $6.2 million and $12.3 million during the three and six months ended June 30, 2023,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included in prepaid and other current assets were $23.7 million and $23.4 million as of June 30, 2024 and December 31, 2023, respectively. Deferred commissions, net included in other assets were $22.3 million and $22.0 million as of June 30, 2024 and December 31, 2023,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$7.4 million and $14.9 million for the three and six months ended June 30, 2024, respectively and $10.1 million and $20.8 million for the three and six months ended June 30, 2023,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3"/>
        <w:gridCol w:w="1313"/>
        <w:gridCol w:w="185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Company's Virtual First strategy, Dropbox has retained a portion of its office space for in-person collaboration while the remainder will be subleased. The Company did not recognize any impairment charges during the three and six months ended June 30, 2024, respectively, compared to $2.2 million of impairment charges during the three and six months ended June 30, 2023, respectively, related to right-of-use assets and other lease related property and equipment assets. See Note 8 "Leases" to our condensed consolidated financial statements included elsewhere in the Quarterly Report on Form 10-Q for further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 </w:t>
      </w:r>
    </w:p>
    <w:p>
      <w:pPr>
        <w:pStyle w:val="TextBody"/>
        <w:bidi w:val="0"/>
        <w:spacing w:lineRule="auto" w:line="288" w:before="36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Long-lived assets, including goodwill and other acquired intangible assets, net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at least annually in the fourth quarter, or more frequently if events or changes in circumstances would more likely than not reduce the fair value of its single reporting unit below its carrying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recorded impairment charges on goodwill or intangible assets for the periods presented in these condensed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during the three and six months ended June 30, 2024, respectively. The Company recognized impairment charges of $2.2 million during the three and six months ended June 30, 2023, respectively, related to right-of-use assets and other lease related property and equipment assets.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quarter of 2024, the Company changed the estimate of the useful lives of certain infrastructure server and component assets from four to five years. See "Use of estimates" within Note 1 above for further information.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disclosure of incremental segment information on an annual and interim basis. The amendments are effective for fiscal years beginning after December 15, 2023 and interim periods within fiscal years beginning after December 15, 2024. This change requires application on a fully retrospective basis. Early adoption is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pStyle w:val="TextBody"/>
        <w:bidi w:val="0"/>
        <w:spacing w:before="0" w:after="420"/>
        <w:jc w:val="left"/>
        <w:rPr/>
      </w:pPr>
      <w:r>
        <w:rPr/>
      </w:r>
    </w:p>
    <w:p>
      <w:pPr>
        <w:pStyle w:val="TextBody"/>
        <w:bidi w:val="0"/>
        <w:spacing w:before="0" w:after="420"/>
        <w:jc w:val="left"/>
        <w:rPr/>
      </w:pPr>
      <w:r>
        <w:rPr/>
      </w:r>
    </w:p>
    <w:p>
      <w:pPr>
        <w:pStyle w:val="TextBody"/>
        <w:bidi w:val="0"/>
        <w:spacing w:before="0" w:after="4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unrealized gains and losses and estimated fair value of the Company's cash, cash equivalents and short-term investments as of June 30, 2024 and December 31, 2023 consisted of the following:</w:t>
      </w:r>
    </w:p>
    <w:p>
      <w:pPr>
        <w:pStyle w:val="TextBody"/>
        <w:bidi w:val="0"/>
        <w:spacing w:before="0" w:after="0"/>
        <w:ind w:left="0" w:right="0" w:firstLine="495"/>
        <w:jc w:val="left"/>
        <w:rPr/>
      </w:pPr>
      <w:r>
        <w:rPr/>
      </w:r>
    </w:p>
    <w:tbl>
      <w:tblPr>
        <w:tblW w:w="10085" w:type="dxa"/>
        <w:jc w:val="center"/>
        <w:tblInd w:w="0" w:type="dxa"/>
        <w:tblLayout w:type="fixed"/>
        <w:tblCellMar>
          <w:top w:w="28" w:type="dxa"/>
          <w:left w:w="28" w:type="dxa"/>
          <w:bottom w:w="28" w:type="dxa"/>
          <w:right w:w="28" w:type="dxa"/>
        </w:tblCellMar>
      </w:tblPr>
      <w:tblGrid>
        <w:gridCol w:w="992"/>
        <w:gridCol w:w="870"/>
        <w:gridCol w:w="883"/>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085" w:type="dxa"/>
        <w:jc w:val="left"/>
        <w:tblInd w:w="0" w:type="dxa"/>
        <w:tblLayout w:type="fixed"/>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cash and cash equivalents is cash in transit from payment processors for credit and debit card transactions of $21.2 million and $17.0 million as of June 30, 2024 and December 31, 2023,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short-term investments were designated as available-for-sale securities as of June 30, 2024 and December 31, 2023.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the Company’s short-term investments as of June 30, 2024:</w:t>
      </w:r>
    </w:p>
    <w:p>
      <w:pPr>
        <w:pStyle w:val="TextBody"/>
        <w:bidi w:val="0"/>
        <w:spacing w:before="0" w:after="0"/>
        <w:jc w:val="left"/>
        <w:rPr/>
      </w:pPr>
      <w:r>
        <w:rPr/>
      </w:r>
    </w:p>
    <w:tbl>
      <w:tblPr>
        <w:tblW w:w="6220" w:type="dxa"/>
        <w:jc w:val="center"/>
        <w:tblInd w:w="0" w:type="dxa"/>
        <w:tblLayout w:type="fixed"/>
        <w:tblCellMar>
          <w:top w:w="28" w:type="dxa"/>
          <w:left w:w="28" w:type="dxa"/>
          <w:bottom w:w="28" w:type="dxa"/>
          <w:right w:w="28" w:type="dxa"/>
        </w:tblCellMar>
      </w:tblPr>
      <w:tblGrid>
        <w:gridCol w:w="957"/>
        <w:gridCol w:w="838"/>
        <w:gridCol w:w="845"/>
        <w:gridCol w:w="310"/>
        <w:gridCol w:w="908"/>
        <w:gridCol w:w="161"/>
        <w:gridCol w:w="109"/>
        <w:gridCol w:w="109"/>
        <w:gridCol w:w="109"/>
        <w:gridCol w:w="402"/>
        <w:gridCol w:w="1176"/>
        <w:gridCol w:w="296"/>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to three years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three years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368 short-term investments in unrealized loss positions as of June 30, 2024. There were no material gains or losses from short-term investments that were reclassified out of accumulated other comprehensive loss for the three and six months ended June 30, 2024 or the three and six months ended June 30, 2023.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Company’s short-term investments portfolio consisted of nine security types, seven of which were in an unrealized loss position. The Company’s short-term investments had unrealized losses of approximately $15.8 million as of June 30, 2024. The following tables present the breakdown of the short-term investments that have been in a continuous unrealized loss position aggregated by investment category, as of June 30, 2024 and December 31, 2023: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205" w:type="dxa"/>
        <w:jc w:val="left"/>
        <w:tblInd w:w="0" w:type="dxa"/>
        <w:tblLayout w:type="fixed"/>
        <w:tblCellMar>
          <w:top w:w="28" w:type="dxa"/>
          <w:left w:w="28" w:type="dxa"/>
          <w:bottom w:w="28" w:type="dxa"/>
          <w:right w:w="28" w:type="dxa"/>
        </w:tblCellMar>
      </w:tblPr>
      <w:tblGrid>
        <w:gridCol w:w="696"/>
        <w:gridCol w:w="474"/>
        <w:gridCol w:w="477"/>
        <w:gridCol w:w="215"/>
        <w:gridCol w:w="630"/>
        <w:gridCol w:w="111"/>
        <w:gridCol w:w="109"/>
        <w:gridCol w:w="109"/>
        <w:gridCol w:w="109"/>
        <w:gridCol w:w="379"/>
        <w:gridCol w:w="757"/>
        <w:gridCol w:w="196"/>
        <w:gridCol w:w="109"/>
        <w:gridCol w:w="109"/>
        <w:gridCol w:w="109"/>
        <w:gridCol w:w="215"/>
        <w:gridCol w:w="630"/>
        <w:gridCol w:w="111"/>
        <w:gridCol w:w="109"/>
        <w:gridCol w:w="109"/>
        <w:gridCol w:w="109"/>
        <w:gridCol w:w="332"/>
        <w:gridCol w:w="829"/>
        <w:gridCol w:w="172"/>
        <w:gridCol w:w="109"/>
        <w:gridCol w:w="109"/>
        <w:gridCol w:w="109"/>
        <w:gridCol w:w="215"/>
        <w:gridCol w:w="630"/>
        <w:gridCol w:w="111"/>
        <w:gridCol w:w="109"/>
        <w:gridCol w:w="109"/>
        <w:gridCol w:w="109"/>
        <w:gridCol w:w="325"/>
        <w:gridCol w:w="813"/>
        <w:gridCol w:w="252"/>
      </w:tblGrid>
      <w:tr>
        <w:trPr/>
        <w:tc>
          <w:tcPr>
            <w:tcW w:w="6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702"/>
        <w:gridCol w:w="482"/>
        <w:gridCol w:w="485"/>
        <w:gridCol w:w="224"/>
        <w:gridCol w:w="543"/>
        <w:gridCol w:w="115"/>
        <w:gridCol w:w="109"/>
        <w:gridCol w:w="109"/>
        <w:gridCol w:w="109"/>
        <w:gridCol w:w="384"/>
        <w:gridCol w:w="766"/>
        <w:gridCol w:w="199"/>
        <w:gridCol w:w="109"/>
        <w:gridCol w:w="109"/>
        <w:gridCol w:w="109"/>
        <w:gridCol w:w="216"/>
        <w:gridCol w:w="631"/>
        <w:gridCol w:w="111"/>
        <w:gridCol w:w="109"/>
        <w:gridCol w:w="109"/>
        <w:gridCol w:w="109"/>
        <w:gridCol w:w="336"/>
        <w:gridCol w:w="839"/>
        <w:gridCol w:w="174"/>
        <w:gridCol w:w="109"/>
        <w:gridCol w:w="109"/>
        <w:gridCol w:w="109"/>
        <w:gridCol w:w="216"/>
        <w:gridCol w:w="631"/>
        <w:gridCol w:w="111"/>
        <w:gridCol w:w="109"/>
        <w:gridCol w:w="109"/>
        <w:gridCol w:w="109"/>
        <w:gridCol w:w="329"/>
        <w:gridCol w:w="823"/>
        <w:gridCol w:w="253"/>
      </w:tblGrid>
      <w:tr>
        <w:trPr/>
        <w:tc>
          <w:tcPr>
            <w:tcW w:w="7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income from its cash, cash equivalents, and short-term investments of $9.5 million and $21.5 million during the three and six months ended June 30, 2024, respectively and $7.4 million and $14.6 million during the three and six months ended June 30,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7313" w:type="dxa"/>
        <w:jc w:val="center"/>
        <w:tblInd w:w="0" w:type="dxa"/>
        <w:tblLayout w:type="fixed"/>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7463" w:type="dxa"/>
        <w:jc w:val="center"/>
        <w:tblInd w:w="0" w:type="dxa"/>
        <w:tblLayout w:type="fixed"/>
        <w:tblCellMar>
          <w:top w:w="28" w:type="dxa"/>
          <w:left w:w="28" w:type="dxa"/>
          <w:bottom w:w="28" w:type="dxa"/>
          <w:right w:w="28" w:type="dxa"/>
        </w:tblCellMar>
      </w:tblPr>
      <w:tblGrid>
        <w:gridCol w:w="993"/>
        <w:gridCol w:w="875"/>
        <w:gridCol w:w="87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held in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June 30, 2024. Refer to Note 7 "Debt" for further details on the 2026 Notes and 2028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2026 Notes and the 2028 Notes, based on a market approach as of June 30, 2024 was approximately $648.3 million and $627.4 million, respectively. The Notes were categorized as Level 2 instruments as the estimated fair value was determined based on the estimated or actual bids and offers of the Notes in an over-the-counter market on the last business day of the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ind w:left="0" w:right="0" w:firstLine="495"/>
        <w:jc w:val="left"/>
        <w:rPr/>
      </w:pPr>
      <w:r>
        <w:rPr/>
      </w:r>
    </w:p>
    <w:tbl>
      <w:tblPr>
        <w:tblW w:w="7060" w:type="dxa"/>
        <w:jc w:val="center"/>
        <w:tblInd w:w="0" w:type="dxa"/>
        <w:tblLayout w:type="fixed"/>
        <w:tblCellMar>
          <w:top w:w="28" w:type="dxa"/>
          <w:left w:w="28" w:type="dxa"/>
          <w:bottom w:w="28" w:type="dxa"/>
          <w:right w:w="28" w:type="dxa"/>
        </w:tblCellMar>
      </w:tblPr>
      <w:tblGrid>
        <w:gridCol w:w="1337"/>
        <w:gridCol w:w="1173"/>
        <w:gridCol w:w="1180"/>
        <w:gridCol w:w="287"/>
        <w:gridCol w:w="839"/>
        <w:gridCol w:w="148"/>
        <w:gridCol w:w="109"/>
        <w:gridCol w:w="109"/>
        <w:gridCol w:w="109"/>
        <w:gridCol w:w="380"/>
        <w:gridCol w:w="1110"/>
        <w:gridCol w:w="279"/>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Company leases certain infrastructure, computer equipment, and furniture from various third parties, through equipment finance leases. Infrastructure assets as of June 30, 2024 and December 31, 2023 included a total of</w:t>
      </w:r>
      <w:r>
        <w:rPr>
          <w:color w:val="000000"/>
          <w:shd w:fill="FFFFFF" w:val="clear"/>
        </w:rPr>
        <w:t xml:space="preserve"> </w:t>
      </w:r>
      <w:r>
        <w:rPr>
          <w:rFonts w:ascii="Times New Roman;sans-serif" w:hAnsi="Times New Roman;sans-serif"/>
          <w:b w:val="false"/>
          <w:color w:val="000000"/>
          <w:sz w:val="20"/>
        </w:rPr>
        <w:t>$470.9</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$457.4</w:t>
      </w:r>
      <w:r>
        <w:rPr>
          <w:color w:val="000000"/>
        </w:rPr>
        <w:t xml:space="preserve"> </w:t>
      </w:r>
      <w:r>
        <w:rPr>
          <w:rFonts w:ascii="Times New Roman;sans-serif" w:hAnsi="Times New Roman;sans-serif"/>
          <w:b w:val="false"/>
          <w:color w:val="000000"/>
          <w:sz w:val="20"/>
        </w:rPr>
        <w:t>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$235.6</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and $234.7 million as of June 30, 2024 and December 31, 2023,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Depreciation expense related to property and equipment was</w:t>
      </w:r>
      <w:r>
        <w:rPr>
          <w:color w:val="000000"/>
          <w:shd w:fill="FFFFFF" w:val="clear"/>
        </w:rPr>
        <w:t xml:space="preserve"> </w:t>
      </w:r>
      <w:r>
        <w:rPr>
          <w:rFonts w:ascii="Times New Roman;sans-serif" w:hAnsi="Times New Roman;sans-serif"/>
          <w:b w:val="false"/>
          <w:color w:val="000000"/>
          <w:sz w:val="20"/>
          <w:shd w:fill="FFFFFF" w:val="clear"/>
        </w:rPr>
        <w:t>$25.9 million and $50.7</w:t>
      </w:r>
      <w:r>
        <w:rPr>
          <w:color w:val="000000"/>
        </w:rPr>
        <w:t xml:space="preserve"> </w:t>
      </w:r>
      <w:r>
        <w:rPr>
          <w:rFonts w:ascii="Times New Roman;sans-serif" w:hAnsi="Times New Roman;sans-serif"/>
          <w:b w:val="false"/>
          <w:color w:val="000000"/>
          <w:sz w:val="20"/>
        </w:rPr>
        <w:t>million for the three and six months ended June 30, 2024, respectively, and $35.2 million and $70.1 million for the three and six months ended June 30, 2023,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5.Intangible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8558" w:type="dxa"/>
        <w:jc w:val="center"/>
        <w:tblInd w:w="0" w:type="dxa"/>
        <w:tblLayout w:type="fixed"/>
        <w:tblCellMar>
          <w:top w:w="28" w:type="dxa"/>
          <w:left w:w="28" w:type="dxa"/>
          <w:bottom w:w="28" w:type="dxa"/>
          <w:right w:w="28" w:type="dxa"/>
        </w:tblCellMar>
      </w:tblPr>
      <w:tblGrid>
        <w:gridCol w:w="1283"/>
        <w:gridCol w:w="1125"/>
        <w:gridCol w:w="1132"/>
        <w:gridCol w:w="323"/>
        <w:gridCol w:w="784"/>
        <w:gridCol w:w="167"/>
        <w:gridCol w:w="109"/>
        <w:gridCol w:w="109"/>
        <w:gridCol w:w="109"/>
        <w:gridCol w:w="449"/>
        <w:gridCol w:w="1087"/>
        <w:gridCol w:w="234"/>
        <w:gridCol w:w="109"/>
        <w:gridCol w:w="109"/>
        <w:gridCol w:w="109"/>
        <w:gridCol w:w="386"/>
        <w:gridCol w:w="386"/>
        <w:gridCol w:w="548"/>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useful life</w:t>
              <w:br/>
              <w:t>(In years)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 in asset acquisitions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$6.4 million and $13.1 million for the three and six months ended June 30, 2024, respectively, and $7.6 million and $15.1 million for the three and six months ended June 30, 2023, respectively.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for intangible assets as of June 30, 2024 is as follows:</w:t>
      </w:r>
    </w:p>
    <w:p>
      <w:pPr>
        <w:pStyle w:val="TextBody"/>
        <w:bidi w:val="0"/>
        <w:spacing w:before="0" w:after="0"/>
        <w:ind w:left="0" w:right="0" w:firstLine="495"/>
        <w:jc w:val="left"/>
        <w:rPr/>
      </w:pPr>
      <w:r>
        <w:rPr/>
      </w:r>
    </w:p>
    <w:tbl>
      <w:tblPr>
        <w:tblW w:w="3224" w:type="dxa"/>
        <w:jc w:val="center"/>
        <w:tblInd w:w="0" w:type="dxa"/>
        <w:tblLayout w:type="fixed"/>
        <w:tblCellMar>
          <w:top w:w="28" w:type="dxa"/>
          <w:left w:w="28" w:type="dxa"/>
          <w:bottom w:w="28" w:type="dxa"/>
          <w:right w:w="28" w:type="dxa"/>
        </w:tblCellMar>
      </w:tblPr>
      <w:tblGrid>
        <w:gridCol w:w="608"/>
        <w:gridCol w:w="534"/>
        <w:gridCol w:w="538"/>
        <w:gridCol w:w="370"/>
        <w:gridCol w:w="900"/>
        <w:gridCol w:w="27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6.Goodwill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4086" w:type="dxa"/>
        <w:jc w:val="center"/>
        <w:tblInd w:w="0" w:type="dxa"/>
        <w:tblLayout w:type="fixed"/>
        <w:tblCellMar>
          <w:top w:w="28" w:type="dxa"/>
          <w:left w:w="28" w:type="dxa"/>
          <w:bottom w:w="28" w:type="dxa"/>
          <w:right w:w="28" w:type="dxa"/>
        </w:tblCellMar>
      </w:tblPr>
      <w:tblGrid>
        <w:gridCol w:w="1125"/>
        <w:gridCol w:w="989"/>
        <w:gridCol w:w="991"/>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amounts are not amortized, but tested for impairment on an annual basis. There was no impairment of goodwill during the periods ended June 30, 2024 and December 31,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7.Debt</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letter of credit sublimit from $187.5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June 30, 2024 and December 31, 2023,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an aggregate of $30.4 million of letters of credit outstanding under the revolving credit facility as of June 30, 2024, and the Company’s total available borrowing capacity under the revolving credit facility was $469.6 million as of June 30, 2024. The Company’s letters of credit have final expiration dates through 2036.</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June 30, 2024.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June 30, 2024.</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June 30, 2024. In addition, during the three and six months ended June 30, 2024 the conditions allowing holders of the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Notes as of June 30, 2024 and December 31, 2023.</w:t>
      </w:r>
    </w:p>
    <w:p>
      <w:pPr>
        <w:pStyle w:val="TextBody"/>
        <w:bidi w:val="0"/>
        <w:spacing w:before="0" w:after="0"/>
        <w:ind w:left="0" w:right="0" w:firstLine="495"/>
        <w:jc w:val="left"/>
        <w:rPr/>
      </w:pPr>
      <w:r>
        <w:rPr/>
      </w:r>
    </w:p>
    <w:tbl>
      <w:tblPr>
        <w:tblW w:w="6208" w:type="dxa"/>
        <w:jc w:val="left"/>
        <w:tblInd w:w="0" w:type="dxa"/>
        <w:tblLayout w:type="fixed"/>
        <w:tblCellMar>
          <w:top w:w="28" w:type="dxa"/>
          <w:left w:w="28" w:type="dxa"/>
          <w:bottom w:w="28" w:type="dxa"/>
          <w:right w:w="28" w:type="dxa"/>
        </w:tblCellMar>
      </w:tblPr>
      <w:tblGrid>
        <w:gridCol w:w="852"/>
        <w:gridCol w:w="747"/>
        <w:gridCol w:w="756"/>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and 2023, the Company recognized $0.6 million and $0.5 million in interest expense for the 2026 Notes and $0.4 million and $0.4 million in interest expense for the 2028 Notes, respectively, with such interest expense solely consisting of amortization of issuance costs. During the six months ended June 30, 2024 and 2023, the Company recognized $1.1 million and $1.1 million in interest expense for the 2026 Notes and $0.8 million and $0.8 million in interest expense for the 2028 Notes, respectively, with such interest expense solely consisting of amortization of issuance costs. The effective interest rate for the 2026 Notes and the 2028 Notes was 0.32% and 0.22%, respectively,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on the Company's long-term convertible debt are as follows:</w:t>
      </w:r>
    </w:p>
    <w:p>
      <w:pPr>
        <w:pStyle w:val="TextBody"/>
        <w:bidi w:val="0"/>
        <w:spacing w:before="0" w:after="0"/>
        <w:ind w:left="0" w:right="0" w:firstLine="495"/>
        <w:jc w:val="left"/>
        <w:rPr/>
      </w:pPr>
      <w:r>
        <w:rPr/>
      </w:r>
    </w:p>
    <w:tbl>
      <w:tblPr>
        <w:tblW w:w="3269" w:type="dxa"/>
        <w:jc w:val="left"/>
        <w:tblInd w:w="0" w:type="dxa"/>
        <w:tblLayout w:type="fixed"/>
        <w:tblCellMar>
          <w:top w:w="28" w:type="dxa"/>
          <w:left w:w="28" w:type="dxa"/>
          <w:bottom w:w="28" w:type="dxa"/>
          <w:right w:w="28" w:type="dxa"/>
        </w:tblCellMar>
      </w:tblPr>
      <w:tblGrid>
        <w:gridCol w:w="608"/>
        <w:gridCol w:w="534"/>
        <w:gridCol w:w="538"/>
        <w:gridCol w:w="295"/>
        <w:gridCol w:w="1076"/>
        <w:gridCol w:w="218"/>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Debt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June 30, 2024,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June 30, 2024,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8.Leases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and datacenters, and finance leases for infrastructure and office equipment. The Company’s leases have remaining lease terms of under 1 year to 12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subleases for several floors of its corporate offices. The Company classifies its subleases as operating leases. The subleases have remaining lease terms of 1 year to 9 years, some of which include options to extend the sublease for up to approximately 4 years. Sublease income, which is recorded as a reduction of rental expense, was $3.5 million and $7.0 million during the three and six months ended June 30, 2024, respectively, and $3.8 million and $8.2 million during the three and six months ended June 30, 2023, respectively.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June 30, 2024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Operating leases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non-cancelable rent payments from the Company's subtenants as of June 30, 2024 were as follows:</w:t>
      </w:r>
    </w:p>
    <w:p>
      <w:pPr>
        <w:pStyle w:val="TextBody"/>
        <w:bidi w:val="0"/>
        <w:spacing w:before="0" w:after="0"/>
        <w:ind w:left="0" w:right="0" w:firstLine="450"/>
        <w:jc w:val="left"/>
        <w:rPr/>
      </w:pPr>
      <w:r>
        <w:rPr/>
      </w:r>
    </w:p>
    <w:tbl>
      <w:tblPr>
        <w:tblW w:w="4904" w:type="dxa"/>
        <w:jc w:val="left"/>
        <w:tblInd w:w="0" w:type="dxa"/>
        <w:tblLayout w:type="fixed"/>
        <w:tblCellMar>
          <w:top w:w="28" w:type="dxa"/>
          <w:left w:w="28" w:type="dxa"/>
          <w:bottom w:w="28" w:type="dxa"/>
          <w:right w:w="28" w:type="dxa"/>
        </w:tblCellMar>
      </w:tblPr>
      <w:tblGrid>
        <w:gridCol w:w="1210"/>
        <w:gridCol w:w="1063"/>
        <w:gridCol w:w="1071"/>
        <w:gridCol w:w="426"/>
        <w:gridCol w:w="821"/>
        <w:gridCol w:w="313"/>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sublease rent payments, net</w:t>
            </w:r>
          </w:p>
        </w:tc>
        <w:tc>
          <w:tcPr>
            <w:tcW w:w="15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r>
    </w:tbl>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2017, the Company signed a 15 year lease agreement for office space in San Francisco, California, to serve as its corporate headquarters which commenced in 2018. The Company's obligations under the lease are supported by a $17.5 million letter of credit, which reduced the Company's borrowing capacity under the revolving credit facility. As of June 30, 2024, the Company's remaining minimum obligation under the lease for its headquarters was $179.5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property and equipment assets including leasehold improvements, furniture and fixtures, and computer equipment for impairment under ASC 360.</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Company did not recognize any impairment charges, compared to $2.2 million during the three and six months ended June 30, 2023, related to right-of-use assets and other lease related property and equipment assets.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the Company executed an amendment to the lease ("the lease amendment") for its San Francisco, California corporate headquarters, whereby the Company has already or will surrender to the landlord approximately 165,000 square feet of office space and pay an aggregate of $79.0 million in termination payments. The termination fees occur in three tranches: approximately 52,000 square feet and $28.1 million paid in October 2023 upon the execution of the lease amendment, 54,000 square feet and $14.9 million paid in June 2024, and the remaining 59,000 feet and $36.0 million paid in January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$76.2 million in commitments for leases that have not yet commenced, and therefore is not included in the right-of-use asset or lease liability. These leases will commence in 2025, with lease terms of 7 years .</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0"/>
        </w:rPr>
        <w:t>Note 9.</w:t>
      </w:r>
      <w:r>
        <w:rPr>
          <w:color w:val="000000"/>
        </w:rPr>
        <w:t xml:space="preserve"> </w:t>
      </w:r>
      <w:r>
        <w:rPr>
          <w:rFonts w:ascii="Times New Roman;sans-serif" w:hAnsi="Times New Roman;sans-serif"/>
          <w:b/>
          <w:color w:val="000000"/>
          <w:sz w:val="20"/>
        </w:rPr>
        <w:t>Commitments and Contingencies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Other commitments </w:t>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w:t>
      </w:r>
    </w:p>
    <w:tbl>
      <w:tblPr>
        <w:tblW w:w="6850" w:type="dxa"/>
        <w:jc w:val="center"/>
        <w:tblInd w:w="0" w:type="dxa"/>
        <w:tblLayout w:type="fixed"/>
        <w:tblCellMar>
          <w:top w:w="28" w:type="dxa"/>
          <w:left w:w="28" w:type="dxa"/>
          <w:bottom w:w="28" w:type="dxa"/>
          <w:right w:w="28" w:type="dxa"/>
        </w:tblCellMar>
      </w:tblPr>
      <w:tblGrid>
        <w:gridCol w:w="1261"/>
        <w:gridCol w:w="1107"/>
        <w:gridCol w:w="1112"/>
        <w:gridCol w:w="287"/>
        <w:gridCol w:w="839"/>
        <w:gridCol w:w="148"/>
        <w:gridCol w:w="109"/>
        <w:gridCol w:w="109"/>
        <w:gridCol w:w="109"/>
        <w:gridCol w:w="380"/>
        <w:gridCol w:w="1110"/>
        <w:gridCol w:w="27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taxes payable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other external fees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indemnification holdbacks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and current liabilities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11.Stockholders’ Deficit</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authorized 2,400.0 million shares of Class A common stock, 475.0 million shares of Class B common stock, and 800.0 million shares of Class C common stock, each at par value of $0.00001. Holders of Class B common stock voluntarily converted 0.3 million and 1.0 million shares during the three and six months ended June 30, 2024, respectively, and 0.5 million and 1.0 million shares into an equivalent number of shares of Class A common stock during the three and six months ended June 30, 2023,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As of June 30, 2024, 238.9 million shares of Class A common stock, 79.8 million shares of Class B common stock, and no shares of Class C common stock were issued and outstanding. As of December 31, 2023, 256.0 million shares of Class A common stock, 80.7 million shares of Class B common stock, and no shares of Class C common stock were issued and outstanding. Class A shares issued and outstanding as of June 30, 2024 and December 31, 2023 exclude unvested restricted stock awards granted to certain executives. Class A shares issued and outstanding also exclude 8.3 million unvested restricted stock awards granted to one of the Company's co-founders as of June 30, 2024 and December 31, 2023, resp</w:t>
      </w:r>
      <w:r>
        <w:rPr>
          <w:rFonts w:ascii="Times New Roman;sans-serif" w:hAnsi="Times New Roman;sans-serif"/>
          <w:b w:val="false"/>
          <w:color w:val="000000"/>
          <w:sz w:val="20"/>
          <w:shd w:fill="FFFFFF" w:val="clear"/>
        </w:rPr>
        <w:t xml:space="preserve">ectively. See "Co-Founder Grant" section below for further details.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In February 2022, the Board of Directors authorized the Company to repurchase up to $1.2 billion of the Company's outstanding shares of Class A common stock. </w:t>
      </w:r>
      <w:r>
        <w:rPr>
          <w:rFonts w:ascii="Times New Roman;sans-serif" w:hAnsi="Times New Roman;sans-serif"/>
          <w:b w:val="false"/>
          <w:color w:val="000000"/>
          <w:sz w:val="20"/>
        </w:rPr>
        <w:t xml:space="preserve">In July 2023, the Board of Directors further authorized the repurchase of up to an additional $1.2 billion of the outstanding shares of our Class A common stock. The Company completed the February 2022 authorization of </w:t>
      </w:r>
      <w:r>
        <w:rPr>
          <w:rFonts w:ascii="Times New Roman;sans-serif" w:hAnsi="Times New Roman;sans-serif"/>
          <w:b w:val="false"/>
          <w:color w:val="000000"/>
          <w:sz w:val="20"/>
          <w:shd w:fill="FFFFFF" w:val="clear"/>
        </w:rPr>
        <w:t>$1.2 billion</w:t>
      </w:r>
      <w:r>
        <w:rPr>
          <w:color w:val="000000"/>
        </w:rPr>
        <w:t xml:space="preserve"> </w:t>
      </w:r>
      <w:r>
        <w:rPr>
          <w:rFonts w:ascii="Times New Roman;sans-serif" w:hAnsi="Times New Roman;sans-serif"/>
          <w:b w:val="false"/>
          <w:color w:val="000000"/>
          <w:sz w:val="20"/>
        </w:rPr>
        <w:t>during the three months ended March 31, 2024 and continued stock repurchases under the July 2023 authorization.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During the three and six months ended June 30, 2024, the Company repurchased and subsequently retired 11.3 million and 22.4 million shares of its Class A common stock, respectively, for an aggregate amount of $262.2 million and $543.8 million, respectively</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During the three and six months ended June 30, 2023, the Company repurchased and subsequently retired 6.9 million and 15.0 million shares of its Class A common stock, respectively, for an aggregate amount of $155.2 million and $331.7 million, respectively</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three and six months ended June 30, 2024 and 2023, i</w:t>
      </w:r>
      <w:r>
        <w:rPr>
          <w:rFonts w:ascii="Times New Roman;sans-serif" w:hAnsi="Times New Roman;sans-serif"/>
          <w:b w:val="false"/>
          <w:color w:val="000000"/>
          <w:sz w:val="20"/>
          <w:shd w:fill="FFFFFF" w:val="clear"/>
        </w:rPr>
        <w:t>ncluded in the cost of treasury stock acquired pursuant to common share repurchases, is the 1% excise tax imposed as part of the Inflation Reduction Act.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DocSend, the Company assumed unvested stock options and an immaterial number of unvested RSUs that had been granted under DocSend's 2013 Stock Plan and DocSend's 2015 Stock Option and Grant Plan.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As of June 30, 2024, there were </w:t>
      </w:r>
      <w:r>
        <w:rPr>
          <w:rFonts w:ascii="Times New Roman;sans-serif" w:hAnsi="Times New Roman;sans-serif"/>
          <w:b w:val="false"/>
          <w:color w:val="000000"/>
          <w:sz w:val="20"/>
        </w:rPr>
        <w:t>35.7</w:t>
      </w:r>
      <w:r>
        <w:rPr>
          <w:color w:val="000000"/>
          <w:shd w:fill="FFFFFF" w:val="clear"/>
        </w:rPr>
        <w:t xml:space="preserve"> </w:t>
      </w:r>
      <w:r>
        <w:rPr>
          <w:rFonts w:ascii="Times New Roman;sans-serif" w:hAnsi="Times New Roman;sans-serif"/>
          <w:b w:val="false"/>
          <w:color w:val="000000"/>
          <w:sz w:val="20"/>
          <w:shd w:fill="FFFFFF" w:val="clear"/>
        </w:rPr>
        <w:t xml:space="preserve">million stock-based awards issued and outstanding and </w:t>
      </w:r>
      <w:r>
        <w:rPr>
          <w:rFonts w:ascii="Times New Roman;sans-serif" w:hAnsi="Times New Roman;sans-serif"/>
          <w:b w:val="false"/>
          <w:color w:val="000000"/>
          <w:sz w:val="20"/>
        </w:rPr>
        <w:t>117.3</w:t>
      </w:r>
      <w:r>
        <w:rPr>
          <w:color w:val="000000"/>
          <w:shd w:fill="FFFFFF" w:val="clear"/>
        </w:rPr>
        <w:t xml:space="preserve"> </w:t>
      </w:r>
      <w:r>
        <w:rPr>
          <w:rFonts w:ascii="Times New Roman;sans-serif" w:hAnsi="Times New Roman;sans-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restricted stock activity for the Plans was as follows for the six months ended June 30, 2024: </w:t>
      </w:r>
    </w:p>
    <w:p>
      <w:pPr>
        <w:pStyle w:val="TextBody"/>
        <w:bidi w:val="0"/>
        <w:spacing w:before="0" w:after="0"/>
        <w:ind w:left="0" w:right="0" w:firstLine="495"/>
        <w:jc w:val="left"/>
        <w:rPr/>
      </w:pPr>
      <w:r>
        <w:rPr/>
      </w:r>
    </w:p>
    <w:tbl>
      <w:tblPr>
        <w:tblW w:w="10415" w:type="dxa"/>
        <w:jc w:val="center"/>
        <w:tblInd w:w="0" w:type="dxa"/>
        <w:tblLayout w:type="fixed"/>
        <w:tblCellMar>
          <w:top w:w="28" w:type="dxa"/>
          <w:left w:w="28" w:type="dxa"/>
          <w:bottom w:w="28" w:type="dxa"/>
          <w:right w:w="28" w:type="dxa"/>
        </w:tblCellMar>
      </w:tblPr>
      <w:tblGrid>
        <w:gridCol w:w="446"/>
        <w:gridCol w:w="392"/>
        <w:gridCol w:w="393"/>
        <w:gridCol w:w="375"/>
        <w:gridCol w:w="375"/>
        <w:gridCol w:w="376"/>
        <w:gridCol w:w="109"/>
        <w:gridCol w:w="109"/>
        <w:gridCol w:w="109"/>
        <w:gridCol w:w="360"/>
        <w:gridCol w:w="360"/>
        <w:gridCol w:w="361"/>
        <w:gridCol w:w="109"/>
        <w:gridCol w:w="109"/>
        <w:gridCol w:w="109"/>
        <w:gridCol w:w="216"/>
        <w:gridCol w:w="632"/>
        <w:gridCol w:w="113"/>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outstanding</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br/>
              <w:t>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at June 30, 2024</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June 30, 2024</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pre-tax intrinsic value of options exercised during the three and six months ended June 30, 2024 and 2023:</w:t>
      </w:r>
    </w:p>
    <w:p>
      <w:pPr>
        <w:pStyle w:val="TextBody"/>
        <w:bidi w:val="0"/>
        <w:spacing w:before="0" w:after="0"/>
        <w:ind w:left="0" w:right="0" w:firstLine="495"/>
        <w:jc w:val="left"/>
        <w:rPr/>
      </w:pPr>
      <w:r>
        <w:rPr/>
      </w:r>
    </w:p>
    <w:tbl>
      <w:tblPr>
        <w:tblW w:w="6990" w:type="dxa"/>
        <w:jc w:val="left"/>
        <w:tblInd w:w="0" w:type="dxa"/>
        <w:tblLayout w:type="fixed"/>
        <w:tblCellMar>
          <w:top w:w="28" w:type="dxa"/>
          <w:left w:w="28" w:type="dxa"/>
          <w:bottom w:w="28" w:type="dxa"/>
          <w:right w:w="28" w:type="dxa"/>
        </w:tblCellMar>
      </w:tblPr>
      <w:tblGrid>
        <w:gridCol w:w="1076"/>
        <w:gridCol w:w="945"/>
        <w:gridCol w:w="948"/>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As of June 30, 2024, unamortized stock-based compensation related to unvested stock options, restricted stock awards (excluding the Co-Founder Grant), and RSUs was </w:t>
      </w:r>
      <w:r>
        <w:rPr>
          <w:rFonts w:ascii="Times New Roman;sans-serif" w:hAnsi="Times New Roman;sans-serif"/>
          <w:b w:val="false"/>
          <w:color w:val="000000"/>
          <w:sz w:val="20"/>
        </w:rPr>
        <w:t>$822.1</w:t>
      </w:r>
      <w:r>
        <w:rPr>
          <w:color w:val="000000"/>
          <w:shd w:fill="FFFFFF" w:val="clear"/>
        </w:rPr>
        <w:t xml:space="preserve"> </w:t>
      </w:r>
      <w:r>
        <w:rPr>
          <w:rFonts w:ascii="Times New Roman;sans-serif" w:hAnsi="Times New Roman;sans-serif"/>
          <w:b w:val="false"/>
          <w:color w:val="000000"/>
          <w:sz w:val="20"/>
          <w:shd w:fill="FFFFFF" w:val="clear"/>
        </w:rPr>
        <w:t>millio</w:t>
      </w:r>
      <w:r>
        <w:rPr>
          <w:rFonts w:ascii="Times New Roman;sans-serif" w:hAnsi="Times New Roman;sans-serif"/>
          <w:b w:val="false"/>
          <w:color w:val="000000"/>
          <w:sz w:val="20"/>
        </w:rPr>
        <w:t>n. The weighted-average period over which such compensation expense will be recognized if the requisite service is provided is approximately 2.8 years as of June 30, 2024.</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Co-Founder Grant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the Co-Founder Grant of $0.7 million and $1.8 million during the three and six months ended June 30, 2024, respectively, and $2.0 and $4.2 during the three and six months ended June 30, 2023, respectively. As of June 30, 2024, unamortized stock-based compensation expense related to the Co-Founder Grant was $0.6 million.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12.</w:t>
      </w:r>
      <w:r>
        <w:rPr>
          <w:color w:val="000000"/>
        </w:rPr>
        <w:t xml:space="preserve"> </w:t>
      </w: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205" w:type="dxa"/>
        <w:jc w:val="left"/>
        <w:tblInd w:w="0" w:type="dxa"/>
        <w:tblLayout w:type="fixed"/>
        <w:tblCellMar>
          <w:top w:w="28" w:type="dxa"/>
          <w:left w:w="28" w:type="dxa"/>
          <w:bottom w:w="28" w:type="dxa"/>
          <w:right w:w="28" w:type="dxa"/>
        </w:tblCellMar>
      </w:tblPr>
      <w:tblGrid>
        <w:gridCol w:w="2316"/>
        <w:gridCol w:w="1708"/>
        <w:gridCol w:w="1724"/>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31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8200" w:type="dxa"/>
        <w:jc w:val="center"/>
        <w:tblInd w:w="0" w:type="dxa"/>
        <w:tblLayout w:type="fixed"/>
        <w:tblCellMar>
          <w:top w:w="28" w:type="dxa"/>
          <w:left w:w="28" w:type="dxa"/>
          <w:bottom w:w="28" w:type="dxa"/>
          <w:right w:w="28" w:type="dxa"/>
        </w:tblCellMar>
      </w:tblPr>
      <w:tblGrid>
        <w:gridCol w:w="1345"/>
        <w:gridCol w:w="1184"/>
        <w:gridCol w:w="1191"/>
        <w:gridCol w:w="307"/>
        <w:gridCol w:w="309"/>
        <w:gridCol w:w="208"/>
        <w:gridCol w:w="208"/>
        <w:gridCol w:w="208"/>
        <w:gridCol w:w="208"/>
        <w:gridCol w:w="255"/>
        <w:gridCol w:w="256"/>
        <w:gridCol w:w="208"/>
        <w:gridCol w:w="109"/>
        <w:gridCol w:w="109"/>
        <w:gridCol w:w="109"/>
        <w:gridCol w:w="255"/>
        <w:gridCol w:w="256"/>
        <w:gridCol w:w="178"/>
        <w:gridCol w:w="178"/>
        <w:gridCol w:w="178"/>
        <w:gridCol w:w="178"/>
        <w:gridCol w:w="255"/>
        <w:gridCol w:w="256"/>
        <w:gridCol w:w="252"/>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shares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Grant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Company computed the year-to-date income tax provision by applying the estimated annual effective tax rate to the year-to-date pre-tax income and adjusting for discrete tax items in the period. The Company's provision for income taxes was</w:t>
      </w:r>
      <w:r>
        <w:rPr>
          <w:color w:val="000000"/>
          <w:shd w:fill="FFFFFF" w:val="clear"/>
        </w:rPr>
        <w:t xml:space="preserve"> </w:t>
      </w:r>
      <w:r>
        <w:rPr>
          <w:rFonts w:ascii="Times New Roman;sans-serif" w:hAnsi="Times New Roman;sans-serif"/>
          <w:b w:val="false"/>
          <w:color w:val="000000"/>
          <w:sz w:val="20"/>
          <w:shd w:fill="FFFFFF" w:val="clear"/>
        </w:rPr>
        <w:t xml:space="preserve">$23.1 million and </w:t>
      </w:r>
      <w:r>
        <w:rPr>
          <w:rFonts w:ascii="Times New Roman;sans-serif" w:hAnsi="Times New Roman;sans-serif"/>
          <w:b w:val="false"/>
          <w:color w:val="000000"/>
          <w:sz w:val="20"/>
        </w:rPr>
        <w:t>$41.9 million</w:t>
      </w:r>
      <w:r>
        <w:rPr>
          <w:color w:val="000000"/>
          <w:shd w:fill="FFFFFF" w:val="clear"/>
        </w:rPr>
        <w:t xml:space="preserve"> </w:t>
      </w:r>
      <w:r>
        <w:rPr>
          <w:rFonts w:ascii="Times New Roman;sans-serif" w:hAnsi="Times New Roman;sans-serif"/>
          <w:b w:val="false"/>
          <w:color w:val="000000"/>
          <w:sz w:val="20"/>
        </w:rPr>
        <w:t>for the three and six months ended June 30, 2024, respectively, and $15.8 million and $34.4 million for the three and six months ended June 30,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six months ended June 30, 2024</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the difference between the U.S. statutory rate and the Company's effective tax rate was primarily due to jurisdictional mix of earnings, tax credits, and state 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2024, the Company continues to maintain valuation allowances against its deferred tax assets in certain states and one foreign jurisdiction.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is subject to income tax audits in the U.S. and foreign jurisdictions. The Company records liabilities related to uncertain tax positions and believes that it has provided adequate reserves for income tax uncertainties in all open tax years.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Unrecognized tax benefits increased by $11.6 million</w:t>
      </w:r>
      <w:r>
        <w:rPr>
          <w:color w:val="000000"/>
        </w:rPr>
        <w:t xml:space="preserve"> </w:t>
      </w:r>
      <w:r>
        <w:rPr>
          <w:rFonts w:ascii="Times New Roman;sans-serif" w:hAnsi="Times New Roman;sans-serif"/>
          <w:b w:val="false"/>
          <w:color w:val="000000"/>
          <w:sz w:val="20"/>
        </w:rPr>
        <w:t>during the six months ended June 30, 2024. The increase was primarily driven by a gross increase in unrecognized tax benefits related to tax positions taken in the period of approximately $11.4 million, of which $8.7 million, if recognized, would affect the Company's effective tax rate and $2.7 million would result in adjustment to deferred tax assets with corresponding adjustments to the valuation allowance.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effective for fiscal years starting on or after December 31, 2023. Ireland and certain jurisdictions in which the Company operates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Geographic Areas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6265" w:type="dxa"/>
        <w:jc w:val="center"/>
        <w:tblInd w:w="0" w:type="dxa"/>
        <w:tblLayout w:type="fixed"/>
        <w:tblCellMar>
          <w:top w:w="28" w:type="dxa"/>
          <w:left w:w="28" w:type="dxa"/>
          <w:bottom w:w="28" w:type="dxa"/>
          <w:right w:w="28" w:type="dxa"/>
        </w:tblCellMar>
      </w:tblPr>
      <w:tblGrid>
        <w:gridCol w:w="1051"/>
        <w:gridCol w:w="919"/>
        <w:gridCol w:w="925"/>
        <w:gridCol w:w="287"/>
        <w:gridCol w:w="839"/>
        <w:gridCol w:w="148"/>
        <w:gridCol w:w="109"/>
        <w:gridCol w:w="109"/>
        <w:gridCol w:w="109"/>
        <w:gridCol w:w="380"/>
        <w:gridCol w:w="1110"/>
        <w:gridCol w:w="279"/>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No single country other than the United States had a property and equipment balance greater than 10% of total property and equipment, net, as of June 30, 2024 and December 31, 2023.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geography is generally based on the address of the customer as defined in the Company’s subscription agreement. The following table sets forth revenue by geographic area for the three and six months ended June 30, 2024 and 2023.</w:t>
      </w:r>
    </w:p>
    <w:p>
      <w:pPr>
        <w:pStyle w:val="TextBody"/>
        <w:bidi w:val="0"/>
        <w:spacing w:before="0" w:after="0"/>
        <w:ind w:left="0" w:right="0" w:firstLine="495"/>
        <w:jc w:val="left"/>
        <w:rPr/>
      </w:pPr>
      <w:r>
        <w:rPr/>
      </w:r>
    </w:p>
    <w:tbl>
      <w:tblPr>
        <w:tblW w:w="6450" w:type="dxa"/>
        <w:jc w:val="center"/>
        <w:tblInd w:w="0" w:type="dxa"/>
        <w:tblLayout w:type="fixed"/>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No single country outside of the United States accounted for more than 10% of total revenue during the three and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By solving these universal problems, we’ve become invaluable to our users. The popularity of our platform allows us to scale efficiently. We’ve built a thriving global business with 18.22 million paying users.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Subscription Plans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premium subscription plans, such as Professional and Advanced, provide more functionality than our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Virtual First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new, flexible spaces known as “On-Demand Spaces”. Consistent with this strategy, we have retained a portion of our office space while the remainder is being or will be subleased.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we did not recognize any impairment charges. During the three and six months ended June 30, 2023, we recognized $2.2 million of impairment charges for right-of-use assets and other lease related property and equipment assets. See Note 8, "Leases" for additional information. We may incur additional impairment charges depending on the state of the corporate real estate market or shifts in our Virtual First strategy.</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Impact of Macroeconomic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performance depends in part on worldwide economic and geopolitical conditions and their impact on customer behavior. Worsening economic conditions including inflation, higher interest rates, fluctuations in foreign exchange rates, and other conditions may adversely impact our results of operations and financial performance.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saw growth in Individual plans offset by continued pressure within our Teams plans, as businesses continued to face a challenging operating environment. We also continued to see better than anticipated performance within DocSend, while our FormSwift business faced seasonal pressure.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Cybersecurity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we became aware of unauthorized access to the Dropbox Sign production environment, as previously disclosed in our Form 8-K filed with the Securities and Exchange Commission on May 1, 2024. While we remain subject to various risks due to the incident, including ongoing litigation and regulatory scrutiny, as of the date of this filing, it has not had, and we do not believe it is likely to have, a material impact on Dropbox’s overall financial condition or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Total annual recurring revenue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ARR fluctuates and may decline in some periods as compared to prior periods. ARR increased in the second quarter of 2024 as compared to the first quarter of 2024 as a result of growth in our Individual plans. We expect to drive ARR growth, however the pace of our future growth may be lower relative to prior periods.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ARR increased for the period ended June 30, 2024, compared to the periods ended December 31, 2023 and June 30, 2023, primarily driven by an increase in paying users in our Individual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tables set forth our Total ARR using the exchange rates set at the beginning of the applicable year, as well as on a constant currency basis relative to the exchange rates used in 2024.</w:t>
      </w:r>
    </w:p>
    <w:p>
      <w:pPr>
        <w:pStyle w:val="TextBody"/>
        <w:bidi w:val="0"/>
        <w:spacing w:before="0" w:after="0"/>
        <w:ind w:left="0" w:right="0" w:firstLine="495"/>
        <w:jc w:val="left"/>
        <w:rPr/>
      </w:pPr>
      <w:r>
        <w:rPr/>
      </w:r>
    </w:p>
    <w:tbl>
      <w:tblPr>
        <w:tblW w:w="5976" w:type="dxa"/>
        <w:jc w:val="center"/>
        <w:tblInd w:w="0" w:type="dxa"/>
        <w:tblLayout w:type="fixed"/>
        <w:tblCellMar>
          <w:top w:w="28" w:type="dxa"/>
          <w:left w:w="28" w:type="dxa"/>
          <w:bottom w:w="28" w:type="dxa"/>
          <w:right w:w="28" w:type="dxa"/>
        </w:tblCellMar>
      </w:tblPr>
      <w:tblGrid>
        <w:gridCol w:w="363"/>
        <w:gridCol w:w="320"/>
        <w:gridCol w:w="322"/>
        <w:gridCol w:w="424"/>
        <w:gridCol w:w="424"/>
        <w:gridCol w:w="426"/>
        <w:gridCol w:w="109"/>
        <w:gridCol w:w="109"/>
        <w:gridCol w:w="109"/>
        <w:gridCol w:w="574"/>
        <w:gridCol w:w="574"/>
        <w:gridCol w:w="576"/>
        <w:gridCol w:w="109"/>
        <w:gridCol w:w="109"/>
        <w:gridCol w:w="109"/>
        <w:gridCol w:w="384"/>
        <w:gridCol w:w="384"/>
        <w:gridCol w:w="55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r>
    </w:tbl>
    <w:p>
      <w:pPr>
        <w:pStyle w:val="TextBody"/>
        <w:bidi w:val="0"/>
        <w:spacing w:before="0" w:after="0"/>
        <w:ind w:left="0" w:right="0" w:firstLine="495"/>
        <w:jc w:val="center"/>
        <w:rPr/>
      </w:pPr>
      <w:r>
        <w:rPr/>
      </w:r>
    </w:p>
    <w:tbl>
      <w:tblPr>
        <w:tblW w:w="6695" w:type="dxa"/>
        <w:jc w:val="center"/>
        <w:tblInd w:w="0" w:type="dxa"/>
        <w:tblLayout w:type="fixed"/>
        <w:tblCellMar>
          <w:top w:w="28" w:type="dxa"/>
          <w:left w:w="28" w:type="dxa"/>
          <w:bottom w:w="28" w:type="dxa"/>
          <w:right w:w="28" w:type="dxa"/>
        </w:tblCellMar>
      </w:tblPr>
      <w:tblGrid>
        <w:gridCol w:w="624"/>
        <w:gridCol w:w="548"/>
        <w:gridCol w:w="552"/>
        <w:gridCol w:w="424"/>
        <w:gridCol w:w="424"/>
        <w:gridCol w:w="426"/>
        <w:gridCol w:w="109"/>
        <w:gridCol w:w="109"/>
        <w:gridCol w:w="109"/>
        <w:gridCol w:w="574"/>
        <w:gridCol w:w="574"/>
        <w:gridCol w:w="576"/>
        <w:gridCol w:w="109"/>
        <w:gridCol w:w="109"/>
        <w:gridCol w:w="109"/>
        <w:gridCol w:w="384"/>
        <w:gridCol w:w="384"/>
        <w:gridCol w:w="551"/>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Constant Currency</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r>
    </w:tbl>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Paying users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FormSwift and DocSend, we define paying users as the number of users who have active paid licenses for access to our platform as of the end of the period.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paying users as of June 30, 2024 grew as compared to December 31, 2023 and June 30, 2023, largely from an increase in paying users in Individual plans. However, our overall paying user growth rate has declined and may decline in the future.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paying users fluctuates and may increase in some periods as compared to prior periods. For example, paying users increased in the second quarter of 2024 as compared to the first quarter of 2024 primarily as a result of our individual plans performance. We expect to drive paying user growth, however the pace of our future growth may be lower relative to prior periods.</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sets forth the number of paying users as of June 30, 2024, December 31, 2023, and June 30, 2023. </w:t>
      </w:r>
    </w:p>
    <w:p>
      <w:pPr>
        <w:pStyle w:val="TextBody"/>
        <w:bidi w:val="0"/>
        <w:spacing w:before="0" w:after="0"/>
        <w:ind w:left="0" w:right="0" w:firstLine="495"/>
        <w:jc w:val="left"/>
        <w:rPr/>
      </w:pPr>
      <w:r>
        <w:rPr/>
      </w:r>
    </w:p>
    <w:tbl>
      <w:tblPr>
        <w:tblW w:w="6110" w:type="dxa"/>
        <w:jc w:val="left"/>
        <w:tblInd w:w="0" w:type="dxa"/>
        <w:tblLayout w:type="fixed"/>
        <w:tblCellMar>
          <w:top w:w="28" w:type="dxa"/>
          <w:left w:w="28" w:type="dxa"/>
          <w:bottom w:w="28" w:type="dxa"/>
          <w:right w:w="28" w:type="dxa"/>
        </w:tblCellMar>
      </w:tblPr>
      <w:tblGrid>
        <w:gridCol w:w="412"/>
        <w:gridCol w:w="363"/>
        <w:gridCol w:w="364"/>
        <w:gridCol w:w="424"/>
        <w:gridCol w:w="424"/>
        <w:gridCol w:w="426"/>
        <w:gridCol w:w="109"/>
        <w:gridCol w:w="109"/>
        <w:gridCol w:w="109"/>
        <w:gridCol w:w="574"/>
        <w:gridCol w:w="574"/>
        <w:gridCol w:w="576"/>
        <w:gridCol w:w="109"/>
        <w:gridCol w:w="109"/>
        <w:gridCol w:w="109"/>
        <w:gridCol w:w="384"/>
        <w:gridCol w:w="384"/>
        <w:gridCol w:w="551"/>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users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Average revenue per paying user</w:t>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an increased mix of sales towards our higher priced plans, as well as a shift to monthly subscription plans, which have a higher price point than our annual plans, we experienced an increase in our average revenue per paying user for the three and six months ended June 30, 2024, compared to the three and six months ended June 30, 2023.</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sets forth our ARPU for the three and six months ended June 30, 2024 and 2023.</w:t>
      </w:r>
    </w:p>
    <w:p>
      <w:pPr>
        <w:pStyle w:val="TextBody"/>
        <w:bidi w:val="0"/>
        <w:spacing w:before="0" w:after="0"/>
        <w:ind w:left="0" w:right="0" w:firstLine="495"/>
        <w:jc w:val="left"/>
        <w:rPr/>
      </w:pPr>
      <w:r>
        <w:rPr/>
      </w:r>
    </w:p>
    <w:tbl>
      <w:tblPr>
        <w:tblW w:w="5821" w:type="dxa"/>
        <w:jc w:val="left"/>
        <w:tblInd w:w="0" w:type="dxa"/>
        <w:tblLayout w:type="fixed"/>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FCF increased for the six months ended June 30, 2024, compared to the six months ended June 30, 2023, primarily due to an increase in cash provided by operating activities for the reasons discussed below, including payments related to our reduction in workforce in 2023, partially offset by an increase in capital expenditures.</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FCF to generally increase in future periods as we increase subscription sales and drive operating efficiencies.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higher-priced subscription plans, to offset slower growth or decline in paying users, our revenue and revenue growth rate will decline.</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w:t>
      </w:r>
      <w:r>
        <w:rPr>
          <w:color w:val="000000"/>
        </w:rPr>
        <w:t xml:space="preserve"> </w:t>
      </w:r>
      <w:r>
        <w:rPr>
          <w:rFonts w:ascii="Times New Roman;sans-serif" w:hAnsi="Times New Roman;sans-serif"/>
          <w:b w:val="false"/>
          <w:color w:val="000000"/>
          <w:sz w:val="20"/>
        </w:rPr>
        <w:t>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increasing the capacity and enhancing the capability and reliability of our infrastructure to support user growth and increased use of our platform. We expect that cost of revenue will decrease in absolute dollars in the near term due to a one-time benefit of increasing the useful lives of certain infrastructure server and component assets from four to five years and increase in absolute dollars in the long term as the benefit lapses. See Note 1. "Description of the Business and Summary of Significant Accounting Policies - Use of Estimates"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generally expect our gross margin to increase in the near term due to the useful lives of certain infrastructure server and component assets increasing from four to five years, and remain relatively constant in the long term.</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employee-related costs for our engineering, product, and design 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research and development costs will decrease in absolute dollars and as a percentage of revenue in the near term and fluctuate in absolute dollars and decrease as a percentage of revenue in the long term, and we plan to continue to hire employees for our engineering, product, and design teams in roles critical to our future growth initiatives.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relate to both self-serve and outbound sales activities, and consist primarily of employee-related 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sales and marketing expenses will fluctuate in absolute dollars and as a percentage of revenue in both the near term and long term. We plan to continue investing in sales and marketing in the long term, in order to grow our user base and increase our brand awareness. The trend and timing of sales and marketing expenses will depend in part on the timing of marketing campaigns.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non income-based taxes, and the recognition of stock-based compensation expense related to the grant of restricted stock made to our co-founder.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loss on real estate assets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 consists primarily of impairment charges related to certain right-of-use assets and other lease related property and equipment assets in 2023. See Note 8, "Leases" for additional information.</w:t>
      </w:r>
    </w:p>
    <w:p>
      <w:pPr>
        <w:pStyle w:val="TextBody"/>
        <w:bidi w:val="0"/>
        <w:spacing w:before="20" w:after="283"/>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 consists primarily of interest income earned on our investments classified as cash and cash equivalents and short-term investments as well as interest expense related to our finance lease obligations for infrastructure and amortization of debt issuance costs.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income (loss), net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consists of U.S. federal, state and foreign jurisdiction income taxes. For 2024 and 2023, the difference between the U.S. statutory rate and our effective tax rate is primarily due to jurisdictional mix of earnings, tax credits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w:t>
      </w:r>
    </w:p>
    <w:tbl>
      <w:tblPr>
        <w:tblW w:w="7709" w:type="dxa"/>
        <w:jc w:val="left"/>
        <w:tblInd w:w="0" w:type="dxa"/>
        <w:tblLayout w:type="fixed"/>
        <w:tblCellMar>
          <w:top w:w="28" w:type="dxa"/>
          <w:left w:w="28" w:type="dxa"/>
          <w:bottom w:w="28" w:type="dxa"/>
          <w:right w:w="28" w:type="dxa"/>
        </w:tblCellMar>
      </w:tblPr>
      <w:tblGrid>
        <w:gridCol w:w="953"/>
        <w:gridCol w:w="840"/>
        <w:gridCol w:w="84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bidi w:val="0"/>
        <w:spacing w:before="0" w:after="0"/>
        <w:jc w:val="left"/>
        <w:rPr/>
      </w:pPr>
      <w:r>
        <w:rPr/>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three and six months ended June 30, 2023.</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revenue:</w:t>
      </w:r>
    </w:p>
    <w:tbl>
      <w:tblPr>
        <w:tblW w:w="7271" w:type="dxa"/>
        <w:jc w:val="left"/>
        <w:tblInd w:w="0" w:type="dxa"/>
        <w:tblLayout w:type="fixed"/>
        <w:tblCellMar>
          <w:top w:w="28" w:type="dxa"/>
          <w:left w:w="28" w:type="dxa"/>
          <w:bottom w:w="28" w:type="dxa"/>
          <w:right w:w="28" w:type="dxa"/>
        </w:tblCellMar>
      </w:tblPr>
      <w:tblGrid>
        <w:gridCol w:w="975"/>
        <w:gridCol w:w="859"/>
        <w:gridCol w:w="865"/>
        <w:gridCol w:w="266"/>
        <w:gridCol w:w="200"/>
        <w:gridCol w:w="389"/>
        <w:gridCol w:w="156"/>
        <w:gridCol w:w="156"/>
        <w:gridCol w:w="156"/>
        <w:gridCol w:w="266"/>
        <w:gridCol w:w="200"/>
        <w:gridCol w:w="389"/>
        <w:gridCol w:w="109"/>
        <w:gridCol w:w="109"/>
        <w:gridCol w:w="109"/>
        <w:gridCol w:w="246"/>
        <w:gridCol w:w="220"/>
        <w:gridCol w:w="337"/>
        <w:gridCol w:w="135"/>
        <w:gridCol w:w="135"/>
        <w:gridCol w:w="135"/>
        <w:gridCol w:w="246"/>
        <w:gridCol w:w="220"/>
        <w:gridCol w:w="393"/>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real estate assets</w:t>
            </w:r>
            <w:r>
              <w:rPr>
                <w:rFonts w:ascii="Times New Roman;sans-serif" w:hAnsi="Times New Roman;sans-serif"/>
                <w:b w:val="false"/>
                <w:color w:val="000000"/>
                <w:sz w:val="13"/>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a percentage of revenue as follows:</w:t>
      </w:r>
    </w:p>
    <w:p>
      <w:pPr>
        <w:pStyle w:val="TextBody"/>
        <w:bidi w:val="0"/>
        <w:spacing w:before="0" w:after="0"/>
        <w:jc w:val="left"/>
        <w:rPr/>
      </w:pPr>
      <w:r>
        <w:rPr/>
      </w:r>
    </w:p>
    <w:tbl>
      <w:tblPr>
        <w:tblW w:w="6900" w:type="dxa"/>
        <w:jc w:val="center"/>
        <w:tblInd w:w="0" w:type="dxa"/>
        <w:tblLayout w:type="fixed"/>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190"/>
        <w:gridCol w:w="171"/>
        <w:gridCol w:w="337"/>
        <w:gridCol w:w="135"/>
        <w:gridCol w:w="135"/>
        <w:gridCol w:w="135"/>
        <w:gridCol w:w="190"/>
        <w:gridCol w:w="171"/>
        <w:gridCol w:w="393"/>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three and six months ended June 30, 2023.</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the our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2023</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631"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Revenue increased $12.0 million or 1.9% during the three months ended June 30, 2024, as compared to the three 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primarily due to an increase in paying users </w:t>
      </w:r>
      <w:r>
        <w:rPr>
          <w:rFonts w:ascii="Times New Roman;sans-serif" w:hAnsi="Times New Roman;sans-serif"/>
          <w:b w:val="false"/>
          <w:color w:val="000000"/>
          <w:sz w:val="20"/>
        </w:rPr>
        <w:t>and an increased mix of sales towards our higher priced plans, as well as a shift to monthly subscription plans, which have a higher price point than our annual plans, which together contributed to an increase of $11.1 million in revenue</w:t>
      </w:r>
      <w:r>
        <w:rPr>
          <w:rFonts w:ascii="Times New Roman;sans-serif" w:hAnsi="Times New Roman;sans-serif"/>
          <w:b w:val="false"/>
          <w:color w:val="000000"/>
          <w:sz w:val="20"/>
          <w:shd w:fill="FFFFFF" w:val="clear"/>
        </w:rPr>
        <w:t>. In addition, revenue was positively impacted by $0.9 million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67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11"/>
        <w:gridCol w:w="586"/>
        <w:gridCol w:w="109"/>
        <w:gridCol w:w="109"/>
        <w:gridCol w:w="109"/>
        <w:gridCol w:w="109"/>
        <w:gridCol w:w="293"/>
        <w:gridCol w:w="293"/>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$13.1 million or 10.9% during the three months ended June 30, 2024, as compared to the three months ended June 30, 2023, primarily due to decreases of $8.2 million in infrastructure costs, primarily as a result of the change in useful lives from 4 to 5 years for certain infrastructure and component assets, and $3.4 million in employee-related costs.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during the three months ended June 30, 2024 compared to the three months ended June 30, 2023, primarily due to a 1.9% increase in revenue during the period and a 10.9% decrease in our cost of revenue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26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$35.7 million or 13.6% during the three months ended June 30, 2024, as compared to the three months ended June 30, 2023, primarily due to decreases of $36.3 million in employee-related costs and $1.7 million in allocated overhead.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602"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$8.4 million or 6.9% during the three months ended June 30, 2024, as compared to the three months ended June 30, 2023, primarily due to a decrease of $16.4 million in employee-related costs. This decrease was partially offset by an increase of $6.1 million related to advertising and other marketing related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889" w:type="dxa"/>
        <w:jc w:val="left"/>
        <w:tblInd w:w="0" w:type="dxa"/>
        <w:tblLayout w:type="fixed"/>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$0.9 million or 1.5% during the three months ended June 30, 2024, as compared to the three months ended June 30, 2023, primarily due to an increase of $4.5 million in non-income based taxes. This increase was partially offset by decreases of $2.0 million in employee-related costs and $1.9 million in outside services.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on real estate assets</w:t>
      </w:r>
    </w:p>
    <w:tbl>
      <w:tblPr>
        <w:tblW w:w="6964" w:type="dxa"/>
        <w:jc w:val="left"/>
        <w:tblInd w:w="0" w:type="dxa"/>
        <w:tblLayout w:type="fixed"/>
        <w:tblCellMar>
          <w:top w:w="28" w:type="dxa"/>
          <w:left w:w="28" w:type="dxa"/>
          <w:bottom w:w="28" w:type="dxa"/>
          <w:right w:w="28" w:type="dxa"/>
        </w:tblCellMar>
      </w:tblPr>
      <w:tblGrid>
        <w:gridCol w:w="863"/>
        <w:gridCol w:w="757"/>
        <w:gridCol w:w="765"/>
        <w:gridCol w:w="222"/>
        <w:gridCol w:w="428"/>
        <w:gridCol w:w="114"/>
        <w:gridCol w:w="114"/>
        <w:gridCol w:w="114"/>
        <w:gridCol w:w="114"/>
        <w:gridCol w:w="222"/>
        <w:gridCol w:w="428"/>
        <w:gridCol w:w="114"/>
        <w:gridCol w:w="109"/>
        <w:gridCol w:w="109"/>
        <w:gridCol w:w="109"/>
        <w:gridCol w:w="256"/>
        <w:gridCol w:w="511"/>
        <w:gridCol w:w="134"/>
        <w:gridCol w:w="109"/>
        <w:gridCol w:w="109"/>
        <w:gridCol w:w="109"/>
        <w:gridCol w:w="269"/>
        <w:gridCol w:w="271"/>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 was $2.2 million during the three months ended June 30, 2023 related to right-of-use and other lease related property and equipment assets, in conjunction with our Virtual First model. There were no similar charges during the three months ended June 30,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 increased by $1.0 million during the three months ended June 30, 2024, as compared to the three months ended June 30, 2023, primarily due to higher interest income as a result of interest rate increases.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(loss),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net increased by $3.1 million during the three months ended June 30, 2024, as compared to the three months ended June 30, 2023, primarily due to a $1.5 million gain from sales of retired infrastructure assets, a $1.1 million increase in foreign currency transaction gains, and a $0.7 million reduction in losses on investments.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Provision for income taxes increased</w:t>
      </w:r>
      <w:r>
        <w:rPr>
          <w:color w:val="000000"/>
        </w:rPr>
        <w:t xml:space="preserve"> </w:t>
      </w:r>
      <w:r>
        <w:rPr>
          <w:rFonts w:ascii="Times New Roman;sans-serif" w:hAnsi="Times New Roman;sans-serif"/>
          <w:b w:val="false"/>
          <w:color w:val="000000"/>
          <w:sz w:val="20"/>
        </w:rPr>
        <w:t>$7.3 million</w:t>
      </w:r>
      <w:r>
        <w:rPr>
          <w:color w:val="000000"/>
          <w:shd w:fill="FFFFFF" w:val="clear"/>
        </w:rPr>
        <w:t xml:space="preserve"> </w:t>
      </w:r>
      <w:r>
        <w:rPr>
          <w:rFonts w:ascii="Times New Roman;sans-serif" w:hAnsi="Times New Roman;sans-serif"/>
          <w:b w:val="false"/>
          <w:color w:val="000000"/>
          <w:sz w:val="20"/>
          <w:shd w:fill="FFFFFF" w:val="clear"/>
        </w:rPr>
        <w:t>during the three months ended June 30, 2024, as compared to the three months ended June 30, 2023,</w:t>
      </w:r>
      <w:r>
        <w:rPr>
          <w:color w:val="000000"/>
        </w:rPr>
        <w:t xml:space="preserve"> </w:t>
      </w:r>
      <w:r>
        <w:rPr>
          <w:rFonts w:ascii="Times New Roman;sans-serif" w:hAnsi="Times New Roman;sans-serif"/>
          <w:b w:val="false"/>
          <w:color w:val="000000"/>
          <w:sz w:val="20"/>
        </w:rPr>
        <w:t xml:space="preserve">primarily due to the impact of our reduction in workforce on fiscal year 2023 income before income taxes, offset by an increase in availability of tax credits in fiscal year 2024.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931"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28"/>
        <w:gridCol w:w="554"/>
        <w:gridCol w:w="11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Revenue increased $32.2 million or 2.6% during the six months ended June 30, 2024, as compared to the six 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primarily due to an increase of $30.9 million primarily due to an increase in paying users </w:t>
      </w:r>
      <w:r>
        <w:rPr>
          <w:rFonts w:ascii="Times New Roman;sans-serif" w:hAnsi="Times New Roman;sans-serif"/>
          <w:b w:val="false"/>
          <w:color w:val="000000"/>
          <w:sz w:val="20"/>
        </w:rPr>
        <w:t>and an increased mix of sales towards our higher priced plans, as well as a shift to monthly subscription plans, which have a higher price point than our annual plans</w:t>
      </w:r>
      <w:r>
        <w:rPr>
          <w:rFonts w:ascii="Times New Roman;sans-serif" w:hAnsi="Times New Roman;sans-serif"/>
          <w:b w:val="false"/>
          <w:color w:val="000000"/>
          <w:sz w:val="20"/>
          <w:shd w:fill="FFFFFF" w:val="clear"/>
        </w:rPr>
        <w:t>. Revenue was positively impacted by $1.5 million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67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11"/>
        <w:gridCol w:w="586"/>
        <w:gridCol w:w="109"/>
        <w:gridCol w:w="109"/>
        <w:gridCol w:w="109"/>
        <w:gridCol w:w="109"/>
        <w:gridCol w:w="293"/>
        <w:gridCol w:w="293"/>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$24.1 million or 10.2% during the six months ended June 30, 2024, as compared to the six months ended June 30, 2023, primarily due to decreases of $17.3 million in infrastructure costs, primarily as a result of the change in useful lives from 4 to 5 years for certain infrastructure and component assets, and $4.6 million in employee-related costs.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during the six months ended June 30, 2024 compared to the six months ended June 30, 2023, primarily due to a 2.6% increase in revenue during the period and a 10.2% decrease in our cost of revenue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26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$51.8 million or 10.4% during the six months ended June 30, 2024, as compared to the six months ended June 30, 2023, primarily due to decreases of $46.6 million in employee-related costs and $6.8 million in allocated overhead.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607"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40"/>
        <w:gridCol w:w="240"/>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$18.8 million or 7.8% during the six months ended June 30, 2024, as compared to the six months ended June 30, 2023, primarily due to a decrease of $21.8 million in employee-related costs. This decrease was partially offset by an increase of $1.7 million related to advertising and other marketing related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157"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$0.8 million or 0.7% during the six months ended June 30, 2024, as compared to the six months ended June 30, 2023, primarily due to decreases of $1.6 million in outside services and $0.4 million in employee-related cost. These decreases were offset by an increase of $1.7 million in non-income based taxes.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on real estate assets</w:t>
      </w:r>
    </w:p>
    <w:tbl>
      <w:tblPr>
        <w:tblW w:w="6873" w:type="dxa"/>
        <w:jc w:val="left"/>
        <w:tblInd w:w="0" w:type="dxa"/>
        <w:tblLayout w:type="fixed"/>
        <w:tblCellMar>
          <w:top w:w="28" w:type="dxa"/>
          <w:left w:w="28" w:type="dxa"/>
          <w:bottom w:w="28" w:type="dxa"/>
          <w:right w:w="28" w:type="dxa"/>
        </w:tblCellMar>
      </w:tblPr>
      <w:tblGrid>
        <w:gridCol w:w="863"/>
        <w:gridCol w:w="757"/>
        <w:gridCol w:w="765"/>
        <w:gridCol w:w="211"/>
        <w:gridCol w:w="406"/>
        <w:gridCol w:w="109"/>
        <w:gridCol w:w="109"/>
        <w:gridCol w:w="109"/>
        <w:gridCol w:w="109"/>
        <w:gridCol w:w="211"/>
        <w:gridCol w:w="406"/>
        <w:gridCol w:w="109"/>
        <w:gridCol w:w="109"/>
        <w:gridCol w:w="109"/>
        <w:gridCol w:w="109"/>
        <w:gridCol w:w="256"/>
        <w:gridCol w:w="511"/>
        <w:gridCol w:w="134"/>
        <w:gridCol w:w="109"/>
        <w:gridCol w:w="109"/>
        <w:gridCol w:w="109"/>
        <w:gridCol w:w="269"/>
        <w:gridCol w:w="271"/>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 was $2.2 million during the six months ended June 30, 2023 related to right-of-use and other lease related property and equipment assets, in conjunction with our Virtual First model. There were no similar charges during the six months ended June 30,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 increased by $4.4 million during the six months ended June 30, 2024, as compared to the six months ended June 30, 2023, primarily due to higher interest income as a result of interest rate increases.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(loss),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 increased by $3.8 million during the six months ended June 30, 2024, as compared to the six months ended June 30, 2023, primarily due to a $2.3 million reduction in losses on investments, a $1.4 million gain from sales of retired infrastructure assets, and a $0.3 million increase in foreign currency transaction gains.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Provision for income taxes increased</w:t>
      </w:r>
      <w:r>
        <w:rPr>
          <w:color w:val="000000"/>
        </w:rPr>
        <w:t xml:space="preserve"> </w:t>
      </w:r>
      <w:r>
        <w:rPr>
          <w:rFonts w:ascii="Times New Roman;sans-serif" w:hAnsi="Times New Roman;sans-serif"/>
          <w:b w:val="false"/>
          <w:color w:val="000000"/>
          <w:sz w:val="20"/>
        </w:rPr>
        <w:t>$7.5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June 30, 2024</w:t>
      </w:r>
      <w:r>
        <w:rPr>
          <w:rFonts w:ascii="Times New Roman;sans-serif" w:hAnsi="Times New Roman;sans-serif"/>
          <w:b w:val="false"/>
          <w:color w:val="000000"/>
          <w:sz w:val="20"/>
          <w:shd w:fill="FFFFFF" w:val="clear"/>
        </w:rPr>
        <w:t xml:space="preserve">, as compared to the </w:t>
      </w:r>
      <w:r>
        <w:rPr>
          <w:rFonts w:ascii="Times New Roman;sans-serif" w:hAnsi="Times New Roman;sans-serif"/>
          <w:b w:val="false"/>
          <w:color w:val="000000"/>
          <w:sz w:val="20"/>
        </w:rPr>
        <w:t>six months ended June 30,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primarily due to the impact of our reduction in workforce on prior year income before income taxes, partially offset by an increase in availability of tax credits in the current year.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and cash equivalents of $515.1 million and short-term investments of $547.4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June 30, 2024, $319.2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we issued approximately $1.4 billion in aggregate principal amount of convertible senior notes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w:t>
      </w:r>
      <w:r>
        <w:rPr>
          <w:rFonts w:ascii="Times New Roman;sans-serif" w:hAnsi="Times New Roman;sans-serif"/>
          <w:b w:val="false"/>
          <w:color w:val="000000"/>
          <w:sz w:val="20"/>
          <w:shd w:fill="FFFFFF" w:val="clear"/>
        </w:rPr>
        <w:t>1.2 billion</w:t>
      </w:r>
      <w:r>
        <w:rPr>
          <w:color w:val="000000"/>
        </w:rPr>
        <w:t xml:space="preserve"> </w:t>
      </w:r>
      <w:r>
        <w:rPr>
          <w:rFonts w:ascii="Times New Roman;sans-serif" w:hAnsi="Times New Roman;sans-serif"/>
          <w:b w:val="false"/>
          <w:color w:val="000000"/>
          <w:sz w:val="20"/>
        </w:rPr>
        <w:t>of the outstanding shares of our Class A common stock. In July 2023, our Board of Directors authorized the repurchase of up to an additional $</w:t>
      </w:r>
      <w:r>
        <w:rPr>
          <w:rFonts w:ascii="Times New Roman;sans-serif" w:hAnsi="Times New Roman;sans-serif"/>
          <w:b w:val="false"/>
          <w:color w:val="000000"/>
          <w:sz w:val="20"/>
          <w:shd w:fill="FFFFFF" w:val="clear"/>
        </w:rPr>
        <w:t>1.2</w:t>
      </w:r>
      <w:r>
        <w:rPr>
          <w:color w:val="000000"/>
        </w:rPr>
        <w:t xml:space="preserve"> </w:t>
      </w:r>
      <w:r>
        <w:rPr>
          <w:rFonts w:ascii="Times New Roman;sans-serif" w:hAnsi="Times New Roman;sans-serif"/>
          <w:b w:val="false"/>
          <w:color w:val="000000"/>
          <w:sz w:val="20"/>
        </w:rPr>
        <w:t>billion of the outstanding shares of our Class A common stock. We completed the February 2022 authorization of $</w:t>
      </w:r>
      <w:r>
        <w:rPr>
          <w:rFonts w:ascii="Times New Roman;sans-serif" w:hAnsi="Times New Roman;sans-serif"/>
          <w:b w:val="false"/>
          <w:color w:val="000000"/>
          <w:sz w:val="20"/>
          <w:shd w:fill="FFFFFF" w:val="clear"/>
        </w:rPr>
        <w:t xml:space="preserve">1.2 </w:t>
      </w:r>
      <w:r>
        <w:rPr>
          <w:rFonts w:ascii="Times New Roman;sans-serif" w:hAnsi="Times New Roman;sans-serif"/>
          <w:b w:val="false"/>
          <w:color w:val="000000"/>
          <w:sz w:val="20"/>
        </w:rPr>
        <w:t xml:space="preserve">billion during the three months ended March 31, 2024 and continued stock repurchases under the July 2023 authorization.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2024, we repurchased and subsequently retired 11.3 million and 22.4 million shares, respectively, of our Class A common stock for an aggregate amount of $262.2 million and $543.8 million, respectively. </w:t>
      </w:r>
      <w:r>
        <w:rPr>
          <w:rFonts w:ascii="Times New Roman;sans-serif" w:hAnsi="Times New Roman;sans-serif"/>
          <w:b w:val="false"/>
          <w:color w:val="000000"/>
          <w:sz w:val="20"/>
          <w:shd w:fill="FFFFFF" w:val="clear"/>
        </w:rPr>
        <w:t xml:space="preserve">Included in the cost of treasury stock acquired pursuant to common share repurchases is the 1% excise tax imposed as part of the Inflation Reduction Act. </w:t>
      </w:r>
      <w:r>
        <w:rPr>
          <w:rFonts w:ascii="Times New Roman;sans-serif" w:hAnsi="Times New Roman;sans-serif"/>
          <w:b w:val="false"/>
          <w:color w:val="000000"/>
          <w:sz w:val="20"/>
        </w:rPr>
        <w:t>The pace of our share repurchases may fluctuate due to various circumstances, including market conditions and our stock price.</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we entered into a $600.0 million credit facility with a syndicate of financial institutions, which we subsequently amended in February 2018, February 2021, and March 2023. Pursuant to the terms of the revolving credit facility, as amended, we may issue letters of credit under the revolving credit facility, which reduce the total amount available for borrowing under such facility. The amended revolving credit facility, among other things, permits us to make certain investments, and enter into an unsecured standby letter of credit facility. Our borrowing capacity under the amended revolving credit facility is $500.0 million and the letter of credit sublimit is $65.0 million.. We may from time-to-time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There is an additional fronting fee of 0.125% per annum multiplied by the average aggregate daily maximum amount available under all letters of credit.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June 30, 2024.</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no amounts outstanding under the revolving credit facility and an aggregate of $30.4 million in letters of credit issued under the revolving credit facility. Our total available borrowing capacity under the revolving credit facility was $469.6 million as of June 30, 2024.</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together with our short-term investments, cash provided by operations and amounts available under the revolving credit facility, will be sufficient to meet our needs for the foreseeable future. As of June 30, 2024, our principal commitments consist of obligations under the Notes, and cash commitments due to additional known contractual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7328" w:type="dxa"/>
        <w:jc w:val="left"/>
        <w:tblInd w:w="0" w:type="dxa"/>
        <w:tblLayout w:type="fixed"/>
        <w:tblCellMar>
          <w:top w:w="28" w:type="dxa"/>
          <w:left w:w="28" w:type="dxa"/>
          <w:bottom w:w="28" w:type="dxa"/>
          <w:right w:w="28" w:type="dxa"/>
        </w:tblCellMar>
      </w:tblPr>
      <w:tblGrid>
        <w:gridCol w:w="1840"/>
        <w:gridCol w:w="1620"/>
        <w:gridCol w:w="1624"/>
        <w:gridCol w:w="211"/>
        <w:gridCol w:w="616"/>
        <w:gridCol w:w="109"/>
        <w:gridCol w:w="109"/>
        <w:gridCol w:w="109"/>
        <w:gridCol w:w="109"/>
        <w:gridCol w:w="211"/>
        <w:gridCol w:w="61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and depreciation and amortization expenses, as well as the effect of changes in operating assets and liabilities.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provided by operating activities was $406.1 million, which primarily consisted of our net income of $242.8 million, adjusted for stock-based compensation expense of $168.5 million, depreciation and amortization expenses of $63.8 million, and net cash outflow of $104.7 million from operating assets and liabilities. The outflow from operating assets and liabilities was primarily due to the payment of our corporate bonus and the payment for the second tranche termination fee for the partial termination of our lease for our San Francisco, California corporate headquarters,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offset by an increase in deferred revenue from increased subscription sales, as a majority of our paying users are invoiced in advance. </w:t>
      </w:r>
    </w:p>
    <w:p>
      <w:pPr>
        <w:pStyle w:val="TextBody"/>
        <w:bidi w:val="0"/>
        <w:spacing w:before="0" w:after="0"/>
        <w:ind w:left="0" w:right="0" w:firstLine="450"/>
        <w:jc w:val="left"/>
        <w:rPr/>
      </w:pPr>
      <w:r>
        <w:rPr/>
      </w:r>
    </w:p>
    <w:p>
      <w:pPr>
        <w:pStyle w:val="TextBody"/>
        <w:bidi w:val="0"/>
        <w:spacing w:lineRule="auto" w:line="26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of $78.6 million in net cash provided by operating activities during the six months ended June 30, 2024, compared to the six months ended June 30, 2023, was primarily due to an increase of $85.5 million in net income, as adjusted for stock-based compensation and depreciation and amortization expenses. This was partially offset by an increase of $6.9 million in cash outflows from changes in operating assets and liabilities.</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provided by investing activities was $176.9 million, which primarily related to $202.8 million in net investment activity inflows, driven by the sales and maturities of short-term investments, net of purchases. The increase was partially offset by cash paid for an acquisition of $21.1 million and cash paid for capital expenditures of $15.1 million related to purchases of infrastructure assets at our datacenters.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of $230.0 million in net cash provided by investing activities during the six months ended June 30, 2024, compared to the six months ended June 30, 2023, was primarily due to a decrease of $200.3 million in net investment activity inflows, an increase of $21.1 million in cash paid for an acquisition, and an increase of $10.2 million in cash paid for capital expenditures related to purchases of infrastructure assets at our datacenters.</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is primarily impacted by cash used for repurchases of common stock, tax withholding obligations for the release of restricted stock units ("RSUs") and restricted stock awards ("RSAs"), and principal payments on finance lease obligations for our infrastructure equipment.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net cash used in financing activities was $679.4 million, which primarily consisted of $539.6 million for the repurchase of our common stock, $76.0 million for the satisfaction of tax withholding obligations for the release of restricted stock units and awards, and $63.9 million in principal payments on finance lease obligations.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of $220.8 million in net cash used in financing activities during the six months ended June 30, 2024, compared to the six months ended June 30, 2023, was primarily due to an increase of $210.0 million in repurchases of our common stock and an increase of $9.8 million in cash paid for the satisfaction of tax withholding obligations for the release of restricted stock units and awards. </w:t>
      </w:r>
    </w:p>
    <w:p>
      <w:pPr>
        <w:pStyle w:val="TextBody"/>
        <w:bidi w:val="0"/>
        <w:spacing w:before="0" w:after="160"/>
        <w:ind w:left="0" w:right="0" w:firstLine="45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Part II, Item 7, “Critical Accounting Estimates” in our Annual Report on Form 10-K for the year ended December 31, 2023. There have been no material changes to our critical accounting policies and estimates since our Annual Report on Form 10-K for the year ended December 31, 2023.</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$515.1 million and short-term investments of $547.4 million as of June 30, 2024.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the revolving credit facility bear interest at a variable rate tied to SOFR or an alternative base rate. As of June 30, 2024, we had no amounts outstanding under the revolving credit facility. We do not have any other long-term debt or financial liabilities with floating interest rates that would subject us to interest rate fluctuations.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 hypothetical increase in interest rates by 100 basis points would have resulted in a $5.9 million reduction in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2024,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or losses were immaterial during the six months ended June 30, 2024 and 2023, respectively. A hypothetical 10% change in foreign currency rates would not have resulted in material gains or losses for the six months ended June 30, 2024 and 2023, respectively.</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engaged in any hedging activities to manage foreign currency exchange risk.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trial in May 2023, the jury found in favor of Dropbox on all counts including non-infringement and invalidity of the patents and awarded no damages to Motion Offense. Dropbox filed a Motion for Entry of Judgment on August 28, 2023 and is currently awaiting entry of judgment by the district court. The final judgment may be appealed to the Federal Circuit. On September 27, 2023, Motion Offense filed a Motion for a New Trial. At a hearing on January 3, 2024, the Court denied Motion Offense’s Motion for a New Trial. On January 8, 2024, the court ordered supplemental briefing relating to the Motion for Entry of Judgment and briefing was completed. The Court's decision on the Motion for Entry of Judgment is pending.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trial, Motion Offense filed a third patent infringement suit against Dropbox out of the same family of patents as the prior two suits. This suit was not consolidated into the trial. Decisions on the parties' Motions to Dismiss and Dropbox's Motion to Stay are currently pending. We believe Motion Offense’s allegations in that suit are similarly without merit and will vigorously defend against them.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including our bundled product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of our revenue from self-serve channels. Our self-service channel revenue is driven by word-of-mouth referrals,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recommendations, and positive brand recognition in the marketplace. Any decrease in user satisfaction with our products or support could harm our brand, word-of-mouth referrals, and ability to grow.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2024, we served over 700 million registered users but only 18.22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events or conditions that financially impact our registered users and other prospective paying users, such as macroeconomic factors, layoffs, inflation, increased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four proposed class action lawsuits that have been filed in federal court in the Northern District of California, and regulatory scrutiny related to this incident, and we may discover other impacts or new related events may occur that could affect our business operations, financial condition or results of operations.</w:t>
      </w:r>
      <w:r>
        <w:rPr>
          <w:color w:val="000000"/>
        </w:rPr>
        <w:t xml:space="preserve"> </w:t>
      </w:r>
      <w:r>
        <w:rPr>
          <w:rFonts w:ascii="Times New Roman;sans-serif" w:hAnsi="Times New Roman;sans-serif"/>
          <w:b w:val="false"/>
          <w:color w:val="000000"/>
          <w:sz w:val="20"/>
        </w:rPr>
        <w:t>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rate of growth has declined in past periods. If we do not successfully execute our plan for future growth, our growth rate may continue to decline in the future.</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The rate of growth of our business and revenue has declined in prior periods and may continue to decline in the future if we are unable to execute on our new product initiatives and plans for future growth. Although we believe our new product </w:t>
      </w:r>
      <w:r>
        <w:rPr>
          <w:rFonts w:ascii="Times New Roman;sans-serif" w:hAnsi="Times New Roman;sans-serif"/>
          <w:b w:val="false"/>
          <w:color w:val="000000"/>
          <w:sz w:val="20"/>
        </w:rPr>
        <w:t>initiatives represent an opportunity for future growth, these initiatives, including any AI-based initiatives, may not succeed, and any additional revenue they generate may be insufficient to offset declining rates of growth in other areas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challenges may be heightened in connection with our Virtual First work model, as we focus on integrating, developing, and motivating an increasingly distributed employee base in various countries around the world, as well as aligning our resources to create a more nimble and streamlined organization. Executing our plans to drive growth will also require significant expenditures and allocation of valuable management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results of operations is subject to a number of risks and uncertainties, including our ability to effectively plan for and model future growth, and we have not always and we may not in the future receive our expected return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business may be significantly impacted by a change in general economic, political, and market conditions, including any resulting effect on consumer or business spending</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rising interest rates, unemployment trends, geopolitical issues, including wars and other armed conflicts, global health epidemics and other highly communicable diseases,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user-centric design;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scale of user network;</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brand;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accessibility across several devices, operating systems, and applications;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third-party integration;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customer support;</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continued innovation;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pricing;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investments in AI;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make it increasingly difficult for us to compete effectively. We expect these trends to continue as competitors continue to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Failure to respond to rapid technological changes, extend our platform, or develop new features or products may harm our ability to compete effectively, which would adversely affect our business</w:t>
      </w:r>
      <w:r>
        <w:rPr>
          <w:rFonts w:ascii="Times New Roman;sans-serif" w:hAnsi="Times New Roman;sans-serif"/>
          <w:b/>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drive future growth of our business, the development of such new features will incur significant costs, we expect to face increasing competition,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awareness of the content collaboration category generally;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scale, and duration, of trends towards or away from remote or distributed 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We have a limited history of operating with a Virtual First workforce and the long-term impact on our financial results and business operations remains uncertain</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shift to a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Historically, our business model has been driven by organic adoption and viral growth, with more than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of our revenue generated from self-serve channels. As a result, we do not have a significant outbound sales force, which has enabled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shd w:fill="FFFFFF" w:val="clear"/>
        </w:rPr>
        <w:t>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continuing to expand our operations outside the United States, where we may be subject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paying users across approximately 180 countries and approximately half of our revenue in the year ended December 31, 2023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 jurisdictions that do not protect intellectual property rights in the same manner or to the same extent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w:t>
      </w:r>
      <w:r>
        <w:rPr>
          <w:rFonts w:ascii="Times New Roman;sans-serif" w:hAnsi="Times New Roman;sans-serif"/>
          <w:b w:val="false"/>
          <w:color w:val="000000"/>
          <w:sz w:val="20"/>
          <w:shd w:fill="FFFFFF" w:val="clear"/>
        </w:rPr>
        <w:t>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depend on our ecosystem of developers to create applications that will integrate with our platform. As of December 31, 2023,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acquired, and may in the future acquire, other businesses and technologies, which could require significant management attention, disrupt our business operations, cause us to incur debt or dilute stockholder value.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integrating and retaining key employees of acquired businesses and related challenges motivating and retaining our key employees after such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offer, price, and support multiple product lines or services offerings of acquired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acquisition we complete could be viewed negatively by users, developers, partners, or investors, and could have adverse effects on our existing business relationships, financial condition, or the value of our capital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it more difficult for us to satisfy our debt obligations, including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place us at a competitive disadvantage compared to our competitors that have less indebtedness or are not subject to restrictive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our business, cash flows, results of operations, and financial condition.</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i/>
          <w:color w:val="000000"/>
          <w:sz w:val="20"/>
          <w:shd w:fill="FFFFFF" w:val="clear"/>
        </w:rPr>
        <w:t>Our operations may be interrupted and our business, results of operations, and financial condition could be adversely affected if we default on our leasing or credit obligations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finance a significant portion of our expenditures through leasing arrangements, and we may enter into additional similar arrangements in the future. As of December 31, 2023, we had an aggregate of $1,173.6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lease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amounts drawn on our revolving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revolving credit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pay significant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Although we had been profitable on a GAAP basis in prior fiscal quarters, 2021 was our first profitable full fiscal year and we incurred net losses on an annual basis from our inception to that time. We may, however, not achieve or maintain profitability in future periods, or, if we are profitable, we may not fully achieve our profitability targets. As we strive to grow our business, expenses may increase, particularly as we continue to make investments to scale our business, reposition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products or respond to new technologies including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Servicing our 2026 Notes and 2028 Notes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quarterly results may fluctuate significantly and may not fully reflect the underlying performance of our business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entry into or exit of operating and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catastrophic events, including earthquakes, fires, floods, tsunamis, or other weather events, power loss, telecommunications failures, software or hardware malfunctions, cyber-attack, war,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other impacts of shifting our operations to a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results of operations may not immediately reflect downturns or upturns in sales because we recognize revenue from our users over the term of their subscriptions with us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results of operations, which are reported in U.S. dollars, could be adversely affected if currency exchange rates fluctuate substantially in the future</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We conduct our business across approximately </w:t>
      </w:r>
      <w:r>
        <w:rPr>
          <w:rFonts w:ascii="Times New Roman;sans-serif" w:hAnsi="Times New Roman;sans-serif"/>
          <w:b w:val="false"/>
          <w:color w:val="000000"/>
          <w:sz w:val="20"/>
        </w:rPr>
        <w:t>180</w:t>
      </w:r>
      <w:r>
        <w:rPr>
          <w:color w:val="000000"/>
          <w:shd w:fill="FFFFFF" w:val="clear"/>
        </w:rPr>
        <w:t xml:space="preserve"> </w:t>
      </w:r>
      <w:r>
        <w:rPr>
          <w:rFonts w:ascii="Times New Roman;sans-serif" w:hAnsi="Times New Roman;sans-serif"/>
          <w:b w:val="false"/>
          <w:color w:val="000000"/>
          <w:sz w:val="20"/>
          <w:shd w:fill="FFFFFF" w:val="clear"/>
        </w:rPr>
        <w:t xml:space="preserve">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w:t>
      </w:r>
      <w:r>
        <w:rPr>
          <w:rFonts w:ascii="Times New Roman;sans-serif" w:hAnsi="Times New Roman;sans-serif"/>
          <w:b w:val="false"/>
          <w:color w:val="000000"/>
          <w:sz w:val="20"/>
        </w:rPr>
        <w:t>In 2023, 27%</w:t>
      </w:r>
      <w:r>
        <w:rPr>
          <w:color w:val="000000"/>
          <w:shd w:fill="FFFFFF" w:val="clear"/>
        </w:rPr>
        <w:t xml:space="preserve"> </w:t>
      </w:r>
      <w:r>
        <w:rPr>
          <w:rFonts w:ascii="Times New Roman;sans-serif" w:hAnsi="Times New Roman;sans-serif"/>
          <w:b w:val="false"/>
          <w:color w:val="000000"/>
          <w:sz w:val="20"/>
          <w:shd w:fill="FFFFFF" w:val="clear"/>
        </w:rPr>
        <w:t xml:space="preserve">of our sales were denominated in currencies other than U.S. dollars. Our expenses, by contrast,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ability to use our net operating loss carryforwards and certain other tax attributes may be limited</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As of December 31, 2023,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operating results may be harmed if we are required to collect sales or other related taxes for our subscription services in jurisdictions where we have not historically done so</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Our results of operations and financial condition could be materially affected by the enactment of legislation implementing changes in the U.S. or foreign taxation of international business activities or the adoption of other tax reform policies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Organization for Economic Cooperation and Development (“OECD”) and many countries have proposed to reallocate some portion of profits of large multinational companies with global revenues exceeding EUR20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other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Other changes to U.S. or non-U.S. tax laws could have an adverse impact on our business, results of operations, financial condition and cash flows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We are subject to export and import control laws and regulations that could impair our ability to compete in international markets or subject us to liability if we violate such laws and regulations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that there will continue to be new laws, regulations, and industry standards concerning privacy, data protection, AI, and information security proposed and enacted in various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to the U.S. as of October 12, 2023 and in due course will also apply to transfers from Switzerland to the U.S. Switzerland must also adopt its own adequacy decision, which is expected to happen shortly.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recent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have taken or will take effect in 2024; Tennessee, Delaware, New Jersey, Nebraska, Iowa, Maryland, Minnesota, and New Hampshire have enacted similar laws that go into effect in 2025, and Indiana, Kentucky, and Rhode Island have enacted similar laws that will go into effect in 2026. Other laws relating to privacy and cybersecurity, many of which are similar to the CCPA and CPRA, are being considered by other state legislatures, and the U.S. federal government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implement usage-based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otherwise try to monetize or control access to their networks.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shd w:fill="FFFFFF" w:val="clear"/>
        </w:rPr>
        <w:t xml:space="preserve">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w:t>
      </w:r>
      <w:r>
        <w:rPr>
          <w:rFonts w:ascii="Times New Roman;sans-serif" w:hAnsi="Times New Roman;sans-serif"/>
          <w:b w:val="false"/>
          <w:color w:val="000000"/>
          <w:sz w:val="20"/>
        </w:rPr>
        <w:t>1,750</w:t>
      </w:r>
      <w:r>
        <w:rPr>
          <w:color w:val="000000"/>
          <w:shd w:fill="FFFFFF" w:val="clear"/>
        </w:rPr>
        <w:t xml:space="preserve"> </w:t>
      </w:r>
      <w:r>
        <w:rPr>
          <w:rFonts w:ascii="Times New Roman;sans-serif" w:hAnsi="Times New Roman;sans-serif"/>
          <w:b w:val="false"/>
          <w:color w:val="000000"/>
          <w:sz w:val="20"/>
          <w:shd w:fill="FFFFFF" w:val="clear"/>
        </w:rPr>
        <w:t xml:space="preserve">issued patents and more than </w:t>
      </w:r>
      <w:r>
        <w:rPr>
          <w:rFonts w:ascii="Times New Roman;sans-serif" w:hAnsi="Times New Roman;sans-serif"/>
          <w:b w:val="false"/>
          <w:color w:val="000000"/>
          <w:sz w:val="20"/>
        </w:rPr>
        <w:t>250</w:t>
      </w:r>
      <w:r>
        <w:rPr>
          <w:color w:val="000000"/>
          <w:shd w:fill="FFFFFF" w:val="clear"/>
        </w:rPr>
        <w:t xml:space="preserve"> </w:t>
      </w:r>
      <w:r>
        <w:rPr>
          <w:rFonts w:ascii="Times New Roman;sans-serif" w:hAnsi="Times New Roman;sans-serif"/>
          <w:b w:val="false"/>
          <w:color w:val="000000"/>
          <w:sz w:val="20"/>
          <w:shd w:fill="FFFFFF" w:val="clear"/>
        </w:rPr>
        <w:t>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time-to-time;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inclusion, exclusion, or deletion of our stock from any trading indices, including the S&amp;P 400 Index, to which we were recently added;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following periods of volatility in the overall market and the market price of a particular company’s securities, securities class action litigation has often been instituted against these companies. Any securities litigation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The multi-class structure of our common stock has the effect of concentrating voting control with those stockholders who held our capital stock prior to the completion of our IPO, and it may depress the trading price of our Class A common stock</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one vote per share, our Class B common stock has ten votes per share, and our Class C common stock has no voting rights, except as otherwise required by law. As of June 30, 2024, our directors and executive officers, and their respective affiliates, held in the aggregate 76.4% of the voting power of our capital stock, with Mr. Houston holding approximately 76.2%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Substantial future sales could depress the market price of our Class A common stock</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relating to our 2026 Notes and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restated certificate of incorporation and restated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amended and restated bylaws will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litigation against us may be required to be brought in Delaware;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We cannot guarantee that our stock repurchase program will be fully implemented or that it will enhance long-term stockholder value.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We initially implemented a stock repurchase program in 2020. In February 2022, our Board of Directors authorized the repurchase of up to an additional $</w:t>
      </w:r>
      <w:r>
        <w:rPr>
          <w:rFonts w:ascii="Times New Roman;sans-serif" w:hAnsi="Times New Roman;sans-serif"/>
          <w:b w:val="false"/>
          <w:color w:val="000000"/>
          <w:sz w:val="20"/>
        </w:rPr>
        <w:t>1.2</w:t>
      </w:r>
      <w:r>
        <w:rPr>
          <w:color w:val="000000"/>
          <w:shd w:fill="FFFFFF" w:val="clear"/>
        </w:rPr>
        <w:t xml:space="preserve"> </w:t>
      </w:r>
      <w:r>
        <w:rPr>
          <w:rFonts w:ascii="Times New Roman;sans-serif" w:hAnsi="Times New Roman;sans-serif"/>
          <w:b w:val="false"/>
          <w:color w:val="000000"/>
          <w:sz w:val="20"/>
          <w:shd w:fill="FFFFFF" w:val="clear"/>
        </w:rPr>
        <w:t>billion of the outstanding shares of our Class A common stock and in July 2023 our Board of Directors further authorized the repurchase of up to an additional $</w:t>
      </w:r>
      <w:r>
        <w:rPr>
          <w:rFonts w:ascii="Times New Roman;sans-serif" w:hAnsi="Times New Roman;sans-serif"/>
          <w:b w:val="false"/>
          <w:color w:val="000000"/>
          <w:sz w:val="20"/>
        </w:rPr>
        <w:t>1.2</w:t>
      </w:r>
      <w:r>
        <w:rPr>
          <w:color w:val="000000"/>
          <w:shd w:fill="FFFFFF" w:val="clear"/>
        </w:rPr>
        <w:t xml:space="preserve"> </w:t>
      </w:r>
      <w:r>
        <w:rPr>
          <w:rFonts w:ascii="Times New Roman;sans-serif" w:hAnsi="Times New Roman;sans-serif"/>
          <w:b w:val="false"/>
          <w:color w:val="000000"/>
          <w:sz w:val="20"/>
          <w:shd w:fill="FFFFFF" w:val="clear"/>
        </w:rPr>
        <w:t>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pStyle w:val="TextBody"/>
        <w:bidi w:val="0"/>
        <w:spacing w:before="0" w:after="0"/>
        <w:jc w:val="left"/>
        <w:rPr/>
      </w:pPr>
      <w:r>
        <w:rPr/>
      </w:r>
    </w:p>
    <w:p>
      <w:pPr>
        <w:pStyle w:val="TextBody"/>
        <w:bidi w:val="0"/>
        <w:spacing w:lineRule="auto" w:line="288"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requires, among other things, that we maintain effective disclosure controls and procedures and internal control over financial reporting. We are also required to provide an annual management report on the effectiveness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Dropbox's repurchases of Class A common stock during the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 ended June 30, 2024. </w:t>
      </w:r>
    </w:p>
    <w:tbl>
      <w:tblPr>
        <w:tblW w:w="10205" w:type="dxa"/>
        <w:jc w:val="center"/>
        <w:tblInd w:w="0" w:type="dxa"/>
        <w:tblLayout w:type="fixed"/>
        <w:tblCellMar>
          <w:top w:w="28" w:type="dxa"/>
          <w:left w:w="28" w:type="dxa"/>
          <w:bottom w:w="28" w:type="dxa"/>
          <w:right w:w="28" w:type="dxa"/>
        </w:tblCellMar>
      </w:tblPr>
      <w:tblGrid>
        <w:gridCol w:w="259"/>
        <w:gridCol w:w="227"/>
        <w:gridCol w:w="229"/>
        <w:gridCol w:w="109"/>
        <w:gridCol w:w="109"/>
        <w:gridCol w:w="109"/>
        <w:gridCol w:w="543"/>
        <w:gridCol w:w="543"/>
        <w:gridCol w:w="545"/>
        <w:gridCol w:w="109"/>
        <w:gridCol w:w="109"/>
        <w:gridCol w:w="109"/>
        <w:gridCol w:w="299"/>
        <w:gridCol w:w="875"/>
        <w:gridCol w:w="154"/>
        <w:gridCol w:w="109"/>
        <w:gridCol w:w="109"/>
        <w:gridCol w:w="109"/>
        <w:gridCol w:w="741"/>
        <w:gridCol w:w="741"/>
        <w:gridCol w:w="744"/>
        <w:gridCol w:w="109"/>
        <w:gridCol w:w="109"/>
        <w:gridCol w:w="109"/>
        <w:gridCol w:w="510"/>
        <w:gridCol w:w="2107"/>
        <w:gridCol w:w="380"/>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Total Number of Shares Purchased (in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Average Price Paid per Share</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r>
      <w:tr>
        <w:trPr/>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3.27</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We completed the February 2022 authorization of $1.2 billion during the three months ended March 31, 2024 and continued stock repurchases under the July 2023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to our condensed consolidated financial statements included elsewhere in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Includes 39,657 shares of restricted common stock withheld by the Company upon vesting of restricted stock awards to satisfy tax withholding requirements.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the following officer, as defined in Rule 16a-1(f), adopted a “Rule 10b5-1 trading arrangement” as defined in Regulation S-K Item 408, as follows: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Tim Regan, our Chief Financial Officer, adopted a Rule 10b5-1 trading arrangement providing for the sale from time-to-time of an aggregate of up to 125,000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September 2, 2025,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 other directors or officers, as defined in Rule 16a-1(f), adopted and/or terminated a “Rule 10b5-1 trading arrangement” or a “non-Rule 10b5-1 trading arrangement,” as defined in Regulation S-K Item 408, during the last fiscal quarter.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10"/>
        <w:gridCol w:w="1494"/>
        <w:gridCol w:w="1513"/>
        <w:gridCol w:w="109"/>
        <w:gridCol w:w="109"/>
        <w:gridCol w:w="109"/>
        <w:gridCol w:w="170"/>
        <w:gridCol w:w="170"/>
        <w:gridCol w:w="171"/>
        <w:gridCol w:w="109"/>
        <w:gridCol w:w="109"/>
        <w:gridCol w:w="109"/>
        <w:gridCol w:w="240"/>
        <w:gridCol w:w="240"/>
        <w:gridCol w:w="241"/>
        <w:gridCol w:w="109"/>
        <w:gridCol w:w="109"/>
        <w:gridCol w:w="109"/>
        <w:gridCol w:w="442"/>
        <w:gridCol w:w="442"/>
        <w:gridCol w:w="443"/>
        <w:gridCol w:w="109"/>
        <w:gridCol w:w="109"/>
        <w:gridCol w:w="109"/>
        <w:gridCol w:w="170"/>
        <w:gridCol w:w="170"/>
        <w:gridCol w:w="2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from 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4.htm">
              <w:r>
                <w:rPr>
                  <w:rStyle w:val="InternetLink"/>
                  <w:rFonts w:ascii="Times New Roman;sans-serif" w:hAnsi="Times New Roman;sans-serif"/>
                  <w:b w:val="false"/>
                  <w:color w:val="0000FF"/>
                  <w:sz w:val="16"/>
                  <w:u w:val="single"/>
                </w:rPr>
                <w:t>Amendment to Offer Letter between the Registrant and Eric Cox.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4.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4.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4.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following financial statements from the Company's Quarterly Report on Form 10-Q for the quarter ended June 30, 2024,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fd6dd01d3964676a1c3fc1d1d06b4ff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1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7"/>
        <w:gridCol w:w="167"/>
        <w:gridCol w:w="167"/>
        <w:gridCol w:w="167"/>
        <w:gridCol w:w="167"/>
        <w:gridCol w:w="167"/>
        <w:gridCol w:w="717"/>
        <w:gridCol w:w="717"/>
        <w:gridCol w:w="10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05"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9"/>
        <w:gridCol w:w="109"/>
        <w:gridCol w:w="109"/>
        <w:gridCol w:w="1134"/>
        <w:gridCol w:w="1134"/>
        <w:gridCol w:w="16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10"/>
        <w:ind w:left="0" w:right="0" w:hanging="1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bidi w:val="0"/>
        <w:spacing w:before="0" w:after="230"/>
        <w:ind w:left="0" w:right="0" w:hanging="10"/>
        <w:jc w:val="both"/>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6,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RE: Revised Employment Agreement for Eric Cox</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Dear Eric,</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 behalf of Dropbox Inc. (“Dropbox”), this letter confirms the following corrections and adjustments to the terms of your employment at Dropbox.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4"/>
          <w:u w:val="single"/>
        </w:rPr>
        <w:t>Base Salary and Exemption Status.</w:t>
      </w:r>
      <w:r>
        <w:rPr>
          <w:color w:val="000000"/>
        </w:rPr>
        <w:t xml:space="preserve"> </w:t>
      </w:r>
      <w:r>
        <w:rPr>
          <w:rFonts w:ascii="Times New Roman;sans-serif" w:hAnsi="Times New Roman;sans-serif"/>
          <w:b w:val="false"/>
          <w:color w:val="000000"/>
          <w:sz w:val="24"/>
        </w:rPr>
        <w:t>Your annualized base salary will remain $500,000.00 per year, less applicable taxes and withholdings, paid in accordance with Dropbox’s normal payroll procedures. Your role as Chief Customer Officer is an exempt position, which means that you will not be paid overtime for hours worked in excess of your standard schedule, nor will you be required to enter your hours in Dropbox’s time and attendance system.</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4"/>
          <w:u w:val="single"/>
        </w:rPr>
        <w:t>Compliance with Applicable Law and Company Policies; Compensation Recovery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attached as Exhibit A, will not be earned or vested, even if already granted, paid or settled, until such policy ceases to apply to such compensation and any other conditions applicable to such compensation are satisfied.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4"/>
          <w:u w:val="single"/>
        </w:rPr>
        <w:t>Terms of Employment</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 xml:space="preserve">Unless otherwise noted in this letter, all other terms of your original employment agreement dated October 4, 2023, remain in effect. Specifically, the Confidentiality, Duty of Loyalty, Arbitration, and At-Will Employment provisions of your original offer letter are hereby incorporated by reference into this letter.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Congratulations on this new role and thanks for all your hard work! Please let me know if you have any additional questions. </w: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Drew Houston</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Drew Houston</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Eric Cox, acknowledge that I have read, understood and agree to the above terms and conditions. </w:t>
      </w:r>
    </w:p>
    <w:p>
      <w:pPr>
        <w:pStyle w:val="TextBody"/>
        <w:bidi w:val="0"/>
        <w:spacing w:before="0" w:after="0"/>
        <w:jc w:val="right"/>
        <w:rPr/>
      </w:pPr>
      <w:r>
        <w:rPr/>
      </w:r>
    </w:p>
    <w:p>
      <w:pPr>
        <w:pStyle w:val="TextBody"/>
        <w:bidi w:val="0"/>
        <w:spacing w:lineRule="auto" w:line="288" w:before="0" w:after="10"/>
        <w:jc w:val="left"/>
        <w:rPr/>
      </w:pPr>
      <w:r>
        <w:rPr>
          <w:rFonts w:ascii="Times New Roman;sans-serif" w:hAnsi="Times New Roman;sans-serif"/>
          <w:b w:val="false"/>
          <w:color w:val="000000"/>
          <w:sz w:val="24"/>
          <w:u w:val="single"/>
        </w:rPr>
        <w:t>/s/ Eric Cox</w:t>
      </w:r>
      <w:r>
        <w:rPr>
          <w:color w:val="000000"/>
        </w:rPr>
        <w:t xml:space="preserve">     </w:t>
      </w:r>
      <w:r>
        <w:rPr>
          <w:rFonts w:ascii="Times New Roman;sans-serif" w:hAnsi="Times New Roman;sans-serif"/>
          <w:b w:val="false"/>
          <w:color w:val="000000"/>
          <w:sz w:val="24"/>
          <w:u w:val="single"/>
        </w:rPr>
        <w:t>08/08/2024</w:t>
      </w:r>
      <w:r>
        <w:rPr>
          <w:color w:val="000000"/>
        </w:rPr>
        <w:t xml:space="preserve"> </w:t>
      </w:r>
    </w:p>
    <w:p>
      <w:pPr>
        <w:pStyle w:val="TextBody"/>
        <w:bidi w:val="0"/>
        <w:spacing w:lineRule="auto" w:line="288" w:before="0" w:after="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Eric Cox      Date Signed </w:t>
      </w:r>
    </w:p>
    <w:p>
      <w:pPr>
        <w:pStyle w:val="TextBody"/>
        <w:bidi w:val="0"/>
        <w:spacing w:lineRule="auto" w:line="300"/>
        <w:jc w:val="left"/>
        <w:rPr/>
      </w:pPr>
      <w:r>
        <w:rPr>
          <w:color w:val="000000"/>
        </w:rPr>
        <w:t>    </w:t>
      </w:r>
      <w:r>
        <w:rPr>
          <w:color w:val="222222"/>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W. Houston,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Timothy J. Regan,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4820"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1100"/>
        <w:gridCol w:w="1100"/>
        <w:gridCol w:w="1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5787"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829"/>
        <w:gridCol w:w="829"/>
        <w:gridCol w:w="1176"/>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August 9, 2024</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83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p>
            <w:pPr>
              <w:pStyle w:val="TableContents"/>
              <w:bidi w:val="0"/>
              <w:spacing w:before="20" w:after="283"/>
              <w:jc w:val="left"/>
              <w:rPr/>
            </w:pPr>
            <w:r>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Timothy J. Regan, certify, pursuant to 18 U.S.C. Section 1350, as adopted pursuant to Section 906 of the Sarbanes-Oxley Act of 2002, that the Quarterly Report on Form 10-Q of Dropbox, Inc.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7272"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1265"/>
        <w:gridCol w:w="1265"/>
        <w:gridCol w:w="1789"/>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August 9, 2024</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31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and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53151</Words>
  <Characters>289497</Characters>
  <CharactersWithSpaces>340474</CharactersWithSpaces>
  <Paragraphs>3883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