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7"/>
          <w:szCs w:val="17"/>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114935</wp:posOffset>
            </wp:positionV>
            <wp:extent cx="1746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129540</wp:posOffset>
            </wp:positionV>
            <wp:extent cx="1746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1" w:lineRule="exact"/>
        <w:rPr>
          <w:sz w:val="24"/>
          <w:szCs w:val="24"/>
          <w:color w:val="auto"/>
        </w:rPr>
      </w:pPr>
    </w:p>
    <w:p>
      <w:pPr>
        <w:ind w:left="3840" w:right="2160" w:hanging="3836"/>
        <w:spacing w:after="0" w:line="278" w:lineRule="auto"/>
        <w:tabs>
          <w:tab w:leader="none" w:pos="201"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7"/>
          <w:szCs w:val="17"/>
          <w:color w:val="auto"/>
        </w:rPr>
        <w:t>For the quarterly period ended September 30, 2020</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or</w:t>
      </w:r>
    </w:p>
    <w:p>
      <w:pPr>
        <w:spacing w:after="0" w:line="27" w:lineRule="exact"/>
        <w:rPr>
          <w:sz w:val="24"/>
          <w:szCs w:val="24"/>
          <w:color w:val="auto"/>
        </w:rPr>
      </w:pPr>
    </w:p>
    <w:p>
      <w:pPr>
        <w:ind w:left="3740" w:right="2140" w:hanging="3736"/>
        <w:spacing w:after="0" w:line="278" w:lineRule="auto"/>
        <w:tabs>
          <w:tab w:leader="none" w:pos="215"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from________to________</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119380</wp:posOffset>
            </wp:positionV>
            <wp:extent cx="2955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35"/>
          <w:szCs w:val="35"/>
          <w:b w:val="1"/>
          <w:bCs w:val="1"/>
          <w:color w:val="auto"/>
        </w:rPr>
        <w:t>Dropbox, Inc.</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108585</wp:posOffset>
            </wp:positionV>
            <wp:extent cx="2955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59" w:lineRule="exact"/>
        <w:rPr>
          <w:sz w:val="24"/>
          <w:szCs w:val="24"/>
          <w:color w:val="auto"/>
        </w:rPr>
      </w:pPr>
    </w:p>
    <w:p>
      <w:pPr>
        <w:ind w:left="2040"/>
        <w:spacing w:after="0"/>
        <w:tabs>
          <w:tab w:leader="none" w:pos="92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26-0138832</w:t>
      </w:r>
    </w:p>
    <w:p>
      <w:pPr>
        <w:spacing w:after="0" w:line="22" w:lineRule="exact"/>
        <w:rPr>
          <w:sz w:val="24"/>
          <w:szCs w:val="24"/>
          <w:color w:val="auto"/>
        </w:rPr>
      </w:pPr>
    </w:p>
    <w:p>
      <w:pPr>
        <w:ind w:left="540"/>
        <w:spacing w:after="0"/>
        <w:tabs>
          <w:tab w:leader="none" w:pos="838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127635</wp:posOffset>
            </wp:positionV>
            <wp:extent cx="2955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1800 Owens Street</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San Francisco, California 94158</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(415) 857-6800</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107950</wp:posOffset>
            </wp:positionV>
            <wp:extent cx="2955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83185</wp:posOffset>
            </wp:positionV>
            <wp:extent cx="625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9195" cy="8255"/>
                    </a:xfrm>
                    <a:prstGeom prst="rect">
                      <a:avLst/>
                    </a:prstGeom>
                    <a:noFill/>
                  </pic:spPr>
                </pic:pic>
              </a:graphicData>
            </a:graphic>
          </wp:anchor>
        </w:drawing>
      </w:r>
    </w:p>
    <w:p>
      <w:pPr>
        <w:spacing w:after="0" w:line="146"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158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Name of exchange on which registered</w:t>
            </w:r>
          </w:p>
        </w:tc>
      </w:tr>
      <w:tr>
        <w:trPr>
          <w:trHeight w:val="190"/>
        </w:trPr>
        <w:tc>
          <w:tcPr>
            <w:tcW w:w="3640" w:type="dxa"/>
            <w:vAlign w:val="bottom"/>
            <w:gridSpan w:val="3"/>
          </w:tcPr>
          <w:p>
            <w:pPr>
              <w:jc w:val="center"/>
              <w:ind w:right="620"/>
              <w:spacing w:after="0"/>
              <w:rPr>
                <w:sz w:val="20"/>
                <w:szCs w:val="20"/>
                <w:color w:val="auto"/>
              </w:rPr>
            </w:pPr>
            <w:r>
              <w:rPr>
                <w:rFonts w:ascii="Arial" w:cs="Arial" w:eastAsia="Arial" w:hAnsi="Arial"/>
                <w:sz w:val="14"/>
                <w:szCs w:val="14"/>
                <w:color w:val="auto"/>
                <w:w w:val="89"/>
              </w:rPr>
              <w:t>Class A Common Stock, par value $0.00001 per share</w:t>
            </w:r>
          </w:p>
        </w:tc>
        <w:tc>
          <w:tcPr>
            <w:tcW w:w="600" w:type="dxa"/>
            <w:vAlign w:val="bottom"/>
          </w:tcPr>
          <w:p>
            <w:pPr>
              <w:spacing w:after="0"/>
              <w:rPr>
                <w:sz w:val="16"/>
                <w:szCs w:val="16"/>
                <w:color w:val="auto"/>
              </w:rPr>
            </w:pPr>
          </w:p>
        </w:tc>
        <w:tc>
          <w:tcPr>
            <w:tcW w:w="2700" w:type="dxa"/>
            <w:vAlign w:val="bottom"/>
            <w:gridSpan w:val="2"/>
          </w:tcPr>
          <w:p>
            <w:pPr>
              <w:jc w:val="center"/>
              <w:ind w:right="1580"/>
              <w:spacing w:after="0"/>
              <w:rPr>
                <w:sz w:val="20"/>
                <w:szCs w:val="20"/>
                <w:color w:val="auto"/>
              </w:rPr>
            </w:pPr>
            <w:r>
              <w:rPr>
                <w:rFonts w:ascii="Arial" w:cs="Arial" w:eastAsia="Arial" w:hAnsi="Arial"/>
                <w:sz w:val="14"/>
                <w:szCs w:val="14"/>
                <w:color w:val="auto"/>
                <w:w w:val="97"/>
              </w:rPr>
              <w:t>DBX</w:t>
            </w:r>
          </w:p>
        </w:tc>
        <w:tc>
          <w:tcPr>
            <w:tcW w:w="22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183"/>
        </w:trPr>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89"/>
              </w:rPr>
              <w:t>(Nasdaq Global Select Market)</w:t>
            </w:r>
          </w:p>
        </w:tc>
      </w:tr>
    </w:tbl>
    <w:p>
      <w:pPr>
        <w:spacing w:after="0" w:line="359" w:lineRule="exact"/>
        <w:rPr>
          <w:sz w:val="24"/>
          <w:szCs w:val="24"/>
          <w:color w:val="auto"/>
        </w:rPr>
      </w:pPr>
    </w:p>
    <w:p>
      <w:pPr>
        <w:ind w:right="240" w:firstLine="313"/>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ind w:right="120" w:firstLine="313"/>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969" w:right="379" w:bottom="1440" w:gutter="0" w:footer="0" w:header="0"/>
        </w:sectPr>
      </w:pPr>
    </w:p>
    <w:p>
      <w:pPr>
        <w:spacing w:after="0" w:line="200" w:lineRule="exact"/>
        <w:rPr>
          <w:sz w:val="24"/>
          <w:szCs w:val="24"/>
          <w:color w:val="auto"/>
        </w:rPr>
      </w:pPr>
    </w:p>
    <w:p>
      <w:pPr>
        <w:ind w:firstLine="313"/>
        <w:spacing w:after="0" w:line="29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6"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52"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Smaller reporting company</w:t>
      </w:r>
    </w:p>
    <w:p>
      <w:pPr>
        <w:spacing w:after="0" w:line="138" w:lineRule="exact"/>
        <w:rPr>
          <w:sz w:val="24"/>
          <w:szCs w:val="24"/>
          <w:color w:val="auto"/>
        </w:rPr>
      </w:pPr>
    </w:p>
    <w:p>
      <w:pPr>
        <w:ind w:left="56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53" w:lineRule="exact"/>
        <w:rPr>
          <w:sz w:val="24"/>
          <w:szCs w:val="24"/>
          <w:color w:val="auto"/>
        </w:rPr>
      </w:pPr>
    </w:p>
    <w:p>
      <w:pPr>
        <w:sectPr>
          <w:pgSz w:w="11900" w:h="16838" w:orient="portrait"/>
          <w:cols w:equalWidth="0" w:num="2">
            <w:col w:w="10740" w:space="340"/>
            <w:col w:w="120"/>
          </w:cols>
          <w:pgMar w:left="320" w:top="969" w:right="379" w:bottom="1440" w:gutter="0" w:footer="0" w:header="0"/>
          <w:type w:val="continuous"/>
        </w:sectPr>
      </w:pPr>
    </w:p>
    <w:p>
      <w:pPr>
        <w:spacing w:after="0" w:line="134" w:lineRule="exact"/>
        <w:rPr>
          <w:sz w:val="24"/>
          <w:szCs w:val="24"/>
          <w:color w:val="auto"/>
        </w:rPr>
      </w:pPr>
    </w:p>
    <w:p>
      <w:pPr>
        <w:ind w:right="34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5" w:lineRule="exact"/>
        <w:rPr>
          <w:sz w:val="24"/>
          <w:szCs w:val="24"/>
          <w:color w:val="auto"/>
        </w:rPr>
      </w:pPr>
    </w:p>
    <w:p>
      <w:pPr>
        <w:ind w:right="20"/>
        <w:spacing w:after="0"/>
        <w:rPr>
          <w:sz w:val="20"/>
          <w:szCs w:val="20"/>
          <w:color w:val="auto"/>
        </w:rPr>
      </w:pPr>
      <w:r>
        <w:rPr>
          <w:rFonts w:ascii="Arial" w:cs="Arial" w:eastAsia="Arial" w:hAnsi="Arial"/>
          <w:sz w:val="14"/>
          <w:szCs w:val="14"/>
          <w:color w:val="auto"/>
        </w:rPr>
        <w:t>As of November 2, 2020, there were 315,878,882 shares of the registrants’ Class A common stock outstanding (which excludes 10,333,333 shares of Class A common stock subject to restricted stock awards that were granted pursuant to the Co-Founder Grants, and vest upon the satisfaction of a service condition and achievement of certain stock price goals and 4,265,194 shares of Class A common stock subject to restricted stock awards that were granted to other Dropbox executives and vest upon the satisfaction of a service condition), 97,738,356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836295</wp:posOffset>
            </wp:positionV>
            <wp:extent cx="713676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00"/>
          </w:cols>
          <w:pgMar w:left="320" w:top="969" w:right="37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FORWARD-LOOKING STATEMENTS</w:t>
      </w:r>
    </w:p>
    <w:p>
      <w:pPr>
        <w:spacing w:after="0" w:line="243" w:lineRule="exact"/>
        <w:rPr>
          <w:sz w:val="20"/>
          <w:szCs w:val="20"/>
          <w:color w:val="auto"/>
        </w:rPr>
      </w:pPr>
    </w:p>
    <w:p>
      <w:pPr>
        <w:ind w:right="160" w:firstLine="391"/>
        <w:spacing w:after="0" w:line="303" w:lineRule="auto"/>
        <w:rPr>
          <w:sz w:val="20"/>
          <w:szCs w:val="20"/>
          <w:color w:val="auto"/>
        </w:rPr>
      </w:pPr>
      <w:r>
        <w:rPr>
          <w:rFonts w:ascii="Arial" w:cs="Arial" w:eastAsia="Arial" w:hAnsi="Arial"/>
          <w:sz w:val="15"/>
          <w:szCs w:val="15"/>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0" w:lineRule="exact"/>
        <w:rPr>
          <w:sz w:val="20"/>
          <w:szCs w:val="20"/>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users or convert registered users to paying users;</w:t>
      </w:r>
    </w:p>
    <w:p>
      <w:pPr>
        <w:spacing w:after="0" w:line="247" w:lineRule="exact"/>
        <w:rPr>
          <w:rFonts w:ascii="Arial" w:cs="Arial" w:eastAsia="Arial" w:hAnsi="Arial"/>
          <w:sz w:val="17"/>
          <w:szCs w:val="17"/>
          <w:color w:val="auto"/>
        </w:rPr>
      </w:pPr>
    </w:p>
    <w:p>
      <w:pPr>
        <w:ind w:left="70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trends in revenue, costs of revenue, gross profit or gross margin, operating expenses, paying users, and free cash flow;</w:t>
      </w:r>
    </w:p>
    <w:p>
      <w:pPr>
        <w:spacing w:after="0" w:line="184" w:lineRule="exact"/>
        <w:rPr>
          <w:rFonts w:ascii="Arial" w:cs="Arial" w:eastAsia="Arial" w:hAnsi="Arial"/>
          <w:sz w:val="17"/>
          <w:szCs w:val="17"/>
          <w:color w:val="auto"/>
        </w:rPr>
      </w:pPr>
    </w:p>
    <w:p>
      <w:pPr>
        <w:ind w:left="700" w:right="8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challenges and anticipated benefits to our business from our shift to a Virtual First work model as well as the impact to our financial results and business operations as a result of this shift;</w:t>
      </w:r>
    </w:p>
    <w:p>
      <w:pPr>
        <w:spacing w:after="0" w:line="184" w:lineRule="exact"/>
        <w:rPr>
          <w:rFonts w:ascii="Arial" w:cs="Arial" w:eastAsia="Arial" w:hAnsi="Arial"/>
          <w:sz w:val="17"/>
          <w:szCs w:val="17"/>
          <w:color w:val="auto"/>
        </w:rPr>
      </w:pPr>
    </w:p>
    <w:p>
      <w:pPr>
        <w:ind w:left="700" w:right="160" w:hanging="305"/>
        <w:spacing w:after="0" w:line="357" w:lineRule="auto"/>
        <w:tabs>
          <w:tab w:leader="none" w:pos="69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the potential impacts of the outbreak of the COVID-19 pandemic and related public health measures, as well as the potential for a more permanent global shift to remote work, on our business, the business of our customers, suppliers and partners, and the economy;</w:t>
      </w:r>
    </w:p>
    <w:p>
      <w:pPr>
        <w:spacing w:after="0" w:line="138" w:lineRule="exact"/>
        <w:rPr>
          <w:rFonts w:ascii="Arial" w:cs="Arial" w:eastAsia="Arial" w:hAnsi="Arial"/>
          <w:sz w:val="15"/>
          <w:szCs w:val="15"/>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successfully in competitive markets;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demand for our platform or for content collaboration solutions in general;</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possible harm caused by significant disruption of service or loss or unauthorized access to users’ content;</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integrate our platform with others;</w:t>
      </w:r>
    </w:p>
    <w:p>
      <w:pPr>
        <w:spacing w:after="0" w:line="247" w:lineRule="exact"/>
        <w:rPr>
          <w:rFonts w:ascii="Arial" w:cs="Arial" w:eastAsia="Arial" w:hAnsi="Arial"/>
          <w:sz w:val="17"/>
          <w:szCs w:val="17"/>
          <w:color w:val="auto"/>
        </w:rPr>
      </w:pPr>
    </w:p>
    <w:p>
      <w:pPr>
        <w:ind w:left="700" w:right="22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respond to rapid technological changes, including our ability to take advantage of potential market opportunities arising from what we believe to be a more permanent shift towards remote work;</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maintain profitability;</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and management of future growth;</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due to our lack of a significant outbound sales force;</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large organizations as users;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offer high-quality customer support;</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our international expansion;</w:t>
      </w:r>
    </w:p>
    <w:p>
      <w:pPr>
        <w:spacing w:after="0" w:line="247" w:lineRule="exact"/>
        <w:rPr>
          <w:rFonts w:ascii="Arial" w:cs="Arial" w:eastAsia="Arial" w:hAnsi="Arial"/>
          <w:sz w:val="17"/>
          <w:szCs w:val="17"/>
          <w:color w:val="auto"/>
        </w:rPr>
      </w:pPr>
    </w:p>
    <w:p>
      <w:pPr>
        <w:ind w:left="700" w:right="6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retain, integrate, and manage key and other highly qualified personnel, including as we transition to a Virtual First model with an increasingly distributed workforce;</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capital allocation plans, including expected allocations of cash and timing for our share repurchases and other investments;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brand;</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prevent serious errors or defects in our platform;</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 and</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identify, acquire, and integrate companies and assets.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222" w:lineRule="exact"/>
        <w:rPr>
          <w:sz w:val="20"/>
          <w:szCs w:val="20"/>
          <w:color w:val="auto"/>
        </w:rPr>
      </w:pPr>
    </w:p>
    <w:p>
      <w:pPr>
        <w:ind w:right="80" w:firstLine="430"/>
        <w:spacing w:after="0" w:line="279"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67" w:lineRule="exact"/>
        <w:rPr>
          <w:sz w:val="20"/>
          <w:szCs w:val="20"/>
          <w:color w:val="auto"/>
        </w:rPr>
      </w:pPr>
    </w:p>
    <w:p>
      <w:pPr>
        <w:ind w:firstLine="430"/>
        <w:spacing w:after="0" w:line="262"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Page</w:t>
            </w:r>
          </w:p>
        </w:tc>
      </w:tr>
      <w:tr>
        <w:trPr>
          <w:trHeight w:val="222"/>
        </w:trPr>
        <w:tc>
          <w:tcPr>
            <w:tcW w:w="740" w:type="dxa"/>
            <w:vAlign w:val="bottom"/>
          </w:tcPr>
          <w:p>
            <w:pPr>
              <w:spacing w:after="0"/>
              <w:rPr>
                <w:sz w:val="19"/>
                <w:szCs w:val="19"/>
                <w:color w:val="auto"/>
              </w:rPr>
            </w:pPr>
          </w:p>
        </w:tc>
        <w:tc>
          <w:tcPr>
            <w:tcW w:w="9520" w:type="dxa"/>
            <w:vAlign w:val="bottom"/>
          </w:tcPr>
          <w:p>
            <w:pPr>
              <w:ind w:left="35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PART I. FINANCIAL INFORMATION</w:t>
              </w:r>
            </w:hyperlink>
          </w:p>
        </w:tc>
        <w:tc>
          <w:tcPr>
            <w:tcW w:w="6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r>
      <w:tr>
        <w:trPr>
          <w:trHeight w:val="209"/>
        </w:trPr>
        <w:tc>
          <w:tcPr>
            <w:tcW w:w="740" w:type="dxa"/>
            <w:vAlign w:val="bottom"/>
          </w:tcPr>
          <w:p>
            <w:pPr>
              <w:spacing w:after="0"/>
              <w:rPr>
                <w:sz w:val="20"/>
                <w:szCs w:val="20"/>
                <w:color w:val="auto"/>
              </w:rPr>
            </w:pPr>
            <w:r>
              <w:rPr>
                <w:rFonts w:ascii="Arial" w:cs="Arial" w:eastAsia="Arial" w:hAnsi="Arial"/>
                <w:sz w:val="16"/>
                <w:szCs w:val="16"/>
                <w:color w:val="auto"/>
              </w:rPr>
              <w:t>Item 1.</w:t>
            </w:r>
          </w:p>
        </w:tc>
        <w:tc>
          <w:tcPr>
            <w:tcW w:w="9520" w:type="dxa"/>
            <w:vAlign w:val="bottom"/>
          </w:tcPr>
          <w:p>
            <w:pPr>
              <w:ind w:left="18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Financial Statements (Unaudited)</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6</w:t>
              </w:r>
            </w:hyperlink>
          </w:p>
        </w:tc>
      </w:tr>
      <w:tr>
        <w:trPr>
          <w:trHeight w:val="209"/>
        </w:trPr>
        <w:tc>
          <w:tcPr>
            <w:tcW w:w="740" w:type="dxa"/>
            <w:vAlign w:val="bottom"/>
          </w:tcPr>
          <w:p>
            <w:pPr>
              <w:spacing w:after="0"/>
              <w:rPr>
                <w:sz w:val="18"/>
                <w:szCs w:val="18"/>
                <w:color w:val="auto"/>
              </w:rPr>
            </w:pPr>
          </w:p>
        </w:tc>
        <w:tc>
          <w:tcPr>
            <w:tcW w:w="9520" w:type="dxa"/>
            <w:vAlign w:val="bottom"/>
          </w:tcPr>
          <w:p>
            <w:pPr>
              <w:ind w:left="18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Balance Sheets as of September 30, 2020 and December 31, 2019</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6</w:t>
              </w:r>
            </w:hyperlink>
          </w:p>
        </w:tc>
      </w:tr>
      <w:tr>
        <w:trPr>
          <w:trHeight w:val="209"/>
        </w:trPr>
        <w:tc>
          <w:tcPr>
            <w:tcW w:w="740" w:type="dxa"/>
            <w:vAlign w:val="bottom"/>
          </w:tcPr>
          <w:p>
            <w:pPr>
              <w:spacing w:after="0"/>
              <w:rPr>
                <w:sz w:val="18"/>
                <w:szCs w:val="18"/>
                <w:color w:val="auto"/>
              </w:rPr>
            </w:pPr>
          </w:p>
        </w:tc>
        <w:tc>
          <w:tcPr>
            <w:tcW w:w="9520" w:type="dxa"/>
            <w:vAlign w:val="bottom"/>
          </w:tcPr>
          <w:p>
            <w:pPr>
              <w:ind w:left="18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Statements of Operations for the Three and Nine Months Ended September 30, 2020 and 2019</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7</w:t>
              </w:r>
            </w:hyperlink>
          </w:p>
        </w:tc>
      </w:tr>
      <w:tr>
        <w:trPr>
          <w:trHeight w:val="209"/>
        </w:trPr>
        <w:tc>
          <w:tcPr>
            <w:tcW w:w="740" w:type="dxa"/>
            <w:vAlign w:val="bottom"/>
          </w:tcPr>
          <w:p>
            <w:pPr>
              <w:spacing w:after="0"/>
              <w:rPr>
                <w:sz w:val="18"/>
                <w:szCs w:val="18"/>
                <w:color w:val="auto"/>
              </w:rPr>
            </w:pPr>
          </w:p>
        </w:tc>
        <w:tc>
          <w:tcPr>
            <w:tcW w:w="9520" w:type="dxa"/>
            <w:vAlign w:val="bottom"/>
          </w:tcPr>
          <w:p>
            <w:pPr>
              <w:ind w:left="180"/>
              <w:spacing w:after="0"/>
              <w:rPr>
                <w:rFonts w:ascii="Arial" w:cs="Arial" w:eastAsia="Arial" w:hAnsi="Arial"/>
                <w:sz w:val="16"/>
                <w:szCs w:val="16"/>
                <w:u w:val="single" w:color="auto"/>
                <w:color w:val="0000FF"/>
                <w:w w:val="93"/>
              </w:rPr>
            </w:pPr>
            <w:hyperlink w:anchor="page6">
              <w:r>
                <w:rPr>
                  <w:rFonts w:ascii="Arial" w:cs="Arial" w:eastAsia="Arial" w:hAnsi="Arial"/>
                  <w:sz w:val="16"/>
                  <w:szCs w:val="16"/>
                  <w:u w:val="single" w:color="auto"/>
                  <w:color w:val="0000FF"/>
                  <w:w w:val="93"/>
                </w:rPr>
                <w:t>Condensed Consolidated Statements of Comprehensive Income (Loss) for the Three and Nine Months Ended September 30, 2020 and 2019</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8</w:t>
              </w:r>
            </w:hyperlink>
          </w:p>
        </w:tc>
      </w:tr>
      <w:tr>
        <w:trPr>
          <w:trHeight w:val="209"/>
        </w:trPr>
        <w:tc>
          <w:tcPr>
            <w:tcW w:w="740" w:type="dxa"/>
            <w:vAlign w:val="bottom"/>
          </w:tcPr>
          <w:p>
            <w:pPr>
              <w:spacing w:after="0"/>
              <w:rPr>
                <w:sz w:val="18"/>
                <w:szCs w:val="18"/>
                <w:color w:val="auto"/>
              </w:rPr>
            </w:pPr>
          </w:p>
        </w:tc>
        <w:tc>
          <w:tcPr>
            <w:tcW w:w="9520" w:type="dxa"/>
            <w:vAlign w:val="bottom"/>
          </w:tcPr>
          <w:p>
            <w:pPr>
              <w:ind w:left="18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Condensed Consolidated Statements of Stockholders' Equity for the Three and Nine Months Ended September 30, 2020 and 2019</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9</w:t>
              </w:r>
            </w:hyperlink>
          </w:p>
        </w:tc>
      </w:tr>
      <w:tr>
        <w:trPr>
          <w:trHeight w:val="209"/>
        </w:trPr>
        <w:tc>
          <w:tcPr>
            <w:tcW w:w="740" w:type="dxa"/>
            <w:vAlign w:val="bottom"/>
          </w:tcPr>
          <w:p>
            <w:pPr>
              <w:spacing w:after="0"/>
              <w:rPr>
                <w:sz w:val="18"/>
                <w:szCs w:val="18"/>
                <w:color w:val="auto"/>
              </w:rPr>
            </w:pPr>
          </w:p>
        </w:tc>
        <w:tc>
          <w:tcPr>
            <w:tcW w:w="9520" w:type="dxa"/>
            <w:vAlign w:val="bottom"/>
          </w:tcPr>
          <w:p>
            <w:pPr>
              <w:ind w:left="180"/>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Condensed Consolidated Statements of Cash Flows for the Nine Months Ended September 30, 2020 and 2019</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11</w:t>
              </w:r>
            </w:hyperlink>
          </w:p>
        </w:tc>
      </w:tr>
      <w:tr>
        <w:trPr>
          <w:trHeight w:val="209"/>
        </w:trPr>
        <w:tc>
          <w:tcPr>
            <w:tcW w:w="740" w:type="dxa"/>
            <w:vAlign w:val="bottom"/>
          </w:tcPr>
          <w:p>
            <w:pPr>
              <w:spacing w:after="0"/>
              <w:rPr>
                <w:sz w:val="18"/>
                <w:szCs w:val="18"/>
                <w:color w:val="auto"/>
              </w:rPr>
            </w:pPr>
          </w:p>
        </w:tc>
        <w:tc>
          <w:tcPr>
            <w:tcW w:w="9520" w:type="dxa"/>
            <w:vAlign w:val="bottom"/>
          </w:tcPr>
          <w:p>
            <w:pPr>
              <w:ind w:left="180"/>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Notes to Condensed Consolidated Financial Statements</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12</w:t>
              </w:r>
            </w:hyperlink>
          </w:p>
        </w:tc>
      </w:tr>
      <w:tr>
        <w:trPr>
          <w:trHeight w:val="209"/>
        </w:trPr>
        <w:tc>
          <w:tcPr>
            <w:tcW w:w="740" w:type="dxa"/>
            <w:vAlign w:val="bottom"/>
          </w:tcPr>
          <w:p>
            <w:pPr>
              <w:spacing w:after="0"/>
              <w:rPr>
                <w:sz w:val="20"/>
                <w:szCs w:val="20"/>
                <w:color w:val="auto"/>
              </w:rPr>
            </w:pPr>
            <w:r>
              <w:rPr>
                <w:rFonts w:ascii="Arial" w:cs="Arial" w:eastAsia="Arial" w:hAnsi="Arial"/>
                <w:sz w:val="16"/>
                <w:szCs w:val="16"/>
                <w:color w:val="auto"/>
              </w:rPr>
              <w:t>Item 2.</w:t>
            </w:r>
          </w:p>
        </w:tc>
        <w:tc>
          <w:tcPr>
            <w:tcW w:w="9520" w:type="dxa"/>
            <w:vAlign w:val="bottom"/>
          </w:tcPr>
          <w:p>
            <w:pPr>
              <w:ind w:left="180"/>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Management's Discussion and Analysis of Financial Condition and Results of Operations</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37</w:t>
              </w:r>
            </w:hyperlink>
          </w:p>
        </w:tc>
      </w:tr>
      <w:tr>
        <w:trPr>
          <w:trHeight w:val="209"/>
        </w:trPr>
        <w:tc>
          <w:tcPr>
            <w:tcW w:w="740" w:type="dxa"/>
            <w:vAlign w:val="bottom"/>
          </w:tcPr>
          <w:p>
            <w:pPr>
              <w:spacing w:after="0"/>
              <w:rPr>
                <w:sz w:val="20"/>
                <w:szCs w:val="20"/>
                <w:color w:val="auto"/>
              </w:rPr>
            </w:pPr>
            <w:r>
              <w:rPr>
                <w:rFonts w:ascii="Arial" w:cs="Arial" w:eastAsia="Arial" w:hAnsi="Arial"/>
                <w:sz w:val="16"/>
                <w:szCs w:val="16"/>
                <w:color w:val="auto"/>
              </w:rPr>
              <w:t>Item 3.</w:t>
            </w:r>
          </w:p>
        </w:tc>
        <w:tc>
          <w:tcPr>
            <w:tcW w:w="9520" w:type="dxa"/>
            <w:vAlign w:val="bottom"/>
          </w:tcPr>
          <w:p>
            <w:pPr>
              <w:ind w:left="180"/>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Quantitative and Qualitative Disclosures About Market Risk</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59</w:t>
              </w:r>
            </w:hyperlink>
          </w:p>
        </w:tc>
      </w:tr>
      <w:tr>
        <w:trPr>
          <w:trHeight w:val="209"/>
        </w:trPr>
        <w:tc>
          <w:tcPr>
            <w:tcW w:w="740" w:type="dxa"/>
            <w:vAlign w:val="bottom"/>
          </w:tcPr>
          <w:p>
            <w:pPr>
              <w:spacing w:after="0"/>
              <w:rPr>
                <w:sz w:val="20"/>
                <w:szCs w:val="20"/>
                <w:color w:val="auto"/>
              </w:rPr>
            </w:pPr>
            <w:r>
              <w:rPr>
                <w:rFonts w:ascii="Arial" w:cs="Arial" w:eastAsia="Arial" w:hAnsi="Arial"/>
                <w:sz w:val="16"/>
                <w:szCs w:val="16"/>
                <w:color w:val="auto"/>
              </w:rPr>
              <w:t>Item 4.</w:t>
            </w:r>
          </w:p>
        </w:tc>
        <w:tc>
          <w:tcPr>
            <w:tcW w:w="9520" w:type="dxa"/>
            <w:vAlign w:val="bottom"/>
          </w:tcPr>
          <w:p>
            <w:pPr>
              <w:ind w:left="180"/>
              <w:spacing w:after="0"/>
              <w:rPr>
                <w:rFonts w:ascii="Arial" w:cs="Arial" w:eastAsia="Arial" w:hAnsi="Arial"/>
                <w:sz w:val="16"/>
                <w:szCs w:val="16"/>
                <w:u w:val="single" w:color="auto"/>
                <w:color w:val="0000FF"/>
              </w:rPr>
            </w:pPr>
            <w:hyperlink w:anchor="page58">
              <w:r>
                <w:rPr>
                  <w:rFonts w:ascii="Arial" w:cs="Arial" w:eastAsia="Arial" w:hAnsi="Arial"/>
                  <w:sz w:val="16"/>
                  <w:szCs w:val="16"/>
                  <w:u w:val="single" w:color="auto"/>
                  <w:color w:val="0000FF"/>
                </w:rPr>
                <w:t>Controls and Procedures</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58">
              <w:r>
                <w:rPr>
                  <w:rFonts w:ascii="Arial" w:cs="Arial" w:eastAsia="Arial" w:hAnsi="Arial"/>
                  <w:sz w:val="16"/>
                  <w:szCs w:val="16"/>
                  <w:u w:val="single" w:color="auto"/>
                  <w:color w:val="0000FF"/>
                </w:rPr>
                <w:t>60</w:t>
              </w:r>
            </w:hyperlink>
          </w:p>
        </w:tc>
      </w:tr>
      <w:tr>
        <w:trPr>
          <w:trHeight w:val="469"/>
        </w:trPr>
        <w:tc>
          <w:tcPr>
            <w:tcW w:w="740" w:type="dxa"/>
            <w:vAlign w:val="bottom"/>
          </w:tcPr>
          <w:p>
            <w:pPr>
              <w:spacing w:after="0"/>
              <w:rPr>
                <w:sz w:val="24"/>
                <w:szCs w:val="24"/>
                <w:color w:val="auto"/>
              </w:rPr>
            </w:pPr>
          </w:p>
        </w:tc>
        <w:tc>
          <w:tcPr>
            <w:tcW w:w="9520" w:type="dxa"/>
            <w:vAlign w:val="bottom"/>
          </w:tcPr>
          <w:p>
            <w:pPr>
              <w:ind w:left="3660"/>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PART II. OTHER INFORMATION</w:t>
              </w:r>
            </w:hyperlink>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9"/>
        </w:trPr>
        <w:tc>
          <w:tcPr>
            <w:tcW w:w="740" w:type="dxa"/>
            <w:vAlign w:val="bottom"/>
          </w:tcPr>
          <w:p>
            <w:pPr>
              <w:spacing w:after="0"/>
              <w:rPr>
                <w:sz w:val="20"/>
                <w:szCs w:val="20"/>
                <w:color w:val="auto"/>
              </w:rPr>
            </w:pPr>
            <w:r>
              <w:rPr>
                <w:rFonts w:ascii="Arial" w:cs="Arial" w:eastAsia="Arial" w:hAnsi="Arial"/>
                <w:sz w:val="16"/>
                <w:szCs w:val="16"/>
                <w:color w:val="auto"/>
              </w:rPr>
              <w:t>Item 1.</w:t>
            </w:r>
          </w:p>
        </w:tc>
        <w:tc>
          <w:tcPr>
            <w:tcW w:w="9520" w:type="dxa"/>
            <w:vAlign w:val="bottom"/>
          </w:tcPr>
          <w:p>
            <w:pPr>
              <w:ind w:left="180"/>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Legal Proceedings</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61</w:t>
              </w:r>
            </w:hyperlink>
          </w:p>
        </w:tc>
      </w:tr>
      <w:tr>
        <w:trPr>
          <w:trHeight w:val="209"/>
        </w:trPr>
        <w:tc>
          <w:tcPr>
            <w:tcW w:w="740" w:type="dxa"/>
            <w:vAlign w:val="bottom"/>
          </w:tcPr>
          <w:p>
            <w:pPr>
              <w:spacing w:after="0"/>
              <w:rPr>
                <w:sz w:val="20"/>
                <w:szCs w:val="20"/>
                <w:color w:val="auto"/>
              </w:rPr>
            </w:pPr>
            <w:r>
              <w:rPr>
                <w:rFonts w:ascii="Arial" w:cs="Arial" w:eastAsia="Arial" w:hAnsi="Arial"/>
                <w:sz w:val="16"/>
                <w:szCs w:val="16"/>
                <w:color w:val="auto"/>
              </w:rPr>
              <w:t>Item 1A.</w:t>
            </w:r>
          </w:p>
        </w:tc>
        <w:tc>
          <w:tcPr>
            <w:tcW w:w="9520" w:type="dxa"/>
            <w:vAlign w:val="bottom"/>
          </w:tcPr>
          <w:p>
            <w:pPr>
              <w:ind w:left="180"/>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Risk Factors</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62</w:t>
              </w:r>
            </w:hyperlink>
          </w:p>
        </w:tc>
      </w:tr>
      <w:tr>
        <w:trPr>
          <w:trHeight w:val="209"/>
        </w:trPr>
        <w:tc>
          <w:tcPr>
            <w:tcW w:w="740" w:type="dxa"/>
            <w:vAlign w:val="bottom"/>
          </w:tcPr>
          <w:p>
            <w:pPr>
              <w:spacing w:after="0"/>
              <w:rPr>
                <w:sz w:val="20"/>
                <w:szCs w:val="20"/>
                <w:color w:val="auto"/>
              </w:rPr>
            </w:pPr>
            <w:r>
              <w:rPr>
                <w:rFonts w:ascii="Arial" w:cs="Arial" w:eastAsia="Arial" w:hAnsi="Arial"/>
                <w:sz w:val="16"/>
                <w:szCs w:val="16"/>
                <w:color w:val="auto"/>
              </w:rPr>
              <w:t>Item 2.</w:t>
            </w:r>
          </w:p>
        </w:tc>
        <w:tc>
          <w:tcPr>
            <w:tcW w:w="9520" w:type="dxa"/>
            <w:vAlign w:val="bottom"/>
          </w:tcPr>
          <w:p>
            <w:pPr>
              <w:ind w:left="180"/>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Unregistered Sales of Equity Securities and Use of Proceeds</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88</w:t>
              </w:r>
            </w:hyperlink>
          </w:p>
        </w:tc>
      </w:tr>
      <w:tr>
        <w:trPr>
          <w:trHeight w:val="209"/>
        </w:trPr>
        <w:tc>
          <w:tcPr>
            <w:tcW w:w="740" w:type="dxa"/>
            <w:vAlign w:val="bottom"/>
          </w:tcPr>
          <w:p>
            <w:pPr>
              <w:spacing w:after="0"/>
              <w:rPr>
                <w:sz w:val="20"/>
                <w:szCs w:val="20"/>
                <w:color w:val="auto"/>
              </w:rPr>
            </w:pPr>
            <w:r>
              <w:rPr>
                <w:rFonts w:ascii="Arial" w:cs="Arial" w:eastAsia="Arial" w:hAnsi="Arial"/>
                <w:sz w:val="16"/>
                <w:szCs w:val="16"/>
                <w:color w:val="auto"/>
              </w:rPr>
              <w:t>Item 6.</w:t>
            </w:r>
          </w:p>
        </w:tc>
        <w:tc>
          <w:tcPr>
            <w:tcW w:w="9520" w:type="dxa"/>
            <w:vAlign w:val="bottom"/>
          </w:tcPr>
          <w:p>
            <w:pPr>
              <w:ind w:left="180"/>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Exhibits</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88</w:t>
              </w:r>
            </w:hyperlink>
          </w:p>
        </w:tc>
      </w:tr>
      <w:tr>
        <w:trPr>
          <w:trHeight w:val="209"/>
        </w:trPr>
        <w:tc>
          <w:tcPr>
            <w:tcW w:w="740" w:type="dxa"/>
            <w:vAlign w:val="bottom"/>
          </w:tcPr>
          <w:p>
            <w:pPr>
              <w:spacing w:after="0"/>
              <w:rPr>
                <w:sz w:val="18"/>
                <w:szCs w:val="18"/>
                <w:color w:val="auto"/>
              </w:rPr>
            </w:pPr>
          </w:p>
        </w:tc>
        <w:tc>
          <w:tcPr>
            <w:tcW w:w="9520" w:type="dxa"/>
            <w:vAlign w:val="bottom"/>
          </w:tcPr>
          <w:p>
            <w:pPr>
              <w:ind w:left="180"/>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Exhibit Index</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89</w:t>
              </w:r>
            </w:hyperlink>
          </w:p>
        </w:tc>
      </w:tr>
      <w:tr>
        <w:trPr>
          <w:trHeight w:val="209"/>
        </w:trPr>
        <w:tc>
          <w:tcPr>
            <w:tcW w:w="740" w:type="dxa"/>
            <w:vAlign w:val="bottom"/>
          </w:tcPr>
          <w:p>
            <w:pPr>
              <w:spacing w:after="0"/>
              <w:rPr>
                <w:sz w:val="18"/>
                <w:szCs w:val="18"/>
                <w:color w:val="auto"/>
              </w:rPr>
            </w:pPr>
          </w:p>
        </w:tc>
        <w:tc>
          <w:tcPr>
            <w:tcW w:w="9520" w:type="dxa"/>
            <w:vAlign w:val="bottom"/>
          </w:tcPr>
          <w:p>
            <w:pPr>
              <w:ind w:left="180"/>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Signatures</w:t>
              </w:r>
            </w:hyperlink>
          </w:p>
        </w:tc>
        <w:tc>
          <w:tcPr>
            <w:tcW w:w="920" w:type="dxa"/>
            <w:vAlign w:val="bottom"/>
            <w:gridSpan w:val="2"/>
          </w:tcPr>
          <w:p>
            <w:pPr>
              <w:jc w:val="right"/>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90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 FINANCIAL INFORMATION</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As of</w:t>
            </w: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 2020</w:t>
            </w:r>
          </w:p>
        </w:tc>
        <w:tc>
          <w:tcPr>
            <w:tcW w:w="280" w:type="dxa"/>
            <w:vAlign w:val="bottom"/>
          </w:tcPr>
          <w:p>
            <w:pPr>
              <w:spacing w:after="0"/>
              <w:rPr>
                <w:sz w:val="18"/>
                <w:szCs w:val="18"/>
                <w:color w:val="auto"/>
              </w:rPr>
            </w:pPr>
          </w:p>
        </w:tc>
        <w:tc>
          <w:tcPr>
            <w:tcW w:w="1920" w:type="dxa"/>
            <w:vAlign w:val="bottom"/>
          </w:tcPr>
          <w:p>
            <w:pPr>
              <w:jc w:val="right"/>
              <w:ind w:right="313"/>
              <w:spacing w:after="0"/>
              <w:rPr>
                <w:sz w:val="20"/>
                <w:szCs w:val="20"/>
                <w:color w:val="auto"/>
              </w:rPr>
            </w:pPr>
            <w:r>
              <w:rPr>
                <w:rFonts w:ascii="Arial" w:cs="Arial" w:eastAsia="Arial" w:hAnsi="Arial"/>
                <w:sz w:val="17"/>
                <w:szCs w:val="17"/>
                <w:b w:val="1"/>
                <w:bCs w:val="1"/>
                <w:color w:val="auto"/>
                <w:w w:val="97"/>
              </w:rPr>
              <w:t>December 31, 2019</w:t>
            </w:r>
          </w:p>
        </w:tc>
        <w:tc>
          <w:tcPr>
            <w:tcW w:w="0" w:type="dxa"/>
            <w:vAlign w:val="bottom"/>
          </w:tcPr>
          <w:p>
            <w:pPr>
              <w:spacing w:after="0"/>
              <w:rPr>
                <w:sz w:val="1"/>
                <w:szCs w:val="1"/>
                <w:color w:val="auto"/>
              </w:rPr>
            </w:pPr>
          </w:p>
        </w:tc>
      </w:tr>
      <w:tr>
        <w:trPr>
          <w:trHeight w:val="32"/>
        </w:trPr>
        <w:tc>
          <w:tcPr>
            <w:tcW w:w="67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0" w:type="dxa"/>
            <w:vAlign w:val="bottom"/>
          </w:tcPr>
          <w:p>
            <w:pPr>
              <w:spacing w:after="0"/>
              <w:rPr>
                <w:sz w:val="1"/>
                <w:szCs w:val="1"/>
                <w:color w:val="auto"/>
              </w:rPr>
            </w:pPr>
          </w:p>
        </w:tc>
      </w:tr>
      <w:tr>
        <w:trPr>
          <w:trHeight w:val="222"/>
        </w:trPr>
        <w:tc>
          <w:tcPr>
            <w:tcW w:w="6740" w:type="dxa"/>
            <w:vAlign w:val="bottom"/>
          </w:tcPr>
          <w:p>
            <w:pPr>
              <w:ind w:left="200"/>
              <w:spacing w:after="0"/>
              <w:rPr>
                <w:sz w:val="20"/>
                <w:szCs w:val="20"/>
                <w:color w:val="auto"/>
              </w:rPr>
            </w:pPr>
            <w:r>
              <w:rPr>
                <w:rFonts w:ascii="Arial" w:cs="Arial" w:eastAsia="Arial" w:hAnsi="Arial"/>
                <w:sz w:val="17"/>
                <w:szCs w:val="17"/>
                <w:color w:val="auto"/>
              </w:rPr>
              <w:t>Short-term investments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773.8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607.7</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Trade and other receivables, net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1,243.2</w:t>
            </w:r>
          </w:p>
        </w:tc>
        <w:tc>
          <w:tcPr>
            <w:tcW w:w="0" w:type="dxa"/>
            <w:vAlign w:val="bottom"/>
          </w:tcPr>
          <w:p>
            <w:pPr>
              <w:spacing w:after="0"/>
              <w:rPr>
                <w:sz w:val="1"/>
                <w:szCs w:val="1"/>
                <w:color w:val="auto"/>
              </w:rPr>
            </w:pPr>
          </w:p>
        </w:tc>
      </w:tr>
      <w:tr>
        <w:trPr>
          <w:trHeight w:val="222"/>
        </w:trPr>
        <w:tc>
          <w:tcPr>
            <w:tcW w:w="674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488.4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445.3</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657.9</w:t>
            </w:r>
          </w:p>
        </w:tc>
        <w:tc>
          <w:tcPr>
            <w:tcW w:w="0" w:type="dxa"/>
            <w:vAlign w:val="bottom"/>
          </w:tcPr>
          <w:p>
            <w:pPr>
              <w:spacing w:after="0"/>
              <w:rPr>
                <w:sz w:val="1"/>
                <w:szCs w:val="1"/>
                <w:color w:val="auto"/>
              </w:rPr>
            </w:pPr>
          </w:p>
        </w:tc>
      </w:tr>
      <w:tr>
        <w:trPr>
          <w:trHeight w:val="222"/>
        </w:trPr>
        <w:tc>
          <w:tcPr>
            <w:tcW w:w="674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4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2,699.2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Accrued and other current liabilities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0" w:type="dxa"/>
            <w:vAlign w:val="bottom"/>
          </w:tcPr>
          <w:p>
            <w:pPr>
              <w:spacing w:after="0"/>
              <w:rPr>
                <w:sz w:val="1"/>
                <w:szCs w:val="1"/>
                <w:color w:val="auto"/>
              </w:rPr>
            </w:pPr>
          </w:p>
        </w:tc>
      </w:tr>
      <w:tr>
        <w:trPr>
          <w:trHeight w:val="222"/>
        </w:trPr>
        <w:tc>
          <w:tcPr>
            <w:tcW w:w="6740" w:type="dxa"/>
            <w:vAlign w:val="bottom"/>
          </w:tcPr>
          <w:p>
            <w:pPr>
              <w:ind w:left="200"/>
              <w:spacing w:after="0"/>
              <w:rPr>
                <w:sz w:val="20"/>
                <w:szCs w:val="20"/>
                <w:color w:val="auto"/>
              </w:rPr>
            </w:pPr>
            <w:r>
              <w:rPr>
                <w:rFonts w:ascii="Arial" w:cs="Arial" w:eastAsia="Arial" w:hAnsi="Arial"/>
                <w:sz w:val="17"/>
                <w:szCs w:val="17"/>
                <w:color w:val="auto"/>
              </w:rPr>
              <w:t>Accrued compensation and benefits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93.3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Operating lease liability</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22"/>
        </w:trPr>
        <w:tc>
          <w:tcPr>
            <w:tcW w:w="6740" w:type="dxa"/>
            <w:vAlign w:val="bottom"/>
          </w:tcPr>
          <w:p>
            <w:pPr>
              <w:ind w:left="200"/>
              <w:spacing w:after="0"/>
              <w:rPr>
                <w:sz w:val="20"/>
                <w:szCs w:val="20"/>
                <w:color w:val="auto"/>
              </w:rPr>
            </w:pPr>
            <w:r>
              <w:rPr>
                <w:rFonts w:ascii="Arial" w:cs="Arial" w:eastAsia="Arial" w:hAnsi="Arial"/>
                <w:sz w:val="17"/>
                <w:szCs w:val="17"/>
                <w:color w:val="auto"/>
              </w:rPr>
              <w:t>Finance lease obligation</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86.4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554.2</w:t>
            </w:r>
          </w:p>
        </w:tc>
        <w:tc>
          <w:tcPr>
            <w:tcW w:w="0" w:type="dxa"/>
            <w:vAlign w:val="bottom"/>
          </w:tcPr>
          <w:p>
            <w:pPr>
              <w:spacing w:after="0"/>
              <w:rPr>
                <w:sz w:val="1"/>
                <w:szCs w:val="1"/>
                <w:color w:val="auto"/>
              </w:rPr>
            </w:pPr>
          </w:p>
        </w:tc>
      </w:tr>
      <w:tr>
        <w:trPr>
          <w:trHeight w:val="215"/>
        </w:trPr>
        <w:tc>
          <w:tcPr>
            <w:tcW w:w="674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1,026.9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1,014.8</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 non-current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711.9</w:t>
            </w:r>
          </w:p>
        </w:tc>
        <w:tc>
          <w:tcPr>
            <w:tcW w:w="0" w:type="dxa"/>
            <w:vAlign w:val="bottom"/>
          </w:tcPr>
          <w:p>
            <w:pPr>
              <w:spacing w:after="0"/>
              <w:rPr>
                <w:sz w:val="1"/>
                <w:szCs w:val="1"/>
                <w:color w:val="auto"/>
              </w:rPr>
            </w:pPr>
          </w:p>
        </w:tc>
      </w:tr>
      <w:tr>
        <w:trPr>
          <w:trHeight w:val="222"/>
        </w:trPr>
        <w:tc>
          <w:tcPr>
            <w:tcW w:w="6740" w:type="dxa"/>
            <w:vAlign w:val="bottom"/>
          </w:tcPr>
          <w:p>
            <w:pPr>
              <w:ind w:left="20"/>
              <w:spacing w:after="0"/>
              <w:rPr>
                <w:sz w:val="20"/>
                <w:szCs w:val="20"/>
                <w:color w:val="auto"/>
              </w:rPr>
            </w:pPr>
            <w:r>
              <w:rPr>
                <w:rFonts w:ascii="Arial" w:cs="Arial" w:eastAsia="Arial" w:hAnsi="Arial"/>
                <w:sz w:val="17"/>
                <w:szCs w:val="17"/>
                <w:color w:val="auto"/>
              </w:rPr>
              <w:t>Finance lease obligation, non-current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169.4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138.2</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1,890.8</w:t>
            </w: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10)</w:t>
            </w: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4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2,531.3</w:t>
            </w:r>
          </w:p>
        </w:tc>
        <w:tc>
          <w:tcPr>
            <w:tcW w:w="0" w:type="dxa"/>
            <w:vAlign w:val="bottom"/>
          </w:tcPr>
          <w:p>
            <w:pPr>
              <w:spacing w:after="0"/>
              <w:rPr>
                <w:sz w:val="1"/>
                <w:szCs w:val="1"/>
                <w:color w:val="auto"/>
              </w:rPr>
            </w:pPr>
          </w:p>
        </w:tc>
      </w:tr>
      <w:tr>
        <w:trPr>
          <w:trHeight w:val="222"/>
        </w:trPr>
        <w:tc>
          <w:tcPr>
            <w:tcW w:w="6740" w:type="dxa"/>
            <w:vAlign w:val="bottom"/>
          </w:tcPr>
          <w:p>
            <w:pPr>
              <w:ind w:left="200"/>
              <w:spacing w:after="0"/>
              <w:rPr>
                <w:sz w:val="20"/>
                <w:szCs w:val="20"/>
                <w:color w:val="auto"/>
              </w:rPr>
            </w:pPr>
            <w:r>
              <w:rPr>
                <w:rFonts w:ascii="Arial" w:cs="Arial" w:eastAsia="Arial" w:hAnsi="Arial"/>
                <w:sz w:val="17"/>
                <w:szCs w:val="17"/>
                <w:color w:val="auto"/>
              </w:rPr>
              <w:t>Accumulated deficit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(1,764.3)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(1,726.2)</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808.4</w:t>
            </w:r>
          </w:p>
        </w:tc>
        <w:tc>
          <w:tcPr>
            <w:tcW w:w="0" w:type="dxa"/>
            <w:vAlign w:val="bottom"/>
          </w:tcPr>
          <w:p>
            <w:pPr>
              <w:spacing w:after="0"/>
              <w:rPr>
                <w:sz w:val="1"/>
                <w:szCs w:val="1"/>
                <w:color w:val="auto"/>
              </w:rPr>
            </w:pPr>
          </w:p>
        </w:tc>
      </w:tr>
      <w:tr>
        <w:trPr>
          <w:trHeight w:val="24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2,699.2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millions, except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2440" w:type="dxa"/>
            <w:vAlign w:val="bottom"/>
            <w:gridSpan w:val="4"/>
          </w:tcPr>
          <w:p>
            <w:pPr>
              <w:jc w:val="right"/>
              <w:ind w:right="93"/>
              <w:spacing w:after="0"/>
              <w:rPr>
                <w:sz w:val="20"/>
                <w:szCs w:val="20"/>
                <w:color w:val="auto"/>
              </w:rPr>
            </w:pPr>
            <w:r>
              <w:rPr>
                <w:rFonts w:ascii="Arial" w:cs="Arial" w:eastAsia="Arial" w:hAnsi="Arial"/>
                <w:sz w:val="17"/>
                <w:szCs w:val="17"/>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653"/>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2"/>
        </w:trPr>
        <w:tc>
          <w:tcPr>
            <w:tcW w:w="52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w w:val="95"/>
              </w:rPr>
              <w:t>2019</w:t>
            </w:r>
          </w:p>
        </w:tc>
        <w:tc>
          <w:tcPr>
            <w:tcW w:w="0" w:type="dxa"/>
            <w:vAlign w:val="bottom"/>
          </w:tcPr>
          <w:p>
            <w:pPr>
              <w:spacing w:after="0"/>
              <w:rPr>
                <w:sz w:val="1"/>
                <w:szCs w:val="1"/>
                <w:color w:val="auto"/>
              </w:rPr>
            </w:pPr>
          </w:p>
        </w:tc>
      </w:tr>
      <w:tr>
        <w:trPr>
          <w:trHeight w:val="32"/>
        </w:trPr>
        <w:tc>
          <w:tcPr>
            <w:tcW w:w="5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487.4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428.2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1,215.3</w:t>
            </w:r>
          </w:p>
        </w:tc>
        <w:tc>
          <w:tcPr>
            <w:tcW w:w="0" w:type="dxa"/>
            <w:vAlign w:val="bottom"/>
          </w:tcPr>
          <w:p>
            <w:pPr>
              <w:spacing w:after="0"/>
              <w:rPr>
                <w:sz w:val="1"/>
                <w:szCs w:val="1"/>
                <w:color w:val="auto"/>
              </w:rPr>
            </w:pPr>
          </w:p>
        </w:tc>
      </w:tr>
      <w:tr>
        <w:trPr>
          <w:trHeight w:val="222"/>
        </w:trPr>
        <w:tc>
          <w:tcPr>
            <w:tcW w:w="5220" w:type="dxa"/>
            <w:vAlign w:val="bottom"/>
            <w:tcBorders>
              <w:bottom w:val="single" w:sz="8" w:color="CCEEFF"/>
            </w:tcBorders>
          </w:tcPr>
          <w:p>
            <w:pPr>
              <w:ind w:left="26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103.2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104.8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306.1</w:t>
            </w:r>
          </w:p>
        </w:tc>
        <w:tc>
          <w:tcPr>
            <w:tcW w:w="0" w:type="dxa"/>
            <w:vAlign w:val="bottom"/>
          </w:tcPr>
          <w:p>
            <w:pPr>
              <w:spacing w:after="0"/>
              <w:rPr>
                <w:sz w:val="1"/>
                <w:szCs w:val="1"/>
                <w:color w:val="auto"/>
              </w:rPr>
            </w:pPr>
          </w:p>
        </w:tc>
      </w:tr>
      <w:tr>
        <w:trPr>
          <w:trHeight w:val="215"/>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384.2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323.4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909.2</w:t>
            </w:r>
          </w:p>
        </w:tc>
        <w:tc>
          <w:tcPr>
            <w:tcW w:w="0" w:type="dxa"/>
            <w:vAlign w:val="bottom"/>
          </w:tcPr>
          <w:p>
            <w:pPr>
              <w:spacing w:after="0"/>
              <w:rPr>
                <w:sz w:val="1"/>
                <w:szCs w:val="1"/>
                <w:color w:val="auto"/>
              </w:rPr>
            </w:pPr>
          </w:p>
        </w:tc>
      </w:tr>
      <w:tr>
        <w:trPr>
          <w:trHeight w:val="222"/>
        </w:trPr>
        <w:tc>
          <w:tcPr>
            <w:tcW w:w="5220" w:type="dxa"/>
            <w:vAlign w:val="bottom"/>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183.3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485.2</w:t>
            </w:r>
          </w:p>
        </w:tc>
        <w:tc>
          <w:tcPr>
            <w:tcW w:w="0" w:type="dxa"/>
            <w:vAlign w:val="bottom"/>
          </w:tcPr>
          <w:p>
            <w:pPr>
              <w:spacing w:after="0"/>
              <w:rPr>
                <w:sz w:val="1"/>
                <w:szCs w:val="1"/>
                <w:color w:val="auto"/>
              </w:rPr>
            </w:pPr>
          </w:p>
        </w:tc>
      </w:tr>
      <w:tr>
        <w:trPr>
          <w:trHeight w:val="222"/>
        </w:trPr>
        <w:tc>
          <w:tcPr>
            <w:tcW w:w="5220" w:type="dxa"/>
            <w:vAlign w:val="bottom"/>
          </w:tcPr>
          <w:p>
            <w:pPr>
              <w:ind w:left="200"/>
              <w:spacing w:after="0"/>
              <w:rPr>
                <w:sz w:val="20"/>
                <w:szCs w:val="20"/>
                <w:color w:val="auto"/>
              </w:rPr>
            </w:pPr>
            <w:r>
              <w:rPr>
                <w:rFonts w:ascii="Arial" w:cs="Arial" w:eastAsia="Arial" w:hAnsi="Arial"/>
                <w:sz w:val="17"/>
                <w:szCs w:val="17"/>
                <w:color w:val="auto"/>
              </w:rPr>
              <w:t>Sales and marketing</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105.8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108.2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317.0</w:t>
            </w: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180.9</w:t>
            </w:r>
          </w:p>
        </w:tc>
        <w:tc>
          <w:tcPr>
            <w:tcW w:w="0" w:type="dxa"/>
            <w:vAlign w:val="bottom"/>
          </w:tcPr>
          <w:p>
            <w:pPr>
              <w:spacing w:after="0"/>
              <w:rPr>
                <w:sz w:val="1"/>
                <w:szCs w:val="1"/>
                <w:color w:val="auto"/>
              </w:rPr>
            </w:pPr>
          </w:p>
        </w:tc>
      </w:tr>
      <w:tr>
        <w:trPr>
          <w:trHeight w:val="215"/>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354.2</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342.0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1,031.4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983.1</w:t>
            </w:r>
          </w:p>
        </w:tc>
        <w:tc>
          <w:tcPr>
            <w:tcW w:w="0" w:type="dxa"/>
            <w:vAlign w:val="bottom"/>
          </w:tcPr>
          <w:p>
            <w:pPr>
              <w:spacing w:after="0"/>
              <w:rPr>
                <w:sz w:val="1"/>
                <w:szCs w:val="1"/>
                <w:color w:val="auto"/>
              </w:rPr>
            </w:pPr>
          </w:p>
        </w:tc>
      </w:tr>
      <w:tr>
        <w:trPr>
          <w:trHeight w:val="215"/>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w:t>
            </w:r>
          </w:p>
        </w:tc>
        <w:tc>
          <w:tcPr>
            <w:tcW w:w="0" w:type="dxa"/>
            <w:vAlign w:val="bottom"/>
          </w:tcPr>
          <w:p>
            <w:pPr>
              <w:spacing w:after="0"/>
              <w:rPr>
                <w:sz w:val="1"/>
                <w:szCs w:val="1"/>
                <w:color w:val="auto"/>
              </w:rPr>
            </w:pPr>
          </w:p>
        </w:tc>
      </w:tr>
      <w:tr>
        <w:trPr>
          <w:trHeight w:val="222"/>
        </w:trPr>
        <w:tc>
          <w:tcPr>
            <w:tcW w:w="5220" w:type="dxa"/>
            <w:vAlign w:val="bottom"/>
          </w:tcPr>
          <w:p>
            <w:pPr>
              <w:ind w:left="20"/>
              <w:spacing w:after="0"/>
              <w:rPr>
                <w:sz w:val="20"/>
                <w:szCs w:val="20"/>
                <w:color w:val="auto"/>
              </w:rPr>
            </w:pPr>
            <w:r>
              <w:rPr>
                <w:rFonts w:ascii="Arial" w:cs="Arial" w:eastAsia="Arial" w:hAnsi="Arial"/>
                <w:sz w:val="17"/>
                <w:szCs w:val="17"/>
                <w:color w:val="auto"/>
              </w:rPr>
              <w:t>Interest income, net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2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Net income (loss) per share-basic and diluted:</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20"/>
              <w:spacing w:after="0"/>
              <w:rPr>
                <w:sz w:val="20"/>
                <w:szCs w:val="20"/>
                <w:color w:val="auto"/>
              </w:rPr>
            </w:pPr>
            <w:r>
              <w:rPr>
                <w:rFonts w:ascii="Arial" w:cs="Arial" w:eastAsia="Arial" w:hAnsi="Arial"/>
                <w:sz w:val="17"/>
                <w:szCs w:val="17"/>
                <w:color w:val="auto"/>
              </w:rPr>
              <w:t>Basic net income (loss) per share</w:t>
            </w: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 (loss) per share</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150"/>
        </w:trPr>
        <w:tc>
          <w:tcPr>
            <w:tcW w:w="5220" w:type="dxa"/>
            <w:vAlign w:val="bottom"/>
          </w:tcPr>
          <w:p>
            <w:pPr>
              <w:ind w:left="20"/>
              <w:spacing w:after="0" w:line="150" w:lineRule="exact"/>
              <w:rPr>
                <w:sz w:val="20"/>
                <w:szCs w:val="20"/>
                <w:color w:val="auto"/>
              </w:rPr>
            </w:pPr>
            <w:r>
              <w:rPr>
                <w:rFonts w:ascii="Arial" w:cs="Arial" w:eastAsia="Arial" w:hAnsi="Arial"/>
                <w:sz w:val="17"/>
                <w:szCs w:val="17"/>
                <w:color w:val="auto"/>
                <w:w w:val="94"/>
              </w:rPr>
              <w:t>Weighted-average shares used in computing net income (loss) per share</w:t>
            </w:r>
          </w:p>
        </w:tc>
        <w:tc>
          <w:tcPr>
            <w:tcW w:w="9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w w:val="98"/>
              </w:rPr>
              <w:t>414.2</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w w:val="98"/>
              </w:rPr>
              <w:t>414.4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415.2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412.4</w:t>
            </w:r>
          </w:p>
        </w:tc>
        <w:tc>
          <w:tcPr>
            <w:tcW w:w="0" w:type="dxa"/>
            <w:vAlign w:val="bottom"/>
          </w:tcPr>
          <w:p>
            <w:pPr>
              <w:spacing w:after="0"/>
              <w:rPr>
                <w:sz w:val="1"/>
                <w:szCs w:val="1"/>
                <w:color w:val="auto"/>
              </w:rPr>
            </w:pPr>
          </w:p>
        </w:tc>
      </w:tr>
      <w:tr>
        <w:trPr>
          <w:trHeight w:val="195"/>
        </w:trPr>
        <w:tc>
          <w:tcPr>
            <w:tcW w:w="5220" w:type="dxa"/>
            <w:vAlign w:val="bottom"/>
          </w:tcPr>
          <w:p>
            <w:pPr>
              <w:ind w:left="180"/>
              <w:spacing w:after="0"/>
              <w:rPr>
                <w:sz w:val="20"/>
                <w:szCs w:val="20"/>
                <w:color w:val="auto"/>
              </w:rPr>
            </w:pPr>
            <w:r>
              <w:rPr>
                <w:rFonts w:ascii="Arial" w:cs="Arial" w:eastAsia="Arial" w:hAnsi="Arial"/>
                <w:sz w:val="17"/>
                <w:szCs w:val="17"/>
                <w:color w:val="auto"/>
              </w:rPr>
              <w:t>attributable to common stockholders, basic</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220" w:type="dxa"/>
            <w:vAlign w:val="bottom"/>
            <w:shd w:val="clear" w:color="auto" w:fill="CCEEFF"/>
          </w:tcPr>
          <w:p>
            <w:pPr>
              <w:ind w:left="20"/>
              <w:spacing w:after="0" w:line="136" w:lineRule="exact"/>
              <w:rPr>
                <w:sz w:val="20"/>
                <w:szCs w:val="20"/>
                <w:color w:val="auto"/>
              </w:rPr>
            </w:pPr>
            <w:r>
              <w:rPr>
                <w:rFonts w:ascii="Arial" w:cs="Arial" w:eastAsia="Arial" w:hAnsi="Arial"/>
                <w:sz w:val="15"/>
                <w:szCs w:val="15"/>
                <w:color w:val="auto"/>
              </w:rPr>
              <w:t>Weighted-average shares used in computing net income (loss) per share</w:t>
            </w:r>
          </w:p>
        </w:tc>
        <w:tc>
          <w:tcPr>
            <w:tcW w:w="9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8"/>
              </w:rPr>
              <w:t>419.9</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8"/>
              </w:rPr>
              <w:t>414.4</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419.9</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412.4</w:t>
            </w:r>
          </w:p>
        </w:tc>
        <w:tc>
          <w:tcPr>
            <w:tcW w:w="0" w:type="dxa"/>
            <w:vAlign w:val="bottom"/>
          </w:tcPr>
          <w:p>
            <w:pPr>
              <w:spacing w:after="0"/>
              <w:rPr>
                <w:sz w:val="1"/>
                <w:szCs w:val="1"/>
                <w:color w:val="auto"/>
              </w:rPr>
            </w:pPr>
          </w:p>
        </w:tc>
      </w:tr>
      <w:tr>
        <w:trPr>
          <w:trHeight w:val="215"/>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attributable to common stockholders, diluted</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40" w:hanging="136"/>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follows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2500" w:type="dxa"/>
            <w:vAlign w:val="bottom"/>
            <w:gridSpan w:val="4"/>
          </w:tcPr>
          <w:p>
            <w:pPr>
              <w:jc w:val="center"/>
              <w:ind w:left="353"/>
              <w:spacing w:after="0"/>
              <w:rPr>
                <w:sz w:val="20"/>
                <w:szCs w:val="20"/>
                <w:color w:val="auto"/>
              </w:rPr>
            </w:pPr>
            <w:r>
              <w:rPr>
                <w:rFonts w:ascii="Arial" w:cs="Arial" w:eastAsia="Arial" w:hAnsi="Arial"/>
                <w:sz w:val="17"/>
                <w:szCs w:val="17"/>
                <w:b w:val="1"/>
                <w:bCs w:val="1"/>
                <w:color w:val="auto"/>
                <w:w w:val="93"/>
              </w:rPr>
              <w:t>Three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4"/>
          </w:tcPr>
          <w:p>
            <w:pPr>
              <w:jc w:val="center"/>
              <w:ind w:left="413"/>
              <w:spacing w:after="0"/>
              <w:rPr>
                <w:sz w:val="20"/>
                <w:szCs w:val="20"/>
                <w:color w:val="auto"/>
              </w:rPr>
            </w:pPr>
            <w:r>
              <w:rPr>
                <w:rFonts w:ascii="Arial" w:cs="Arial" w:eastAsia="Arial" w:hAnsi="Arial"/>
                <w:sz w:val="17"/>
                <w:szCs w:val="17"/>
                <w:b w:val="1"/>
                <w:bCs w:val="1"/>
                <w:color w:val="auto"/>
                <w:w w:val="93"/>
              </w:rPr>
              <w:t>Nine Months Ended</w:t>
            </w:r>
          </w:p>
        </w:tc>
        <w:tc>
          <w:tcPr>
            <w:tcW w:w="500" w:type="dxa"/>
            <w:vAlign w:val="bottom"/>
          </w:tcPr>
          <w:p>
            <w:pPr>
              <w:spacing w:after="0"/>
              <w:rPr>
                <w:sz w:val="16"/>
                <w:szCs w:val="16"/>
                <w:color w:val="auto"/>
              </w:rPr>
            </w:pPr>
          </w:p>
        </w:tc>
      </w:tr>
      <w:tr>
        <w:trPr>
          <w:trHeight w:val="222"/>
        </w:trPr>
        <w:tc>
          <w:tcPr>
            <w:tcW w:w="52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393"/>
              <w:spacing w:after="0"/>
              <w:rPr>
                <w:sz w:val="20"/>
                <w:szCs w:val="20"/>
                <w:color w:val="auto"/>
              </w:rPr>
            </w:pPr>
            <w:r>
              <w:rPr>
                <w:rFonts w:ascii="Arial" w:cs="Arial" w:eastAsia="Arial" w:hAnsi="Arial"/>
                <w:sz w:val="17"/>
                <w:szCs w:val="17"/>
                <w:b w:val="1"/>
                <w:bCs w:val="1"/>
                <w:color w:val="auto"/>
                <w:w w:val="91"/>
              </w:rPr>
              <w:t>September 30,</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35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r>
      <w:tr>
        <w:trPr>
          <w:trHeight w:val="215"/>
        </w:trPr>
        <w:tc>
          <w:tcPr>
            <w:tcW w:w="5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2019</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00" w:type="dxa"/>
            <w:vAlign w:val="bottom"/>
            <w:tcBorders>
              <w:bottom w:val="single" w:sz="8" w:color="auto"/>
            </w:tcBorders>
          </w:tcPr>
          <w:p>
            <w:pPr>
              <w:spacing w:after="0"/>
              <w:rPr>
                <w:sz w:val="18"/>
                <w:szCs w:val="18"/>
                <w:color w:val="auto"/>
              </w:rPr>
            </w:pPr>
          </w:p>
        </w:tc>
      </w:tr>
      <w:tr>
        <w:trPr>
          <w:trHeight w:val="32"/>
        </w:trPr>
        <w:tc>
          <w:tcPr>
            <w:tcW w:w="5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22"/>
        </w:trPr>
        <w:tc>
          <w:tcPr>
            <w:tcW w:w="5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of revenue</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22"/>
        </w:trPr>
        <w:tc>
          <w:tcPr>
            <w:tcW w:w="5220" w:type="dxa"/>
            <w:vAlign w:val="bottom"/>
          </w:tcPr>
          <w:p>
            <w:pPr>
              <w:ind w:left="200"/>
              <w:spacing w:after="0"/>
              <w:rPr>
                <w:sz w:val="20"/>
                <w:szCs w:val="20"/>
                <w:color w:val="auto"/>
              </w:rPr>
            </w:pPr>
            <w:r>
              <w:rPr>
                <w:rFonts w:ascii="Arial" w:cs="Arial" w:eastAsia="Arial" w:hAnsi="Arial"/>
                <w:sz w:val="17"/>
                <w:szCs w:val="17"/>
                <w:color w:val="auto"/>
              </w:rPr>
              <w:t>Research and development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46.9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38.9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131.1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107.1</w:t>
            </w:r>
          </w:p>
        </w:tc>
      </w:tr>
      <w:tr>
        <w:trPr>
          <w:trHeight w:val="222"/>
        </w:trPr>
        <w:tc>
          <w:tcPr>
            <w:tcW w:w="5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Sales and marketing</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302"/>
        </w:trPr>
        <w:tc>
          <w:tcPr>
            <w:tcW w:w="5220" w:type="dxa"/>
            <w:vAlign w:val="bottom"/>
          </w:tcPr>
          <w:p>
            <w:pPr>
              <w:ind w:left="22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9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49.4</w:t>
            </w:r>
          </w:p>
        </w:tc>
      </w:tr>
    </w:tbl>
    <w:p>
      <w:pPr>
        <w:spacing w:after="0" w:line="235" w:lineRule="exact"/>
        <w:rPr>
          <w:sz w:val="20"/>
          <w:szCs w:val="20"/>
          <w:color w:val="auto"/>
        </w:rPr>
      </w:pPr>
    </w:p>
    <w:p>
      <w:pPr>
        <w:ind w:right="140" w:firstLine="4"/>
        <w:spacing w:after="0" w:line="290" w:lineRule="auto"/>
        <w:tabs>
          <w:tab w:leader="none" w:pos="144"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Equity" for further information.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2460" w:type="dxa"/>
            <w:vAlign w:val="bottom"/>
            <w:gridSpan w:val="4"/>
          </w:tcPr>
          <w:p>
            <w:pPr>
              <w:jc w:val="right"/>
              <w:ind w:right="113"/>
              <w:spacing w:after="0"/>
              <w:rPr>
                <w:sz w:val="20"/>
                <w:szCs w:val="20"/>
                <w:color w:val="auto"/>
              </w:rPr>
            </w:pPr>
            <w:r>
              <w:rPr>
                <w:rFonts w:ascii="Arial" w:cs="Arial" w:eastAsia="Arial" w:hAnsi="Arial"/>
                <w:sz w:val="17"/>
                <w:szCs w:val="17"/>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653"/>
              <w:spacing w:after="0"/>
              <w:rPr>
                <w:sz w:val="20"/>
                <w:szCs w:val="20"/>
                <w:color w:val="auto"/>
              </w:rPr>
            </w:pPr>
            <w:r>
              <w:rPr>
                <w:rFonts w:ascii="Arial" w:cs="Arial" w:eastAsia="Arial" w:hAnsi="Arial"/>
                <w:sz w:val="17"/>
                <w:szCs w:val="17"/>
                <w:b w:val="1"/>
                <w:bCs w:val="1"/>
                <w:color w:val="auto"/>
              </w:rPr>
              <w:t>Nine Months Ended</w:t>
            </w:r>
          </w:p>
        </w:tc>
      </w:tr>
      <w:tr>
        <w:trPr>
          <w:trHeight w:val="222"/>
        </w:trPr>
        <w:tc>
          <w:tcPr>
            <w:tcW w:w="52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7"/>
                <w:szCs w:val="17"/>
                <w:b w:val="1"/>
                <w:bCs w:val="1"/>
                <w:color w:val="auto"/>
                <w:w w:val="91"/>
              </w:rPr>
              <w:t>September 30,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215"/>
        </w:trPr>
        <w:tc>
          <w:tcPr>
            <w:tcW w:w="5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w w:val="95"/>
              </w:rPr>
              <w:t>2019</w:t>
            </w:r>
          </w:p>
        </w:tc>
      </w:tr>
      <w:tr>
        <w:trPr>
          <w:trHeight w:val="32"/>
        </w:trPr>
        <w:tc>
          <w:tcPr>
            <w:tcW w:w="5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r>
      <w:tr>
        <w:trPr>
          <w:trHeight w:val="222"/>
        </w:trPr>
        <w:tc>
          <w:tcPr>
            <w:tcW w:w="522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2"/>
        </w:trPr>
        <w:tc>
          <w:tcPr>
            <w:tcW w:w="5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 in foreign currency translation adjustments</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52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Change in net unrealized gains (losses) on short-term investments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215"/>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comprehensive income (loss), net of tax</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5"/>
        </w:trPr>
        <w:tc>
          <w:tcPr>
            <w:tcW w:w="522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(16.8)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w:t>
            </w:r>
          </w:p>
        </w:tc>
      </w:tr>
      <w:tr>
        <w:trPr>
          <w:trHeight w:val="20"/>
        </w:trPr>
        <w:tc>
          <w:tcPr>
            <w:tcW w:w="5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10"/>
          </w:tcPr>
          <w:p>
            <w:pPr>
              <w:ind w:left="20"/>
              <w:spacing w:after="0"/>
              <w:rPr>
                <w:sz w:val="20"/>
                <w:szCs w:val="20"/>
                <w:color w:val="auto"/>
              </w:rPr>
            </w:pPr>
            <w:r>
              <w:rPr>
                <w:rFonts w:ascii="Arial" w:cs="Arial" w:eastAsia="Arial" w:hAnsi="Arial"/>
                <w:sz w:val="16"/>
                <w:szCs w:val="16"/>
                <w:b w:val="1"/>
                <w:bCs w:val="1"/>
                <w:color w:val="auto"/>
                <w:w w:val="96"/>
              </w:rPr>
              <w:t>Three Months Ended September 30, 2020</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10"/>
          </w:tcPr>
          <w:p>
            <w:pPr>
              <w:ind w:left="20"/>
              <w:spacing w:after="0"/>
              <w:rPr>
                <w:sz w:val="20"/>
                <w:szCs w:val="20"/>
                <w:color w:val="auto"/>
              </w:rPr>
            </w:pPr>
            <w:r>
              <w:rPr>
                <w:rFonts w:ascii="Arial" w:cs="Arial" w:eastAsia="Arial" w:hAnsi="Arial"/>
                <w:sz w:val="16"/>
                <w:szCs w:val="16"/>
                <w:b w:val="1"/>
                <w:bCs w:val="1"/>
                <w:color w:val="auto"/>
                <w:w w:val="95"/>
              </w:rPr>
              <w:t>Three Months Ended September 30, 2019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1160" w:type="dxa"/>
            <w:vAlign w:val="bottom"/>
            <w:gridSpan w:val="4"/>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000" w:type="dxa"/>
            <w:vAlign w:val="bottom"/>
          </w:tcPr>
          <w:p>
            <w:pPr>
              <w:spacing w:after="0"/>
              <w:rPr>
                <w:sz w:val="9"/>
                <w:szCs w:val="9"/>
                <w:color w:val="auto"/>
              </w:rPr>
            </w:pPr>
          </w:p>
        </w:tc>
        <w:tc>
          <w:tcPr>
            <w:tcW w:w="900" w:type="dxa"/>
            <w:vAlign w:val="bottom"/>
            <w:gridSpan w:val="3"/>
            <w:vMerge w:val="restart"/>
          </w:tcPr>
          <w:p>
            <w:pPr>
              <w:jc w:val="center"/>
              <w:ind w:left="202"/>
              <w:spacing w:after="0" w:line="157" w:lineRule="exact"/>
              <w:rPr>
                <w:sz w:val="20"/>
                <w:szCs w:val="20"/>
                <w:color w:val="auto"/>
              </w:rPr>
            </w:pPr>
            <w:r>
              <w:rPr>
                <w:rFonts w:ascii="Arial" w:cs="Arial" w:eastAsia="Arial" w:hAnsi="Arial"/>
                <w:sz w:val="16"/>
                <w:szCs w:val="16"/>
                <w:b w:val="1"/>
                <w:bCs w:val="1"/>
                <w:color w:val="auto"/>
                <w:w w:val="85"/>
              </w:rPr>
              <w:t>Class B</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4"/>
            <w:vMerge w:val="restart"/>
          </w:tcPr>
          <w:p>
            <w:pPr>
              <w:jc w:val="center"/>
              <w:spacing w:after="0" w:line="157" w:lineRule="exact"/>
              <w:rPr>
                <w:sz w:val="20"/>
                <w:szCs w:val="20"/>
                <w:color w:val="auto"/>
              </w:rPr>
            </w:pPr>
            <w:r>
              <w:rPr>
                <w:rFonts w:ascii="Arial" w:cs="Arial" w:eastAsia="Arial" w:hAnsi="Arial"/>
                <w:sz w:val="16"/>
                <w:szCs w:val="16"/>
                <w:b w:val="1"/>
                <w:bCs w:val="1"/>
                <w:color w:val="auto"/>
                <w:w w:val="84"/>
              </w:rPr>
              <w:t>Class B common</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4"/>
                <w:szCs w:val="4"/>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16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Additional</w:t>
            </w: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4"/>
              </w:rPr>
              <w:t>other</w:t>
            </w:r>
          </w:p>
        </w:tc>
        <w:tc>
          <w:tcPr>
            <w:tcW w:w="180" w:type="dxa"/>
            <w:vAlign w:val="bottom"/>
          </w:tcPr>
          <w:p>
            <w:pPr>
              <w:spacing w:after="0"/>
              <w:rPr>
                <w:sz w:val="4"/>
                <w:szCs w:val="4"/>
                <w:color w:val="auto"/>
              </w:rPr>
            </w:pPr>
          </w:p>
        </w:tc>
        <w:tc>
          <w:tcPr>
            <w:tcW w:w="76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160" w:type="dxa"/>
            <w:vAlign w:val="bottom"/>
            <w:gridSpan w:val="4"/>
          </w:tcPr>
          <w:p>
            <w:pPr>
              <w:jc w:val="right"/>
              <w:spacing w:after="0" w:line="157" w:lineRule="exact"/>
              <w:rPr>
                <w:sz w:val="20"/>
                <w:szCs w:val="20"/>
                <w:color w:val="auto"/>
              </w:rPr>
            </w:pPr>
            <w:r>
              <w:rPr>
                <w:rFonts w:ascii="Arial" w:cs="Arial" w:eastAsia="Arial" w:hAnsi="Arial"/>
                <w:sz w:val="16"/>
                <w:szCs w:val="16"/>
                <w:b w:val="1"/>
                <w:bCs w:val="1"/>
                <w:color w:val="auto"/>
                <w:w w:val="91"/>
              </w:rPr>
              <w:t>Common Stock</w:t>
            </w:r>
          </w:p>
        </w:tc>
        <w:tc>
          <w:tcPr>
            <w:tcW w:w="8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40" w:type="dxa"/>
            <w:vAlign w:val="bottom"/>
            <w:gridSpan w:val="3"/>
          </w:tcPr>
          <w:p>
            <w:pPr>
              <w:jc w:val="center"/>
              <w:ind w:left="222"/>
              <w:spacing w:after="0" w:line="157" w:lineRule="exact"/>
              <w:rPr>
                <w:sz w:val="20"/>
                <w:szCs w:val="20"/>
                <w:color w:val="auto"/>
              </w:rPr>
            </w:pPr>
            <w:r>
              <w:rPr>
                <w:rFonts w:ascii="Arial" w:cs="Arial" w:eastAsia="Arial" w:hAnsi="Arial"/>
                <w:sz w:val="16"/>
                <w:szCs w:val="16"/>
                <w:b w:val="1"/>
                <w:bCs w:val="1"/>
                <w:color w:val="auto"/>
                <w:w w:val="81"/>
              </w:rPr>
              <w:t>stock</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ind w:left="40"/>
              <w:spacing w:after="0" w:line="105" w:lineRule="exact"/>
              <w:rPr>
                <w:sz w:val="20"/>
                <w:szCs w:val="20"/>
                <w:color w:val="auto"/>
              </w:rPr>
            </w:pPr>
            <w:r>
              <w:rPr>
                <w:rFonts w:ascii="Arial" w:cs="Arial" w:eastAsia="Arial" w:hAnsi="Arial"/>
                <w:sz w:val="12"/>
                <w:szCs w:val="12"/>
                <w:b w:val="1"/>
                <w:bCs w:val="1"/>
                <w:color w:val="auto"/>
              </w:rPr>
              <w:t>paid in</w:t>
            </w:r>
          </w:p>
        </w:tc>
        <w:tc>
          <w:tcPr>
            <w:tcW w:w="1000" w:type="dxa"/>
            <w:vAlign w:val="bottom"/>
            <w:gridSpan w:val="3"/>
            <w:vMerge w:val="restart"/>
          </w:tcPr>
          <w:p>
            <w:pPr>
              <w:ind w:left="20"/>
              <w:spacing w:after="0" w:line="105" w:lineRule="exact"/>
              <w:rPr>
                <w:sz w:val="20"/>
                <w:szCs w:val="20"/>
                <w:color w:val="auto"/>
              </w:rPr>
            </w:pPr>
            <w:r>
              <w:rPr>
                <w:rFonts w:ascii="Arial" w:cs="Arial" w:eastAsia="Arial" w:hAnsi="Arial"/>
                <w:sz w:val="12"/>
                <w:szCs w:val="12"/>
                <w:b w:val="1"/>
                <w:bCs w:val="1"/>
                <w:color w:val="auto"/>
              </w:rPr>
              <w:t>Accumulated</w:t>
            </w:r>
          </w:p>
        </w:tc>
        <w:tc>
          <w:tcPr>
            <w:tcW w:w="1120" w:type="dxa"/>
            <w:vAlign w:val="bottom"/>
            <w:gridSpan w:val="3"/>
            <w:vMerge w:val="restart"/>
          </w:tcPr>
          <w:p>
            <w:pPr>
              <w:jc w:val="center"/>
              <w:ind w:right="80"/>
              <w:spacing w:after="0" w:line="105" w:lineRule="exact"/>
              <w:rPr>
                <w:sz w:val="20"/>
                <w:szCs w:val="20"/>
                <w:color w:val="auto"/>
              </w:rPr>
            </w:pPr>
            <w:r>
              <w:rPr>
                <w:rFonts w:ascii="Arial" w:cs="Arial" w:eastAsia="Arial" w:hAnsi="Arial"/>
                <w:sz w:val="12"/>
                <w:szCs w:val="12"/>
                <w:b w:val="1"/>
                <w:bCs w:val="1"/>
                <w:color w:val="auto"/>
              </w:rPr>
              <w:t>comprehensive</w:t>
            </w:r>
          </w:p>
        </w:tc>
        <w:tc>
          <w:tcPr>
            <w:tcW w:w="1020" w:type="dxa"/>
            <w:vAlign w:val="bottom"/>
            <w:gridSpan w:val="3"/>
            <w:vMerge w:val="restart"/>
          </w:tcPr>
          <w:p>
            <w:pPr>
              <w:ind w:left="20"/>
              <w:spacing w:after="0" w:line="105" w:lineRule="exact"/>
              <w:rPr>
                <w:sz w:val="20"/>
                <w:szCs w:val="20"/>
                <w:color w:val="auto"/>
              </w:rPr>
            </w:pPr>
            <w:r>
              <w:rPr>
                <w:rFonts w:ascii="Arial" w:cs="Arial" w:eastAsia="Arial" w:hAnsi="Arial"/>
                <w:sz w:val="12"/>
                <w:szCs w:val="12"/>
                <w:b w:val="1"/>
                <w:bCs w:val="1"/>
                <w:color w:val="auto"/>
              </w:rPr>
              <w:t>stockholders'</w:t>
            </w: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ind w:left="20"/>
              <w:spacing w:after="0" w:line="105" w:lineRule="exact"/>
              <w:rPr>
                <w:sz w:val="20"/>
                <w:szCs w:val="20"/>
                <w:color w:val="auto"/>
              </w:rPr>
            </w:pPr>
            <w:r>
              <w:rPr>
                <w:rFonts w:ascii="Arial" w:cs="Arial" w:eastAsia="Arial" w:hAnsi="Arial"/>
                <w:sz w:val="12"/>
                <w:szCs w:val="12"/>
                <w:b w:val="1"/>
                <w:bCs w:val="1"/>
                <w:color w:val="auto"/>
              </w:rPr>
              <w:t>paid-in</w:t>
            </w:r>
          </w:p>
        </w:tc>
        <w:tc>
          <w:tcPr>
            <w:tcW w:w="1000" w:type="dxa"/>
            <w:vAlign w:val="bottom"/>
            <w:gridSpan w:val="3"/>
            <w:vMerge w:val="restart"/>
          </w:tcPr>
          <w:p>
            <w:pPr>
              <w:ind w:left="20"/>
              <w:spacing w:after="0" w:line="105" w:lineRule="exact"/>
              <w:rPr>
                <w:sz w:val="20"/>
                <w:szCs w:val="20"/>
                <w:color w:val="auto"/>
              </w:rPr>
            </w:pPr>
            <w:r>
              <w:rPr>
                <w:rFonts w:ascii="Arial" w:cs="Arial" w:eastAsia="Arial" w:hAnsi="Arial"/>
                <w:sz w:val="12"/>
                <w:szCs w:val="12"/>
                <w:b w:val="1"/>
                <w:bCs w:val="1"/>
                <w:color w:val="auto"/>
              </w:rPr>
              <w:t>Accumulated</w:t>
            </w:r>
          </w:p>
        </w:tc>
        <w:tc>
          <w:tcPr>
            <w:tcW w:w="1120" w:type="dxa"/>
            <w:vAlign w:val="bottom"/>
            <w:gridSpan w:val="3"/>
            <w:vMerge w:val="restart"/>
          </w:tcPr>
          <w:p>
            <w:pPr>
              <w:jc w:val="center"/>
              <w:ind w:right="60"/>
              <w:spacing w:after="0" w:line="105" w:lineRule="exact"/>
              <w:rPr>
                <w:sz w:val="20"/>
                <w:szCs w:val="20"/>
                <w:color w:val="auto"/>
              </w:rPr>
            </w:pPr>
            <w:r>
              <w:rPr>
                <w:rFonts w:ascii="Arial" w:cs="Arial" w:eastAsia="Arial" w:hAnsi="Arial"/>
                <w:sz w:val="12"/>
                <w:szCs w:val="12"/>
                <w:b w:val="1"/>
                <w:bCs w:val="1"/>
                <w:color w:val="auto"/>
              </w:rPr>
              <w:t>comprehensive</w:t>
            </w:r>
          </w:p>
        </w:tc>
        <w:tc>
          <w:tcPr>
            <w:tcW w:w="940" w:type="dxa"/>
            <w:vAlign w:val="bottom"/>
            <w:gridSpan w:val="2"/>
            <w:vMerge w:val="restart"/>
          </w:tcPr>
          <w:p>
            <w:pPr>
              <w:jc w:val="right"/>
              <w:spacing w:after="0" w:line="10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86"/>
              </w:rPr>
              <w:t>Shares</w:t>
            </w:r>
          </w:p>
        </w:tc>
        <w:tc>
          <w:tcPr>
            <w:tcW w:w="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89"/>
              </w:rPr>
              <w:t>Amount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82"/>
              </w:rPr>
              <w:t>Shares</w:t>
            </w:r>
          </w:p>
        </w:tc>
        <w:tc>
          <w:tcPr>
            <w:tcW w:w="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0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1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3"/>
              </w:rPr>
              <w:t>income (loss)</w:t>
            </w:r>
          </w:p>
        </w:tc>
        <w:tc>
          <w:tcPr>
            <w:tcW w:w="18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equity</w:t>
            </w:r>
          </w:p>
        </w:tc>
        <w:tc>
          <w:tcPr>
            <w:tcW w:w="56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1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3"/>
              </w:rPr>
              <w:t>income (loss)</w:t>
            </w:r>
          </w:p>
        </w:tc>
        <w:tc>
          <w:tcPr>
            <w:tcW w:w="180" w:type="dxa"/>
            <w:vAlign w:val="bottom"/>
          </w:tcPr>
          <w:p>
            <w:pPr>
              <w:spacing w:after="0"/>
              <w:rPr>
                <w:sz w:val="17"/>
                <w:szCs w:val="17"/>
                <w:color w:val="auto"/>
              </w:rPr>
            </w:pPr>
          </w:p>
        </w:tc>
        <w:tc>
          <w:tcPr>
            <w:tcW w:w="760" w:type="dxa"/>
            <w:vAlign w:val="bottom"/>
          </w:tcPr>
          <w:p>
            <w:pPr>
              <w:jc w:val="right"/>
              <w:ind w:right="18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39"/>
        </w:trPr>
        <w:tc>
          <w:tcPr>
            <w:tcW w:w="100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6"/>
                <w:szCs w:val="16"/>
                <w:b w:val="1"/>
                <w:bCs w:val="1"/>
                <w:color w:val="auto"/>
              </w:rPr>
              <w:t>Balances at</w:t>
            </w: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w w:val="99"/>
              </w:rPr>
              <w:t>beginning of</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2,560.4</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(1,764.4)</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803.4</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413.4</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2,428.4</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(1,700.1)</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1.9</w:t>
            </w:r>
          </w:p>
        </w:tc>
        <w:tc>
          <w:tcPr>
            <w:tcW w:w="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7"/>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730.2</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period</w:t>
            </w: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000" w:type="dxa"/>
            <w:vAlign w:val="bottom"/>
          </w:tcPr>
          <w:p>
            <w:pPr>
              <w:ind w:left="20"/>
              <w:spacing w:after="0" w:line="160" w:lineRule="exact"/>
              <w:rPr>
                <w:sz w:val="20"/>
                <w:szCs w:val="20"/>
                <w:color w:val="auto"/>
              </w:rPr>
            </w:pPr>
            <w:r>
              <w:rPr>
                <w:rFonts w:ascii="Arial" w:cs="Arial" w:eastAsia="Arial" w:hAnsi="Arial"/>
                <w:sz w:val="16"/>
                <w:szCs w:val="16"/>
                <w:color w:val="auto"/>
              </w:rPr>
              <w:t>Release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ind w:left="20"/>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ind w:left="20"/>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000" w:type="dxa"/>
            <w:vAlign w:val="bottom"/>
          </w:tcPr>
          <w:p>
            <w:pPr>
              <w:ind w:left="20"/>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Shares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repurchased</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for tax</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withholdings</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on release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6"/>
        </w:trPr>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awards</w:t>
            </w: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tcPr>
          <w:p>
            <w:pPr>
              <w:ind w:left="20"/>
              <w:spacing w:after="0" w:line="160" w:lineRule="exact"/>
              <w:rPr>
                <w:sz w:val="20"/>
                <w:szCs w:val="20"/>
                <w:color w:val="auto"/>
              </w:rPr>
            </w:pPr>
            <w:r>
              <w:rPr>
                <w:rFonts w:ascii="Arial" w:cs="Arial" w:eastAsia="Arial" w:hAnsi="Arial"/>
                <w:sz w:val="16"/>
                <w:szCs w:val="16"/>
                <w:color w:val="auto"/>
                <w:w w:val="85"/>
              </w:rPr>
              <w:t>Repurchases of</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3"/>
                <w:szCs w:val="13"/>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000" w:type="dxa"/>
            <w:vAlign w:val="bottom"/>
          </w:tcPr>
          <w:p>
            <w:pPr>
              <w:ind w:left="20"/>
              <w:spacing w:after="0"/>
              <w:rPr>
                <w:sz w:val="20"/>
                <w:szCs w:val="20"/>
                <w:color w:val="auto"/>
              </w:rPr>
            </w:pPr>
            <w:r>
              <w:rPr>
                <w:rFonts w:ascii="Arial" w:cs="Arial" w:eastAsia="Arial" w:hAnsi="Arial"/>
                <w:sz w:val="16"/>
                <w:szCs w:val="16"/>
                <w:color w:val="auto"/>
                <w:w w:val="93"/>
              </w:rPr>
              <w:t>common 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Exercise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stock options</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awards</w:t>
            </w: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tcPr>
          <w:p>
            <w:pPr>
              <w:ind w:left="20"/>
              <w:spacing w:after="0" w:line="160" w:lineRule="exact"/>
              <w:rPr>
                <w:sz w:val="20"/>
                <w:szCs w:val="20"/>
                <w:color w:val="auto"/>
              </w:rPr>
            </w:pPr>
            <w:r>
              <w:rPr>
                <w:rFonts w:ascii="Arial" w:cs="Arial" w:eastAsia="Arial" w:hAnsi="Arial"/>
                <w:sz w:val="16"/>
                <w:szCs w:val="16"/>
                <w:color w:val="auto"/>
              </w:rPr>
              <w:t>Stock-based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75.7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6"/>
                <w:szCs w:val="16"/>
                <w:color w:val="auto"/>
              </w:rPr>
              <w:t>75.7</w:t>
            </w:r>
          </w:p>
        </w:tc>
        <w:tc>
          <w:tcPr>
            <w:tcW w:w="80" w:type="dxa"/>
            <w:vAlign w:val="bottom"/>
          </w:tcPr>
          <w:p>
            <w:pPr>
              <w:spacing w:after="0"/>
              <w:rPr>
                <w:sz w:val="13"/>
                <w:szCs w:val="13"/>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68.2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02"/>
        </w:trPr>
        <w:tc>
          <w:tcPr>
            <w:tcW w:w="1000" w:type="dxa"/>
            <w:vAlign w:val="bottom"/>
          </w:tcPr>
          <w:p>
            <w:pPr>
              <w:ind w:left="20"/>
              <w:spacing w:after="0"/>
              <w:rPr>
                <w:sz w:val="20"/>
                <w:szCs w:val="20"/>
                <w:color w:val="auto"/>
              </w:rPr>
            </w:pPr>
            <w:r>
              <w:rPr>
                <w:rFonts w:ascii="Arial" w:cs="Arial" w:eastAsia="Arial" w:hAnsi="Arial"/>
                <w:sz w:val="16"/>
                <w:szCs w:val="16"/>
                <w:color w:val="auto"/>
                <w:w w:val="96"/>
              </w:rPr>
              <w:t>compensation</w:t>
            </w:r>
          </w:p>
        </w:tc>
        <w:tc>
          <w:tcPr>
            <w:tcW w:w="5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Other</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88"/>
              </w:rPr>
              <w:t>comprehensive</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6"/>
        </w:trPr>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w:t>
            </w:r>
          </w:p>
        </w:tc>
        <w:tc>
          <w:tcPr>
            <w:tcW w:w="58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tcPr>
          <w:p>
            <w:pPr>
              <w:ind w:left="20"/>
              <w:spacing w:after="0" w:line="160" w:lineRule="exact"/>
              <w:rPr>
                <w:sz w:val="20"/>
                <w:szCs w:val="20"/>
                <w:color w:val="auto"/>
              </w:rPr>
            </w:pPr>
            <w:r>
              <w:rPr>
                <w:rFonts w:ascii="Arial" w:cs="Arial" w:eastAsia="Arial" w:hAnsi="Arial"/>
                <w:sz w:val="16"/>
                <w:szCs w:val="16"/>
                <w:color w:val="auto"/>
              </w:rPr>
              <w:t>Net income</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2"/>
        </w:trPr>
        <w:tc>
          <w:tcPr>
            <w:tcW w:w="1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w:t>
            </w:r>
          </w:p>
        </w:tc>
        <w:tc>
          <w:tcPr>
            <w:tcW w:w="5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ind w:left="20"/>
              <w:spacing w:after="0" w:line="140" w:lineRule="exact"/>
              <w:rPr>
                <w:sz w:val="20"/>
                <w:szCs w:val="20"/>
                <w:color w:val="auto"/>
              </w:rPr>
            </w:pPr>
            <w:r>
              <w:rPr>
                <w:rFonts w:ascii="Arial" w:cs="Arial" w:eastAsia="Arial" w:hAnsi="Arial"/>
                <w:sz w:val="16"/>
                <w:szCs w:val="16"/>
                <w:b w:val="1"/>
                <w:bCs w:val="1"/>
                <w:color w:val="auto"/>
              </w:rPr>
              <w:t>Balances at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414.3</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2,608.8</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(1,764.3)</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851.3</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415.3</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2,478.6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(1,718.1)</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6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7"/>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762.6</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w w:val="94"/>
              </w:rPr>
              <w:t>end of period</w:t>
            </w: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1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6"/>
              </w:rPr>
              <w:t>Nine Months Ended September 30, 2020</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6"/>
              </w:rPr>
              <w:t>Nine Months Ended September 30, 2019</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16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5"/>
              </w:rPr>
              <w:t>Class B</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4"/>
              </w:rPr>
              <w:t>Class B common</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Accumulated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Common Stock</w:t>
            </w:r>
          </w:p>
        </w:tc>
        <w:tc>
          <w:tcPr>
            <w:tcW w:w="8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1"/>
              </w:rPr>
              <w:t>stock</w:t>
            </w: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160" w:type="dxa"/>
            <w:vAlign w:val="bottom"/>
            <w:tcBorders>
              <w:bottom w:val="single" w:sz="8" w:color="auto"/>
            </w:tcBorders>
            <w:vMerge w:val="continue"/>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w w:val="98"/>
              </w:rPr>
              <w:t>Additional</w:t>
            </w:r>
          </w:p>
        </w:tc>
        <w:tc>
          <w:tcPr>
            <w:tcW w:w="100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w w:val="95"/>
              </w:rPr>
              <w:t>other</w:t>
            </w:r>
          </w:p>
        </w:tc>
        <w:tc>
          <w:tcPr>
            <w:tcW w:w="1060" w:type="dxa"/>
            <w:vAlign w:val="bottom"/>
            <w:gridSpan w:val="2"/>
          </w:tcPr>
          <w:p>
            <w:pPr>
              <w:jc w:val="center"/>
              <w:ind w:right="40"/>
              <w:spacing w:after="0" w:line="136" w:lineRule="exact"/>
              <w:rPr>
                <w:sz w:val="20"/>
                <w:szCs w:val="20"/>
                <w:color w:val="auto"/>
              </w:rPr>
            </w:pPr>
            <w:r>
              <w:rPr>
                <w:rFonts w:ascii="Arial" w:cs="Arial" w:eastAsia="Arial" w:hAnsi="Arial"/>
                <w:sz w:val="15"/>
                <w:szCs w:val="15"/>
                <w:b w:val="1"/>
                <w:bCs w:val="1"/>
                <w:color w:val="auto"/>
                <w:w w:val="94"/>
              </w:rPr>
              <w:t>Total</w:t>
            </w:r>
          </w:p>
        </w:tc>
        <w:tc>
          <w:tcPr>
            <w:tcW w:w="1160" w:type="dxa"/>
            <w:vAlign w:val="bottom"/>
            <w:tcBorders>
              <w:bottom w:val="single" w:sz="8" w:color="auto"/>
            </w:tcBorders>
            <w:vMerge w:val="continue"/>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w w:val="95"/>
              </w:rPr>
              <w:t>Additional</w:t>
            </w:r>
          </w:p>
        </w:tc>
        <w:tc>
          <w:tcPr>
            <w:tcW w:w="100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w w:val="95"/>
              </w:rPr>
              <w:t>other</w:t>
            </w:r>
          </w:p>
        </w:tc>
        <w:tc>
          <w:tcPr>
            <w:tcW w:w="98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56"/>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Shares  Amount</w:t>
            </w:r>
          </w:p>
        </w:tc>
        <w:tc>
          <w:tcPr>
            <w:tcW w:w="8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paid in</w:t>
            </w:r>
          </w:p>
        </w:tc>
        <w:tc>
          <w:tcPr>
            <w:tcW w:w="100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7"/>
              </w:rPr>
              <w:t>Accumulated</w:t>
            </w:r>
          </w:p>
        </w:tc>
        <w:tc>
          <w:tcPr>
            <w:tcW w:w="112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5"/>
              </w:rPr>
              <w:t>comprehensive</w:t>
            </w:r>
          </w:p>
        </w:tc>
        <w:tc>
          <w:tcPr>
            <w:tcW w:w="1060" w:type="dxa"/>
            <w:vAlign w:val="bottom"/>
            <w:gridSpan w:val="2"/>
          </w:tcPr>
          <w:p>
            <w:pPr>
              <w:jc w:val="center"/>
              <w:ind w:right="40"/>
              <w:spacing w:after="0" w:line="157" w:lineRule="exact"/>
              <w:rPr>
                <w:sz w:val="20"/>
                <w:szCs w:val="20"/>
                <w:color w:val="auto"/>
              </w:rPr>
            </w:pPr>
            <w:r>
              <w:rPr>
                <w:rFonts w:ascii="Arial" w:cs="Arial" w:eastAsia="Arial" w:hAnsi="Arial"/>
                <w:sz w:val="16"/>
                <w:szCs w:val="16"/>
                <w:b w:val="1"/>
                <w:bCs w:val="1"/>
                <w:color w:val="auto"/>
                <w:w w:val="86"/>
              </w:rPr>
              <w:t>stockholders'</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u w:val="single" w:color="auto"/>
                <w:color w:val="auto"/>
                <w:w w:val="91"/>
              </w:rPr>
              <w:t>Shares  Amount</w:t>
            </w:r>
          </w:p>
        </w:tc>
        <w:tc>
          <w:tcPr>
            <w:tcW w:w="8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91"/>
              </w:rPr>
              <w:t>paid-in</w:t>
            </w:r>
          </w:p>
        </w:tc>
        <w:tc>
          <w:tcPr>
            <w:tcW w:w="100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Accumulated</w:t>
            </w:r>
          </w:p>
        </w:tc>
        <w:tc>
          <w:tcPr>
            <w:tcW w:w="112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5"/>
              </w:rPr>
              <w:t>comprehensive</w:t>
            </w:r>
          </w:p>
        </w:tc>
        <w:tc>
          <w:tcPr>
            <w:tcW w:w="9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6"/>
              </w:rPr>
              <w:t>stockholders’</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3"/>
              </w:rPr>
              <w:t>income (loss)</w:t>
            </w:r>
          </w:p>
        </w:tc>
        <w:tc>
          <w:tcPr>
            <w:tcW w:w="10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equity</w:t>
            </w:r>
          </w:p>
        </w:tc>
        <w:tc>
          <w:tcPr>
            <w:tcW w:w="1160" w:type="dxa"/>
            <w:vAlign w:val="bottom"/>
            <w:vMerge w:val="continue"/>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3"/>
              </w:rPr>
              <w:t>income (loss)</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95185" cy="331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5185" cy="33147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tbl>
      <w:tblPr>
        <w:tblLayout w:type="fixed"/>
        <w:tblInd w:w="20" w:type="dxa"/>
        <w:tblCellMar>
          <w:top w:w="0" w:type="dxa"/>
          <w:left w:w="0" w:type="dxa"/>
          <w:bottom w:w="0" w:type="dxa"/>
          <w:right w:w="0" w:type="dxa"/>
        </w:tblCellMar>
      </w:tblP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b w:val="1"/>
                <w:bCs w:val="1"/>
                <w:color w:val="auto"/>
                <w:w w:val="99"/>
              </w:rPr>
              <w:t>beginning of</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417.0</w:t>
            </w:r>
          </w:p>
        </w:tc>
        <w:tc>
          <w:tcPr>
            <w:tcW w:w="80" w:type="dxa"/>
            <w:vAlign w:val="bottom"/>
          </w:tcPr>
          <w:p>
            <w:pPr>
              <w:spacing w:after="0"/>
              <w:rPr>
                <w:sz w:val="13"/>
                <w:szCs w:val="13"/>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2,531.3</w:t>
            </w:r>
          </w:p>
        </w:tc>
        <w:tc>
          <w:tcPr>
            <w:tcW w:w="80" w:type="dxa"/>
            <w:vAlign w:val="bottom"/>
          </w:tcPr>
          <w:p>
            <w:pPr>
              <w:spacing w:after="0"/>
              <w:rPr>
                <w:sz w:val="13"/>
                <w:szCs w:val="13"/>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(1,726.2)</w:t>
            </w:r>
          </w:p>
        </w:tc>
        <w:tc>
          <w:tcPr>
            <w:tcW w:w="80" w:type="dxa"/>
            <w:vAlign w:val="bottom"/>
          </w:tcPr>
          <w:p>
            <w:pPr>
              <w:spacing w:after="0"/>
              <w:rPr>
                <w:sz w:val="13"/>
                <w:szCs w:val="13"/>
                <w:color w:val="auto"/>
              </w:rPr>
            </w:pPr>
          </w:p>
        </w:tc>
        <w:tc>
          <w:tcPr>
            <w:tcW w:w="440" w:type="dxa"/>
            <w:vAlign w:val="bottom"/>
            <w:vMerge w:val="restart"/>
          </w:tcPr>
          <w:p>
            <w:pPr>
              <w:jc w:val="right"/>
              <w:ind w:right="262"/>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Cumulative-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effect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adjustment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8"/>
              </w:rPr>
              <w:t>from adoption</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of ASC 842</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Release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Shares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repurchased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for tax</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withholdings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on release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(31.0)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w w:val="85"/>
              </w:rPr>
              <w:t>Repurchases of</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(85.2)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(92.1)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w w:val="93"/>
              </w:rPr>
              <w:t>common 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stock options</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and 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w w:val="88"/>
              </w:rPr>
              <w:t>Assumed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options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with</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acquisition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Stock-based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192.1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w w:val="96"/>
              </w:rPr>
              <w:t>compensation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Other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8"/>
              </w:rPr>
              <w:t>comprehensive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income (loss)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Net income</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89.5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(loss)</w:t>
            </w:r>
          </w:p>
        </w:tc>
        <w:tc>
          <w:tcPr>
            <w:tcW w:w="5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line="143" w:lineRule="exact"/>
              <w:rPr>
                <w:sz w:val="20"/>
                <w:szCs w:val="20"/>
                <w:color w:val="auto"/>
              </w:rPr>
            </w:pPr>
            <w:r>
              <w:rPr>
                <w:rFonts w:ascii="Arial" w:cs="Arial" w:eastAsia="Arial" w:hAnsi="Arial"/>
                <w:sz w:val="16"/>
                <w:szCs w:val="16"/>
                <w:b w:val="1"/>
                <w:bCs w:val="1"/>
                <w:color w:val="auto"/>
              </w:rPr>
              <w:t>Balances at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414.3</w:t>
            </w:r>
          </w:p>
        </w:tc>
        <w:tc>
          <w:tcPr>
            <w:tcW w:w="80" w:type="dxa"/>
            <w:vAlign w:val="bottom"/>
          </w:tcPr>
          <w:p>
            <w:pPr>
              <w:spacing w:after="0"/>
              <w:rPr>
                <w:sz w:val="12"/>
                <w:szCs w:val="12"/>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2,608.8</w:t>
            </w:r>
          </w:p>
        </w:tc>
        <w:tc>
          <w:tcPr>
            <w:tcW w:w="80" w:type="dxa"/>
            <w:vAlign w:val="bottom"/>
          </w:tcPr>
          <w:p>
            <w:pPr>
              <w:spacing w:after="0"/>
              <w:rPr>
                <w:sz w:val="12"/>
                <w:szCs w:val="12"/>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(1,764.3)</w:t>
            </w:r>
          </w:p>
        </w:tc>
        <w:tc>
          <w:tcPr>
            <w:tcW w:w="80" w:type="dxa"/>
            <w:vAlign w:val="bottom"/>
          </w:tcPr>
          <w:p>
            <w:pPr>
              <w:spacing w:after="0"/>
              <w:rPr>
                <w:sz w:val="12"/>
                <w:szCs w:val="12"/>
                <w:color w:val="auto"/>
              </w:rPr>
            </w:pPr>
          </w:p>
        </w:tc>
        <w:tc>
          <w:tcPr>
            <w:tcW w:w="440" w:type="dxa"/>
            <w:vAlign w:val="bottom"/>
            <w:vMerge w:val="restart"/>
          </w:tcPr>
          <w:p>
            <w:pPr>
              <w:jc w:val="right"/>
              <w:ind w:right="262"/>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line="183" w:lineRule="exact"/>
              <w:rPr>
                <w:sz w:val="20"/>
                <w:szCs w:val="20"/>
                <w:color w:val="auto"/>
              </w:rPr>
            </w:pPr>
            <w:r>
              <w:rPr>
                <w:rFonts w:ascii="Arial" w:cs="Arial" w:eastAsia="Arial" w:hAnsi="Arial"/>
                <w:sz w:val="16"/>
                <w:szCs w:val="16"/>
                <w:b w:val="1"/>
                <w:bCs w:val="1"/>
                <w:color w:val="auto"/>
                <w:w w:val="94"/>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99"/>
        </w:trPr>
        <w:tc>
          <w:tcPr>
            <w:tcW w:w="460" w:type="dxa"/>
            <w:vAlign w:val="bottom"/>
          </w:tcPr>
          <w:p>
            <w:pPr>
              <w:jc w:val="right"/>
              <w:ind w:right="42"/>
              <w:spacing w:after="0"/>
              <w:rPr>
                <w:sz w:val="20"/>
                <w:szCs w:val="20"/>
                <w:color w:val="auto"/>
              </w:rPr>
            </w:pPr>
            <w:r>
              <w:rPr>
                <w:rFonts w:ascii="Arial" w:cs="Arial" w:eastAsia="Arial" w:hAnsi="Arial"/>
                <w:sz w:val="16"/>
                <w:szCs w:val="16"/>
                <w:color w:val="auto"/>
                <w:w w:val="79"/>
              </w:rPr>
              <w:t>808.4</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409.6</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  2,337.5</w:t>
            </w:r>
          </w:p>
        </w:tc>
        <w:tc>
          <w:tcPr>
            <w:tcW w:w="2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(1,659.5)</w:t>
            </w:r>
          </w:p>
        </w:tc>
        <w:tc>
          <w:tcPr>
            <w:tcW w:w="4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182"/>
              <w:spacing w:after="0"/>
              <w:rPr>
                <w:sz w:val="20"/>
                <w:szCs w:val="20"/>
                <w:color w:val="auto"/>
              </w:rPr>
            </w:pPr>
            <w:r>
              <w:rPr>
                <w:rFonts w:ascii="Arial" w:cs="Arial" w:eastAsia="Arial" w:hAnsi="Arial"/>
                <w:sz w:val="16"/>
                <w:szCs w:val="16"/>
                <w:color w:val="auto"/>
                <w:w w:val="91"/>
              </w:rPr>
              <w:t>(1.2)</w:t>
            </w:r>
          </w:p>
        </w:tc>
        <w:tc>
          <w:tcPr>
            <w:tcW w:w="3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676.8</w:t>
            </w:r>
          </w:p>
        </w:tc>
      </w:tr>
      <w:tr>
        <w:trPr>
          <w:trHeight w:val="834"/>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24"/>
                <w:szCs w:val="24"/>
                <w:color w:val="auto"/>
              </w:rPr>
            </w:pPr>
          </w:p>
        </w:tc>
        <w:tc>
          <w:tcPr>
            <w:tcW w:w="680" w:type="dxa"/>
            <w:vAlign w:val="bottom"/>
          </w:tcPr>
          <w:p>
            <w:pPr>
              <w:jc w:val="center"/>
              <w:ind w:left="242"/>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678"/>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8.5</w:t>
            </w:r>
          </w:p>
        </w:tc>
        <w:tc>
          <w:tcPr>
            <w:tcW w:w="30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80" w:type="dxa"/>
            <w:vAlign w:val="bottom"/>
          </w:tcPr>
          <w:p>
            <w:pPr>
              <w:jc w:val="center"/>
              <w:ind w:left="242"/>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-426085</wp:posOffset>
            </wp:positionV>
            <wp:extent cx="7195185" cy="430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5185"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0" w:type="dxa"/>
            <w:vAlign w:val="bottom"/>
          </w:tcPr>
          <w:p>
            <w:pPr>
              <w:jc w:val="right"/>
              <w:ind w:right="42"/>
              <w:spacing w:after="0"/>
              <w:rPr>
                <w:sz w:val="20"/>
                <w:szCs w:val="20"/>
                <w:color w:val="auto"/>
              </w:rPr>
            </w:pPr>
            <w:r>
              <w:rPr>
                <w:rFonts w:ascii="Arial" w:cs="Arial" w:eastAsia="Arial" w:hAnsi="Arial"/>
                <w:sz w:val="16"/>
                <w:szCs w:val="16"/>
                <w:color w:val="auto"/>
              </w:rPr>
              <w:t>(66.5)</w:t>
            </w:r>
          </w:p>
        </w:tc>
        <w:tc>
          <w:tcPr>
            <w:tcW w:w="48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(67.1)</w:t>
            </w:r>
          </w:p>
        </w:tc>
      </w:tr>
      <w:tr>
        <w:trPr>
          <w:trHeight w:val="365"/>
        </w:trPr>
        <w:tc>
          <w:tcPr>
            <w:tcW w:w="560" w:type="dxa"/>
            <w:vAlign w:val="bottom"/>
          </w:tcPr>
          <w:p>
            <w:pPr>
              <w:jc w:val="right"/>
              <w:ind w:right="42"/>
              <w:spacing w:after="0"/>
              <w:rPr>
                <w:sz w:val="20"/>
                <w:szCs w:val="20"/>
                <w:color w:val="auto"/>
              </w:rPr>
            </w:pPr>
            <w:r>
              <w:rPr>
                <w:rFonts w:ascii="Arial" w:cs="Arial" w:eastAsia="Arial" w:hAnsi="Arial"/>
                <w:sz w:val="16"/>
                <w:szCs w:val="16"/>
                <w:color w:val="auto"/>
                <w:w w:val="82"/>
              </w:rPr>
              <w:t>(177.3)</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522"/>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1.6</w:t>
            </w:r>
          </w:p>
        </w:tc>
        <w:tc>
          <w:tcPr>
            <w:tcW w:w="48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2.0</w:t>
            </w:r>
          </w:p>
        </w:tc>
      </w:tr>
      <w:tr>
        <w:trPr>
          <w:trHeight w:val="834"/>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0.8</w:t>
            </w:r>
          </w:p>
        </w:tc>
      </w:tr>
      <w:tr>
        <w:trPr>
          <w:trHeight w:val="365"/>
        </w:trPr>
        <w:tc>
          <w:tcPr>
            <w:tcW w:w="560" w:type="dxa"/>
            <w:vAlign w:val="bottom"/>
          </w:tcPr>
          <w:p>
            <w:pPr>
              <w:jc w:val="right"/>
              <w:ind w:right="82"/>
              <w:spacing w:after="0"/>
              <w:rPr>
                <w:sz w:val="20"/>
                <w:szCs w:val="20"/>
                <w:color w:val="auto"/>
              </w:rPr>
            </w:pPr>
            <w:r>
              <w:rPr>
                <w:rFonts w:ascii="Arial" w:cs="Arial" w:eastAsia="Arial" w:hAnsi="Arial"/>
                <w:sz w:val="16"/>
                <w:szCs w:val="16"/>
                <w:color w:val="auto"/>
                <w:w w:val="94"/>
              </w:rPr>
              <w:t>192.1</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191.9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191.9</w:t>
            </w:r>
          </w:p>
        </w:tc>
      </w:tr>
      <w:tr>
        <w:trPr>
          <w:trHeight w:val="522"/>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3.5</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3.3</w:t>
            </w:r>
          </w:p>
        </w:tc>
      </w:tr>
      <w:tr>
        <w:trPr>
          <w:trHeight w:val="368"/>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89.5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r>
      <w:tr>
        <w:trPr>
          <w:trHeight w:val="319"/>
        </w:trPr>
        <w:tc>
          <w:tcPr>
            <w:tcW w:w="560" w:type="dxa"/>
            <w:vAlign w:val="bottom"/>
          </w:tcPr>
          <w:p>
            <w:pPr>
              <w:jc w:val="right"/>
              <w:ind w:right="82"/>
              <w:spacing w:after="0"/>
              <w:rPr>
                <w:sz w:val="20"/>
                <w:szCs w:val="20"/>
                <w:color w:val="auto"/>
              </w:rPr>
            </w:pPr>
            <w:r>
              <w:rPr>
                <w:rFonts w:ascii="Arial" w:cs="Arial" w:eastAsia="Arial" w:hAnsi="Arial"/>
                <w:sz w:val="16"/>
                <w:szCs w:val="16"/>
                <w:color w:val="auto"/>
                <w:w w:val="94"/>
              </w:rPr>
              <w:t>851.3</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415.3</w:t>
            </w:r>
          </w:p>
        </w:tc>
        <w:tc>
          <w:tcPr>
            <w:tcW w:w="8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  2,478.6</w:t>
            </w:r>
          </w:p>
        </w:tc>
        <w:tc>
          <w:tcPr>
            <w:tcW w:w="80" w:type="dxa"/>
            <w:vAlign w:val="bottom"/>
          </w:tcPr>
          <w:p>
            <w:pPr>
              <w:spacing w:after="0"/>
              <w:rPr>
                <w:sz w:val="24"/>
                <w:szCs w:val="24"/>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(1,718.1)</w:t>
            </w:r>
          </w:p>
        </w:tc>
        <w:tc>
          <w:tcPr>
            <w:tcW w:w="80" w:type="dxa"/>
            <w:vAlign w:val="bottom"/>
          </w:tcPr>
          <w:p>
            <w:pPr>
              <w:spacing w:after="0"/>
              <w:rPr>
                <w:sz w:val="24"/>
                <w:szCs w:val="24"/>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4"/>
                <w:szCs w:val="24"/>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762.6</w:t>
            </w:r>
          </w:p>
        </w:tc>
      </w:tr>
      <w:tr>
        <w:trPr>
          <w:trHeight w:val="22"/>
        </w:trPr>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-2135505</wp:posOffset>
            </wp:positionV>
            <wp:extent cx="7195185" cy="231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5185" cy="231775"/>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-1572260</wp:posOffset>
            </wp:positionV>
            <wp:extent cx="7195185" cy="529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5185" cy="52959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-810895</wp:posOffset>
            </wp:positionV>
            <wp:extent cx="7195185" cy="331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5185" cy="3314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-247650</wp:posOffset>
            </wp:positionV>
            <wp:extent cx="7195185" cy="248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5185" cy="248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60"/>
            <w:col w:w="5680"/>
          </w:cols>
          <w:pgMar w:left="320" w:top="121" w:right="2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ind w:right="80"/>
        <w:spacing w:after="0"/>
        <w:rPr>
          <w:sz w:val="20"/>
          <w:szCs w:val="20"/>
          <w:color w:val="auto"/>
        </w:rPr>
      </w:pPr>
      <w:r>
        <w:rPr>
          <w:rFonts w:ascii="Arial" w:cs="Arial" w:eastAsia="Arial" w:hAnsi="Arial"/>
          <w:sz w:val="15"/>
          <w:szCs w:val="15"/>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27"/>
        </w:trPr>
        <w:tc>
          <w:tcPr>
            <w:tcW w:w="7960" w:type="dxa"/>
            <w:vAlign w:val="bottom"/>
          </w:tcPr>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686"/>
        </w:trPr>
        <w:tc>
          <w:tcPr>
            <w:tcW w:w="7960" w:type="dxa"/>
            <w:vAlign w:val="bottom"/>
          </w:tcPr>
          <w:p>
            <w:pPr>
              <w:jc w:val="center"/>
              <w:ind w:left="3193"/>
              <w:spacing w:after="0"/>
              <w:rPr>
                <w:sz w:val="20"/>
                <w:szCs w:val="20"/>
                <w:color w:val="auto"/>
              </w:rPr>
            </w:pPr>
            <w:r>
              <w:rPr>
                <w:rFonts w:ascii="Arial" w:cs="Arial" w:eastAsia="Arial" w:hAnsi="Arial"/>
                <w:sz w:val="17"/>
                <w:szCs w:val="17"/>
                <w:b w:val="1"/>
                <w:bCs w:val="1"/>
                <w:color w:val="auto"/>
              </w:rPr>
              <w:t>DROPBOX, INC.</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5"/>
        </w:trPr>
        <w:tc>
          <w:tcPr>
            <w:tcW w:w="8980" w:type="dxa"/>
            <w:vAlign w:val="bottom"/>
            <w:gridSpan w:val="2"/>
          </w:tcPr>
          <w:p>
            <w:pPr>
              <w:jc w:val="center"/>
              <w:ind w:left="2193"/>
              <w:spacing w:after="0"/>
              <w:rPr>
                <w:sz w:val="20"/>
                <w:szCs w:val="20"/>
                <w:color w:val="auto"/>
              </w:rPr>
            </w:pPr>
            <w:r>
              <w:rPr>
                <w:rFonts w:ascii="Arial" w:cs="Arial" w:eastAsia="Arial" w:hAnsi="Arial"/>
                <w:sz w:val="17"/>
                <w:szCs w:val="17"/>
                <w:b w:val="1"/>
                <w:bCs w:val="1"/>
                <w:color w:val="auto"/>
              </w:rPr>
              <w:t>CONDENSED CONSOLIDATED STATEMENTS OF CASH FLOWS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7960" w:type="dxa"/>
            <w:vAlign w:val="bottom"/>
          </w:tcPr>
          <w:p>
            <w:pPr>
              <w:jc w:val="center"/>
              <w:ind w:left="3213"/>
              <w:spacing w:after="0"/>
              <w:rPr>
                <w:sz w:val="20"/>
                <w:szCs w:val="20"/>
                <w:color w:val="auto"/>
              </w:rPr>
            </w:pPr>
            <w:r>
              <w:rPr>
                <w:rFonts w:ascii="Arial" w:cs="Arial" w:eastAsia="Arial" w:hAnsi="Arial"/>
                <w:sz w:val="17"/>
                <w:szCs w:val="17"/>
                <w:i w:val="1"/>
                <w:iCs w:val="1"/>
                <w:color w:val="auto"/>
                <w:w w:val="98"/>
              </w:rPr>
              <w:t>(In millions)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1"/>
        </w:trPr>
        <w:tc>
          <w:tcPr>
            <w:tcW w:w="7960" w:type="dxa"/>
            <w:vAlign w:val="bottom"/>
          </w:tcPr>
          <w:p>
            <w:pPr>
              <w:jc w:val="center"/>
              <w:ind w:left="3193"/>
              <w:spacing w:after="0"/>
              <w:rPr>
                <w:sz w:val="20"/>
                <w:szCs w:val="20"/>
                <w:color w:val="auto"/>
              </w:rPr>
            </w:pPr>
            <w:r>
              <w:rPr>
                <w:rFonts w:ascii="Arial" w:cs="Arial" w:eastAsia="Arial" w:hAnsi="Arial"/>
                <w:sz w:val="17"/>
                <w:szCs w:val="17"/>
                <w:i w:val="1"/>
                <w:iCs w:val="1"/>
                <w:color w:val="auto"/>
                <w:w w:val="94"/>
              </w:rPr>
              <w:t>(Unaudited)</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39"/>
        </w:trPr>
        <w:tc>
          <w:tcPr>
            <w:tcW w:w="7960" w:type="dxa"/>
            <w:vAlign w:val="bottom"/>
          </w:tcPr>
          <w:p>
            <w:pPr>
              <w:spacing w:after="0"/>
              <w:rPr>
                <w:sz w:val="24"/>
                <w:szCs w:val="24"/>
                <w:color w:val="auto"/>
              </w:rPr>
            </w:pPr>
          </w:p>
        </w:tc>
        <w:tc>
          <w:tcPr>
            <w:tcW w:w="3280" w:type="dxa"/>
            <w:vAlign w:val="bottom"/>
            <w:tcBorders>
              <w:bottom w:val="single" w:sz="8" w:color="auto"/>
            </w:tcBorders>
            <w:gridSpan w:val="5"/>
          </w:tcPr>
          <w:p>
            <w:pPr>
              <w:jc w:val="right"/>
              <w:ind w:right="253"/>
              <w:spacing w:after="0"/>
              <w:rPr>
                <w:sz w:val="20"/>
                <w:szCs w:val="20"/>
                <w:color w:val="auto"/>
              </w:rPr>
            </w:pPr>
            <w:r>
              <w:rPr>
                <w:rFonts w:ascii="Arial" w:cs="Arial" w:eastAsia="Arial" w:hAnsi="Arial"/>
                <w:sz w:val="17"/>
                <w:szCs w:val="17"/>
                <w:b w:val="1"/>
                <w:bCs w:val="1"/>
                <w:color w:val="auto"/>
              </w:rPr>
              <w:t>Nine Months Ended September 30,</w:t>
            </w:r>
          </w:p>
        </w:tc>
      </w:tr>
      <w:tr>
        <w:trPr>
          <w:trHeight w:val="215"/>
        </w:trPr>
        <w:tc>
          <w:tcPr>
            <w:tcW w:w="79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2019</w:t>
            </w:r>
          </w:p>
        </w:tc>
      </w:tr>
      <w:tr>
        <w:trPr>
          <w:trHeight w:val="32"/>
        </w:trPr>
        <w:tc>
          <w:tcPr>
            <w:tcW w:w="7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 from operating activities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2"/>
        </w:trPr>
        <w:tc>
          <w:tcPr>
            <w:tcW w:w="79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20" w:type="dxa"/>
            <w:vAlign w:val="bottom"/>
          </w:tcPr>
          <w:p>
            <w:pPr>
              <w:jc w:val="right"/>
              <w:ind w:right="83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89.5</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(46.1)</w:t>
            </w:r>
          </w:p>
        </w:tc>
      </w:tr>
      <w:tr>
        <w:trPr>
          <w:trHeight w:val="222"/>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2"/>
        </w:trPr>
        <w:tc>
          <w:tcPr>
            <w:tcW w:w="796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132.5</w:t>
            </w:r>
          </w:p>
        </w:tc>
      </w:tr>
      <w:tr>
        <w:trPr>
          <w:trHeight w:val="222"/>
        </w:trPr>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Stock-based compensation</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w:t>
            </w:r>
          </w:p>
        </w:tc>
      </w:tr>
      <w:tr>
        <w:trPr>
          <w:trHeight w:val="222"/>
        </w:trPr>
        <w:tc>
          <w:tcPr>
            <w:tcW w:w="7960" w:type="dxa"/>
            <w:vAlign w:val="bottom"/>
          </w:tcPr>
          <w:p>
            <w:pPr>
              <w:ind w:left="200"/>
              <w:spacing w:after="0"/>
              <w:rPr>
                <w:sz w:val="20"/>
                <w:szCs w:val="20"/>
                <w:color w:val="auto"/>
              </w:rPr>
            </w:pPr>
            <w:r>
              <w:rPr>
                <w:rFonts w:ascii="Arial" w:cs="Arial" w:eastAsia="Arial" w:hAnsi="Arial"/>
                <w:sz w:val="17"/>
                <w:szCs w:val="17"/>
                <w:color w:val="auto"/>
              </w:rPr>
              <w:t>Net gains on equity investments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22"/>
        </w:trPr>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Amortization of deferred commissions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22"/>
        </w:trPr>
        <w:tc>
          <w:tcPr>
            <w:tcW w:w="7960" w:type="dxa"/>
            <w:vAlign w:val="bottom"/>
          </w:tcPr>
          <w:p>
            <w:pPr>
              <w:ind w:left="200"/>
              <w:spacing w:after="0"/>
              <w:rPr>
                <w:sz w:val="20"/>
                <w:szCs w:val="20"/>
                <w:color w:val="auto"/>
              </w:rPr>
            </w:pPr>
            <w:r>
              <w:rPr>
                <w:rFonts w:ascii="Arial" w:cs="Arial" w:eastAsia="Arial" w:hAnsi="Arial"/>
                <w:sz w:val="17"/>
                <w:szCs w:val="17"/>
                <w:color w:val="auto"/>
              </w:rPr>
              <w:t>Other</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22"/>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2"/>
        </w:trPr>
        <w:tc>
          <w:tcPr>
            <w:tcW w:w="7960" w:type="dxa"/>
            <w:vAlign w:val="bottom"/>
          </w:tcPr>
          <w:p>
            <w:pPr>
              <w:ind w:left="200"/>
              <w:spacing w:after="0"/>
              <w:rPr>
                <w:sz w:val="20"/>
                <w:szCs w:val="20"/>
                <w:color w:val="auto"/>
              </w:rPr>
            </w:pPr>
            <w:r>
              <w:rPr>
                <w:rFonts w:ascii="Arial" w:cs="Arial" w:eastAsia="Arial" w:hAnsi="Arial"/>
                <w:sz w:val="17"/>
                <w:szCs w:val="17"/>
                <w:color w:val="auto"/>
              </w:rPr>
              <w:t>Trade and other receivables, net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22"/>
        </w:trPr>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r>
      <w:tr>
        <w:trPr>
          <w:trHeight w:val="222"/>
        </w:trPr>
        <w:tc>
          <w:tcPr>
            <w:tcW w:w="7960" w:type="dxa"/>
            <w:vAlign w:val="bottom"/>
          </w:tcPr>
          <w:p>
            <w:pPr>
              <w:ind w:left="200"/>
              <w:spacing w:after="0"/>
              <w:rPr>
                <w:sz w:val="20"/>
                <w:szCs w:val="20"/>
                <w:color w:val="auto"/>
              </w:rPr>
            </w:pPr>
            <w:r>
              <w:rPr>
                <w:rFonts w:ascii="Arial" w:cs="Arial" w:eastAsia="Arial" w:hAnsi="Arial"/>
                <w:sz w:val="17"/>
                <w:szCs w:val="17"/>
                <w:color w:val="auto"/>
              </w:rPr>
              <w:t>Other assets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41.8</w:t>
            </w:r>
          </w:p>
        </w:tc>
      </w:tr>
      <w:tr>
        <w:trPr>
          <w:trHeight w:val="222"/>
        </w:trPr>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7960" w:type="dxa"/>
            <w:vAlign w:val="bottom"/>
          </w:tcPr>
          <w:p>
            <w:pPr>
              <w:ind w:left="200"/>
              <w:spacing w:after="0"/>
              <w:rPr>
                <w:sz w:val="20"/>
                <w:szCs w:val="20"/>
                <w:color w:val="auto"/>
              </w:rPr>
            </w:pPr>
            <w:r>
              <w:rPr>
                <w:rFonts w:ascii="Arial" w:cs="Arial" w:eastAsia="Arial" w:hAnsi="Arial"/>
                <w:sz w:val="17"/>
                <w:szCs w:val="17"/>
                <w:color w:val="auto"/>
              </w:rPr>
              <w:t>Accrued and other current liabilities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22"/>
        </w:trPr>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Accrued compensation and benefits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22"/>
        </w:trPr>
        <w:tc>
          <w:tcPr>
            <w:tcW w:w="7960" w:type="dxa"/>
            <w:vAlign w:val="bottom"/>
          </w:tcPr>
          <w:p>
            <w:pPr>
              <w:ind w:left="200"/>
              <w:spacing w:after="0"/>
              <w:rPr>
                <w:sz w:val="20"/>
                <w:szCs w:val="20"/>
                <w:color w:val="auto"/>
              </w:rPr>
            </w:pPr>
            <w:r>
              <w:rPr>
                <w:rFonts w:ascii="Arial" w:cs="Arial" w:eastAsia="Arial" w:hAnsi="Arial"/>
                <w:sz w:val="17"/>
                <w:szCs w:val="17"/>
                <w:color w:val="auto"/>
              </w:rPr>
              <w:t>Deferred revenue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54.7</w:t>
            </w:r>
          </w:p>
        </w:tc>
      </w:tr>
      <w:tr>
        <w:trPr>
          <w:trHeight w:val="222"/>
        </w:trPr>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non-current liabilities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r>
      <w:tr>
        <w:trPr>
          <w:trHeight w:val="222"/>
        </w:trPr>
        <w:tc>
          <w:tcPr>
            <w:tcW w:w="79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Tenant improvement allowance reimbursement</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w:t>
            </w:r>
          </w:p>
        </w:tc>
      </w:tr>
      <w:tr>
        <w:trPr>
          <w:trHeight w:val="215"/>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341.7</w:t>
            </w:r>
          </w:p>
        </w:tc>
      </w:tr>
      <w:tr>
        <w:trPr>
          <w:trHeight w:val="202"/>
        </w:trPr>
        <w:tc>
          <w:tcPr>
            <w:tcW w:w="7960" w:type="dxa"/>
            <w:vAlign w:val="bottom"/>
          </w:tcPr>
          <w:p>
            <w:pPr>
              <w:ind w:left="20"/>
              <w:spacing w:after="0"/>
              <w:rPr>
                <w:sz w:val="20"/>
                <w:szCs w:val="20"/>
                <w:color w:val="auto"/>
              </w:rPr>
            </w:pPr>
            <w:r>
              <w:rPr>
                <w:rFonts w:ascii="Arial" w:cs="Arial" w:eastAsia="Arial" w:hAnsi="Arial"/>
                <w:sz w:val="17"/>
                <w:szCs w:val="17"/>
                <w:b w:val="1"/>
                <w:bCs w:val="1"/>
                <w:color w:val="auto"/>
              </w:rPr>
              <w:t>Cash flow from investing activities</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2"/>
        </w:trPr>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Capital expenditures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w:t>
            </w:r>
          </w:p>
        </w:tc>
      </w:tr>
      <w:tr>
        <w:trPr>
          <w:trHeight w:val="222"/>
        </w:trPr>
        <w:tc>
          <w:tcPr>
            <w:tcW w:w="7960" w:type="dxa"/>
            <w:vAlign w:val="bottom"/>
          </w:tcPr>
          <w:p>
            <w:pPr>
              <w:ind w:left="200"/>
              <w:spacing w:after="0"/>
              <w:rPr>
                <w:sz w:val="20"/>
                <w:szCs w:val="20"/>
                <w:color w:val="auto"/>
              </w:rPr>
            </w:pPr>
            <w:r>
              <w:rPr>
                <w:rFonts w:ascii="Arial" w:cs="Arial" w:eastAsia="Arial" w:hAnsi="Arial"/>
                <w:sz w:val="17"/>
                <w:szCs w:val="17"/>
                <w:color w:val="auto"/>
              </w:rPr>
              <w:t>Business combinations, net of cash acquired</w:t>
            </w:r>
          </w:p>
        </w:tc>
        <w:tc>
          <w:tcPr>
            <w:tcW w:w="10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(171.6)</w:t>
            </w:r>
          </w:p>
        </w:tc>
      </w:tr>
      <w:tr>
        <w:trPr>
          <w:trHeight w:val="222"/>
        </w:trPr>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Purchases of short-term investments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(541.1)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(582.7)</w:t>
            </w:r>
          </w:p>
        </w:tc>
      </w:tr>
      <w:tr>
        <w:trPr>
          <w:trHeight w:val="222"/>
        </w:trPr>
        <w:tc>
          <w:tcPr>
            <w:tcW w:w="7960" w:type="dxa"/>
            <w:vAlign w:val="bottom"/>
          </w:tcPr>
          <w:p>
            <w:pPr>
              <w:ind w:left="200"/>
              <w:spacing w:after="0"/>
              <w:rPr>
                <w:sz w:val="20"/>
                <w:szCs w:val="20"/>
                <w:color w:val="auto"/>
              </w:rPr>
            </w:pPr>
            <w:r>
              <w:rPr>
                <w:rFonts w:ascii="Arial" w:cs="Arial" w:eastAsia="Arial" w:hAnsi="Arial"/>
                <w:sz w:val="17"/>
                <w:szCs w:val="17"/>
                <w:color w:val="auto"/>
              </w:rPr>
              <w:t>Proceeds from sales of short-term investments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341.0</w:t>
            </w:r>
          </w:p>
        </w:tc>
      </w:tr>
      <w:tr>
        <w:trPr>
          <w:trHeight w:val="222"/>
        </w:trPr>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maturities of short-term investments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w:t>
            </w:r>
          </w:p>
        </w:tc>
      </w:tr>
      <w:tr>
        <w:trPr>
          <w:trHeight w:val="222"/>
        </w:trPr>
        <w:tc>
          <w:tcPr>
            <w:tcW w:w="79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r>
      <w:tr>
        <w:trPr>
          <w:trHeight w:val="215"/>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(191.6)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(278.8)</w:t>
            </w:r>
          </w:p>
        </w:tc>
      </w:tr>
      <w:tr>
        <w:trPr>
          <w:trHeight w:val="202"/>
        </w:trPr>
        <w:tc>
          <w:tcPr>
            <w:tcW w:w="7960" w:type="dxa"/>
            <w:vAlign w:val="bottom"/>
          </w:tcPr>
          <w:p>
            <w:pPr>
              <w:ind w:left="20"/>
              <w:spacing w:after="0"/>
              <w:rPr>
                <w:sz w:val="20"/>
                <w:szCs w:val="20"/>
                <w:color w:val="auto"/>
              </w:rPr>
            </w:pPr>
            <w:r>
              <w:rPr>
                <w:rFonts w:ascii="Arial" w:cs="Arial" w:eastAsia="Arial" w:hAnsi="Arial"/>
                <w:sz w:val="17"/>
                <w:szCs w:val="17"/>
                <w:b w:val="1"/>
                <w:bCs w:val="1"/>
                <w:color w:val="auto"/>
              </w:rPr>
              <w:t>Cash flow from financing activities</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2"/>
        </w:trPr>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Shares repurchased for tax withholdings on release of restricted stock units and awards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w:t>
            </w:r>
          </w:p>
        </w:tc>
      </w:tr>
      <w:tr>
        <w:trPr>
          <w:trHeight w:val="222"/>
        </w:trPr>
        <w:tc>
          <w:tcPr>
            <w:tcW w:w="7960" w:type="dxa"/>
            <w:vAlign w:val="bottom"/>
          </w:tcPr>
          <w:p>
            <w:pPr>
              <w:ind w:left="200"/>
              <w:spacing w:after="0"/>
              <w:rPr>
                <w:sz w:val="20"/>
                <w:szCs w:val="20"/>
                <w:color w:val="auto"/>
              </w:rPr>
            </w:pPr>
            <w:r>
              <w:rPr>
                <w:rFonts w:ascii="Arial" w:cs="Arial" w:eastAsia="Arial" w:hAnsi="Arial"/>
                <w:sz w:val="17"/>
                <w:szCs w:val="17"/>
                <w:color w:val="auto"/>
              </w:rPr>
              <w:t>Proceeds from issuance of common stock, net of repurchases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2"/>
        </w:trPr>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Principal payments on finance lease obligations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w:t>
            </w:r>
          </w:p>
        </w:tc>
      </w:tr>
      <w:tr>
        <w:trPr>
          <w:trHeight w:val="222"/>
        </w:trPr>
        <w:tc>
          <w:tcPr>
            <w:tcW w:w="7960" w:type="dxa"/>
            <w:vAlign w:val="bottom"/>
          </w:tcPr>
          <w:p>
            <w:pPr>
              <w:ind w:left="200"/>
              <w:spacing w:after="0"/>
              <w:rPr>
                <w:sz w:val="20"/>
                <w:szCs w:val="20"/>
                <w:color w:val="auto"/>
              </w:rPr>
            </w:pPr>
            <w:r>
              <w:rPr>
                <w:rFonts w:ascii="Arial" w:cs="Arial" w:eastAsia="Arial" w:hAnsi="Arial"/>
                <w:sz w:val="17"/>
                <w:szCs w:val="17"/>
                <w:color w:val="auto"/>
              </w:rPr>
              <w:t>Common stock repurchases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(177.3)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15"/>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cash used in financing activities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(307.9)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(137.3)</w:t>
            </w:r>
          </w:p>
        </w:tc>
      </w:tr>
      <w:tr>
        <w:trPr>
          <w:trHeight w:val="215"/>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5"/>
        </w:trPr>
        <w:tc>
          <w:tcPr>
            <w:tcW w:w="7960" w:type="dxa"/>
            <w:vAlign w:val="bottom"/>
          </w:tcPr>
          <w:p>
            <w:pPr>
              <w:ind w:left="20"/>
              <w:spacing w:after="0"/>
              <w:rPr>
                <w:sz w:val="20"/>
                <w:szCs w:val="20"/>
                <w:color w:val="auto"/>
              </w:rPr>
            </w:pPr>
            <w:r>
              <w:rPr>
                <w:rFonts w:ascii="Arial" w:cs="Arial" w:eastAsia="Arial" w:hAnsi="Arial"/>
                <w:sz w:val="17"/>
                <w:szCs w:val="17"/>
                <w:color w:val="auto"/>
              </w:rPr>
              <w:t>Change in cash and cash equivalents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(76.1)</w:t>
            </w:r>
          </w:p>
        </w:tc>
      </w:tr>
      <w:tr>
        <w:trPr>
          <w:trHeight w:val="222"/>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 beginning of period</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519.3</w:t>
            </w:r>
          </w:p>
        </w:tc>
      </w:tr>
      <w:tr>
        <w:trPr>
          <w:trHeight w:val="215"/>
        </w:trPr>
        <w:tc>
          <w:tcPr>
            <w:tcW w:w="796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 end of period</w:t>
            </w:r>
          </w:p>
        </w:tc>
        <w:tc>
          <w:tcPr>
            <w:tcW w:w="102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443.2</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5"/>
        </w:trPr>
        <w:tc>
          <w:tcPr>
            <w:tcW w:w="79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2"/>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Supplemental cash flow data:</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40"/>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Property and equipment acquired under finance leases</w:t>
            </w: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the Business and Summary of Significant Accounting Policies</w:t>
      </w:r>
    </w:p>
    <w:p>
      <w:pPr>
        <w:spacing w:after="0" w:line="35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w:t>
      </w:r>
    </w:p>
    <w:p>
      <w:pPr>
        <w:spacing w:after="0" w:line="117" w:lineRule="exact"/>
        <w:rPr>
          <w:sz w:val="20"/>
          <w:szCs w:val="20"/>
          <w:color w:val="auto"/>
        </w:rPr>
      </w:pPr>
    </w:p>
    <w:p>
      <w:pPr>
        <w:ind w:right="100" w:firstLine="430"/>
        <w:spacing w:after="0" w:line="287" w:lineRule="auto"/>
        <w:rPr>
          <w:sz w:val="20"/>
          <w:szCs w:val="20"/>
          <w:color w:val="auto"/>
        </w:rPr>
      </w:pPr>
      <w:r>
        <w:rPr>
          <w:rFonts w:ascii="Arial" w:cs="Arial" w:eastAsia="Arial" w:hAnsi="Arial"/>
          <w:sz w:val="17"/>
          <w:szCs w:val="17"/>
          <w:color w:val="auto"/>
        </w:rPr>
        <w:t>Dropbox, Inc. (the “Company” or “Dropbox”) is the world's first smart workspace. Dropbox was incorporated in May 2007 as Evenflow, Inc., a Delaware corporation, and changed its name to Dropbox, Inc. in October 2009. The Company is headquartered in San Francisco, California.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17" w:lineRule="exact"/>
        <w:rPr>
          <w:sz w:val="20"/>
          <w:szCs w:val="20"/>
          <w:color w:val="auto"/>
        </w:rPr>
      </w:pPr>
    </w:p>
    <w:p>
      <w:pPr>
        <w:ind w:right="120" w:firstLine="430"/>
        <w:spacing w:after="0" w:line="26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203" w:lineRule="exact"/>
        <w:rPr>
          <w:sz w:val="20"/>
          <w:szCs w:val="20"/>
          <w:color w:val="auto"/>
        </w:rPr>
      </w:pPr>
    </w:p>
    <w:p>
      <w:pPr>
        <w:ind w:right="80" w:firstLine="430"/>
        <w:spacing w:after="0" w:line="288" w:lineRule="auto"/>
        <w:rPr>
          <w:sz w:val="20"/>
          <w:szCs w:val="20"/>
          <w:color w:val="auto"/>
        </w:rPr>
      </w:pPr>
      <w:r>
        <w:rPr>
          <w:rFonts w:ascii="Arial" w:cs="Arial" w:eastAsia="Arial" w:hAnsi="Arial"/>
          <w:sz w:val="16"/>
          <w:szCs w:val="16"/>
          <w:color w:val="auto"/>
        </w:rPr>
        <w:t>The condensed consolidated balance sheet as of December 31, 2019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(loss), statements of stockholders' equity and the statements of cash flows for the interim periods, but are not necessarily indicative of the results of operations to be anticipated for the full fiscal year ended December 31, 2020 or any future period.</w:t>
      </w:r>
    </w:p>
    <w:p>
      <w:pPr>
        <w:spacing w:after="0" w:line="186" w:lineRule="exact"/>
        <w:rPr>
          <w:sz w:val="20"/>
          <w:szCs w:val="20"/>
          <w:color w:val="auto"/>
        </w:rPr>
      </w:pPr>
    </w:p>
    <w:p>
      <w:pPr>
        <w:ind w:firstLine="430"/>
        <w:spacing w:after="0" w:line="357" w:lineRule="auto"/>
        <w:rPr>
          <w:sz w:val="20"/>
          <w:szCs w:val="20"/>
          <w:color w:val="auto"/>
        </w:rPr>
      </w:pPr>
      <w:r>
        <w:rPr>
          <w:rFonts w:ascii="Arial" w:cs="Arial" w:eastAsia="Arial" w:hAnsi="Arial"/>
          <w:sz w:val="15"/>
          <w:szCs w:val="15"/>
          <w:color w:val="auto"/>
        </w:rPr>
        <w:t>The unaudited condensed consolidated financial statements should be read in conjunction with the audited consolidated financial statements and the related notes thereto as of and for the year ended December 31, 2019, included in the Company's Annual Report on Form 10-K on file with the SEC ("Annual Report").</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7" w:lineRule="exact"/>
        <w:rPr>
          <w:sz w:val="20"/>
          <w:szCs w:val="20"/>
          <w:color w:val="auto"/>
        </w:rPr>
      </w:pPr>
    </w:p>
    <w:p>
      <w:pPr>
        <w:ind w:right="280" w:firstLine="430"/>
        <w:spacing w:after="0" w:line="26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most significant estimates and judgments involves the valuation of acquired intangible assets and goodwill from business combinations.</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Financial information about segments and geographic areas</w:t>
      </w:r>
    </w:p>
    <w:p>
      <w:pPr>
        <w:spacing w:after="0" w:line="117" w:lineRule="exact"/>
        <w:rPr>
          <w:sz w:val="20"/>
          <w:szCs w:val="20"/>
          <w:color w:val="auto"/>
        </w:rPr>
      </w:pPr>
    </w:p>
    <w:p>
      <w:pPr>
        <w:ind w:right="420" w:firstLine="430"/>
        <w:spacing w:after="0" w:line="288" w:lineRule="auto"/>
        <w:rPr>
          <w:sz w:val="20"/>
          <w:szCs w:val="20"/>
          <w:color w:val="auto"/>
        </w:rPr>
      </w:pPr>
      <w:r>
        <w:rPr>
          <w:rFonts w:ascii="Arial" w:cs="Arial" w:eastAsia="Arial" w:hAnsi="Arial"/>
          <w:sz w:val="16"/>
          <w:szCs w:val="16"/>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for information regarding the Company’s long-lived assets and revenue by geography.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17"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The Company recorded net foreign currency transaction gains of $2.1 million during the three and nine months ended September 30, 2020, respectively, and net foreign currency transaction losses of $0.6 million and $1.1 million during the three and nine months ended September 30, 2019, respectively.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7" w:lineRule="exact"/>
        <w:rPr>
          <w:sz w:val="20"/>
          <w:szCs w:val="20"/>
          <w:color w:val="auto"/>
        </w:rPr>
      </w:pPr>
    </w:p>
    <w:p>
      <w:pPr>
        <w:jc w:val="both"/>
        <w:ind w:right="260" w:firstLine="430"/>
        <w:spacing w:after="0" w:line="271" w:lineRule="auto"/>
        <w:rPr>
          <w:sz w:val="20"/>
          <w:szCs w:val="20"/>
          <w:color w:val="auto"/>
        </w:rPr>
      </w:pPr>
      <w:r>
        <w:rPr>
          <w:rFonts w:ascii="Arial" w:cs="Arial" w:eastAsia="Arial" w:hAnsi="Arial"/>
          <w:sz w:val="17"/>
          <w:szCs w:val="17"/>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68" w:lineRule="exact"/>
        <w:rPr>
          <w:sz w:val="20"/>
          <w:szCs w:val="20"/>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48" w:lineRule="exact"/>
        <w:rPr>
          <w:sz w:val="20"/>
          <w:szCs w:val="20"/>
          <w:color w:val="auto"/>
        </w:rPr>
      </w:pPr>
    </w:p>
    <w:p>
      <w:pPr>
        <w:ind w:right="160" w:firstLine="430"/>
        <w:spacing w:after="0" w:line="307"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75" w:lineRule="exact"/>
        <w:rPr>
          <w:sz w:val="20"/>
          <w:szCs w:val="20"/>
          <w:color w:val="auto"/>
        </w:rPr>
      </w:pPr>
    </w:p>
    <w:p>
      <w:pPr>
        <w:jc w:val="both"/>
        <w:ind w:right="100" w:firstLine="430"/>
        <w:spacing w:after="0" w:line="296"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80" w:lineRule="exact"/>
        <w:rPr>
          <w:sz w:val="20"/>
          <w:szCs w:val="20"/>
          <w:color w:val="auto"/>
        </w:rPr>
      </w:pPr>
    </w:p>
    <w:p>
      <w:pPr>
        <w:ind w:right="460" w:firstLine="430"/>
        <w:spacing w:after="0" w:line="287" w:lineRule="auto"/>
        <w:rPr>
          <w:sz w:val="20"/>
          <w:szCs w:val="20"/>
          <w:color w:val="auto"/>
        </w:rPr>
      </w:pPr>
      <w:r>
        <w:rPr>
          <w:rFonts w:ascii="Arial" w:cs="Arial" w:eastAsia="Arial" w:hAnsi="Arial"/>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84" w:lineRule="exact"/>
        <w:rPr>
          <w:sz w:val="20"/>
          <w:szCs w:val="20"/>
          <w:color w:val="auto"/>
        </w:rPr>
      </w:pPr>
    </w:p>
    <w:p>
      <w:pPr>
        <w:jc w:val="both"/>
        <w:ind w:right="140" w:firstLine="430"/>
        <w:spacing w:after="0" w:line="271" w:lineRule="auto"/>
        <w:rPr>
          <w:sz w:val="20"/>
          <w:szCs w:val="20"/>
          <w:color w:val="auto"/>
        </w:rPr>
      </w:pPr>
      <w:r>
        <w:rPr>
          <w:rFonts w:ascii="Arial" w:cs="Arial" w:eastAsia="Arial" w:hAnsi="Arial"/>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98" w:lineRule="exact"/>
        <w:rPr>
          <w:sz w:val="20"/>
          <w:szCs w:val="20"/>
          <w:color w:val="auto"/>
        </w:rPr>
      </w:pPr>
    </w:p>
    <w:p>
      <w:pPr>
        <w:jc w:val="both"/>
        <w:ind w:right="260" w:firstLine="430"/>
        <w:spacing w:after="0" w:line="271" w:lineRule="auto"/>
        <w:rPr>
          <w:sz w:val="20"/>
          <w:szCs w:val="20"/>
          <w:color w:val="auto"/>
        </w:rPr>
      </w:pPr>
      <w:r>
        <w:rPr>
          <w:rFonts w:ascii="Arial" w:cs="Arial" w:eastAsia="Arial" w:hAnsi="Arial"/>
          <w:sz w:val="17"/>
          <w:szCs w:val="17"/>
          <w:color w:val="auto"/>
        </w:rPr>
        <w:t>The Company recognized $277.0 million and $522.7 million of revenue during the three and nine months ended September 30, 2020, respectively, and recognized $241.3 million and $452.9 million of revenue during the three and nine months ended September 30, 2019, respectively, that was included in the deferred revenue balances at the beginning of their respective periods.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2020, future estimated revenue related to performance obligations that were unsatisfied or partially unsatisfied was $658.5 million.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 substantial majority of the unsatisfied performance obligations will be satisfied over the next twelve months.</w:t>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7" w:lineRule="exact"/>
        <w:rPr>
          <w:sz w:val="20"/>
          <w:szCs w:val="20"/>
          <w:color w:val="auto"/>
        </w:rPr>
      </w:pPr>
    </w:p>
    <w:p>
      <w:pPr>
        <w:ind w:right="200" w:firstLine="430"/>
        <w:spacing w:after="0" w:line="271" w:lineRule="auto"/>
        <w:rPr>
          <w:sz w:val="20"/>
          <w:szCs w:val="20"/>
          <w:color w:val="auto"/>
        </w:rPr>
      </w:pPr>
      <w:r>
        <w:rPr>
          <w:rFonts w:ascii="Arial" w:cs="Arial" w:eastAsia="Arial" w:hAnsi="Arial"/>
          <w:sz w:val="17"/>
          <w:szCs w:val="17"/>
          <w:color w:val="auto"/>
        </w:rPr>
        <w:t>The Company has granted RSUs to its employees and members of the Board of Directors under the 2008 Equity Incentive Plan (“2008 Plan”), the 2017 Equity Incentive Plan (“2017 Plan”), and the 2018 Equity Incentive Plan ("2018 Plan" and together with the 2008 Plan and 2017 Plan, the "Dropbox Equity Incentive Plans"). The Company has granted the following types of RSUs under the Dropbox Equity Incentive Plans: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 w:name="page13"/>
    <w:bookmarkEnd w:id="12"/>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940" w:right="20" w:hanging="310"/>
        <w:spacing w:after="0" w:line="266" w:lineRule="auto"/>
        <w:tabs>
          <w:tab w:leader="none" w:pos="936" w:val="left"/>
        </w:tabs>
        <w:numPr>
          <w:ilvl w:val="0"/>
          <w:numId w:val="8"/>
        </w:numPr>
        <w:rPr>
          <w:rFonts w:ascii="Arial" w:cs="Arial" w:eastAsia="Arial" w:hAnsi="Arial"/>
          <w:sz w:val="17"/>
          <w:szCs w:val="17"/>
          <w:color w:val="auto"/>
        </w:rPr>
      </w:pPr>
      <w:r>
        <w:rPr>
          <w:rFonts w:ascii="Arial" w:cs="Arial" w:eastAsia="Arial" w:hAnsi="Arial"/>
          <w:sz w:val="17"/>
          <w:szCs w:val="17"/>
          <w:color w:val="auto"/>
        </w:rPr>
        <w:t>One-tier RSUs, which have a service-based vesting condition over a four-year period. These awards typically have a cliff vesting period of one year and continue to vest quarterly thereafter. The Company began granting one-tier RSUs under its 2008 Plan in August 2015, and it continues to grant one-tier RSUs under its 2018 Plan. The Company recognizes compensation expense associated with one-tier RSUs ratably on a straight-line basis over the requisite service period and accounts for forfeitures in the period in which they occur.</w:t>
      </w:r>
    </w:p>
    <w:p>
      <w:pPr>
        <w:spacing w:after="0" w:line="202" w:lineRule="exact"/>
        <w:rPr>
          <w:rFonts w:ascii="Arial" w:cs="Arial" w:eastAsia="Arial" w:hAnsi="Arial"/>
          <w:sz w:val="17"/>
          <w:szCs w:val="17"/>
          <w:color w:val="auto"/>
        </w:rPr>
      </w:pPr>
    </w:p>
    <w:p>
      <w:pPr>
        <w:ind w:left="940" w:right="20" w:hanging="310"/>
        <w:spacing w:after="0" w:line="266" w:lineRule="auto"/>
        <w:tabs>
          <w:tab w:leader="none" w:pos="936" w:val="left"/>
        </w:tabs>
        <w:numPr>
          <w:ilvl w:val="0"/>
          <w:numId w:val="8"/>
        </w:numPr>
        <w:rPr>
          <w:rFonts w:ascii="Arial" w:cs="Arial" w:eastAsia="Arial" w:hAnsi="Arial"/>
          <w:sz w:val="17"/>
          <w:szCs w:val="17"/>
          <w:color w:val="auto"/>
        </w:rPr>
      </w:pPr>
      <w:r>
        <w:rPr>
          <w:rFonts w:ascii="Arial" w:cs="Arial" w:eastAsia="Arial" w:hAnsi="Arial"/>
          <w:sz w:val="17"/>
          <w:szCs w:val="17"/>
          <w:color w:val="auto"/>
        </w:rPr>
        <w:t>Two-tier RSUs, which had both a service-based vesting condition and a Performance Vesting Condition. The Performance Vesting Condition was satisfied on the effectiveness of the registration statement related to the Company's IPO. Prior to August 2015, the Company granted two-tier RSUs under the 2008 Plan. The last grant date for two-tier RSUs was in May 2015. The Company recognized compensation expense associated with two-tier RSUs using the accelerated attribution method over the requisite service period.</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2020, the Company only had one-tier RSUs outstanding under the Dropbox Equity Incentive Plans.</w:t>
      </w:r>
    </w:p>
    <w:p>
      <w:pPr>
        <w:spacing w:after="0" w:line="248" w:lineRule="exact"/>
        <w:rPr>
          <w:sz w:val="20"/>
          <w:szCs w:val="20"/>
          <w:color w:val="auto"/>
        </w:rPr>
      </w:pPr>
    </w:p>
    <w:p>
      <w:pPr>
        <w:ind w:right="20" w:firstLine="430"/>
        <w:spacing w:after="0" w:line="262" w:lineRule="auto"/>
        <w:rPr>
          <w:sz w:val="20"/>
          <w:szCs w:val="20"/>
          <w:color w:val="auto"/>
        </w:rPr>
      </w:pPr>
      <w:r>
        <w:rPr>
          <w:rFonts w:ascii="Arial" w:cs="Arial" w:eastAsia="Arial" w:hAnsi="Arial"/>
          <w:sz w:val="17"/>
          <w:szCs w:val="17"/>
          <w:color w:val="auto"/>
        </w:rPr>
        <w:t>Since August 2015, the Company has granted one-tier RSUs as the only stock-based payment awards to its employees, with the exception of awards granted to its co-founders and certain executives, and has not granted any stock options to employees since then. The fair values of the common stock underlying the RSUs granted in periods prior to the date of the Company's IPO were determined by the Board of Directors, with input from management and contemporaneous third-party valuations, which were performed at least quarterly. For valuations after the Company's IPO, the Board of Directors determines the fair value of each share of underlying common stock based on the closing price of the Company's Class A common stock as reported on the Nasdaq Global Select Market on the date of the grant.</w:t>
      </w:r>
    </w:p>
    <w:p>
      <w:pPr>
        <w:spacing w:after="0" w:line="206" w:lineRule="exact"/>
        <w:rPr>
          <w:sz w:val="20"/>
          <w:szCs w:val="20"/>
          <w:color w:val="auto"/>
        </w:rPr>
      </w:pPr>
    </w:p>
    <w:p>
      <w:pPr>
        <w:ind w:right="80" w:firstLine="430"/>
        <w:spacing w:after="0" w:line="271" w:lineRule="auto"/>
        <w:rPr>
          <w:sz w:val="20"/>
          <w:szCs w:val="20"/>
          <w:color w:val="auto"/>
        </w:rPr>
      </w:pPr>
      <w:r>
        <w:rPr>
          <w:rFonts w:ascii="Arial" w:cs="Arial" w:eastAsia="Arial" w:hAnsi="Arial"/>
          <w:sz w:val="17"/>
          <w:szCs w:val="17"/>
          <w:color w:val="auto"/>
        </w:rPr>
        <w:t>In connection with the acquisition of JN Projects, Inc. (d/b/a HelloSign) ("HelloSign"), the Company assumed unvested stock options that had been granted under the HelloSign's 2011 Equity Incentive Plan. The fair value of options assumed were based upon the Black-Scholes option-pricing model, see Note 12, "Stockholders' Equity" for further information.</w:t>
      </w:r>
    </w:p>
    <w:p>
      <w:pPr>
        <w:spacing w:after="0" w:line="198" w:lineRule="exact"/>
        <w:rPr>
          <w:sz w:val="20"/>
          <w:szCs w:val="20"/>
          <w:color w:val="auto"/>
        </w:rPr>
      </w:pPr>
    </w:p>
    <w:p>
      <w:pPr>
        <w:ind w:firstLine="430"/>
        <w:spacing w:after="0" w:line="260" w:lineRule="auto"/>
        <w:rPr>
          <w:sz w:val="20"/>
          <w:szCs w:val="20"/>
          <w:color w:val="auto"/>
        </w:rPr>
      </w:pPr>
      <w:r>
        <w:rPr>
          <w:rFonts w:ascii="Arial" w:cs="Arial" w:eastAsia="Arial" w:hAnsi="Arial"/>
          <w:sz w:val="17"/>
          <w:szCs w:val="17"/>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a former director. These Co-Founder Grants have service-based, market-based, and performance-based vesting conditions.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Effective March 19, 2020, Mr. Ferdowsi resigned as a member of the Board of Directors and as an officer of the Company. As of the date of Mr. Ferdowsi's resignation, none of the Stock Price Targets had been met, resulting in the forfeiture of his 4.4 million RSAs. See Note 12, "Stockholders' Equity" for further information.</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7" w:lineRule="exact"/>
        <w:rPr>
          <w:sz w:val="20"/>
          <w:szCs w:val="20"/>
          <w:color w:val="auto"/>
        </w:rPr>
      </w:pPr>
    </w:p>
    <w:p>
      <w:pPr>
        <w:ind w:right="20" w:firstLine="430"/>
        <w:spacing w:after="0" w:line="278"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both paying users and free users, also known as Basic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29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7" w:lineRule="exact"/>
        <w:rPr>
          <w:sz w:val="20"/>
          <w:szCs w:val="20"/>
          <w:color w:val="auto"/>
        </w:rPr>
      </w:pPr>
    </w:p>
    <w:p>
      <w:pPr>
        <w:ind w:right="200" w:firstLine="430"/>
        <w:spacing w:after="0" w:line="271" w:lineRule="auto"/>
        <w:rPr>
          <w:sz w:val="20"/>
          <w:szCs w:val="20"/>
          <w:color w:val="auto"/>
        </w:rPr>
      </w:pPr>
      <w:r>
        <w:rPr>
          <w:rFonts w:ascii="Arial" w:cs="Arial" w:eastAsia="Arial" w:hAnsi="Arial"/>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100" w:firstLine="430"/>
        <w:spacing w:after="0" w:line="287" w:lineRule="auto"/>
        <w:rPr>
          <w:sz w:val="20"/>
          <w:szCs w:val="20"/>
          <w:color w:val="auto"/>
        </w:rPr>
      </w:pPr>
      <w:r>
        <w:rPr>
          <w:rFonts w:ascii="Arial" w:cs="Arial" w:eastAsia="Arial" w:hAnsi="Arial"/>
          <w:sz w:val="17"/>
          <w:szCs w:val="17"/>
          <w:color w:val="auto"/>
        </w:rPr>
        <w:t>The Company monitors its credit risk by considering factors such as historical experience, credit ratings, current economic conditions, and reasonable and supportable forecasts.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17" w:lineRule="exact"/>
        <w:rPr>
          <w:sz w:val="20"/>
          <w:szCs w:val="20"/>
          <w:color w:val="auto"/>
        </w:rPr>
      </w:pPr>
    </w:p>
    <w:p>
      <w:pPr>
        <w:ind w:right="60" w:firstLine="430"/>
        <w:spacing w:after="0" w:line="262" w:lineRule="auto"/>
        <w:rPr>
          <w:sz w:val="20"/>
          <w:szCs w:val="20"/>
          <w:color w:val="auto"/>
        </w:rPr>
      </w:pPr>
      <w:r>
        <w:rPr>
          <w:rFonts w:ascii="Arial" w:cs="Arial" w:eastAsia="Arial" w:hAnsi="Arial"/>
          <w:sz w:val="17"/>
          <w:szCs w:val="17"/>
          <w:color w:val="auto"/>
        </w:rPr>
        <w:t>The Company’s short-term investments are primarily comprised of corporate notes and obligations, U.S. Treasury securities, certificates of deposit, asset-backed securities, commercial paper, U.S. agency obligations, foreign government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206" w:lineRule="exact"/>
        <w:rPr>
          <w:sz w:val="20"/>
          <w:szCs w:val="20"/>
          <w:color w:val="auto"/>
        </w:rPr>
      </w:pPr>
    </w:p>
    <w:p>
      <w:pPr>
        <w:ind w:right="80" w:firstLine="430"/>
        <w:spacing w:after="0" w:line="301" w:lineRule="auto"/>
        <w:rPr>
          <w:sz w:val="20"/>
          <w:szCs w:val="20"/>
          <w:color w:val="auto"/>
        </w:rPr>
      </w:pPr>
      <w:r>
        <w:rPr>
          <w:rFonts w:ascii="Arial" w:cs="Arial" w:eastAsia="Arial" w:hAnsi="Arial"/>
          <w:sz w:val="15"/>
          <w:szCs w:val="15"/>
          <w:color w:val="auto"/>
        </w:rPr>
        <w:t>The Company's short-term investments are recorded at fair value each reporting period. Unrealized gains and losses on these short-term investments are reported as a separate component of accumulated other comprehensive income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and nine months ended September 30, 2020.</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17" w:lineRule="exact"/>
        <w:rPr>
          <w:sz w:val="20"/>
          <w:szCs w:val="20"/>
          <w:color w:val="auto"/>
        </w:rPr>
      </w:pPr>
    </w:p>
    <w:p>
      <w:pPr>
        <w:ind w:right="80" w:firstLine="430"/>
        <w:spacing w:after="0" w:line="271"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98"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One distribution partner accounted for 44% of total trade and other receivables, net as of September 30, 2020. Two distribution partners accounted for 10% and 27% of total trade and other receivables, net as of December 31, 2019. No customer accounted for more than 10% of the Company’s revenue in the periods presented.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Deferred commissions, net</w:t>
      </w:r>
    </w:p>
    <w:p>
      <w:pPr>
        <w:spacing w:after="0" w:line="117" w:lineRule="exact"/>
        <w:rPr>
          <w:sz w:val="20"/>
          <w:szCs w:val="20"/>
          <w:color w:val="auto"/>
        </w:rPr>
      </w:pPr>
    </w:p>
    <w:p>
      <w:pPr>
        <w:ind w:firstLine="430"/>
        <w:spacing w:after="0" w:line="284" w:lineRule="auto"/>
        <w:rPr>
          <w:sz w:val="20"/>
          <w:szCs w:val="20"/>
          <w:color w:val="auto"/>
        </w:rPr>
      </w:pPr>
      <w:r>
        <w:rPr>
          <w:rFonts w:ascii="Arial" w:cs="Arial" w:eastAsia="Arial" w:hAnsi="Arial"/>
          <w:sz w:val="16"/>
          <w:szCs w:val="16"/>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sheets. The Company deferred incremental costs of obtaining a contract of $8.6 and $27.6 million during the three and nine months ended September 30, 2020, respectively, and $7.4 million and $21.1 million during the three and nine months ended September 30, 2019, respectively.</w:t>
      </w:r>
    </w:p>
    <w:p>
      <w:pPr>
        <w:spacing w:after="0" w:line="189" w:lineRule="exact"/>
        <w:rPr>
          <w:sz w:val="20"/>
          <w:szCs w:val="20"/>
          <w:color w:val="auto"/>
        </w:rPr>
      </w:pPr>
    </w:p>
    <w:p>
      <w:pPr>
        <w:jc w:val="both"/>
        <w:ind w:right="120" w:firstLine="430"/>
        <w:spacing w:after="0" w:line="271" w:lineRule="auto"/>
        <w:rPr>
          <w:sz w:val="20"/>
          <w:szCs w:val="20"/>
          <w:color w:val="auto"/>
        </w:rPr>
      </w:pPr>
      <w:r>
        <w:rPr>
          <w:rFonts w:ascii="Arial" w:cs="Arial" w:eastAsia="Arial" w:hAnsi="Arial"/>
          <w:sz w:val="17"/>
          <w:szCs w:val="17"/>
          <w:color w:val="auto"/>
        </w:rPr>
        <w:t>Deferred commissions, net included in prepaid and other current assets were $25.3 million and $19.9 million as of September 30, 2020 and December 31, 2019, respectively. Deferred commissions, net included in other assets were $48.2 million and $43.5 million as of September 30, 2020 and December 31, 2019, respectively.</w:t>
      </w:r>
    </w:p>
    <w:p>
      <w:pPr>
        <w:spacing w:after="0" w:line="198"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Deferred commissions are typically amortized over a period of benefit of five years. The period of benefit was estimated by considering factors such as historical customer attrition rates, the useful life of the Company’s technology, and the impact of competition in its industry. Amortized costs were $6.7 million and $17.5 million for the three and nine months ended September 30, 2020, respectively, and $4.6 million and $12.7 million for the three and nine months ended September 30, 2019, respectively. Amortized costs are included in sales and marketing expense in the accompanying condensed consolidated statements of operations. There was no impairment loss in relation to the deferred costs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7" w:lineRule="exact"/>
        <w:rPr>
          <w:sz w:val="20"/>
          <w:szCs w:val="20"/>
          <w:color w:val="auto"/>
        </w:rPr>
      </w:pPr>
    </w:p>
    <w:p>
      <w:pPr>
        <w:jc w:val="both"/>
        <w:ind w:right="300" w:firstLine="430"/>
        <w:spacing w:after="0" w:line="271"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40" w:type="dxa"/>
            <w:vAlign w:val="bottom"/>
            <w:gridSpan w:val="3"/>
          </w:tcPr>
          <w:p>
            <w:pPr>
              <w:ind w:left="440"/>
              <w:spacing w:after="0"/>
              <w:rPr>
                <w:sz w:val="20"/>
                <w:szCs w:val="20"/>
                <w:color w:val="auto"/>
              </w:rPr>
            </w:pPr>
            <w:r>
              <w:rPr>
                <w:rFonts w:ascii="Arial" w:cs="Arial" w:eastAsia="Arial" w:hAnsi="Arial"/>
                <w:sz w:val="17"/>
                <w:szCs w:val="17"/>
                <w:color w:val="auto"/>
                <w:w w:val="95"/>
              </w:rPr>
              <w:t>The following table presents the estimated useful lives of property and equipment:</w:t>
            </w:r>
          </w:p>
        </w:tc>
        <w:tc>
          <w:tcPr>
            <w:tcW w:w="4880" w:type="dxa"/>
            <w:vAlign w:val="bottom"/>
          </w:tcPr>
          <w:p>
            <w:pPr>
              <w:spacing w:after="0"/>
              <w:rPr>
                <w:sz w:val="19"/>
                <w:szCs w:val="19"/>
                <w:color w:val="auto"/>
              </w:rPr>
            </w:pPr>
          </w:p>
        </w:tc>
      </w:tr>
      <w:tr>
        <w:trPr>
          <w:trHeight w:val="339"/>
        </w:trPr>
        <w:tc>
          <w:tcPr>
            <w:tcW w:w="6340" w:type="dxa"/>
            <w:vAlign w:val="bottom"/>
            <w:gridSpan w:val="3"/>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4880" w:type="dxa"/>
            <w:vAlign w:val="bottom"/>
          </w:tcPr>
          <w:p>
            <w:pPr>
              <w:jc w:val="center"/>
              <w:ind w:right="653"/>
              <w:spacing w:after="0"/>
              <w:rPr>
                <w:sz w:val="20"/>
                <w:szCs w:val="20"/>
                <w:color w:val="auto"/>
              </w:rPr>
            </w:pPr>
            <w:r>
              <w:rPr>
                <w:rFonts w:ascii="Arial" w:cs="Arial" w:eastAsia="Arial" w:hAnsi="Arial"/>
                <w:sz w:val="17"/>
                <w:szCs w:val="17"/>
                <w:b w:val="1"/>
                <w:bCs w:val="1"/>
                <w:color w:val="auto"/>
                <w:w w:val="91"/>
              </w:rPr>
              <w:t>Useful life</w:t>
            </w:r>
          </w:p>
        </w:tc>
      </w:tr>
      <w:tr>
        <w:trPr>
          <w:trHeight w:val="32"/>
        </w:trPr>
        <w:tc>
          <w:tcPr>
            <w:tcW w:w="5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880" w:type="dxa"/>
            <w:vAlign w:val="bottom"/>
            <w:tcBorders>
              <w:top w:val="single" w:sz="8" w:color="auto"/>
            </w:tcBorders>
          </w:tcPr>
          <w:p>
            <w:pPr>
              <w:spacing w:after="0"/>
              <w:rPr>
                <w:sz w:val="2"/>
                <w:szCs w:val="2"/>
                <w:color w:val="auto"/>
              </w:rPr>
            </w:pPr>
          </w:p>
        </w:tc>
      </w:tr>
      <w:tr>
        <w:trPr>
          <w:trHeight w:val="222"/>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4880" w:type="dxa"/>
            <w:vAlign w:val="bottom"/>
            <w:shd w:val="clear" w:color="auto" w:fill="CCEEFF"/>
          </w:tcPr>
          <w:p>
            <w:pPr>
              <w:jc w:val="center"/>
              <w:ind w:right="653"/>
              <w:spacing w:after="0"/>
              <w:rPr>
                <w:sz w:val="20"/>
                <w:szCs w:val="20"/>
                <w:color w:val="auto"/>
              </w:rPr>
            </w:pPr>
            <w:r>
              <w:rPr>
                <w:rFonts w:ascii="Arial" w:cs="Arial" w:eastAsia="Arial" w:hAnsi="Arial"/>
                <w:sz w:val="17"/>
                <w:szCs w:val="17"/>
                <w:color w:val="auto"/>
                <w:w w:val="90"/>
              </w:rPr>
              <w:t>20 to 30 years</w:t>
            </w:r>
          </w:p>
        </w:tc>
      </w:tr>
      <w:tr>
        <w:trPr>
          <w:trHeight w:val="222"/>
        </w:trPr>
        <w:tc>
          <w:tcPr>
            <w:tcW w:w="6340" w:type="dxa"/>
            <w:vAlign w:val="bottom"/>
            <w:gridSpan w:val="3"/>
          </w:tcPr>
          <w:p>
            <w:pPr>
              <w:ind w:left="20"/>
              <w:spacing w:after="0"/>
              <w:rPr>
                <w:sz w:val="20"/>
                <w:szCs w:val="20"/>
                <w:color w:val="auto"/>
              </w:rPr>
            </w:pPr>
            <w:r>
              <w:rPr>
                <w:rFonts w:ascii="Arial" w:cs="Arial" w:eastAsia="Arial" w:hAnsi="Arial"/>
                <w:sz w:val="17"/>
                <w:szCs w:val="17"/>
                <w:color w:val="auto"/>
              </w:rPr>
              <w:t>Datacenter and other computer equipment</w:t>
            </w:r>
          </w:p>
        </w:tc>
        <w:tc>
          <w:tcPr>
            <w:tcW w:w="4880" w:type="dxa"/>
            <w:vAlign w:val="bottom"/>
          </w:tcPr>
          <w:p>
            <w:pPr>
              <w:jc w:val="center"/>
              <w:ind w:right="653"/>
              <w:spacing w:after="0"/>
              <w:rPr>
                <w:sz w:val="20"/>
                <w:szCs w:val="20"/>
                <w:color w:val="auto"/>
              </w:rPr>
            </w:pPr>
            <w:r>
              <w:rPr>
                <w:rFonts w:ascii="Arial" w:cs="Arial" w:eastAsia="Arial" w:hAnsi="Arial"/>
                <w:sz w:val="17"/>
                <w:szCs w:val="17"/>
                <w:color w:val="auto"/>
                <w:w w:val="92"/>
              </w:rPr>
              <w:t>3 to 5 years</w:t>
            </w:r>
          </w:p>
        </w:tc>
      </w:tr>
      <w:tr>
        <w:trPr>
          <w:trHeight w:val="222"/>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Office equipment and other</w:t>
            </w:r>
          </w:p>
        </w:tc>
        <w:tc>
          <w:tcPr>
            <w:tcW w:w="4880" w:type="dxa"/>
            <w:vAlign w:val="bottom"/>
            <w:shd w:val="clear" w:color="auto" w:fill="CCEEFF"/>
          </w:tcPr>
          <w:p>
            <w:pPr>
              <w:jc w:val="center"/>
              <w:ind w:right="653"/>
              <w:spacing w:after="0"/>
              <w:rPr>
                <w:sz w:val="20"/>
                <w:szCs w:val="20"/>
                <w:color w:val="auto"/>
              </w:rPr>
            </w:pPr>
            <w:r>
              <w:rPr>
                <w:rFonts w:ascii="Arial" w:cs="Arial" w:eastAsia="Arial" w:hAnsi="Arial"/>
                <w:sz w:val="17"/>
                <w:szCs w:val="17"/>
                <w:color w:val="auto"/>
                <w:w w:val="92"/>
              </w:rPr>
              <w:t>3 to 7 years</w:t>
            </w:r>
          </w:p>
        </w:tc>
      </w:tr>
      <w:tr>
        <w:trPr>
          <w:trHeight w:val="222"/>
        </w:trPr>
        <w:tc>
          <w:tcPr>
            <w:tcW w:w="6340" w:type="dxa"/>
            <w:vAlign w:val="bottom"/>
            <w:gridSpan w:val="3"/>
          </w:tcPr>
          <w:p>
            <w:pPr>
              <w:ind w:left="20"/>
              <w:spacing w:after="0"/>
              <w:rPr>
                <w:sz w:val="20"/>
                <w:szCs w:val="20"/>
                <w:color w:val="auto"/>
              </w:rPr>
            </w:pPr>
            <w:r>
              <w:rPr>
                <w:rFonts w:ascii="Arial" w:cs="Arial" w:eastAsia="Arial" w:hAnsi="Arial"/>
                <w:sz w:val="17"/>
                <w:szCs w:val="17"/>
                <w:color w:val="auto"/>
              </w:rPr>
              <w:t>Leasehold improvements</w:t>
            </w:r>
          </w:p>
        </w:tc>
        <w:tc>
          <w:tcPr>
            <w:tcW w:w="4880" w:type="dxa"/>
            <w:vAlign w:val="bottom"/>
          </w:tcPr>
          <w:p>
            <w:pPr>
              <w:jc w:val="center"/>
              <w:ind w:right="653"/>
              <w:spacing w:after="0"/>
              <w:rPr>
                <w:sz w:val="20"/>
                <w:szCs w:val="20"/>
                <w:color w:val="auto"/>
              </w:rPr>
            </w:pPr>
            <w:r>
              <w:rPr>
                <w:rFonts w:ascii="Arial" w:cs="Arial" w:eastAsia="Arial" w:hAnsi="Arial"/>
                <w:sz w:val="17"/>
                <w:szCs w:val="17"/>
                <w:color w:val="auto"/>
                <w:w w:val="92"/>
              </w:rPr>
              <w:t>Lesser of estimated useful life or remaining lease term</w:t>
            </w:r>
          </w:p>
        </w:tc>
      </w:tr>
    </w:tbl>
    <w:p>
      <w:pPr>
        <w:spacing w:after="0" w:line="200" w:lineRule="exact"/>
        <w:rPr>
          <w:sz w:val="20"/>
          <w:szCs w:val="20"/>
          <w:color w:val="auto"/>
        </w:rPr>
      </w:pPr>
    </w:p>
    <w:p>
      <w:pPr>
        <w:spacing w:after="0" w:line="33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 leases office space, datacenters, and equipment under non-cancelable finance and operating leases with various expiration dates through</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2036. The Company determines if an arrangement contains a lease at inception.</w:t>
      </w:r>
    </w:p>
    <w:p>
      <w:pPr>
        <w:spacing w:after="0" w:line="236" w:lineRule="exact"/>
        <w:rPr>
          <w:sz w:val="20"/>
          <w:szCs w:val="20"/>
          <w:color w:val="auto"/>
        </w:rPr>
      </w:pPr>
    </w:p>
    <w:p>
      <w:pPr>
        <w:ind w:right="20" w:firstLine="430"/>
        <w:spacing w:after="0" w:line="288" w:lineRule="auto"/>
        <w:rPr>
          <w:sz w:val="20"/>
          <w:szCs w:val="20"/>
          <w:color w:val="auto"/>
        </w:rPr>
      </w:pPr>
      <w:r>
        <w:rPr>
          <w:rFonts w:ascii="Arial" w:cs="Arial" w:eastAsia="Arial" w:hAnsi="Arial"/>
          <w:sz w:val="16"/>
          <w:szCs w:val="16"/>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6" w:lineRule="exact"/>
        <w:rPr>
          <w:sz w:val="20"/>
          <w:szCs w:val="20"/>
          <w:color w:val="auto"/>
        </w:rPr>
      </w:pPr>
    </w:p>
    <w:p>
      <w:pPr>
        <w:ind w:right="120" w:firstLine="430"/>
        <w:spacing w:after="0" w:line="263"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207" w:lineRule="exact"/>
        <w:rPr>
          <w:sz w:val="20"/>
          <w:szCs w:val="20"/>
          <w:color w:val="auto"/>
        </w:rPr>
      </w:pPr>
    </w:p>
    <w:p>
      <w:pPr>
        <w:ind w:right="320" w:firstLine="430"/>
        <w:spacing w:after="0" w:line="287" w:lineRule="auto"/>
        <w:rPr>
          <w:sz w:val="20"/>
          <w:szCs w:val="20"/>
          <w:color w:val="auto"/>
        </w:rPr>
      </w:pPr>
      <w:r>
        <w:rPr>
          <w:rFonts w:ascii="Arial" w:cs="Arial" w:eastAsia="Arial" w:hAnsi="Arial"/>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84"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spacing w:after="0" w:line="207" w:lineRule="exact"/>
        <w:rPr>
          <w:sz w:val="20"/>
          <w:szCs w:val="20"/>
          <w:color w:val="auto"/>
        </w:rPr>
      </w:pPr>
    </w:p>
    <w:p>
      <w:pPr>
        <w:ind w:right="240" w:firstLine="430"/>
        <w:spacing w:after="0" w:line="271" w:lineRule="auto"/>
        <w:rPr>
          <w:sz w:val="20"/>
          <w:szCs w:val="20"/>
          <w:color w:val="auto"/>
        </w:rPr>
      </w:pPr>
      <w:r>
        <w:rPr>
          <w:rFonts w:ascii="Arial" w:cs="Arial" w:eastAsia="Arial" w:hAnsi="Arial"/>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7" w:lineRule="exact"/>
        <w:rPr>
          <w:sz w:val="20"/>
          <w:szCs w:val="20"/>
          <w:color w:val="auto"/>
        </w:rPr>
      </w:pPr>
    </w:p>
    <w:p>
      <w:pPr>
        <w:ind w:right="180" w:firstLine="430"/>
        <w:spacing w:after="0" w:line="312" w:lineRule="auto"/>
        <w:rPr>
          <w:sz w:val="20"/>
          <w:szCs w:val="20"/>
          <w:color w:val="auto"/>
        </w:rPr>
      </w:pPr>
      <w:r>
        <w:rPr>
          <w:rFonts w:ascii="Arial" w:cs="Arial" w:eastAsia="Arial" w:hAnsi="Arial"/>
          <w:sz w:val="15"/>
          <w:szCs w:val="15"/>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09" w:lineRule="exact"/>
        <w:rPr>
          <w:sz w:val="20"/>
          <w:szCs w:val="20"/>
          <w:color w:val="auto"/>
        </w:rPr>
      </w:pPr>
    </w:p>
    <w:p>
      <w:pPr>
        <w:ind w:firstLine="430"/>
        <w:spacing w:after="0" w:line="287" w:lineRule="auto"/>
        <w:rPr>
          <w:sz w:val="20"/>
          <w:szCs w:val="20"/>
          <w:color w:val="auto"/>
        </w:rPr>
      </w:pPr>
      <w:r>
        <w:rPr>
          <w:rFonts w:ascii="Arial" w:cs="Arial" w:eastAsia="Arial" w:hAnsi="Arial"/>
          <w:sz w:val="17"/>
          <w:szCs w:val="17"/>
          <w:color w:val="auto"/>
        </w:rPr>
        <w:t>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Long-lived assets, including goodwill and other acquired intangible assets, net</w:t>
      </w:r>
    </w:p>
    <w:p>
      <w:pPr>
        <w:spacing w:after="0" w:line="117" w:lineRule="exact"/>
        <w:rPr>
          <w:sz w:val="20"/>
          <w:szCs w:val="20"/>
          <w:color w:val="auto"/>
        </w:rPr>
      </w:pPr>
    </w:p>
    <w:p>
      <w:pPr>
        <w:jc w:val="both"/>
        <w:ind w:right="240" w:firstLine="430"/>
        <w:spacing w:after="0" w:line="284"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89" w:lineRule="exact"/>
        <w:rPr>
          <w:sz w:val="20"/>
          <w:szCs w:val="20"/>
          <w:color w:val="auto"/>
        </w:rPr>
      </w:pPr>
    </w:p>
    <w:p>
      <w:pPr>
        <w:ind w:right="380" w:firstLine="430"/>
        <w:spacing w:after="0" w:line="287" w:lineRule="auto"/>
        <w:rPr>
          <w:sz w:val="20"/>
          <w:szCs w:val="20"/>
          <w:color w:val="auto"/>
        </w:rPr>
      </w:pPr>
      <w:r>
        <w:rPr>
          <w:rFonts w:ascii="Arial" w:cs="Arial" w:eastAsia="Arial" w:hAnsi="Arial"/>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84" w:lineRule="exact"/>
        <w:rPr>
          <w:sz w:val="20"/>
          <w:szCs w:val="20"/>
          <w:color w:val="auto"/>
        </w:rPr>
      </w:pPr>
    </w:p>
    <w:p>
      <w:pPr>
        <w:ind w:right="40" w:firstLine="430"/>
        <w:spacing w:after="0" w:line="287" w:lineRule="auto"/>
        <w:rPr>
          <w:sz w:val="20"/>
          <w:szCs w:val="20"/>
          <w:color w:val="auto"/>
        </w:rPr>
      </w:pPr>
      <w:r>
        <w:rPr>
          <w:rFonts w:ascii="Arial" w:cs="Arial" w:eastAsia="Arial" w:hAnsi="Arial"/>
          <w:sz w:val="17"/>
          <w:szCs w:val="17"/>
          <w:color w:val="auto"/>
        </w:rPr>
        <w:t>The Company has not recorded impairment charges on property and equipment, goodwill, or intangible assets for the periods presented in these condensed consolidated financial statements.</w:t>
      </w:r>
    </w:p>
    <w:p>
      <w:pPr>
        <w:spacing w:after="0" w:line="184" w:lineRule="exact"/>
        <w:rPr>
          <w:sz w:val="20"/>
          <w:szCs w:val="20"/>
          <w:color w:val="auto"/>
        </w:rPr>
      </w:pPr>
    </w:p>
    <w:p>
      <w:pPr>
        <w:ind w:right="140" w:firstLine="430"/>
        <w:spacing w:after="0" w:line="266" w:lineRule="auto"/>
        <w:rPr>
          <w:sz w:val="20"/>
          <w:szCs w:val="20"/>
          <w:color w:val="auto"/>
        </w:rPr>
      </w:pPr>
      <w:r>
        <w:rPr>
          <w:rFonts w:ascii="Arial" w:cs="Arial" w:eastAsia="Arial" w:hAnsi="Arial"/>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Income taxes</w:t>
      </w:r>
    </w:p>
    <w:p>
      <w:pPr>
        <w:spacing w:after="0" w:line="117"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98"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98" w:lineRule="exact"/>
        <w:rPr>
          <w:sz w:val="20"/>
          <w:szCs w:val="20"/>
          <w:color w:val="auto"/>
        </w:rPr>
      </w:pPr>
    </w:p>
    <w:p>
      <w:pPr>
        <w:ind w:right="80" w:firstLine="430"/>
        <w:spacing w:after="0" w:line="266" w:lineRule="auto"/>
        <w:rPr>
          <w:sz w:val="20"/>
          <w:szCs w:val="20"/>
          <w:color w:val="auto"/>
        </w:rPr>
      </w:pPr>
      <w:r>
        <w:rPr>
          <w:rFonts w:ascii="Arial" w:cs="Arial" w:eastAsia="Arial" w:hAnsi="Arial"/>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203" w:lineRule="exact"/>
        <w:rPr>
          <w:sz w:val="20"/>
          <w:szCs w:val="20"/>
          <w:color w:val="auto"/>
        </w:rPr>
      </w:pPr>
    </w:p>
    <w:p>
      <w:pPr>
        <w:ind w:right="120" w:firstLine="430"/>
        <w:spacing w:after="0" w:line="263"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2017 Tax Cuts and Jobs Act ("2017 Tax Reform Act"), the 2020 Coronavirus Aid, Relief, and Economic Security Act ("2020 CARES Act"), and the California 2020 Budget Act, correspondence with tax authorities during the course of an audit, and effective settlement of audit issues.</w:t>
      </w:r>
    </w:p>
    <w:p>
      <w:pPr>
        <w:spacing w:after="0" w:line="207" w:lineRule="exact"/>
        <w:rPr>
          <w:sz w:val="20"/>
          <w:szCs w:val="20"/>
          <w:color w:val="auto"/>
        </w:rPr>
      </w:pPr>
    </w:p>
    <w:p>
      <w:pPr>
        <w:ind w:right="140" w:firstLine="430"/>
        <w:spacing w:after="0" w:line="320"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17" w:lineRule="exact"/>
        <w:rPr>
          <w:sz w:val="20"/>
          <w:szCs w:val="20"/>
          <w:color w:val="auto"/>
        </w:rPr>
      </w:pPr>
    </w:p>
    <w:p>
      <w:pPr>
        <w:ind w:right="120" w:firstLine="430"/>
        <w:spacing w:after="0" w:line="271"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w:t>
      </w:r>
    </w:p>
    <w:p>
      <w:pPr>
        <w:spacing w:after="0" w:line="117" w:lineRule="exact"/>
        <w:rPr>
          <w:sz w:val="20"/>
          <w:szCs w:val="20"/>
          <w:color w:val="auto"/>
        </w:rPr>
      </w:pPr>
    </w:p>
    <w:p>
      <w:pPr>
        <w:jc w:val="both"/>
        <w:ind w:left="480" w:right="280"/>
        <w:spacing w:after="0" w:line="271"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quoted prices in active markets for identical assets and liabilities,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inactive markets, or other inputs that are observable or can be corroborated by observable market data for substantially the full term of the assets or liabilities.</w:t>
      </w:r>
    </w:p>
    <w:p>
      <w:pPr>
        <w:spacing w:after="0" w:line="68" w:lineRule="exact"/>
        <w:rPr>
          <w:sz w:val="20"/>
          <w:szCs w:val="20"/>
          <w:color w:val="auto"/>
        </w:rPr>
      </w:pPr>
    </w:p>
    <w:p>
      <w:pPr>
        <w:ind w:left="480" w:right="60"/>
        <w:spacing w:after="0" w:line="287"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that are generally unobservable and typically reflect management’s estimate of assumptions that market participants would use in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 or liability.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7" w:lineRule="exact"/>
        <w:rPr>
          <w:sz w:val="20"/>
          <w:szCs w:val="20"/>
          <w:color w:val="auto"/>
        </w:rPr>
      </w:pPr>
    </w:p>
    <w:p>
      <w:pPr>
        <w:ind w:right="140" w:firstLine="430"/>
        <w:spacing w:after="0" w:line="303"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Instruments</w:t>
      </w:r>
      <w:r>
        <w:rPr>
          <w:rFonts w:ascii="Arial" w:cs="Arial" w:eastAsia="Arial" w:hAnsi="Arial"/>
          <w:sz w:val="15"/>
          <w:szCs w:val="15"/>
          <w:color w:val="auto"/>
        </w:rPr>
        <w:t>, which requires the measurement and recognition of expected credit losses for financial assets held at amortized cost. It also eliminates the concept</w:t>
      </w:r>
      <w:r>
        <w:rPr>
          <w:rFonts w:ascii="Arial" w:cs="Arial" w:eastAsia="Arial" w:hAnsi="Arial"/>
          <w:sz w:val="15"/>
          <w:szCs w:val="15"/>
          <w:i w:val="1"/>
          <w:iCs w:val="1"/>
          <w:color w:val="auto"/>
        </w:rPr>
        <w:t xml:space="preserve"> </w:t>
      </w:r>
      <w:r>
        <w:rPr>
          <w:rFonts w:ascii="Arial" w:cs="Arial" w:eastAsia="Arial" w:hAnsi="Arial"/>
          <w:sz w:val="15"/>
          <w:szCs w:val="15"/>
          <w:color w:val="auto"/>
        </w:rPr>
        <w:t>of other-than-temporary impairment and requires credit losses related to available-for-sale debt securities to be recorded through an allowance for credit losses rather than as a reduction in the amortized cost basis of the securities. The Company adopted ASU No. 2016-13 on January 1, 2020 using the modified retrospective approach. The cumulative impact of transition to retained earnings, recorded as of the adoption date, was not material to the Company's consolidated financial statements. The Company did not record any material credit losses during the three and nine months ended September 30, 2020.</w:t>
      </w:r>
    </w:p>
    <w:p>
      <w:pPr>
        <w:spacing w:after="0" w:line="284" w:lineRule="exact"/>
        <w:rPr>
          <w:sz w:val="20"/>
          <w:szCs w:val="20"/>
          <w:color w:val="auto"/>
        </w:rPr>
      </w:pPr>
    </w:p>
    <w:p>
      <w:pPr>
        <w:ind w:right="140" w:firstLine="430"/>
        <w:spacing w:after="0" w:line="266"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which amends disclosure requirements for fair value measurements by requiring new disclosures, modifying existing requirements, and eliminating others. The amendments are the result of a broader disclosure project, which aims to improve the effectiveness of disclosures. The Company adopted ASU No. 2018-13 on January 1, 2020. The adoption of the standard did not have a material impact on the Company's consolidated financial statements.</w:t>
      </w:r>
    </w:p>
    <w:p>
      <w:pPr>
        <w:spacing w:after="0" w:line="203" w:lineRule="exact"/>
        <w:rPr>
          <w:sz w:val="20"/>
          <w:szCs w:val="20"/>
          <w:color w:val="auto"/>
        </w:rPr>
      </w:pPr>
    </w:p>
    <w:p>
      <w:pPr>
        <w:ind w:right="40" w:firstLine="430"/>
        <w:spacing w:after="0" w:line="263"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 (Subtopic 350-40), Customer's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Implementation Costs Incurred in a Cloud Computing Arrangement That Is a Service Contract. </w:t>
      </w:r>
      <w:r>
        <w:rPr>
          <w:rFonts w:ascii="Arial" w:cs="Arial" w:eastAsia="Arial" w:hAnsi="Arial"/>
          <w:sz w:val="17"/>
          <w:szCs w:val="17"/>
          <w:color w:val="auto"/>
        </w:rPr>
        <w:t>The amendments in ASU No. 2018-15 amend the definition</w:t>
      </w:r>
      <w:r>
        <w:rPr>
          <w:rFonts w:ascii="Arial" w:cs="Arial" w:eastAsia="Arial" w:hAnsi="Arial"/>
          <w:sz w:val="17"/>
          <w:szCs w:val="17"/>
          <w:i w:val="1"/>
          <w:iCs w:val="1"/>
          <w:color w:val="auto"/>
        </w:rPr>
        <w:t xml:space="preserve"> </w:t>
      </w:r>
      <w:r>
        <w:rPr>
          <w:rFonts w:ascii="Arial" w:cs="Arial" w:eastAsia="Arial" w:hAnsi="Arial"/>
          <w:sz w:val="17"/>
          <w:szCs w:val="17"/>
          <w:color w:val="auto"/>
        </w:rPr>
        <w:t>of a hosting arrangement and requires a customer in a hosting arrangement that is a service contract to capitalize certain costs as if the arrangement were an internal-use software project. The Company adopted ASU No. 2018-15 on January 1, 2020. The adoption of the standard did not have a material impact on the Company's consolidated financial statements.</w:t>
      </w:r>
    </w:p>
    <w:p>
      <w:pPr>
        <w:spacing w:after="0" w:line="207" w:lineRule="exact"/>
        <w:rPr>
          <w:sz w:val="20"/>
          <w:szCs w:val="20"/>
          <w:color w:val="auto"/>
        </w:rPr>
      </w:pPr>
    </w:p>
    <w:p>
      <w:pPr>
        <w:ind w:firstLine="430"/>
        <w:spacing w:after="0" w:line="260"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This ASU simplifies accounting for income taxes by removing the exception to the incremental approach for intraperiod tax allocation when there is a loss from continuing operations and income or gain for other items, the exception to the requirement to recognize a deferred tax liability for equity method investments when a foreign subsidiary becomes an equity method investment, the exception to the ability not to recognize a deferred tax liability for a foreign subsidiary when a foreign equity method investment becomes a subsidiary, and the exception to the general methodology for calculating income taxes in an interim period when a year-to-date loss exceeds the anticipated loss for the year. This ASU also includes other requirements related to franchise tax, goodwill as part of a business combination, consolidations, changes in tax laws, and affordable housing projects. The Company adopted ASU No. 2019-12 on January 1, 2020. The adoption of the standard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Short-Term Investments</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amortized cost, unrealized gains and losses and estimated fair value of the Company's cash, cash equivalents and short-term investments as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2020 and December 31, 2019 consisted of the following:</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3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760"/>
              <w:spacing w:after="0"/>
              <w:rPr>
                <w:sz w:val="20"/>
                <w:szCs w:val="20"/>
                <w:color w:val="auto"/>
              </w:rPr>
            </w:pPr>
            <w:r>
              <w:rPr>
                <w:rFonts w:ascii="Arial" w:cs="Arial" w:eastAsia="Arial" w:hAnsi="Arial"/>
                <w:sz w:val="17"/>
                <w:szCs w:val="17"/>
                <w:b w:val="1"/>
                <w:bCs w:val="1"/>
                <w:color w:val="auto"/>
              </w:rPr>
              <w:t>As of September 30, 2020</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Amortized Cost</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Arial" w:cs="Arial" w:eastAsia="Arial" w:hAnsi="Arial"/>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Arial" w:cs="Arial" w:eastAsia="Arial" w:hAnsi="Arial"/>
                <w:sz w:val="17"/>
                <w:szCs w:val="17"/>
                <w:b w:val="1"/>
                <w:bCs w:val="1"/>
                <w:color w:val="auto"/>
              </w:rPr>
              <w:t>Unrealized Loss</w:t>
            </w:r>
          </w:p>
        </w:tc>
        <w:tc>
          <w:tcPr>
            <w:tcW w:w="120" w:type="dxa"/>
            <w:vAlign w:val="bottom"/>
          </w:tcPr>
          <w:p>
            <w:pPr>
              <w:spacing w:after="0"/>
              <w:rPr>
                <w:sz w:val="18"/>
                <w:szCs w:val="18"/>
                <w:color w:val="auto"/>
              </w:rPr>
            </w:pPr>
          </w:p>
        </w:tc>
        <w:tc>
          <w:tcPr>
            <w:tcW w:w="1720" w:type="dxa"/>
            <w:vAlign w:val="bottom"/>
          </w:tcPr>
          <w:p>
            <w:pPr>
              <w:jc w:val="right"/>
              <w:ind w:right="53"/>
              <w:spacing w:after="0"/>
              <w:rPr>
                <w:sz w:val="20"/>
                <w:szCs w:val="20"/>
                <w:color w:val="auto"/>
              </w:rPr>
            </w:pPr>
            <w:r>
              <w:rPr>
                <w:rFonts w:ascii="Arial" w:cs="Arial" w:eastAsia="Arial" w:hAnsi="Arial"/>
                <w:sz w:val="17"/>
                <w:szCs w:val="17"/>
                <w:b w:val="1"/>
                <w:bCs w:val="1"/>
                <w:color w:val="auto"/>
                <w:w w:val="93"/>
              </w:rPr>
              <w:t>Estimated Fair Value</w:t>
            </w:r>
          </w:p>
        </w:tc>
        <w:tc>
          <w:tcPr>
            <w:tcW w:w="0" w:type="dxa"/>
            <w:vAlign w:val="bottom"/>
          </w:tcPr>
          <w:p>
            <w:pPr>
              <w:spacing w:after="0"/>
              <w:rPr>
                <w:sz w:val="1"/>
                <w:szCs w:val="1"/>
                <w:color w:val="auto"/>
              </w:rPr>
            </w:pPr>
          </w:p>
        </w:tc>
      </w:tr>
      <w:tr>
        <w:trPr>
          <w:trHeight w:val="32"/>
        </w:trPr>
        <w:tc>
          <w:tcPr>
            <w:tcW w:w="34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222"/>
        </w:trPr>
        <w:tc>
          <w:tcPr>
            <w:tcW w:w="346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371.2</w:t>
            </w:r>
          </w:p>
        </w:tc>
        <w:tc>
          <w:tcPr>
            <w:tcW w:w="0" w:type="dxa"/>
            <w:vAlign w:val="bottom"/>
          </w:tcPr>
          <w:p>
            <w:pPr>
              <w:spacing w:after="0"/>
              <w:rPr>
                <w:sz w:val="1"/>
                <w:szCs w:val="1"/>
                <w:color w:val="auto"/>
              </w:rPr>
            </w:pPr>
          </w:p>
        </w:tc>
      </w:tr>
      <w:tr>
        <w:trPr>
          <w:trHeight w:val="222"/>
        </w:trPr>
        <w:tc>
          <w:tcPr>
            <w:tcW w:w="3460" w:type="dxa"/>
            <w:vAlign w:val="bottom"/>
          </w:tcPr>
          <w:p>
            <w:pPr>
              <w:ind w:left="120"/>
              <w:spacing w:after="0"/>
              <w:rPr>
                <w:sz w:val="20"/>
                <w:szCs w:val="20"/>
                <w:color w:val="auto"/>
              </w:rPr>
            </w:pPr>
            <w:r>
              <w:rPr>
                <w:rFonts w:ascii="Arial" w:cs="Arial" w:eastAsia="Arial" w:hAnsi="Arial"/>
                <w:sz w:val="17"/>
                <w:szCs w:val="17"/>
                <w:color w:val="auto"/>
              </w:rPr>
              <w:t>Commercial paper</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Corporate notes and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2"/>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Certificates of deposit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3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5"/>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and cash equivalents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Corporate notes and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ind w:left="1260"/>
              <w:spacing w:after="0"/>
              <w:rPr>
                <w:sz w:val="20"/>
                <w:szCs w:val="20"/>
                <w:color w:val="auto"/>
              </w:rPr>
            </w:pPr>
            <w:r>
              <w:rPr>
                <w:rFonts w:ascii="Arial" w:cs="Arial" w:eastAsia="Arial" w:hAnsi="Arial"/>
                <w:sz w:val="17"/>
                <w:szCs w:val="17"/>
                <w:color w:val="auto"/>
                <w:w w:val="97"/>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392.2</w:t>
            </w:r>
          </w:p>
        </w:tc>
        <w:tc>
          <w:tcPr>
            <w:tcW w:w="0" w:type="dxa"/>
            <w:vAlign w:val="bottom"/>
          </w:tcPr>
          <w:p>
            <w:pPr>
              <w:spacing w:after="0"/>
              <w:rPr>
                <w:sz w:val="1"/>
                <w:szCs w:val="1"/>
                <w:color w:val="auto"/>
              </w:rPr>
            </w:pPr>
          </w:p>
        </w:tc>
      </w:tr>
      <w:tr>
        <w:trPr>
          <w:trHeight w:val="222"/>
        </w:trPr>
        <w:tc>
          <w:tcPr>
            <w:tcW w:w="3460" w:type="dxa"/>
            <w:vAlign w:val="bottom"/>
          </w:tcPr>
          <w:p>
            <w:pPr>
              <w:ind w:left="120"/>
              <w:spacing w:after="0"/>
              <w:rPr>
                <w:sz w:val="20"/>
                <w:szCs w:val="20"/>
                <w:color w:val="auto"/>
              </w:rPr>
            </w:pPr>
            <w:r>
              <w:rPr>
                <w:rFonts w:ascii="Arial" w:cs="Arial" w:eastAsia="Arial" w:hAnsi="Arial"/>
                <w:sz w:val="17"/>
                <w:szCs w:val="17"/>
                <w:color w:val="auto"/>
              </w:rPr>
              <w:t>U.S. Treasury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205.3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206.6</w:t>
            </w: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0" w:type="dxa"/>
            <w:vAlign w:val="bottom"/>
          </w:tcPr>
          <w:p>
            <w:pPr>
              <w:spacing w:after="0"/>
              <w:rPr>
                <w:sz w:val="1"/>
                <w:szCs w:val="1"/>
                <w:color w:val="auto"/>
              </w:rPr>
            </w:pPr>
          </w:p>
        </w:tc>
      </w:tr>
      <w:tr>
        <w:trPr>
          <w:trHeight w:val="222"/>
        </w:trPr>
        <w:tc>
          <w:tcPr>
            <w:tcW w:w="3460" w:type="dxa"/>
            <w:vAlign w:val="bottom"/>
          </w:tcPr>
          <w:p>
            <w:pPr>
              <w:ind w:left="100"/>
              <w:spacing w:after="0"/>
              <w:rPr>
                <w:sz w:val="20"/>
                <w:szCs w:val="20"/>
                <w:color w:val="auto"/>
              </w:rPr>
            </w:pPr>
            <w:r>
              <w:rPr>
                <w:rFonts w:ascii="Arial" w:cs="Arial" w:eastAsia="Arial" w:hAnsi="Arial"/>
                <w:sz w:val="17"/>
                <w:szCs w:val="17"/>
                <w:color w:val="auto"/>
              </w:rPr>
              <w:t>U.S. agency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22"/>
        </w:trPr>
        <w:tc>
          <w:tcPr>
            <w:tcW w:w="3460" w:type="dxa"/>
            <w:vAlign w:val="bottom"/>
          </w:tcPr>
          <w:p>
            <w:pPr>
              <w:ind w:left="120"/>
              <w:spacing w:after="0"/>
              <w:rPr>
                <w:sz w:val="20"/>
                <w:szCs w:val="20"/>
                <w:color w:val="auto"/>
              </w:rPr>
            </w:pPr>
            <w:r>
              <w:rPr>
                <w:rFonts w:ascii="Arial" w:cs="Arial" w:eastAsia="Arial" w:hAnsi="Arial"/>
                <w:sz w:val="17"/>
                <w:szCs w:val="17"/>
                <w:color w:val="auto"/>
              </w:rPr>
              <w:t>Certificates of deposit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 government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2"/>
        </w:trPr>
        <w:tc>
          <w:tcPr>
            <w:tcW w:w="3460" w:type="dxa"/>
            <w:vAlign w:val="bottom"/>
          </w:tcPr>
          <w:p>
            <w:pPr>
              <w:ind w:left="100"/>
              <w:spacing w:after="0"/>
              <w:rPr>
                <w:sz w:val="20"/>
                <w:szCs w:val="20"/>
                <w:color w:val="auto"/>
              </w:rPr>
            </w:pPr>
            <w:r>
              <w:rPr>
                <w:rFonts w:ascii="Arial" w:cs="Arial" w:eastAsia="Arial" w:hAnsi="Arial"/>
                <w:sz w:val="17"/>
                <w:szCs w:val="17"/>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5"/>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Arial" w:cs="Arial" w:eastAsia="Arial" w:hAnsi="Arial"/>
                <w:sz w:val="17"/>
                <w:szCs w:val="17"/>
                <w:color w:val="auto"/>
                <w:w w:val="97"/>
              </w:rPr>
              <w:t>(0.1)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773.8</w:t>
            </w:r>
          </w:p>
        </w:tc>
        <w:tc>
          <w:tcPr>
            <w:tcW w:w="0" w:type="dxa"/>
            <w:vAlign w:val="bottom"/>
          </w:tcPr>
          <w:p>
            <w:pPr>
              <w:spacing w:after="0"/>
              <w:rPr>
                <w:sz w:val="1"/>
                <w:szCs w:val="1"/>
                <w:color w:val="auto"/>
              </w:rPr>
            </w:pPr>
          </w:p>
        </w:tc>
      </w:tr>
      <w:tr>
        <w:trPr>
          <w:trHeight w:val="215"/>
        </w:trPr>
        <w:tc>
          <w:tcPr>
            <w:tcW w:w="346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1,221.5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ind w:left="1260"/>
              <w:spacing w:after="0"/>
              <w:rPr>
                <w:sz w:val="20"/>
                <w:szCs w:val="20"/>
                <w:color w:val="auto"/>
              </w:rPr>
            </w:pPr>
            <w:r>
              <w:rPr>
                <w:rFonts w:ascii="Arial" w:cs="Arial" w:eastAsia="Arial" w:hAnsi="Arial"/>
                <w:sz w:val="17"/>
                <w:szCs w:val="17"/>
                <w:color w:val="auto"/>
                <w:w w:val="97"/>
              </w:rPr>
              <w:t>(0.1)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1,226.5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3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7"/>
                <w:szCs w:val="17"/>
                <w:b w:val="1"/>
                <w:bCs w:val="1"/>
                <w:color w:val="auto"/>
              </w:rPr>
              <w:t>As of December 31, 2019</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7"/>
                <w:szCs w:val="17"/>
                <w:b w:val="1"/>
                <w:bCs w:val="1"/>
                <w:color w:val="auto"/>
              </w:rPr>
              <w:t>Amortized cost</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7"/>
                <w:szCs w:val="17"/>
                <w:b w:val="1"/>
                <w:bCs w:val="1"/>
                <w:color w:val="auto"/>
              </w:rPr>
              <w:t>Unrealized gain</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Unrealized loss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ind w:right="73"/>
              <w:spacing w:after="0"/>
              <w:rPr>
                <w:sz w:val="20"/>
                <w:szCs w:val="20"/>
                <w:color w:val="auto"/>
              </w:rPr>
            </w:pPr>
            <w:r>
              <w:rPr>
                <w:rFonts w:ascii="Arial" w:cs="Arial" w:eastAsia="Arial" w:hAnsi="Arial"/>
                <w:sz w:val="17"/>
                <w:szCs w:val="17"/>
                <w:b w:val="1"/>
                <w:bCs w:val="1"/>
                <w:color w:val="auto"/>
                <w:w w:val="94"/>
              </w:rPr>
              <w:t>Estimated fair value</w:t>
            </w:r>
          </w:p>
        </w:tc>
        <w:tc>
          <w:tcPr>
            <w:tcW w:w="0" w:type="dxa"/>
            <w:vAlign w:val="bottom"/>
          </w:tcPr>
          <w:p>
            <w:pPr>
              <w:spacing w:after="0"/>
              <w:rPr>
                <w:sz w:val="1"/>
                <w:szCs w:val="1"/>
                <w:color w:val="auto"/>
              </w:rPr>
            </w:pPr>
          </w:p>
        </w:tc>
      </w:tr>
      <w:tr>
        <w:trPr>
          <w:trHeight w:val="32"/>
        </w:trPr>
        <w:tc>
          <w:tcPr>
            <w:tcW w:w="34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22"/>
        </w:trPr>
        <w:tc>
          <w:tcPr>
            <w:tcW w:w="346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444.3</w:t>
            </w:r>
          </w:p>
        </w:tc>
        <w:tc>
          <w:tcPr>
            <w:tcW w:w="0" w:type="dxa"/>
            <w:vAlign w:val="bottom"/>
          </w:tcPr>
          <w:p>
            <w:pPr>
              <w:spacing w:after="0"/>
              <w:rPr>
                <w:sz w:val="1"/>
                <w:szCs w:val="1"/>
                <w:color w:val="auto"/>
              </w:rPr>
            </w:pPr>
          </w:p>
        </w:tc>
      </w:tr>
      <w:tr>
        <w:trPr>
          <w:trHeight w:val="222"/>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Commercial paper</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5"/>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and cash equivalents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Corporate notes and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97"/>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286.6</w:t>
            </w:r>
          </w:p>
        </w:tc>
        <w:tc>
          <w:tcPr>
            <w:tcW w:w="0" w:type="dxa"/>
            <w:vAlign w:val="bottom"/>
          </w:tcPr>
          <w:p>
            <w:pPr>
              <w:spacing w:after="0"/>
              <w:rPr>
                <w:sz w:val="1"/>
                <w:szCs w:val="1"/>
                <w:color w:val="auto"/>
              </w:rPr>
            </w:pPr>
          </w:p>
        </w:tc>
      </w:tr>
      <w:tr>
        <w:trPr>
          <w:trHeight w:val="222"/>
        </w:trPr>
        <w:tc>
          <w:tcPr>
            <w:tcW w:w="3460" w:type="dxa"/>
            <w:vAlign w:val="bottom"/>
          </w:tcPr>
          <w:p>
            <w:pPr>
              <w:ind w:left="120"/>
              <w:spacing w:after="0"/>
              <w:rPr>
                <w:sz w:val="20"/>
                <w:szCs w:val="20"/>
                <w:color w:val="auto"/>
              </w:rPr>
            </w:pPr>
            <w:r>
              <w:rPr>
                <w:rFonts w:ascii="Arial" w:cs="Arial" w:eastAsia="Arial" w:hAnsi="Arial"/>
                <w:sz w:val="17"/>
                <w:szCs w:val="17"/>
                <w:color w:val="auto"/>
              </w:rPr>
              <w:t>U.S. Treasury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171.0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171.3</w:t>
            </w: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22"/>
        </w:trPr>
        <w:tc>
          <w:tcPr>
            <w:tcW w:w="3460" w:type="dxa"/>
            <w:vAlign w:val="bottom"/>
          </w:tcPr>
          <w:p>
            <w:pPr>
              <w:ind w:left="120"/>
              <w:spacing w:after="0"/>
              <w:rPr>
                <w:sz w:val="20"/>
                <w:szCs w:val="20"/>
                <w:color w:val="auto"/>
              </w:rPr>
            </w:pPr>
            <w:r>
              <w:rPr>
                <w:rFonts w:ascii="Arial" w:cs="Arial" w:eastAsia="Arial" w:hAnsi="Arial"/>
                <w:sz w:val="17"/>
                <w:szCs w:val="17"/>
                <w:color w:val="auto"/>
              </w:rPr>
              <w:t>Certificates of deposit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agency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22"/>
        </w:trPr>
        <w:tc>
          <w:tcPr>
            <w:tcW w:w="3460" w:type="dxa"/>
            <w:vAlign w:val="bottom"/>
          </w:tcPr>
          <w:p>
            <w:pPr>
              <w:ind w:left="120"/>
              <w:spacing w:after="0"/>
              <w:rPr>
                <w:sz w:val="20"/>
                <w:szCs w:val="20"/>
                <w:color w:val="auto"/>
              </w:rPr>
            </w:pPr>
            <w:r>
              <w:rPr>
                <w:rFonts w:ascii="Arial" w:cs="Arial" w:eastAsia="Arial" w:hAnsi="Arial"/>
                <w:sz w:val="17"/>
                <w:szCs w:val="17"/>
                <w:color w:val="auto"/>
              </w:rPr>
              <w:t>Commercial paper</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Supranational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2"/>
        </w:trPr>
        <w:tc>
          <w:tcPr>
            <w:tcW w:w="3460" w:type="dxa"/>
            <w:vAlign w:val="bottom"/>
          </w:tcPr>
          <w:p>
            <w:pPr>
              <w:ind w:left="120"/>
              <w:spacing w:after="0"/>
              <w:rPr>
                <w:sz w:val="20"/>
                <w:szCs w:val="20"/>
                <w:color w:val="auto"/>
              </w:rPr>
            </w:pPr>
            <w:r>
              <w:rPr>
                <w:rFonts w:ascii="Arial" w:cs="Arial" w:eastAsia="Arial" w:hAnsi="Arial"/>
                <w:sz w:val="17"/>
                <w:szCs w:val="17"/>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5"/>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7"/>
              </w:rPr>
              <w:t>(0.1)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607.7</w:t>
            </w:r>
          </w:p>
        </w:tc>
        <w:tc>
          <w:tcPr>
            <w:tcW w:w="0" w:type="dxa"/>
            <w:vAlign w:val="bottom"/>
          </w:tcPr>
          <w:p>
            <w:pPr>
              <w:spacing w:after="0"/>
              <w:rPr>
                <w:sz w:val="1"/>
                <w:szCs w:val="1"/>
                <w:color w:val="auto"/>
              </w:rPr>
            </w:pPr>
          </w:p>
        </w:tc>
      </w:tr>
      <w:tr>
        <w:trPr>
          <w:trHeight w:val="215"/>
        </w:trPr>
        <w:tc>
          <w:tcPr>
            <w:tcW w:w="346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1,157.6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1293"/>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7"/>
              </w:rPr>
              <w:t>(0.1)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1,159.0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both"/>
        <w:ind w:firstLine="430"/>
        <w:spacing w:after="0" w:line="287" w:lineRule="auto"/>
        <w:rPr>
          <w:sz w:val="20"/>
          <w:szCs w:val="20"/>
          <w:color w:val="auto"/>
        </w:rPr>
      </w:pPr>
      <w:r>
        <w:rPr>
          <w:rFonts w:ascii="Arial" w:cs="Arial" w:eastAsia="Arial" w:hAnsi="Arial"/>
          <w:sz w:val="17"/>
          <w:szCs w:val="17"/>
          <w:color w:val="auto"/>
        </w:rPr>
        <w:t>Included in cash and cash equivalents is cash in transit from payment processors for credit and debit card transactions of $12.2 million and $11.5 million as of September 30, 2020 and December 31, 2019, respectively.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short-term investments were designated as available-for-sale securities as of September 30, 2020 and December 31, 2019.</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contractual maturities of the Company’s short-term investments as of September 30, 2020:</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680" w:type="dxa"/>
            <w:vAlign w:val="bottom"/>
          </w:tcPr>
          <w:p>
            <w:pPr>
              <w:spacing w:after="0"/>
              <w:rPr>
                <w:sz w:val="19"/>
                <w:szCs w:val="19"/>
                <w:color w:val="auto"/>
              </w:rPr>
            </w:pPr>
          </w:p>
        </w:tc>
        <w:tc>
          <w:tcPr>
            <w:tcW w:w="4540" w:type="dxa"/>
            <w:vAlign w:val="bottom"/>
            <w:tcBorders>
              <w:bottom w:val="single" w:sz="8" w:color="auto"/>
            </w:tcBorders>
            <w:gridSpan w:val="5"/>
          </w:tcPr>
          <w:p>
            <w:pPr>
              <w:jc w:val="right"/>
              <w:ind w:right="1253"/>
              <w:spacing w:after="0"/>
              <w:rPr>
                <w:sz w:val="20"/>
                <w:szCs w:val="20"/>
                <w:color w:val="auto"/>
              </w:rPr>
            </w:pPr>
            <w:r>
              <w:rPr>
                <w:rFonts w:ascii="Arial" w:cs="Arial" w:eastAsia="Arial" w:hAnsi="Arial"/>
                <w:sz w:val="17"/>
                <w:szCs w:val="17"/>
                <w:b w:val="1"/>
                <w:bCs w:val="1"/>
                <w:color w:val="auto"/>
              </w:rPr>
              <w:t>As of September 30, 2020</w:t>
            </w:r>
          </w:p>
        </w:tc>
      </w:tr>
      <w:tr>
        <w:trPr>
          <w:trHeight w:val="215"/>
        </w:trPr>
        <w:tc>
          <w:tcPr>
            <w:tcW w:w="668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Amortized cost</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Estimated fair value</w:t>
            </w:r>
          </w:p>
        </w:tc>
      </w:tr>
      <w:tr>
        <w:trPr>
          <w:trHeight w:val="32"/>
        </w:trPr>
        <w:tc>
          <w:tcPr>
            <w:tcW w:w="6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2"/>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348.3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349.2</w:t>
            </w:r>
          </w:p>
        </w:tc>
      </w:tr>
      <w:tr>
        <w:trPr>
          <w:trHeight w:val="222"/>
        </w:trPr>
        <w:tc>
          <w:tcPr>
            <w:tcW w:w="6680" w:type="dxa"/>
            <w:vAlign w:val="bottom"/>
          </w:tcPr>
          <w:p>
            <w:pPr>
              <w:ind w:left="20"/>
              <w:spacing w:after="0"/>
              <w:rPr>
                <w:sz w:val="20"/>
                <w:szCs w:val="20"/>
                <w:color w:val="auto"/>
              </w:rPr>
            </w:pPr>
            <w:r>
              <w:rPr>
                <w:rFonts w:ascii="Arial" w:cs="Arial" w:eastAsia="Arial" w:hAnsi="Arial"/>
                <w:sz w:val="17"/>
                <w:szCs w:val="17"/>
                <w:color w:val="auto"/>
              </w:rPr>
              <w:t>Due between one to three years</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347.3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350.9</w:t>
            </w:r>
          </w:p>
        </w:tc>
      </w:tr>
      <w:tr>
        <w:trPr>
          <w:trHeight w:val="222"/>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after three years</w:t>
            </w:r>
          </w:p>
        </w:tc>
        <w:tc>
          <w:tcPr>
            <w:tcW w:w="1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w:t>
            </w:r>
          </w:p>
        </w:tc>
      </w:tr>
      <w:tr>
        <w:trPr>
          <w:trHeight w:val="215"/>
        </w:trPr>
        <w:tc>
          <w:tcPr>
            <w:tcW w:w="6680" w:type="dxa"/>
            <w:vAlign w:val="bottom"/>
          </w:tcPr>
          <w:p>
            <w:pPr>
              <w:ind w:left="20"/>
              <w:spacing w:after="0"/>
              <w:rPr>
                <w:sz w:val="20"/>
                <w:szCs w:val="20"/>
                <w:color w:val="auto"/>
              </w:rPr>
            </w:pPr>
            <w:r>
              <w:rPr>
                <w:rFonts w:ascii="Arial" w:cs="Arial" w:eastAsia="Arial" w:hAnsi="Arial"/>
                <w:sz w:val="17"/>
                <w:szCs w:val="17"/>
                <w:color w:val="auto"/>
              </w:rPr>
              <w:t>Total</w:t>
            </w:r>
          </w:p>
        </w:tc>
        <w:tc>
          <w:tcPr>
            <w:tcW w:w="1700" w:type="dxa"/>
            <w:vAlign w:val="bottom"/>
            <w:tcBorders>
              <w:bottom w:val="single" w:sz="8" w:color="auto"/>
            </w:tcBorders>
          </w:tcPr>
          <w:p>
            <w:pPr>
              <w:jc w:val="right"/>
              <w:ind w:right="151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768.8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773.8</w:t>
            </w:r>
          </w:p>
        </w:tc>
      </w:tr>
      <w:tr>
        <w:trPr>
          <w:trHeight w:val="20"/>
        </w:trPr>
        <w:tc>
          <w:tcPr>
            <w:tcW w:w="6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600" w:firstLine="430"/>
        <w:spacing w:after="0" w:line="271" w:lineRule="auto"/>
        <w:rPr>
          <w:sz w:val="20"/>
          <w:szCs w:val="20"/>
          <w:color w:val="auto"/>
        </w:rPr>
      </w:pPr>
      <w:r>
        <w:rPr>
          <w:rFonts w:ascii="Arial" w:cs="Arial" w:eastAsia="Arial" w:hAnsi="Arial"/>
          <w:sz w:val="17"/>
          <w:szCs w:val="17"/>
          <w:color w:val="auto"/>
        </w:rPr>
        <w:t>The Company had 55 short-term investments in unrealized loss positions as of September 30, 2020. There were no material unrealized losses from available-for-sale securities and no material realized gains or losses from available-for-sale securities that were reclassified out of accumulated other comprehensive income (loss) for the three and nine months ended September 30, 2020.</w:t>
      </w:r>
    </w:p>
    <w:p>
      <w:pPr>
        <w:spacing w:after="0" w:line="198" w:lineRule="exact"/>
        <w:rPr>
          <w:sz w:val="20"/>
          <w:szCs w:val="20"/>
          <w:color w:val="auto"/>
        </w:rPr>
      </w:pPr>
    </w:p>
    <w:p>
      <w:pPr>
        <w:ind w:right="80" w:firstLine="430"/>
        <w:spacing w:after="0" w:line="284" w:lineRule="auto"/>
        <w:rPr>
          <w:sz w:val="20"/>
          <w:szCs w:val="20"/>
          <w:color w:val="auto"/>
        </w:rPr>
      </w:pPr>
      <w:r>
        <w:rPr>
          <w:rFonts w:ascii="Arial" w:cs="Arial" w:eastAsia="Arial" w:hAnsi="Arial"/>
          <w:sz w:val="16"/>
          <w:szCs w:val="16"/>
          <w:color w:val="auto"/>
        </w:rPr>
        <w:t>As of September 30, 2020, the Company’s short-term investments portfolio consisted of eight security types, one of which was in an unrealized loss position. The Company’s corporate notes and obligations had unrealized losses of approximately $0.1 million as of September 30, 2020. Unrealized losses on corporate notes and obligations have not been recorded into income because management does not intend to sell nor will be required to sell these securities prior to their anticipated recovery, and for which the decline in fair value is largely due to changes in credit spreads. The credit ratings associated with the corporate notes and obligations are mostly unchanged, are highly rated and the issuers continue to make timely principal and interest payments.</w:t>
      </w:r>
    </w:p>
    <w:p>
      <w:pPr>
        <w:spacing w:after="0" w:line="189" w:lineRule="exact"/>
        <w:rPr>
          <w:sz w:val="20"/>
          <w:szCs w:val="20"/>
          <w:color w:val="auto"/>
        </w:rPr>
      </w:pPr>
    </w:p>
    <w:p>
      <w:pPr>
        <w:ind w:right="120" w:firstLine="430"/>
        <w:spacing w:after="0" w:line="271" w:lineRule="auto"/>
        <w:rPr>
          <w:sz w:val="20"/>
          <w:szCs w:val="20"/>
          <w:color w:val="auto"/>
        </w:rPr>
      </w:pPr>
      <w:r>
        <w:rPr>
          <w:rFonts w:ascii="Arial" w:cs="Arial" w:eastAsia="Arial" w:hAnsi="Arial"/>
          <w:sz w:val="17"/>
          <w:szCs w:val="17"/>
          <w:color w:val="auto"/>
        </w:rPr>
        <w:t>The Company recorded interest income from its cash, cash equivalents, and short-term investments of $2.6 million and $10.4 million during the three and nine months ended September 30, 2020, respectively, and $5.7 million and $17.5 million during the three and nine months ended September 30, 2019,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w:t>
      </w:r>
    </w:p>
    <w:p>
      <w:pPr>
        <w:spacing w:after="0" w:line="254" w:lineRule="exact"/>
        <w:rPr>
          <w:sz w:val="20"/>
          <w:szCs w:val="20"/>
          <w:color w:val="auto"/>
        </w:rPr>
      </w:pPr>
    </w:p>
    <w:p>
      <w:pPr>
        <w:jc w:val="both"/>
        <w:ind w:right="20" w:firstLine="430"/>
        <w:spacing w:after="0" w:line="271" w:lineRule="auto"/>
        <w:rPr>
          <w:sz w:val="20"/>
          <w:szCs w:val="20"/>
          <w:color w:val="auto"/>
        </w:rPr>
      </w:pPr>
      <w:r>
        <w:rPr>
          <w:rFonts w:ascii="Arial" w:cs="Arial" w:eastAsia="Arial" w:hAnsi="Arial"/>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98" w:lineRule="exact"/>
        <w:rPr>
          <w:sz w:val="20"/>
          <w:szCs w:val="20"/>
          <w:color w:val="auto"/>
        </w:rPr>
      </w:pPr>
    </w:p>
    <w:p>
      <w:pPr>
        <w:ind w:right="300" w:firstLine="430"/>
        <w:spacing w:after="0" w:line="287" w:lineRule="auto"/>
        <w:rPr>
          <w:sz w:val="20"/>
          <w:szCs w:val="20"/>
          <w:color w:val="auto"/>
        </w:rPr>
      </w:pPr>
      <w:r>
        <w:rPr>
          <w:rFonts w:ascii="Arial" w:cs="Arial" w:eastAsia="Arial" w:hAnsi="Arial"/>
          <w:sz w:val="17"/>
          <w:szCs w:val="17"/>
          <w:color w:val="auto"/>
        </w:rPr>
        <w:t>The following table presents information about the Company’s financial instruments that are measured at fair value on a recurring basis using the input categories discussed in Note 1:</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7"/>
                <w:szCs w:val="17"/>
                <w:b w:val="1"/>
                <w:bCs w:val="1"/>
                <w:color w:val="auto"/>
              </w:rPr>
              <w:t>As of September 30, 2020</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15"/>
        </w:trPr>
        <w:tc>
          <w:tcPr>
            <w:tcW w:w="33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2</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r>
      <w:tr>
        <w:trPr>
          <w:trHeight w:val="32"/>
        </w:trPr>
        <w:tc>
          <w:tcPr>
            <w:tcW w:w="3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2"/>
        </w:trPr>
        <w:tc>
          <w:tcPr>
            <w:tcW w:w="3380" w:type="dxa"/>
            <w:vAlign w:val="bottom"/>
          </w:tcPr>
          <w:p>
            <w:pPr>
              <w:ind w:left="120"/>
              <w:spacing w:after="0"/>
              <w:rPr>
                <w:sz w:val="20"/>
                <w:szCs w:val="20"/>
                <w:color w:val="auto"/>
              </w:rPr>
            </w:pPr>
            <w:r>
              <w:rPr>
                <w:rFonts w:ascii="Arial" w:cs="Arial" w:eastAsia="Arial" w:hAnsi="Arial"/>
                <w:sz w:val="17"/>
                <w:szCs w:val="17"/>
                <w:color w:val="auto"/>
              </w:rPr>
              <w:t>Money market funds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371.2</w:t>
            </w:r>
          </w:p>
        </w:tc>
        <w:tc>
          <w:tcPr>
            <w:tcW w:w="100" w:type="dxa"/>
            <w:vAlign w:val="bottom"/>
          </w:tcPr>
          <w:p>
            <w:pPr>
              <w:spacing w:after="0"/>
              <w:rPr>
                <w:sz w:val="19"/>
                <w:szCs w:val="19"/>
                <w:color w:val="auto"/>
              </w:rPr>
            </w:pP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371.2</w:t>
            </w:r>
          </w:p>
        </w:tc>
      </w:tr>
      <w:tr>
        <w:trPr>
          <w:trHeight w:val="222"/>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Commercial paper</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22"/>
        </w:trPr>
        <w:tc>
          <w:tcPr>
            <w:tcW w:w="3380" w:type="dxa"/>
            <w:vAlign w:val="bottom"/>
          </w:tcPr>
          <w:p>
            <w:pPr>
              <w:ind w:left="12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2"/>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Certificates of deposit</w:t>
            </w: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5"/>
        </w:trPr>
        <w:tc>
          <w:tcPr>
            <w:tcW w:w="3380" w:type="dxa"/>
            <w:vAlign w:val="bottom"/>
          </w:tcPr>
          <w:p>
            <w:pPr>
              <w:ind w:left="20"/>
              <w:spacing w:after="0"/>
              <w:rPr>
                <w:sz w:val="20"/>
                <w:szCs w:val="20"/>
                <w:color w:val="auto"/>
              </w:rPr>
            </w:pPr>
            <w:r>
              <w:rPr>
                <w:rFonts w:ascii="Arial" w:cs="Arial" w:eastAsia="Arial" w:hAnsi="Arial"/>
                <w:sz w:val="17"/>
                <w:szCs w:val="17"/>
                <w:color w:val="auto"/>
              </w:rPr>
              <w:t>Total cash equivalents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371.2</w:t>
            </w:r>
          </w:p>
        </w:tc>
        <w:tc>
          <w:tcPr>
            <w:tcW w:w="100" w:type="dxa"/>
            <w:vAlign w:val="bottom"/>
          </w:tcPr>
          <w:p>
            <w:pPr>
              <w:spacing w:after="0"/>
              <w:rPr>
                <w:sz w:val="18"/>
                <w:szCs w:val="18"/>
                <w:color w:val="auto"/>
              </w:rPr>
            </w:pP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8"/>
                <w:szCs w:val="18"/>
                <w:color w:val="auto"/>
              </w:rPr>
            </w:pP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381.1</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338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Short-term investments</w:t>
            </w: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2"/>
        </w:trPr>
        <w:tc>
          <w:tcPr>
            <w:tcW w:w="3380" w:type="dxa"/>
            <w:vAlign w:val="bottom"/>
          </w:tcPr>
          <w:p>
            <w:pPr>
              <w:ind w:left="12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392.2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392.2</w:t>
            </w:r>
          </w:p>
        </w:tc>
      </w:tr>
      <w:tr>
        <w:trPr>
          <w:trHeight w:val="222"/>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Treasury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206.6</w:t>
            </w:r>
          </w:p>
        </w:tc>
      </w:tr>
      <w:tr>
        <w:trPr>
          <w:trHeight w:val="222"/>
        </w:trPr>
        <w:tc>
          <w:tcPr>
            <w:tcW w:w="3380" w:type="dxa"/>
            <w:vAlign w:val="bottom"/>
          </w:tcPr>
          <w:p>
            <w:pPr>
              <w:ind w:left="120"/>
              <w:spacing w:after="0"/>
              <w:rPr>
                <w:sz w:val="20"/>
                <w:szCs w:val="20"/>
                <w:color w:val="auto"/>
              </w:rPr>
            </w:pPr>
            <w:r>
              <w:rPr>
                <w:rFonts w:ascii="Arial" w:cs="Arial" w:eastAsia="Arial" w:hAnsi="Arial"/>
                <w:sz w:val="17"/>
                <w:szCs w:val="17"/>
                <w:color w:val="auto"/>
              </w:rPr>
              <w:t>Asset backed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84.7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84.7</w:t>
            </w:r>
          </w:p>
        </w:tc>
      </w:tr>
      <w:tr>
        <w:trPr>
          <w:trHeight w:val="222"/>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agency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r>
      <w:tr>
        <w:trPr>
          <w:trHeight w:val="222"/>
        </w:trPr>
        <w:tc>
          <w:tcPr>
            <w:tcW w:w="3380" w:type="dxa"/>
            <w:vAlign w:val="bottom"/>
          </w:tcPr>
          <w:p>
            <w:pPr>
              <w:ind w:left="120"/>
              <w:spacing w:after="0"/>
              <w:rPr>
                <w:sz w:val="20"/>
                <w:szCs w:val="20"/>
                <w:color w:val="auto"/>
              </w:rPr>
            </w:pPr>
            <w:r>
              <w:rPr>
                <w:rFonts w:ascii="Arial" w:cs="Arial" w:eastAsia="Arial" w:hAnsi="Arial"/>
                <w:sz w:val="17"/>
                <w:szCs w:val="17"/>
                <w:color w:val="auto"/>
              </w:rPr>
              <w:t>Commercial paper</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24.5</w:t>
            </w:r>
          </w:p>
        </w:tc>
      </w:tr>
      <w:tr>
        <w:trPr>
          <w:trHeight w:val="222"/>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Certificates of deposit</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r>
      <w:tr>
        <w:trPr>
          <w:trHeight w:val="222"/>
        </w:trPr>
        <w:tc>
          <w:tcPr>
            <w:tcW w:w="3380" w:type="dxa"/>
            <w:vAlign w:val="bottom"/>
          </w:tcPr>
          <w:p>
            <w:pPr>
              <w:ind w:left="120"/>
              <w:spacing w:after="0"/>
              <w:rPr>
                <w:sz w:val="20"/>
                <w:szCs w:val="20"/>
                <w:color w:val="auto"/>
              </w:rPr>
            </w:pPr>
            <w:r>
              <w:rPr>
                <w:rFonts w:ascii="Arial" w:cs="Arial" w:eastAsia="Arial" w:hAnsi="Arial"/>
                <w:sz w:val="17"/>
                <w:szCs w:val="17"/>
                <w:color w:val="auto"/>
              </w:rPr>
              <w:t>Foreign government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22"/>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Municipal securities</w:t>
            </w: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15"/>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773.8</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773.8</w:t>
            </w:r>
          </w:p>
        </w:tc>
      </w:tr>
      <w:tr>
        <w:trPr>
          <w:trHeight w:val="23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371.2</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1,154.9</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560" w:firstLine="430"/>
        <w:spacing w:after="0" w:line="287" w:lineRule="auto"/>
        <w:rPr>
          <w:sz w:val="20"/>
          <w:szCs w:val="20"/>
          <w:color w:val="auto"/>
        </w:rPr>
      </w:pPr>
      <w:r>
        <w:rPr>
          <w:rFonts w:ascii="Arial" w:cs="Arial" w:eastAsia="Arial" w:hAnsi="Arial"/>
          <w:sz w:val="17"/>
          <w:szCs w:val="17"/>
          <w:color w:val="auto"/>
        </w:rPr>
        <w:t>The Company has an investment in a non-marketable equity security in a privately held company without a readily determinable market value. The investment has a carrying value of $5.6 million and is categorized as Level 3.</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7"/>
                <w:szCs w:val="17"/>
                <w:b w:val="1"/>
                <w:bCs w:val="1"/>
                <w:color w:val="auto"/>
              </w:rPr>
              <w:t>As of December 31, 2019</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15"/>
        </w:trPr>
        <w:tc>
          <w:tcPr>
            <w:tcW w:w="33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2</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r>
      <w:tr>
        <w:trPr>
          <w:trHeight w:val="84"/>
        </w:trPr>
        <w:tc>
          <w:tcPr>
            <w:tcW w:w="3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22"/>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2"/>
        </w:trPr>
        <w:tc>
          <w:tcPr>
            <w:tcW w:w="3380" w:type="dxa"/>
            <w:vAlign w:val="bottom"/>
          </w:tcPr>
          <w:p>
            <w:pPr>
              <w:ind w:left="120"/>
              <w:spacing w:after="0"/>
              <w:rPr>
                <w:sz w:val="20"/>
                <w:szCs w:val="20"/>
                <w:color w:val="auto"/>
              </w:rPr>
            </w:pPr>
            <w:r>
              <w:rPr>
                <w:rFonts w:ascii="Arial" w:cs="Arial" w:eastAsia="Arial" w:hAnsi="Arial"/>
                <w:sz w:val="17"/>
                <w:szCs w:val="17"/>
                <w:color w:val="auto"/>
              </w:rPr>
              <w:t>Money market funds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444.3</w:t>
            </w:r>
          </w:p>
        </w:tc>
        <w:tc>
          <w:tcPr>
            <w:tcW w:w="100" w:type="dxa"/>
            <w:vAlign w:val="bottom"/>
          </w:tcPr>
          <w:p>
            <w:pPr>
              <w:spacing w:after="0"/>
              <w:rPr>
                <w:sz w:val="19"/>
                <w:szCs w:val="19"/>
                <w:color w:val="auto"/>
              </w:rPr>
            </w:pP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444.3</w:t>
            </w:r>
          </w:p>
        </w:tc>
      </w:tr>
      <w:tr>
        <w:trPr>
          <w:trHeight w:val="222"/>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Commercial paper</w:t>
            </w: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5"/>
        </w:trPr>
        <w:tc>
          <w:tcPr>
            <w:tcW w:w="3380" w:type="dxa"/>
            <w:vAlign w:val="bottom"/>
          </w:tcPr>
          <w:p>
            <w:pPr>
              <w:ind w:left="20"/>
              <w:spacing w:after="0"/>
              <w:rPr>
                <w:sz w:val="20"/>
                <w:szCs w:val="20"/>
                <w:color w:val="auto"/>
              </w:rPr>
            </w:pPr>
            <w:r>
              <w:rPr>
                <w:rFonts w:ascii="Arial" w:cs="Arial" w:eastAsia="Arial" w:hAnsi="Arial"/>
                <w:sz w:val="17"/>
                <w:szCs w:val="17"/>
                <w:color w:val="auto"/>
              </w:rPr>
              <w:t>Total Cash Equivalents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444.3</w:t>
            </w:r>
          </w:p>
        </w:tc>
        <w:tc>
          <w:tcPr>
            <w:tcW w:w="100" w:type="dxa"/>
            <w:vAlign w:val="bottom"/>
          </w:tcPr>
          <w:p>
            <w:pPr>
              <w:spacing w:after="0"/>
              <w:rPr>
                <w:sz w:val="18"/>
                <w:szCs w:val="18"/>
                <w:color w:val="auto"/>
              </w:rPr>
            </w:pP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446.3</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338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Short-term investments</w:t>
            </w: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2"/>
        </w:trPr>
        <w:tc>
          <w:tcPr>
            <w:tcW w:w="3380" w:type="dxa"/>
            <w:vAlign w:val="bottom"/>
          </w:tcPr>
          <w:p>
            <w:pPr>
              <w:ind w:left="12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286.6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286.6</w:t>
            </w:r>
          </w:p>
        </w:tc>
      </w:tr>
      <w:tr>
        <w:trPr>
          <w:trHeight w:val="222"/>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Treasury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w:t>
            </w:r>
          </w:p>
        </w:tc>
      </w:tr>
      <w:tr>
        <w:trPr>
          <w:trHeight w:val="222"/>
        </w:trPr>
        <w:tc>
          <w:tcPr>
            <w:tcW w:w="3380" w:type="dxa"/>
            <w:vAlign w:val="bottom"/>
          </w:tcPr>
          <w:p>
            <w:pPr>
              <w:ind w:left="120"/>
              <w:spacing w:after="0"/>
              <w:rPr>
                <w:sz w:val="20"/>
                <w:szCs w:val="20"/>
                <w:color w:val="auto"/>
              </w:rPr>
            </w:pPr>
            <w:r>
              <w:rPr>
                <w:rFonts w:ascii="Arial" w:cs="Arial" w:eastAsia="Arial" w:hAnsi="Arial"/>
                <w:sz w:val="17"/>
                <w:szCs w:val="17"/>
                <w:color w:val="auto"/>
              </w:rPr>
              <w:t>Asset-backed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53.8</w:t>
            </w:r>
          </w:p>
        </w:tc>
      </w:tr>
      <w:tr>
        <w:trPr>
          <w:trHeight w:val="222"/>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Certificates of deposit</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r>
      <w:tr>
        <w:trPr>
          <w:trHeight w:val="222"/>
        </w:trPr>
        <w:tc>
          <w:tcPr>
            <w:tcW w:w="3380" w:type="dxa"/>
            <w:vAlign w:val="bottom"/>
          </w:tcPr>
          <w:p>
            <w:pPr>
              <w:ind w:left="120"/>
              <w:spacing w:after="0"/>
              <w:rPr>
                <w:sz w:val="20"/>
                <w:szCs w:val="20"/>
                <w:color w:val="auto"/>
              </w:rPr>
            </w:pPr>
            <w:r>
              <w:rPr>
                <w:rFonts w:ascii="Arial" w:cs="Arial" w:eastAsia="Arial" w:hAnsi="Arial"/>
                <w:sz w:val="17"/>
                <w:szCs w:val="17"/>
                <w:color w:val="auto"/>
              </w:rPr>
              <w:t>U.S. agency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27.2</w:t>
            </w:r>
          </w:p>
        </w:tc>
      </w:tr>
      <w:tr>
        <w:trPr>
          <w:trHeight w:val="222"/>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Commercial paper</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r>
      <w:tr>
        <w:trPr>
          <w:trHeight w:val="222"/>
        </w:trPr>
        <w:tc>
          <w:tcPr>
            <w:tcW w:w="3380" w:type="dxa"/>
            <w:vAlign w:val="bottom"/>
          </w:tcPr>
          <w:p>
            <w:pPr>
              <w:ind w:left="120"/>
              <w:spacing w:after="0"/>
              <w:rPr>
                <w:sz w:val="20"/>
                <w:szCs w:val="20"/>
                <w:color w:val="auto"/>
              </w:rPr>
            </w:pPr>
            <w:r>
              <w:rPr>
                <w:rFonts w:ascii="Arial" w:cs="Arial" w:eastAsia="Arial" w:hAnsi="Arial"/>
                <w:sz w:val="17"/>
                <w:szCs w:val="17"/>
                <w:color w:val="auto"/>
              </w:rPr>
              <w:t>Supranational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22"/>
        </w:trPr>
        <w:tc>
          <w:tcPr>
            <w:tcW w:w="3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Municipal securities</w:t>
            </w: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5"/>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607.7</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607.7</w:t>
            </w:r>
          </w:p>
        </w:tc>
      </w:tr>
      <w:tr>
        <w:trPr>
          <w:trHeight w:val="21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investments</w:t>
            </w:r>
          </w:p>
        </w:tc>
        <w:tc>
          <w:tcPr>
            <w:tcW w:w="1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r>
      <w:tr>
        <w:trPr>
          <w:trHeight w:val="215"/>
        </w:trPr>
        <w:tc>
          <w:tcPr>
            <w:tcW w:w="3380" w:type="dxa"/>
            <w:vAlign w:val="bottom"/>
          </w:tcPr>
          <w:p>
            <w:pPr>
              <w:ind w:left="20"/>
              <w:spacing w:after="0"/>
              <w:rPr>
                <w:sz w:val="20"/>
                <w:szCs w:val="20"/>
                <w:color w:val="auto"/>
              </w:rPr>
            </w:pPr>
            <w:r>
              <w:rPr>
                <w:rFonts w:ascii="Arial" w:cs="Arial" w:eastAsia="Arial" w:hAnsi="Arial"/>
                <w:sz w:val="17"/>
                <w:szCs w:val="17"/>
                <w:color w:val="auto"/>
              </w:rPr>
              <w:t>Total</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454.1</w:t>
            </w:r>
          </w:p>
        </w:tc>
        <w:tc>
          <w:tcPr>
            <w:tcW w:w="100" w:type="dxa"/>
            <w:vAlign w:val="bottom"/>
          </w:tcPr>
          <w:p>
            <w:pPr>
              <w:spacing w:after="0"/>
              <w:rPr>
                <w:sz w:val="18"/>
                <w:szCs w:val="18"/>
                <w:color w:val="auto"/>
              </w:rPr>
            </w:pP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609.7</w:t>
            </w:r>
          </w:p>
        </w:tc>
        <w:tc>
          <w:tcPr>
            <w:tcW w:w="100" w:type="dxa"/>
            <w:vAlign w:val="bottom"/>
          </w:tcPr>
          <w:p>
            <w:pPr>
              <w:spacing w:after="0"/>
              <w:rPr>
                <w:sz w:val="18"/>
                <w:szCs w:val="18"/>
                <w:color w:val="auto"/>
              </w:rPr>
            </w:pP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1,063.8</w:t>
            </w:r>
          </w:p>
        </w:tc>
      </w:tr>
      <w:tr>
        <w:trPr>
          <w:trHeight w:val="20"/>
        </w:trPr>
        <w:tc>
          <w:tcPr>
            <w:tcW w:w="3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no transfers between levels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120" w:firstLine="430"/>
        <w:spacing w:after="0" w:line="287" w:lineRule="auto"/>
        <w:rPr>
          <w:sz w:val="20"/>
          <w:szCs w:val="20"/>
          <w:color w:val="auto"/>
        </w:rPr>
      </w:pPr>
      <w:r>
        <w:rPr>
          <w:rFonts w:ascii="Arial" w:cs="Arial" w:eastAsia="Arial" w:hAnsi="Arial"/>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00" w:type="dxa"/>
            <w:vAlign w:val="bottom"/>
            <w:gridSpan w:val="2"/>
          </w:tcPr>
          <w:p>
            <w:pPr>
              <w:spacing w:after="0"/>
              <w:rPr>
                <w:sz w:val="20"/>
                <w:szCs w:val="20"/>
                <w:color w:val="auto"/>
              </w:rPr>
            </w:pPr>
            <w:r>
              <w:rPr>
                <w:rFonts w:ascii="Arial" w:cs="Arial" w:eastAsia="Arial" w:hAnsi="Arial"/>
                <w:sz w:val="17"/>
                <w:szCs w:val="17"/>
                <w:b w:val="1"/>
                <w:bCs w:val="1"/>
                <w:color w:val="auto"/>
              </w:rPr>
              <w:t>Note 4. Property and Equipment, Net</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43"/>
        </w:trPr>
        <w:tc>
          <w:tcPr>
            <w:tcW w:w="40" w:type="dxa"/>
            <w:vAlign w:val="bottom"/>
          </w:tcPr>
          <w:p>
            <w:pPr>
              <w:spacing w:after="0"/>
              <w:rPr>
                <w:sz w:val="24"/>
                <w:szCs w:val="24"/>
                <w:color w:val="auto"/>
              </w:rPr>
            </w:pPr>
          </w:p>
        </w:tc>
        <w:tc>
          <w:tcPr>
            <w:tcW w:w="6760" w:type="dxa"/>
            <w:vAlign w:val="bottom"/>
          </w:tcPr>
          <w:p>
            <w:pPr>
              <w:ind w:left="400"/>
              <w:spacing w:after="0"/>
              <w:rPr>
                <w:sz w:val="20"/>
                <w:szCs w:val="20"/>
                <w:color w:val="auto"/>
              </w:rPr>
            </w:pPr>
            <w:r>
              <w:rPr>
                <w:rFonts w:ascii="Arial" w:cs="Arial" w:eastAsia="Arial" w:hAnsi="Arial"/>
                <w:sz w:val="17"/>
                <w:szCs w:val="17"/>
                <w:color w:val="auto"/>
              </w:rPr>
              <w:t>Property and equipment, net consisted of the following:</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39"/>
        </w:trPr>
        <w:tc>
          <w:tcPr>
            <w:tcW w:w="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 2020</w:t>
            </w:r>
          </w:p>
        </w:tc>
        <w:tc>
          <w:tcPr>
            <w:tcW w:w="260" w:type="dxa"/>
            <w:vAlign w:val="bottom"/>
          </w:tcPr>
          <w:p>
            <w:pPr>
              <w:spacing w:after="0"/>
              <w:rPr>
                <w:sz w:val="18"/>
                <w:szCs w:val="18"/>
                <w:color w:val="auto"/>
              </w:rPr>
            </w:pPr>
          </w:p>
        </w:tc>
        <w:tc>
          <w:tcPr>
            <w:tcW w:w="1920" w:type="dxa"/>
            <w:vAlign w:val="bottom"/>
          </w:tcPr>
          <w:p>
            <w:pPr>
              <w:jc w:val="right"/>
              <w:ind w:right="313"/>
              <w:spacing w:after="0"/>
              <w:rPr>
                <w:sz w:val="20"/>
                <w:szCs w:val="20"/>
                <w:color w:val="auto"/>
              </w:rPr>
            </w:pPr>
            <w:r>
              <w:rPr>
                <w:rFonts w:ascii="Arial" w:cs="Arial" w:eastAsia="Arial" w:hAnsi="Arial"/>
                <w:sz w:val="17"/>
                <w:szCs w:val="17"/>
                <w:b w:val="1"/>
                <w:bCs w:val="1"/>
                <w:color w:val="auto"/>
                <w:w w:val="97"/>
              </w:rPr>
              <w:t>December 31, 2019</w:t>
            </w:r>
          </w:p>
        </w:tc>
      </w:tr>
      <w:tr>
        <w:trPr>
          <w:trHeight w:val="32"/>
        </w:trPr>
        <w:tc>
          <w:tcPr>
            <w:tcW w:w="4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Datacenter and other computer equipment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749.3</w:t>
            </w:r>
          </w:p>
        </w:tc>
      </w:tr>
      <w:tr>
        <w:trPr>
          <w:trHeight w:val="222"/>
        </w:trPr>
        <w:tc>
          <w:tcPr>
            <w:tcW w:w="4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35.5</w:t>
            </w:r>
          </w:p>
        </w:tc>
      </w:tr>
      <w:tr>
        <w:trPr>
          <w:trHeight w:val="222"/>
        </w:trPr>
        <w:tc>
          <w:tcPr>
            <w:tcW w:w="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w:t>
            </w:r>
          </w:p>
        </w:tc>
      </w:tr>
      <w:tr>
        <w:trPr>
          <w:trHeight w:val="222"/>
        </w:trPr>
        <w:tc>
          <w:tcPr>
            <w:tcW w:w="40" w:type="dxa"/>
            <w:vAlign w:val="bottom"/>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Construction in progress</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w:t>
            </w:r>
          </w:p>
        </w:tc>
      </w:tr>
      <w:tr>
        <w:trPr>
          <w:trHeight w:val="215"/>
        </w:trPr>
        <w:tc>
          <w:tcPr>
            <w:tcW w:w="4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1,032.5</w:t>
            </w:r>
          </w:p>
        </w:tc>
      </w:tr>
      <w:tr>
        <w:trPr>
          <w:trHeight w:val="222"/>
        </w:trPr>
        <w:tc>
          <w:tcPr>
            <w:tcW w:w="40" w:type="dxa"/>
            <w:vAlign w:val="bottom"/>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Accumulated depreciation and amortization</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(587.2)</w:t>
            </w:r>
          </w:p>
        </w:tc>
      </w:tr>
      <w:tr>
        <w:trPr>
          <w:trHeight w:val="240"/>
        </w:trPr>
        <w:tc>
          <w:tcPr>
            <w:tcW w:w="4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445.3</w:t>
            </w:r>
          </w:p>
        </w:tc>
      </w:tr>
      <w:tr>
        <w:trPr>
          <w:trHeight w:val="20"/>
        </w:trPr>
        <w:tc>
          <w:tcPr>
            <w:tcW w:w="4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third quarter of 2020 the Company retired $110.2 million of fully depreciated datacenter assets that are no longer in use.</w:t>
      </w:r>
    </w:p>
    <w:p>
      <w:pPr>
        <w:spacing w:after="0" w:line="248" w:lineRule="exact"/>
        <w:rPr>
          <w:sz w:val="20"/>
          <w:szCs w:val="20"/>
          <w:color w:val="auto"/>
        </w:rPr>
      </w:pPr>
    </w:p>
    <w:p>
      <w:pPr>
        <w:ind w:right="40" w:firstLine="430"/>
        <w:spacing w:after="0" w:line="312" w:lineRule="auto"/>
        <w:rPr>
          <w:sz w:val="20"/>
          <w:szCs w:val="20"/>
          <w:color w:val="auto"/>
        </w:rPr>
      </w:pPr>
      <w:r>
        <w:rPr>
          <w:rFonts w:ascii="Arial" w:cs="Arial" w:eastAsia="Arial" w:hAnsi="Arial"/>
          <w:sz w:val="15"/>
          <w:szCs w:val="15"/>
          <w:color w:val="auto"/>
        </w:rPr>
        <w:t>The Company leases certain infrastructure from various third parties, through equipment finance leases. Infrastructure assets as of September 30, 2020 and December 31, 2019, respectively included a total of $371.2 million and $321.8 million acquired under finance lease agreements. These leases are capitalized in property and equipment, and the related amortization of assets under finance leases is included in depreciation and amortization expense. The accumulated depreciation of the infrastructure under finance leases totaled $142.4 million and $124.6 million as of September 30, 2020 and December 31, 2019, respectively.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Construction in progress includes costs primarily related to construction of leasehold improvements for office buildings and datacenters.</w:t>
      </w:r>
    </w:p>
    <w:p>
      <w:pPr>
        <w:spacing w:after="0" w:line="248" w:lineRule="exact"/>
        <w:rPr>
          <w:sz w:val="20"/>
          <w:szCs w:val="20"/>
          <w:color w:val="auto"/>
        </w:rPr>
      </w:pPr>
    </w:p>
    <w:p>
      <w:pPr>
        <w:ind w:right="220" w:firstLine="430"/>
        <w:spacing w:after="0" w:line="287" w:lineRule="auto"/>
        <w:rPr>
          <w:sz w:val="20"/>
          <w:szCs w:val="20"/>
          <w:color w:val="auto"/>
        </w:rPr>
      </w:pPr>
      <w:r>
        <w:rPr>
          <w:rFonts w:ascii="Arial" w:cs="Arial" w:eastAsia="Arial" w:hAnsi="Arial"/>
          <w:sz w:val="17"/>
          <w:szCs w:val="17"/>
          <w:color w:val="auto"/>
        </w:rPr>
        <w:t>Depreciation expense related to property and equipment was $37.4 million and $109.9 million for the three and nine months ended September 30, 2020, respectively, and $37.1 and $122.5 million for the three and nine months ended September 30, 2019,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Business Combinations</w:t>
      </w:r>
    </w:p>
    <w:p>
      <w:pPr>
        <w:spacing w:after="0" w:line="254" w:lineRule="exact"/>
        <w:rPr>
          <w:sz w:val="20"/>
          <w:szCs w:val="20"/>
          <w:color w:val="auto"/>
        </w:rPr>
      </w:pPr>
    </w:p>
    <w:p>
      <w:pPr>
        <w:ind w:right="100" w:firstLine="430"/>
        <w:spacing w:after="0" w:line="296" w:lineRule="auto"/>
        <w:rPr>
          <w:sz w:val="20"/>
          <w:szCs w:val="20"/>
          <w:color w:val="auto"/>
        </w:rPr>
      </w:pPr>
      <w:r>
        <w:rPr>
          <w:rFonts w:ascii="Arial" w:cs="Arial" w:eastAsia="Arial" w:hAnsi="Arial"/>
          <w:sz w:val="16"/>
          <w:szCs w:val="16"/>
          <w:color w:val="auto"/>
        </w:rPr>
        <w:t>On February 8, 2019, the Company acquired all outstanding stock of JN Projects, Inc. (d/b/a HelloSign) ("HelloSign"), which provides an e-signature and document workflow platform. The acquisition of HelloSign expands the Company's content collaboration capabilities to include additional business-critical workflows. The results of HelloSign operations have been included in the Company’s consolidated results of operations since the date of acquisition.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0" w:type="dxa"/>
            <w:vAlign w:val="bottom"/>
          </w:tcPr>
          <w:p>
            <w:pPr>
              <w:ind w:left="440"/>
              <w:spacing w:after="0"/>
              <w:rPr>
                <w:sz w:val="20"/>
                <w:szCs w:val="20"/>
                <w:color w:val="auto"/>
              </w:rPr>
            </w:pPr>
            <w:r>
              <w:rPr>
                <w:rFonts w:ascii="Arial" w:cs="Arial" w:eastAsia="Arial" w:hAnsi="Arial"/>
                <w:sz w:val="17"/>
                <w:szCs w:val="17"/>
                <w:color w:val="auto"/>
              </w:rPr>
              <w:t>The purchase consideration transferred consisted of the following:</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339"/>
        </w:trPr>
        <w:tc>
          <w:tcPr>
            <w:tcW w:w="8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Purchase consideration</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w:t>
            </w:r>
          </w:p>
        </w:tc>
      </w:tr>
      <w:tr>
        <w:trPr>
          <w:trHeight w:val="222"/>
        </w:trPr>
        <w:tc>
          <w:tcPr>
            <w:tcW w:w="820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HelloSign</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820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Fair value of assumed HelloSign options attributable to pre-combination services</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price adjustments</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390" w:lineRule="exact"/>
        <w:rPr>
          <w:sz w:val="20"/>
          <w:szCs w:val="20"/>
          <w:color w:val="auto"/>
        </w:rPr>
      </w:pPr>
    </w:p>
    <w:p>
      <w:pPr>
        <w:ind w:left="140" w:hanging="136"/>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The fair value of options assumed were based upon the Black-Scholes option-pricing model.</w:t>
      </w:r>
    </w:p>
    <w:p>
      <w:pPr>
        <w:spacing w:after="0" w:line="221" w:lineRule="exact"/>
        <w:rPr>
          <w:sz w:val="20"/>
          <w:szCs w:val="20"/>
          <w:color w:val="auto"/>
        </w:rPr>
      </w:pPr>
    </w:p>
    <w:p>
      <w:pPr>
        <w:ind w:firstLine="430"/>
        <w:spacing w:after="0" w:line="312" w:lineRule="auto"/>
        <w:rPr>
          <w:sz w:val="20"/>
          <w:szCs w:val="20"/>
          <w:color w:val="auto"/>
        </w:rPr>
      </w:pPr>
      <w:r>
        <w:rPr>
          <w:rFonts w:ascii="Arial" w:cs="Arial" w:eastAsia="Arial" w:hAnsi="Arial"/>
          <w:sz w:val="15"/>
          <w:szCs w:val="15"/>
          <w:color w:val="auto"/>
        </w:rPr>
        <w:t>In addition to the total purchase consideration above, the Company has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first quarter of 2020, with $4.0 million and $24.2 million paid during the three and nine months ended September 30, 2020. The remaining balance of $24.3 million will be paid evenly in quarterly installments over the remaining required service period.</w:t>
      </w:r>
    </w:p>
    <w:p>
      <w:pPr>
        <w:spacing w:after="0" w:line="172" w:lineRule="exact"/>
        <w:rPr>
          <w:sz w:val="20"/>
          <w:szCs w:val="20"/>
          <w:color w:val="auto"/>
        </w:rPr>
      </w:pPr>
    </w:p>
    <w:p>
      <w:pPr>
        <w:ind w:right="20" w:firstLine="430"/>
        <w:spacing w:after="0" w:line="287"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acquired: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2"/>
        </w:trPr>
        <w:tc>
          <w:tcPr>
            <w:tcW w:w="820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1340" w:type="dxa"/>
            <w:vAlign w:val="bottom"/>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2"/>
        </w:trPr>
        <w:tc>
          <w:tcPr>
            <w:tcW w:w="8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Short-term investments</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22"/>
        </w:trPr>
        <w:tc>
          <w:tcPr>
            <w:tcW w:w="8200" w:type="dxa"/>
            <w:vAlign w:val="bottom"/>
          </w:tcPr>
          <w:p>
            <w:pPr>
              <w:ind w:left="200"/>
              <w:spacing w:after="0"/>
              <w:rPr>
                <w:sz w:val="20"/>
                <w:szCs w:val="20"/>
                <w:color w:val="auto"/>
              </w:rPr>
            </w:pPr>
            <w:r>
              <w:rPr>
                <w:rFonts w:ascii="Arial" w:cs="Arial" w:eastAsia="Arial" w:hAnsi="Arial"/>
                <w:sz w:val="17"/>
                <w:szCs w:val="17"/>
                <w:color w:val="auto"/>
              </w:rPr>
              <w:t>Acquisition-related intangible assets</w:t>
            </w:r>
          </w:p>
        </w:tc>
        <w:tc>
          <w:tcPr>
            <w:tcW w:w="1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44.6</w:t>
            </w:r>
          </w:p>
        </w:tc>
      </w:tr>
      <w:tr>
        <w:trPr>
          <w:trHeight w:val="222"/>
        </w:trPr>
        <w:tc>
          <w:tcPr>
            <w:tcW w:w="8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receivable, prepaid and other assets</w:t>
            </w:r>
          </w:p>
        </w:tc>
        <w:tc>
          <w:tcPr>
            <w:tcW w:w="1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5"/>
        </w:trPr>
        <w:tc>
          <w:tcPr>
            <w:tcW w:w="8200" w:type="dxa"/>
            <w:vAlign w:val="bottom"/>
          </w:tcPr>
          <w:p>
            <w:pPr>
              <w:ind w:left="20"/>
              <w:spacing w:after="0"/>
              <w:rPr>
                <w:sz w:val="20"/>
                <w:szCs w:val="20"/>
                <w:color w:val="auto"/>
              </w:rPr>
            </w:pPr>
            <w:r>
              <w:rPr>
                <w:rFonts w:ascii="Arial" w:cs="Arial" w:eastAsia="Arial" w:hAnsi="Arial"/>
                <w:sz w:val="17"/>
                <w:szCs w:val="17"/>
                <w:color w:val="auto"/>
              </w:rPr>
              <w:t>Total assets acquired</w:t>
            </w:r>
          </w:p>
        </w:tc>
        <w:tc>
          <w:tcPr>
            <w:tcW w:w="1340" w:type="dxa"/>
            <w:vAlign w:val="bottom"/>
            <w:tcBorders>
              <w:bottom w:val="single" w:sz="8" w:color="auto"/>
            </w:tcBorders>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14"/>
        </w:trPr>
        <w:tc>
          <w:tcPr>
            <w:tcW w:w="8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7"/>
                <w:szCs w:val="17"/>
                <w:color w:val="auto"/>
              </w:rPr>
              <w:t>Liabilities assumed:</w:t>
            </w:r>
          </w:p>
        </w:tc>
        <w:tc>
          <w:tcPr>
            <w:tcW w:w="1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2"/>
        </w:trPr>
        <w:tc>
          <w:tcPr>
            <w:tcW w:w="8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 accrued and other liabilities</w:t>
            </w:r>
          </w:p>
        </w:tc>
        <w:tc>
          <w:tcPr>
            <w:tcW w:w="1340" w:type="dxa"/>
            <w:vAlign w:val="bottom"/>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22"/>
        </w:trPr>
        <w:tc>
          <w:tcPr>
            <w:tcW w:w="8200" w:type="dxa"/>
            <w:vAlign w:val="bottom"/>
          </w:tcPr>
          <w:p>
            <w:pPr>
              <w:ind w:left="200"/>
              <w:spacing w:after="0"/>
              <w:rPr>
                <w:sz w:val="20"/>
                <w:szCs w:val="20"/>
                <w:color w:val="auto"/>
              </w:rPr>
            </w:pPr>
            <w:r>
              <w:rPr>
                <w:rFonts w:ascii="Arial" w:cs="Arial" w:eastAsia="Arial" w:hAnsi="Arial"/>
                <w:sz w:val="17"/>
                <w:szCs w:val="17"/>
                <w:color w:val="auto"/>
              </w:rPr>
              <w:t>Deferred revenue</w:t>
            </w:r>
          </w:p>
        </w:tc>
        <w:tc>
          <w:tcPr>
            <w:tcW w:w="1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8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tax liability</w:t>
            </w:r>
          </w:p>
        </w:tc>
        <w:tc>
          <w:tcPr>
            <w:tcW w:w="1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1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 assumed</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assets acquired, excluding goodwill</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w:t>
            </w:r>
          </w:p>
        </w:tc>
      </w:tr>
      <w:tr>
        <w:trPr>
          <w:trHeight w:val="21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purchase consideration</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w:t>
            </w:r>
          </w:p>
        </w:tc>
      </w:tr>
      <w:tr>
        <w:trPr>
          <w:trHeight w:val="240"/>
        </w:trPr>
        <w:tc>
          <w:tcPr>
            <w:tcW w:w="8200" w:type="dxa"/>
            <w:vAlign w:val="bottom"/>
            <w:tcBorders>
              <w:bottom w:val="single" w:sz="8" w:color="CCEEFF"/>
            </w:tcBorders>
            <w:shd w:val="clear" w:color="auto" w:fill="CCEEFF"/>
          </w:tcPr>
          <w:p>
            <w:pPr>
              <w:ind w:left="20"/>
              <w:spacing w:after="0" w:line="214"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140" w:hanging="136"/>
        <w:spacing w:after="0"/>
        <w:tabs>
          <w:tab w:leader="none" w:pos="140" w:val="left"/>
        </w:tabs>
        <w:numPr>
          <w:ilvl w:val="0"/>
          <w:numId w:val="10"/>
        </w:numPr>
        <w:rPr>
          <w:rFonts w:ascii="Arial" w:cs="Arial" w:eastAsia="Arial" w:hAnsi="Arial"/>
          <w:sz w:val="8"/>
          <w:szCs w:val="8"/>
          <w:color w:val="auto"/>
        </w:rPr>
      </w:pPr>
      <w:r>
        <w:rPr>
          <w:rFonts w:ascii="Arial" w:cs="Arial" w:eastAsia="Arial" w:hAnsi="Arial"/>
          <w:sz w:val="13"/>
          <w:szCs w:val="13"/>
          <w:color w:val="auto"/>
        </w:rPr>
        <w:t>The goodwill recognized was primarily attributable to the opportunity to expand the user base of the Company's platform. The goodwill is not deductible for U.S. federal income tax purposes.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1"/>
              </w:rPr>
              <w:t>Estimated weighted average</w:t>
            </w:r>
          </w:p>
        </w:tc>
        <w:tc>
          <w:tcPr>
            <w:tcW w:w="0" w:type="dxa"/>
            <w:vAlign w:val="bottom"/>
          </w:tcPr>
          <w:p>
            <w:pPr>
              <w:spacing w:after="0"/>
              <w:rPr>
                <w:sz w:val="1"/>
                <w:szCs w:val="1"/>
                <w:color w:val="auto"/>
              </w:rPr>
            </w:pPr>
          </w:p>
        </w:tc>
      </w:tr>
      <w:tr>
        <w:trPr>
          <w:trHeight w:val="170"/>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vMerge w:val="restart"/>
          </w:tcPr>
          <w:p>
            <w:pPr>
              <w:jc w:val="right"/>
              <w:ind w:right="273"/>
              <w:spacing w:after="0"/>
              <w:rPr>
                <w:sz w:val="20"/>
                <w:szCs w:val="20"/>
                <w:color w:val="auto"/>
              </w:rPr>
            </w:pPr>
            <w:r>
              <w:rPr>
                <w:rFonts w:ascii="Arial" w:cs="Arial" w:eastAsia="Arial" w:hAnsi="Arial"/>
                <w:sz w:val="17"/>
                <w:szCs w:val="17"/>
                <w:color w:val="auto"/>
                <w:w w:val="98"/>
              </w:rPr>
              <w:t>Estimated fair values</w:t>
            </w:r>
          </w:p>
        </w:tc>
        <w:tc>
          <w:tcPr>
            <w:tcW w:w="160" w:type="dxa"/>
            <w:vAlign w:val="bottom"/>
          </w:tcPr>
          <w:p>
            <w:pPr>
              <w:spacing w:after="0"/>
              <w:rPr>
                <w:sz w:val="14"/>
                <w:szCs w:val="14"/>
                <w:color w:val="auto"/>
              </w:rPr>
            </w:pPr>
          </w:p>
        </w:tc>
        <w:tc>
          <w:tcPr>
            <w:tcW w:w="2180" w:type="dxa"/>
            <w:vAlign w:val="bottom"/>
          </w:tcPr>
          <w:p>
            <w:pPr>
              <w:jc w:val="center"/>
              <w:spacing w:after="0" w:line="170" w:lineRule="exact"/>
              <w:rPr>
                <w:sz w:val="20"/>
                <w:szCs w:val="20"/>
                <w:color w:val="auto"/>
              </w:rPr>
            </w:pPr>
            <w:r>
              <w:rPr>
                <w:rFonts w:ascii="Arial" w:cs="Arial" w:eastAsia="Arial" w:hAnsi="Arial"/>
                <w:sz w:val="17"/>
                <w:szCs w:val="17"/>
                <w:color w:val="auto"/>
                <w:w w:val="92"/>
              </w:rPr>
              <w:t>useful lives</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(In years)</w:t>
            </w:r>
          </w:p>
        </w:tc>
        <w:tc>
          <w:tcPr>
            <w:tcW w:w="0" w:type="dxa"/>
            <w:vAlign w:val="bottom"/>
          </w:tcPr>
          <w:p>
            <w:pPr>
              <w:spacing w:after="0"/>
              <w:rPr>
                <w:sz w:val="1"/>
                <w:szCs w:val="1"/>
                <w:color w:val="auto"/>
              </w:rPr>
            </w:pP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23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2"/>
              </w:rPr>
              <w:t>4.9</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19.6</w:t>
            </w:r>
          </w:p>
        </w:tc>
        <w:tc>
          <w:tcPr>
            <w:tcW w:w="2340" w:type="dxa"/>
            <w:vAlign w:val="bottom"/>
            <w:gridSpan w:val="2"/>
          </w:tcPr>
          <w:p>
            <w:pPr>
              <w:jc w:val="center"/>
              <w:ind w:left="7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3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140" w:firstLine="430"/>
        <w:spacing w:after="0" w:line="266" w:lineRule="auto"/>
        <w:rPr>
          <w:sz w:val="20"/>
          <w:szCs w:val="20"/>
          <w:color w:val="auto"/>
        </w:rPr>
      </w:pPr>
      <w:r>
        <w:rPr>
          <w:rFonts w:ascii="Arial" w:cs="Arial" w:eastAsia="Arial" w:hAnsi="Arial"/>
          <w:sz w:val="17"/>
          <w:szCs w:val="17"/>
          <w:color w:val="auto"/>
        </w:rPr>
        <w:t>The fair values of the acquisition-related intangibles were determined using the following methodologies: the multi-period excess earnings method, replacement cost method, and the relief from royalty method, for customer relationships, developed technology, and the trade name, respectively. The valuation model inputs required the application of significant judgment by management. At the time of acquisition, the acquired intangible assets had a total weighted average amortization period of 4.9 years.</w:t>
      </w:r>
    </w:p>
    <w:p>
      <w:pPr>
        <w:spacing w:after="0" w:line="203" w:lineRule="exact"/>
        <w:rPr>
          <w:sz w:val="20"/>
          <w:szCs w:val="20"/>
          <w:color w:val="auto"/>
        </w:rPr>
      </w:pPr>
    </w:p>
    <w:p>
      <w:pPr>
        <w:ind w:right="80" w:firstLine="430"/>
        <w:spacing w:after="0" w:line="287" w:lineRule="auto"/>
        <w:rPr>
          <w:sz w:val="20"/>
          <w:szCs w:val="20"/>
          <w:color w:val="auto"/>
        </w:rPr>
      </w:pPr>
      <w:r>
        <w:rPr>
          <w:rFonts w:ascii="Arial" w:cs="Arial" w:eastAsia="Arial" w:hAnsi="Arial"/>
          <w:sz w:val="17"/>
          <w:szCs w:val="17"/>
          <w:color w:val="auto"/>
        </w:rPr>
        <w:t>One-time acquisition-related diligence costs of $1.0 million were expensed within general and administrative expenses as incurred during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Intangible Assets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80" w:type="dxa"/>
            <w:vAlign w:val="bottom"/>
          </w:tcPr>
          <w:p>
            <w:pPr>
              <w:ind w:left="440"/>
              <w:spacing w:after="0"/>
              <w:rPr>
                <w:sz w:val="20"/>
                <w:szCs w:val="20"/>
                <w:color w:val="auto"/>
              </w:rPr>
            </w:pPr>
            <w:r>
              <w:rPr>
                <w:rFonts w:ascii="Arial" w:cs="Arial" w:eastAsia="Arial" w:hAnsi="Arial"/>
                <w:sz w:val="17"/>
                <w:szCs w:val="17"/>
                <w:color w:val="auto"/>
              </w:rPr>
              <w:t>Intangible assets consisted of the following:</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2"/>
              </w:rPr>
              <w:t>Weighted-</w:t>
            </w:r>
          </w:p>
        </w:tc>
        <w:tc>
          <w:tcPr>
            <w:tcW w:w="0" w:type="dxa"/>
            <w:vAlign w:val="bottom"/>
          </w:tcPr>
          <w:p>
            <w:pPr>
              <w:spacing w:after="0"/>
              <w:rPr>
                <w:sz w:val="1"/>
                <w:szCs w:val="1"/>
                <w:color w:val="auto"/>
              </w:rPr>
            </w:pPr>
          </w:p>
        </w:tc>
      </w:tr>
      <w:tr>
        <w:trPr>
          <w:trHeight w:val="170"/>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0"/>
              </w:rPr>
              <w:t>average</w:t>
            </w:r>
          </w:p>
        </w:tc>
        <w:tc>
          <w:tcPr>
            <w:tcW w:w="0" w:type="dxa"/>
            <w:vAlign w:val="bottom"/>
          </w:tcPr>
          <w:p>
            <w:pPr>
              <w:spacing w:after="0"/>
              <w:rPr>
                <w:sz w:val="1"/>
                <w:szCs w:val="1"/>
                <w:color w:val="auto"/>
              </w:rPr>
            </w:pPr>
          </w:p>
        </w:tc>
      </w:tr>
      <w:tr>
        <w:trPr>
          <w:trHeight w:val="170"/>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As of September 30,</w:t>
            </w:r>
          </w:p>
        </w:tc>
        <w:tc>
          <w:tcPr>
            <w:tcW w:w="180" w:type="dxa"/>
            <w:vAlign w:val="bottom"/>
          </w:tcPr>
          <w:p>
            <w:pPr>
              <w:spacing w:after="0"/>
              <w:rPr>
                <w:sz w:val="14"/>
                <w:szCs w:val="14"/>
                <w:color w:val="auto"/>
              </w:rPr>
            </w:pPr>
          </w:p>
        </w:tc>
        <w:tc>
          <w:tcPr>
            <w:tcW w:w="190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As of December 31,</w:t>
            </w:r>
          </w:p>
        </w:tc>
        <w:tc>
          <w:tcPr>
            <w:tcW w:w="19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3"/>
              </w:rPr>
              <w:t>remaining</w:t>
            </w: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96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0"/>
              </w:rPr>
              <w:t>useful life</w:t>
            </w:r>
          </w:p>
        </w:tc>
        <w:tc>
          <w:tcPr>
            <w:tcW w:w="0" w:type="dxa"/>
            <w:vAlign w:val="bottom"/>
          </w:tcPr>
          <w:p>
            <w:pPr>
              <w:spacing w:after="0"/>
              <w:rPr>
                <w:sz w:val="1"/>
                <w:szCs w:val="1"/>
                <w:color w:val="auto"/>
              </w:rPr>
            </w:pPr>
          </w:p>
        </w:tc>
      </w:tr>
      <w:tr>
        <w:trPr>
          <w:trHeight w:val="215"/>
        </w:trPr>
        <w:tc>
          <w:tcPr>
            <w:tcW w:w="50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(In years)</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3.3</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84"/>
              </w:rPr>
              <w:t>3.5</w:t>
            </w: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1.3</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7"/>
                <w:szCs w:val="17"/>
                <w:color w:val="auto"/>
              </w:rPr>
              <w:t>Patents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84"/>
              </w:rPr>
              <w:t>7.3</w:t>
            </w: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Assembled workforce in asset acquisitions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0.3</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7"/>
                <w:szCs w:val="17"/>
                <w:color w:val="auto"/>
              </w:rPr>
              <w:t>Trademarks and trade names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84"/>
              </w:rPr>
              <w:t>3.4</w:t>
            </w: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84"/>
              </w:rPr>
              <w:t>0.8</w:t>
            </w:r>
          </w:p>
        </w:tc>
        <w:tc>
          <w:tcPr>
            <w:tcW w:w="0" w:type="dxa"/>
            <w:vAlign w:val="bottom"/>
          </w:tcPr>
          <w:p>
            <w:pPr>
              <w:spacing w:after="0"/>
              <w:rPr>
                <w:sz w:val="1"/>
                <w:szCs w:val="1"/>
                <w:color w:val="auto"/>
              </w:rPr>
            </w:pPr>
          </w:p>
        </w:tc>
      </w:tr>
      <w:tr>
        <w:trPr>
          <w:trHeight w:val="22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4"/>
              </w:rPr>
              <w:t>4.9</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intangibles</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380" w:firstLine="430"/>
        <w:spacing w:after="0" w:line="287" w:lineRule="auto"/>
        <w:rPr>
          <w:sz w:val="20"/>
          <w:szCs w:val="20"/>
          <w:color w:val="auto"/>
        </w:rPr>
      </w:pPr>
      <w:r>
        <w:rPr>
          <w:rFonts w:ascii="Arial" w:cs="Arial" w:eastAsia="Arial" w:hAnsi="Arial"/>
          <w:sz w:val="17"/>
          <w:szCs w:val="17"/>
          <w:color w:val="auto"/>
        </w:rPr>
        <w:t>Amortization expense was $3.6 million and $10.6 million for the three and nine months ended September 30, 2020, respectively, and $3.6 million and $10.1 million for the three and nine months ended September 30, 2019, respectively.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Expected future amortization expense for intangible assets as of September 30, 2020 is as follows: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Remaining three months of Fiscal 2020</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9000" w:type="dxa"/>
            <w:vAlign w:val="bottom"/>
          </w:tcPr>
          <w:p>
            <w:pPr>
              <w:spacing w:after="0"/>
              <w:rPr>
                <w:sz w:val="20"/>
                <w:szCs w:val="20"/>
                <w:color w:val="auto"/>
              </w:rPr>
            </w:pPr>
            <w:r>
              <w:rPr>
                <w:rFonts w:ascii="Arial" w:cs="Arial" w:eastAsia="Arial" w:hAnsi="Arial"/>
                <w:sz w:val="17"/>
                <w:szCs w:val="17"/>
                <w:color w:val="auto"/>
              </w:rPr>
              <w:t>2021</w:t>
            </w:r>
          </w:p>
        </w:tc>
        <w:tc>
          <w:tcPr>
            <w:tcW w:w="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22"/>
        </w:trPr>
        <w:tc>
          <w:tcPr>
            <w:tcW w:w="9000" w:type="dxa"/>
            <w:vAlign w:val="bottom"/>
          </w:tcPr>
          <w:p>
            <w:pPr>
              <w:spacing w:after="0"/>
              <w:rPr>
                <w:sz w:val="20"/>
                <w:szCs w:val="20"/>
                <w:color w:val="auto"/>
              </w:rPr>
            </w:pPr>
            <w:r>
              <w:rPr>
                <w:rFonts w:ascii="Arial" w:cs="Arial" w:eastAsia="Arial" w:hAnsi="Arial"/>
                <w:sz w:val="17"/>
                <w:szCs w:val="17"/>
                <w:color w:val="auto"/>
              </w:rPr>
              <w:t>2023</w:t>
            </w:r>
          </w:p>
        </w:tc>
        <w:tc>
          <w:tcPr>
            <w:tcW w:w="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2"/>
        </w:trPr>
        <w:tc>
          <w:tcPr>
            <w:tcW w:w="9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40"/>
        </w:trPr>
        <w:tc>
          <w:tcPr>
            <w:tcW w:w="9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w:t>
      </w:r>
    </w:p>
    <w:p>
      <w:pPr>
        <w:spacing w:after="0" w:line="254" w:lineRule="exact"/>
        <w:rPr>
          <w:sz w:val="20"/>
          <w:szCs w:val="20"/>
          <w:color w:val="auto"/>
        </w:rPr>
      </w:pPr>
    </w:p>
    <w:p>
      <w:pPr>
        <w:ind w:right="460" w:firstLine="430"/>
        <w:spacing w:after="0" w:line="287"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460" w:type="dxa"/>
            <w:vAlign w:val="bottom"/>
            <w:shd w:val="clear" w:color="auto" w:fill="CCEEFF"/>
          </w:tcPr>
          <w:p>
            <w:pPr>
              <w:jc w:val="right"/>
              <w:ind w:right="1273"/>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w:t>
            </w:r>
          </w:p>
        </w:tc>
      </w:tr>
      <w:tr>
        <w:trPr>
          <w:trHeight w:val="222"/>
        </w:trPr>
        <w:tc>
          <w:tcPr>
            <w:tcW w:w="79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Effect of foreign currency translation</w:t>
            </w:r>
          </w:p>
        </w:tc>
        <w:tc>
          <w:tcPr>
            <w:tcW w:w="1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r>
      <w:tr>
        <w:trPr>
          <w:trHeight w:val="24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2020</w:t>
            </w:r>
          </w:p>
        </w:tc>
        <w:tc>
          <w:tcPr>
            <w:tcW w:w="1460" w:type="dxa"/>
            <w:vAlign w:val="bottom"/>
            <w:tcBorders>
              <w:bottom w:val="single" w:sz="8" w:color="auto"/>
            </w:tcBorders>
            <w:shd w:val="clear" w:color="auto" w:fill="CCEEFF"/>
          </w:tcPr>
          <w:p>
            <w:pPr>
              <w:jc w:val="right"/>
              <w:ind w:right="1273"/>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60" w:firstLine="430"/>
        <w:spacing w:after="0" w:line="287" w:lineRule="auto"/>
        <w:rPr>
          <w:sz w:val="20"/>
          <w:szCs w:val="20"/>
          <w:color w:val="auto"/>
        </w:rPr>
      </w:pPr>
      <w:r>
        <w:rPr>
          <w:rFonts w:ascii="Arial" w:cs="Arial" w:eastAsia="Arial" w:hAnsi="Arial"/>
          <w:sz w:val="17"/>
          <w:szCs w:val="17"/>
          <w:color w:val="auto"/>
        </w:rPr>
        <w:t>Goodwill amounts are not amortized, but tested for impairment on an annual basis. There was no impairment of goodwill as of September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Revolving Credit Facility</w:t>
      </w:r>
    </w:p>
    <w:p>
      <w:pPr>
        <w:spacing w:after="0" w:line="254" w:lineRule="exact"/>
        <w:rPr>
          <w:sz w:val="20"/>
          <w:szCs w:val="20"/>
          <w:color w:val="auto"/>
        </w:rPr>
      </w:pPr>
    </w:p>
    <w:p>
      <w:pPr>
        <w:ind w:right="100" w:firstLine="430"/>
        <w:spacing w:after="0" w:line="271" w:lineRule="auto"/>
        <w:rPr>
          <w:sz w:val="20"/>
          <w:szCs w:val="20"/>
          <w:color w:val="auto"/>
        </w:rPr>
      </w:pPr>
      <w:r>
        <w:rPr>
          <w:rFonts w:ascii="Arial" w:cs="Arial" w:eastAsia="Arial" w:hAnsi="Arial"/>
          <w:sz w:val="17"/>
          <w:szCs w:val="17"/>
          <w:color w:val="auto"/>
        </w:rPr>
        <w:t>In April 2017, the Company entered into an amended and restated credit and guaranty agreement which provided for a $600.0 million revolving loan facility (as amended from time to time, the “revolving credit facility”). In conjunction with the revolving credit facility, the Company paid upfront issuance fees of $2.6 million, which are being amortized over the five-year term of the agreement.</w:t>
      </w:r>
    </w:p>
    <w:p>
      <w:pPr>
        <w:spacing w:after="0" w:line="198" w:lineRule="exact"/>
        <w:rPr>
          <w:sz w:val="20"/>
          <w:szCs w:val="20"/>
          <w:color w:val="auto"/>
        </w:rPr>
      </w:pPr>
    </w:p>
    <w:p>
      <w:pPr>
        <w:ind w:firstLine="430"/>
        <w:spacing w:after="0" w:line="307" w:lineRule="auto"/>
        <w:rPr>
          <w:sz w:val="20"/>
          <w:szCs w:val="20"/>
          <w:color w:val="auto"/>
        </w:rPr>
      </w:pPr>
      <w:r>
        <w:rPr>
          <w:rFonts w:ascii="Arial" w:cs="Arial" w:eastAsia="Arial" w:hAnsi="Arial"/>
          <w:sz w:val="15"/>
          <w:szCs w:val="15"/>
          <w:color w:val="auto"/>
        </w:rPr>
        <w:t>In February 2018, the Company amended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The Company may from time to time request increases in its borrowing capacity under the revolving credit facility of up to $275.0 million, provided no event of default has occurred or is continuing or would result from such increase. In conjunction with the amendment, the Company paid upfront issuance fees of $0.4 million, which are being amortized over the remaining term of the agreement.</w:t>
      </w:r>
    </w:p>
    <w:p>
      <w:pPr>
        <w:spacing w:after="0" w:line="175" w:lineRule="exact"/>
        <w:rPr>
          <w:sz w:val="20"/>
          <w:szCs w:val="20"/>
          <w:color w:val="auto"/>
        </w:rPr>
      </w:pPr>
    </w:p>
    <w:p>
      <w:pPr>
        <w:ind w:firstLine="430"/>
        <w:spacing w:after="0" w:line="261"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1.50% or at an alternative base rate plus a spread of 0.50%.</w:t>
      </w:r>
    </w:p>
    <w:p>
      <w:pPr>
        <w:spacing w:after="0" w:line="207" w:lineRule="exact"/>
        <w:rPr>
          <w:sz w:val="20"/>
          <w:szCs w:val="20"/>
          <w:color w:val="auto"/>
        </w:rPr>
      </w:pPr>
    </w:p>
    <w:p>
      <w:pPr>
        <w:ind w:right="40" w:firstLine="430"/>
        <w:spacing w:after="0" w:line="263"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revolving credit facility as of September 30, 2020 and December 31, 2019, respectively.</w:t>
      </w:r>
    </w:p>
    <w:p>
      <w:pPr>
        <w:spacing w:after="0" w:line="207"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The Company had an aggregate of $45.7 million of letters of credit outstanding under the revolving credit facility as of September 30, 2020, and the Company’s total available borrowing capacity under the revolving credit facility was $679.3 million as of September 30, 2020. The Company’s letters of credit have final expiration dates through 2032.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Leases</w:t>
      </w:r>
    </w:p>
    <w:p>
      <w:pPr>
        <w:spacing w:after="0" w:line="254" w:lineRule="exact"/>
        <w:rPr>
          <w:sz w:val="20"/>
          <w:szCs w:val="20"/>
          <w:color w:val="auto"/>
        </w:rPr>
      </w:pPr>
    </w:p>
    <w:p>
      <w:pPr>
        <w:ind w:right="520" w:firstLine="313"/>
        <w:spacing w:after="0" w:line="287" w:lineRule="auto"/>
        <w:rPr>
          <w:sz w:val="20"/>
          <w:szCs w:val="20"/>
          <w:color w:val="auto"/>
        </w:rPr>
      </w:pPr>
      <w:r>
        <w:rPr>
          <w:rFonts w:ascii="Arial" w:cs="Arial" w:eastAsia="Arial" w:hAnsi="Arial"/>
          <w:sz w:val="17"/>
          <w:szCs w:val="17"/>
          <w:color w:val="auto"/>
        </w:rPr>
        <w:t>The Company has operating leases for corporate offices and datacenters, and finance leases for infrastructure equipment. The Company’s leases have remaining lease terms of 1 year to 16 years, some of which include options to extend the leases for up to 5 years.</w:t>
      </w:r>
    </w:p>
    <w:p>
      <w:pPr>
        <w:spacing w:after="0" w:line="184" w:lineRule="exact"/>
        <w:rPr>
          <w:sz w:val="20"/>
          <w:szCs w:val="20"/>
          <w:color w:val="auto"/>
        </w:rPr>
      </w:pPr>
    </w:p>
    <w:p>
      <w:pPr>
        <w:ind w:right="340" w:firstLine="313"/>
        <w:spacing w:after="0" w:line="271" w:lineRule="auto"/>
        <w:rPr>
          <w:sz w:val="20"/>
          <w:szCs w:val="20"/>
          <w:color w:val="auto"/>
        </w:rPr>
      </w:pPr>
      <w:r>
        <w:rPr>
          <w:rFonts w:ascii="Arial" w:cs="Arial" w:eastAsia="Arial" w:hAnsi="Arial"/>
          <w:sz w:val="17"/>
          <w:szCs w:val="17"/>
          <w:color w:val="auto"/>
        </w:rPr>
        <w:t>The Company also has subleases of former corporate offices. Subleases have remaining lease terms of 2 years to 3 years. Sublease income, which is recorded as a reduction of rental expense, was $1.7 million and $5.2 million for the three and nine months ended September 30, 2020, respectively, and $1.8 million and $5.3 million for the three and nine months ended September 30, 2019, respectively.</w:t>
      </w:r>
    </w:p>
    <w:p>
      <w:pPr>
        <w:spacing w:after="0" w:line="198" w:lineRule="exact"/>
        <w:rPr>
          <w:sz w:val="20"/>
          <w:szCs w:val="20"/>
          <w:color w:val="auto"/>
        </w:rPr>
      </w:pPr>
    </w:p>
    <w:p>
      <w:pPr>
        <w:ind w:firstLine="313"/>
        <w:spacing w:after="0" w:line="260" w:lineRule="auto"/>
        <w:rPr>
          <w:sz w:val="20"/>
          <w:szCs w:val="20"/>
          <w:color w:val="auto"/>
        </w:rPr>
      </w:pPr>
      <w:r>
        <w:rPr>
          <w:rFonts w:ascii="Arial" w:cs="Arial" w:eastAsia="Arial" w:hAnsi="Arial"/>
          <w:sz w:val="17"/>
          <w:szCs w:val="17"/>
          <w:color w:val="auto"/>
        </w:rPr>
        <w:t>In 2017, the Company entered into a lease agreement for office space in San Francisco, California, to serve as its corporate headquarters. The Company took initial possession of the first phase of its corporate headquarters in June 2018, and began to recognize single lease cost related to the first phase. In that same period, the Company recorded a lease incentive obligation related to tenant improvement reimbursements associated with the first phase. In April 2019, the Company took possession of the second phase, and began to recognize additional lease costs and recorded an additional lease obligation, net of tenant improvement reimbursements related to the second phase. In December 2019, the Company took possession of the final phase, and began to recognize lease costs and lease obligation, net of tenant improvement reimbursements related to the third phase. The Company's total expected minimum obligations for all three phases of the lease are $842.7 million, which exclude expected tenant improvement reimbursements from the landlord of approximately $75.0 million and variable operating expenses. As of</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September 30, 2020, the remaining total expected minimum obligations are $803.4 million. The Company’s obligations under the lease are supported by a $34.2 million letter of credit, which reduced the borrowing capacity under the revolving credit facility. In the nine months ended September 30, 2020, the Company collected tenant improvement reimbursements from the landlord totaling $15.7 million.</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lease payments under non-cancellable leases as of September 30, 2020 were as follows:</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6640" w:type="dxa"/>
            <w:vAlign w:val="bottom"/>
          </w:tcPr>
          <w:p>
            <w:pPr>
              <w:spacing w:after="0"/>
              <w:rPr>
                <w:sz w:val="20"/>
                <w:szCs w:val="20"/>
                <w:color w:val="auto"/>
              </w:rPr>
            </w:pPr>
            <w:r>
              <w:rPr>
                <w:rFonts w:ascii="Arial" w:cs="Arial" w:eastAsia="Arial" w:hAnsi="Arial"/>
                <w:sz w:val="17"/>
                <w:szCs w:val="17"/>
                <w:b w:val="1"/>
                <w:bCs w:val="1"/>
                <w:color w:val="auto"/>
              </w:rPr>
              <w:t>Year ending December 31,</w:t>
            </w:r>
          </w:p>
        </w:tc>
        <w:tc>
          <w:tcPr>
            <w:tcW w:w="220" w:type="dxa"/>
            <w:vAlign w:val="bottom"/>
          </w:tcPr>
          <w:p>
            <w:pPr>
              <w:spacing w:after="0"/>
              <w:rPr>
                <w:sz w:val="21"/>
                <w:szCs w:val="21"/>
                <w:color w:val="auto"/>
              </w:rPr>
            </w:pPr>
          </w:p>
        </w:tc>
        <w:tc>
          <w:tcPr>
            <w:tcW w:w="1920" w:type="dxa"/>
            <w:vAlign w:val="bottom"/>
            <w:gridSpan w:val="2"/>
          </w:tcPr>
          <w:p>
            <w:pPr>
              <w:ind w:left="120"/>
              <w:spacing w:after="0"/>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22"/>
                <w:szCs w:val="22"/>
                <w:color w:val="auto"/>
                <w:vertAlign w:val="superscript"/>
              </w:rPr>
              <w:t>(1)</w:t>
            </w:r>
          </w:p>
        </w:tc>
        <w:tc>
          <w:tcPr>
            <w:tcW w:w="300" w:type="dxa"/>
            <w:vAlign w:val="bottom"/>
          </w:tcPr>
          <w:p>
            <w:pPr>
              <w:spacing w:after="0"/>
              <w:rPr>
                <w:sz w:val="21"/>
                <w:szCs w:val="21"/>
                <w:color w:val="auto"/>
              </w:rPr>
            </w:pPr>
          </w:p>
        </w:tc>
        <w:tc>
          <w:tcPr>
            <w:tcW w:w="1740" w:type="dxa"/>
            <w:vAlign w:val="bottom"/>
          </w:tcPr>
          <w:p>
            <w:pPr>
              <w:jc w:val="right"/>
              <w:ind w:right="413"/>
              <w:spacing w:after="0"/>
              <w:rPr>
                <w:sz w:val="20"/>
                <w:szCs w:val="20"/>
                <w:color w:val="auto"/>
              </w:rPr>
            </w:pPr>
            <w:r>
              <w:rPr>
                <w:rFonts w:ascii="Arial" w:cs="Arial" w:eastAsia="Arial" w:hAnsi="Arial"/>
                <w:sz w:val="17"/>
                <w:szCs w:val="17"/>
                <w:b w:val="1"/>
                <w:bCs w:val="1"/>
                <w:color w:val="auto"/>
              </w:rPr>
              <w:t>Finance leases</w:t>
            </w:r>
          </w:p>
        </w:tc>
      </w:tr>
      <w:tr>
        <w:trPr>
          <w:trHeight w:val="215"/>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2020 (excluding the nine months ended September 30, 2020)</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w:t>
            </w:r>
          </w:p>
        </w:tc>
      </w:tr>
      <w:tr>
        <w:trPr>
          <w:trHeight w:val="222"/>
        </w:trPr>
        <w:tc>
          <w:tcPr>
            <w:tcW w:w="6640" w:type="dxa"/>
            <w:vAlign w:val="bottom"/>
          </w:tcPr>
          <w:p>
            <w:pPr>
              <w:spacing w:after="0"/>
              <w:rPr>
                <w:sz w:val="20"/>
                <w:szCs w:val="20"/>
                <w:color w:val="auto"/>
              </w:rPr>
            </w:pPr>
            <w:r>
              <w:rPr>
                <w:rFonts w:ascii="Arial" w:cs="Arial" w:eastAsia="Arial" w:hAnsi="Arial"/>
                <w:sz w:val="17"/>
                <w:szCs w:val="17"/>
                <w:color w:val="auto"/>
              </w:rPr>
              <w:t>2021</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124.1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96.6</w:t>
            </w:r>
          </w:p>
        </w:tc>
      </w:tr>
      <w:tr>
        <w:trPr>
          <w:trHeight w:val="222"/>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w:t>
            </w:r>
          </w:p>
        </w:tc>
      </w:tr>
      <w:tr>
        <w:trPr>
          <w:trHeight w:val="222"/>
        </w:trPr>
        <w:tc>
          <w:tcPr>
            <w:tcW w:w="6640" w:type="dxa"/>
            <w:vAlign w:val="bottom"/>
          </w:tcPr>
          <w:p>
            <w:pPr>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48.8</w:t>
            </w:r>
          </w:p>
        </w:tc>
      </w:tr>
      <w:tr>
        <w:trPr>
          <w:trHeight w:val="222"/>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222"/>
        </w:trPr>
        <w:tc>
          <w:tcPr>
            <w:tcW w:w="66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Total future minimum lease payments</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267.9</w:t>
            </w:r>
          </w:p>
        </w:tc>
      </w:tr>
      <w:tr>
        <w:trPr>
          <w:trHeight w:val="222"/>
        </w:trPr>
        <w:tc>
          <w:tcPr>
            <w:tcW w:w="6640" w:type="dxa"/>
            <w:vAlign w:val="bottom"/>
          </w:tcPr>
          <w:p>
            <w:pPr>
              <w:spacing w:after="0"/>
              <w:rPr>
                <w:sz w:val="20"/>
                <w:szCs w:val="20"/>
                <w:color w:val="auto"/>
              </w:rPr>
            </w:pPr>
            <w:r>
              <w:rPr>
                <w:rFonts w:ascii="Arial" w:cs="Arial" w:eastAsia="Arial" w:hAnsi="Arial"/>
                <w:sz w:val="17"/>
                <w:szCs w:val="17"/>
                <w:color w:val="auto"/>
              </w:rPr>
              <w:t>Less imputed interest</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(236.6)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22"/>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Less tenant improvement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640" w:type="dxa"/>
            <w:vAlign w:val="bottom"/>
          </w:tcPr>
          <w:p>
            <w:pPr>
              <w:spacing w:after="0"/>
              <w:rPr>
                <w:sz w:val="20"/>
                <w:szCs w:val="20"/>
                <w:color w:val="auto"/>
              </w:rPr>
            </w:pPr>
            <w:r>
              <w:rPr>
                <w:rFonts w:ascii="Arial" w:cs="Arial" w:eastAsia="Arial" w:hAnsi="Arial"/>
                <w:sz w:val="17"/>
                <w:szCs w:val="17"/>
                <w:color w:val="auto"/>
              </w:rPr>
              <w:t>Total liability</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255.8</w:t>
            </w:r>
          </w:p>
        </w:tc>
      </w:tr>
    </w:tbl>
    <w:p>
      <w:pPr>
        <w:spacing w:after="0" w:line="68" w:lineRule="exact"/>
        <w:rPr>
          <w:sz w:val="20"/>
          <w:szCs w:val="20"/>
          <w:color w:val="auto"/>
        </w:rPr>
      </w:pPr>
    </w:p>
    <w:p>
      <w:pPr>
        <w:ind w:right="240" w:firstLine="4"/>
        <w:spacing w:after="0" w:line="299" w:lineRule="auto"/>
        <w:tabs>
          <w:tab w:leader="none" w:pos="144"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Consists of future non-cancelable minimum rental payments under operating leases for the Company’s corporate offices and datacenters where the Company has possession, excluding rent payments from the Company’s sub-tenants and variable operating expenses.</w:t>
      </w:r>
    </w:p>
    <w:p>
      <w:pPr>
        <w:spacing w:after="0" w:line="168" w:lineRule="exact"/>
        <w:rPr>
          <w:sz w:val="20"/>
          <w:szCs w:val="20"/>
          <w:color w:val="auto"/>
        </w:rPr>
      </w:pPr>
    </w:p>
    <w:p>
      <w:pPr>
        <w:ind w:right="40" w:firstLine="391"/>
        <w:spacing w:after="0" w:line="287" w:lineRule="auto"/>
        <w:rPr>
          <w:sz w:val="20"/>
          <w:szCs w:val="20"/>
          <w:color w:val="auto"/>
        </w:rPr>
      </w:pPr>
      <w:r>
        <w:rPr>
          <w:rFonts w:ascii="Arial" w:cs="Arial" w:eastAsia="Arial" w:hAnsi="Arial"/>
          <w:sz w:val="17"/>
          <w:szCs w:val="17"/>
          <w:color w:val="auto"/>
        </w:rPr>
        <w:t>As of September 30, 2020, the Company is entitled to non-cancelable rent payments from its sub-tenants of $24.8 million, which will be collected over the next 2 to 3 years.</w:t>
      </w:r>
    </w:p>
    <w:p>
      <w:pPr>
        <w:spacing w:after="0" w:line="184" w:lineRule="exact"/>
        <w:rPr>
          <w:sz w:val="20"/>
          <w:szCs w:val="20"/>
          <w:color w:val="auto"/>
        </w:rPr>
      </w:pPr>
    </w:p>
    <w:p>
      <w:pPr>
        <w:ind w:right="500" w:firstLine="313"/>
        <w:spacing w:after="0" w:line="320" w:lineRule="auto"/>
        <w:rPr>
          <w:sz w:val="20"/>
          <w:szCs w:val="20"/>
          <w:color w:val="auto"/>
        </w:rPr>
      </w:pPr>
      <w:r>
        <w:rPr>
          <w:rFonts w:ascii="Arial" w:cs="Arial" w:eastAsia="Arial" w:hAnsi="Arial"/>
          <w:sz w:val="16"/>
          <w:szCs w:val="16"/>
          <w:color w:val="auto"/>
        </w:rPr>
        <w:t>As of September 30, 2020, the Company had commitments of $107.3 million for operating leases that have not yet commenced, and therefore are not included in the right-of-use asset or operating lease liability. These operating leases will commence in 2021 with lease terms of 5 years to 15 years.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Commitments and Contingencies</w:t>
      </w:r>
    </w:p>
    <w:p>
      <w:pPr>
        <w:spacing w:after="0" w:line="25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Legal matters</w:t>
      </w:r>
    </w:p>
    <w:p>
      <w:pPr>
        <w:spacing w:after="0" w:line="117" w:lineRule="exact"/>
        <w:rPr>
          <w:sz w:val="20"/>
          <w:szCs w:val="20"/>
          <w:color w:val="auto"/>
        </w:rPr>
      </w:pPr>
    </w:p>
    <w:p>
      <w:pPr>
        <w:ind w:firstLine="469"/>
        <w:spacing w:after="0" w:line="262"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06"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The Company is currently involved in four putative class action lawsuits alleging violations of the federal securities laws that were filed on August 30, 2019, September 5, 2019, September 13, 2019, and October 3, 2019, in the Superior Court of the State of California, San Mateo County, against the Company, certain of its officers and directors, underwriters of its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"Federal Plaintiffs"). The six lawsuits each make the same or similar allegations of violations of federal securities laws, for allegedly making materially false and misleading statements in, or omitting material information from, the Company's IPO registration statement. The plaintiffs seek unspecified monetary damages and other relief. On March 2, 2020, the Federal Plaintiffs filed a consolidated class action complaint. On April 16, 2020, the Dropbox Defendants filed a motion to dismiss the federal consolidated class action complaint. On May 11, 2020, the Dropbox Defendants filed a motion to dismiss the consolidated state court case based on the exclusive federal forum provisions contained in the Company's amended and restated bylaws. On October 21, 2020, the court issued an order granting the Company's motion to dismiss the Federal Plaintiffs’ complaint with leave to amend. The Company believes the cases are</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without merit and intends to vigorously defend them. The Company does not currently believe that this matter is likely to have a material adverse impact on its consolidated results of operations, cash flows, or financial position.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7" w:lineRule="exact"/>
        <w:rPr>
          <w:sz w:val="20"/>
          <w:szCs w:val="20"/>
          <w:color w:val="auto"/>
        </w:rPr>
      </w:pPr>
    </w:p>
    <w:p>
      <w:pPr>
        <w:ind w:right="120" w:firstLine="430"/>
        <w:spacing w:after="0" w:line="271"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17" w:lineRule="exact"/>
        <w:rPr>
          <w:sz w:val="20"/>
          <w:szCs w:val="20"/>
          <w:color w:val="auto"/>
        </w:rPr>
      </w:pPr>
    </w:p>
    <w:p>
      <w:pPr>
        <w:ind w:right="300" w:firstLine="430"/>
        <w:spacing w:after="0" w:line="271" w:lineRule="auto"/>
        <w:rPr>
          <w:sz w:val="20"/>
          <w:szCs w:val="20"/>
          <w:color w:val="auto"/>
        </w:rPr>
      </w:pPr>
      <w:r>
        <w:rPr>
          <w:rFonts w:ascii="Arial" w:cs="Arial" w:eastAsia="Arial" w:hAnsi="Arial"/>
          <w:sz w:val="17"/>
          <w:szCs w:val="17"/>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00" w:type="dxa"/>
            <w:vAlign w:val="bottom"/>
            <w:gridSpan w:val="2"/>
          </w:tcPr>
          <w:p>
            <w:pPr>
              <w:spacing w:after="0"/>
              <w:rPr>
                <w:sz w:val="20"/>
                <w:szCs w:val="20"/>
                <w:color w:val="auto"/>
              </w:rPr>
            </w:pPr>
            <w:r>
              <w:rPr>
                <w:rFonts w:ascii="Arial" w:cs="Arial" w:eastAsia="Arial" w:hAnsi="Arial"/>
                <w:sz w:val="17"/>
                <w:szCs w:val="17"/>
                <w:b w:val="1"/>
                <w:bCs w:val="1"/>
                <w:color w:val="auto"/>
              </w:rPr>
              <w:t>Note 11. Accrued and Other Current Liabilities</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7"/>
        </w:trPr>
        <w:tc>
          <w:tcPr>
            <w:tcW w:w="40" w:type="dxa"/>
            <w:vAlign w:val="bottom"/>
          </w:tcPr>
          <w:p>
            <w:pPr>
              <w:spacing w:after="0"/>
              <w:rPr>
                <w:sz w:val="24"/>
                <w:szCs w:val="24"/>
                <w:color w:val="auto"/>
              </w:rPr>
            </w:pPr>
          </w:p>
        </w:tc>
        <w:tc>
          <w:tcPr>
            <w:tcW w:w="6760" w:type="dxa"/>
            <w:vAlign w:val="bottom"/>
          </w:tcPr>
          <w:p>
            <w:pPr>
              <w:ind w:left="400"/>
              <w:spacing w:after="0"/>
              <w:rPr>
                <w:sz w:val="20"/>
                <w:szCs w:val="20"/>
                <w:color w:val="auto"/>
              </w:rPr>
            </w:pPr>
            <w:r>
              <w:rPr>
                <w:rFonts w:ascii="Arial" w:cs="Arial" w:eastAsia="Arial" w:hAnsi="Arial"/>
                <w:sz w:val="17"/>
                <w:szCs w:val="17"/>
                <w:color w:val="auto"/>
              </w:rPr>
              <w:t>Accrued and other current liabilities consisted of the following:</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548"/>
        </w:trPr>
        <w:tc>
          <w:tcPr>
            <w:tcW w:w="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 2020</w:t>
            </w:r>
          </w:p>
        </w:tc>
        <w:tc>
          <w:tcPr>
            <w:tcW w:w="260" w:type="dxa"/>
            <w:vAlign w:val="bottom"/>
          </w:tcPr>
          <w:p>
            <w:pPr>
              <w:spacing w:after="0"/>
              <w:rPr>
                <w:sz w:val="18"/>
                <w:szCs w:val="18"/>
                <w:color w:val="auto"/>
              </w:rPr>
            </w:pPr>
          </w:p>
        </w:tc>
        <w:tc>
          <w:tcPr>
            <w:tcW w:w="1920" w:type="dxa"/>
            <w:vAlign w:val="bottom"/>
          </w:tcPr>
          <w:p>
            <w:pPr>
              <w:jc w:val="right"/>
              <w:ind w:right="313"/>
              <w:spacing w:after="0"/>
              <w:rPr>
                <w:sz w:val="20"/>
                <w:szCs w:val="20"/>
                <w:color w:val="auto"/>
              </w:rPr>
            </w:pPr>
            <w:r>
              <w:rPr>
                <w:rFonts w:ascii="Arial" w:cs="Arial" w:eastAsia="Arial" w:hAnsi="Arial"/>
                <w:sz w:val="17"/>
                <w:szCs w:val="17"/>
                <w:b w:val="1"/>
                <w:bCs w:val="1"/>
                <w:color w:val="auto"/>
                <w:w w:val="97"/>
              </w:rPr>
              <w:t>December 31, 2019</w:t>
            </w:r>
          </w:p>
        </w:tc>
      </w:tr>
      <w:tr>
        <w:trPr>
          <w:trHeight w:val="32"/>
        </w:trPr>
        <w:tc>
          <w:tcPr>
            <w:tcW w:w="4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Non-income taxes payable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w:t>
            </w:r>
          </w:p>
        </w:tc>
      </w:tr>
      <w:tr>
        <w:trPr>
          <w:trHeight w:val="222"/>
        </w:trPr>
        <w:tc>
          <w:tcPr>
            <w:tcW w:w="4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Accrued legal and other external fees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29.2</w:t>
            </w:r>
          </w:p>
        </w:tc>
      </w:tr>
      <w:tr>
        <w:trPr>
          <w:trHeight w:val="222"/>
        </w:trPr>
        <w:tc>
          <w:tcPr>
            <w:tcW w:w="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Other accrued and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w:t>
            </w:r>
          </w:p>
        </w:tc>
      </w:tr>
      <w:tr>
        <w:trPr>
          <w:trHeight w:val="215"/>
        </w:trPr>
        <w:tc>
          <w:tcPr>
            <w:tcW w:w="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Total accrued and other current liabilities</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161.9</w:t>
            </w:r>
          </w:p>
        </w:tc>
      </w:tr>
      <w:tr>
        <w:trPr>
          <w:trHeight w:val="20"/>
        </w:trPr>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12.Stockholders’ Equity</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Common stock</w:t>
      </w:r>
    </w:p>
    <w:p>
      <w:pPr>
        <w:spacing w:after="0" w:line="117" w:lineRule="exact"/>
        <w:rPr>
          <w:sz w:val="20"/>
          <w:szCs w:val="20"/>
          <w:color w:val="auto"/>
        </w:rPr>
      </w:pPr>
    </w:p>
    <w:p>
      <w:pPr>
        <w:ind w:right="20" w:firstLine="430"/>
        <w:spacing w:after="0" w:line="261" w:lineRule="auto"/>
        <w:rPr>
          <w:sz w:val="20"/>
          <w:szCs w:val="20"/>
          <w:color w:val="auto"/>
        </w:rPr>
      </w:pPr>
      <w:r>
        <w:rPr>
          <w:rFonts w:ascii="Arial" w:cs="Arial" w:eastAsia="Arial" w:hAnsi="Arial"/>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Holders of Class B common stock voluntarily converted 0.1 million and 63.5 million shares into an equivalent number of shares of Class A common stock during the three and nine months ended September 30, 2020, respectively, and 0.7 million and 38.4 million during the three and nine months ended September 30, 2019, respectively.</w:t>
      </w:r>
    </w:p>
    <w:p>
      <w:pPr>
        <w:spacing w:after="0" w:line="207" w:lineRule="exact"/>
        <w:rPr>
          <w:sz w:val="20"/>
          <w:szCs w:val="20"/>
          <w:color w:val="auto"/>
        </w:rPr>
      </w:pPr>
    </w:p>
    <w:p>
      <w:pPr>
        <w:ind w:right="100" w:firstLine="430"/>
        <w:spacing w:after="0" w:line="301" w:lineRule="auto"/>
        <w:rPr>
          <w:sz w:val="20"/>
          <w:szCs w:val="20"/>
          <w:color w:val="auto"/>
        </w:rPr>
      </w:pPr>
      <w:r>
        <w:rPr>
          <w:rFonts w:ascii="Arial" w:cs="Arial" w:eastAsia="Arial" w:hAnsi="Arial"/>
          <w:sz w:val="15"/>
          <w:szCs w:val="15"/>
          <w:color w:val="auto"/>
        </w:rPr>
        <w:t>As of September 30, 2020, the Company had authorized 2,400.0 million shares of Class A common stock, 475.0 million shares of Class B common stock, and 800.0 million shares of Class C common stock, each at par value of $0.00001. As of September 30, 2020, 316.6 million shares of Class A common stock, 97.7 million shares of Class B common stock, and no shares of Class C common stock were issued and outstanding. As of December 31, 2019, 255.8 million shares of Class A common stock, 161.2 million shares of Class B common stock, and no shares of Class C common stock were issued and outstanding. Class A shares issued and outstanding as of September 30, 2020 and December 31, 2019 exclude unvested restricted stock awards granted to certain executives during the year. Class A shares issued and outstanding also excludes 10.3 million and 14.7 million unvested restricted stock awards granted to the Company's co-founders as of September 30, 2020 and December 31, 2019, respectively. See "Co-Founder Grants" section below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8" w:lineRule="exact"/>
        <w:rPr>
          <w:sz w:val="20"/>
          <w:szCs w:val="20"/>
          <w:color w:val="auto"/>
        </w:rPr>
      </w:pPr>
    </w:p>
    <w:p>
      <w:pPr>
        <w:ind w:right="220" w:firstLine="430"/>
        <w:spacing w:after="0" w:line="320" w:lineRule="auto"/>
        <w:rPr>
          <w:sz w:val="20"/>
          <w:szCs w:val="20"/>
          <w:color w:val="auto"/>
        </w:rPr>
      </w:pPr>
      <w:r>
        <w:rPr>
          <w:rFonts w:ascii="Arial" w:cs="Arial" w:eastAsia="Arial" w:hAnsi="Arial"/>
          <w:sz w:val="16"/>
          <w:szCs w:val="16"/>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248" w:lineRule="exact"/>
        <w:rPr>
          <w:sz w:val="20"/>
          <w:szCs w:val="20"/>
          <w:color w:val="auto"/>
        </w:rPr>
      </w:pPr>
    </w:p>
    <w:p>
      <w:pPr>
        <w:ind w:firstLine="391"/>
        <w:spacing w:after="0" w:line="288" w:lineRule="auto"/>
        <w:rPr>
          <w:sz w:val="20"/>
          <w:szCs w:val="20"/>
          <w:color w:val="auto"/>
        </w:rPr>
      </w:pPr>
      <w:r>
        <w:rPr>
          <w:rFonts w:ascii="Arial" w:cs="Arial" w:eastAsia="Arial" w:hAnsi="Arial"/>
          <w:sz w:val="16"/>
          <w:szCs w:val="16"/>
          <w:color w:val="auto"/>
        </w:rPr>
        <w:t>In February 2020, the Company's Board of Directors approved a stock repurchase program for the repurchase of up to $600 million of the Company’s outstanding shares of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186" w:lineRule="exact"/>
        <w:rPr>
          <w:sz w:val="20"/>
          <w:szCs w:val="20"/>
          <w:color w:val="auto"/>
        </w:rPr>
      </w:pPr>
    </w:p>
    <w:p>
      <w:pPr>
        <w:ind w:right="500" w:firstLine="391"/>
        <w:spacing w:after="0" w:line="287" w:lineRule="auto"/>
        <w:rPr>
          <w:sz w:val="20"/>
          <w:szCs w:val="20"/>
          <w:color w:val="auto"/>
        </w:rPr>
      </w:pPr>
      <w:r>
        <w:rPr>
          <w:rFonts w:ascii="Arial" w:cs="Arial" w:eastAsia="Arial" w:hAnsi="Arial"/>
          <w:sz w:val="17"/>
          <w:szCs w:val="17"/>
          <w:color w:val="auto"/>
        </w:rPr>
        <w:t>During the three and nine months ended September 30, 2020, the Company repurchased and subsequently retired 1.8 million and 9.2 million shares respectively of its Class A common stock for an aggregate amount of $37.5 million and $177.3 million, respectively.</w:t>
      </w:r>
    </w:p>
    <w:p>
      <w:pPr>
        <w:spacing w:after="0" w:line="200" w:lineRule="exact"/>
        <w:rPr>
          <w:sz w:val="20"/>
          <w:szCs w:val="20"/>
          <w:color w:val="auto"/>
        </w:rPr>
      </w:pPr>
    </w:p>
    <w:p>
      <w:pPr>
        <w:spacing w:after="0" w:line="21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17" w:lineRule="exact"/>
        <w:rPr>
          <w:sz w:val="20"/>
          <w:szCs w:val="20"/>
          <w:color w:val="auto"/>
        </w:rPr>
      </w:pPr>
    </w:p>
    <w:p>
      <w:pPr>
        <w:ind w:right="100" w:firstLine="430"/>
        <w:spacing w:after="0" w:line="307" w:lineRule="auto"/>
        <w:rPr>
          <w:sz w:val="20"/>
          <w:szCs w:val="20"/>
          <w:color w:val="auto"/>
        </w:rPr>
      </w:pPr>
      <w:r>
        <w:rPr>
          <w:rFonts w:ascii="Arial" w:cs="Arial" w:eastAsia="Arial" w:hAnsi="Arial"/>
          <w:sz w:val="15"/>
          <w:szCs w:val="15"/>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175" w:lineRule="exact"/>
        <w:rPr>
          <w:sz w:val="20"/>
          <w:szCs w:val="20"/>
          <w:color w:val="auto"/>
        </w:rPr>
      </w:pPr>
    </w:p>
    <w:p>
      <w:pPr>
        <w:ind w:right="420" w:firstLine="430"/>
        <w:spacing w:after="0" w:line="287" w:lineRule="auto"/>
        <w:rPr>
          <w:sz w:val="20"/>
          <w:szCs w:val="20"/>
          <w:color w:val="auto"/>
        </w:rPr>
      </w:pPr>
      <w:r>
        <w:rPr>
          <w:rFonts w:ascii="Arial" w:cs="Arial" w:eastAsia="Arial" w:hAnsi="Arial"/>
          <w:sz w:val="17"/>
          <w:szCs w:val="17"/>
          <w:color w:val="auto"/>
        </w:rPr>
        <w:t>In connection with the acquisition of HelloSign, the Company assumed unvested stock options that had been granted under HelloSign's 2011 Equity Incentive Plan.</w:t>
      </w:r>
    </w:p>
    <w:p>
      <w:pPr>
        <w:spacing w:after="0" w:line="184" w:lineRule="exact"/>
        <w:rPr>
          <w:sz w:val="20"/>
          <w:szCs w:val="20"/>
          <w:color w:val="auto"/>
        </w:rPr>
      </w:pPr>
    </w:p>
    <w:p>
      <w:pPr>
        <w:ind w:right="260" w:firstLine="430"/>
        <w:spacing w:after="0" w:line="287" w:lineRule="auto"/>
        <w:rPr>
          <w:sz w:val="20"/>
          <w:szCs w:val="20"/>
          <w:color w:val="auto"/>
        </w:rPr>
      </w:pPr>
      <w:r>
        <w:rPr>
          <w:rFonts w:ascii="Arial" w:cs="Arial" w:eastAsia="Arial" w:hAnsi="Arial"/>
          <w:sz w:val="17"/>
          <w:szCs w:val="17"/>
          <w:color w:val="auto"/>
        </w:rPr>
        <w:t>As of September 30, 2020, there were 37.6 million stock-based awards issued and outstanding and 76.5 million shares available for issuance under the Dropbox Equity Incentive Plans and HelloSign's 2011 Equity Incentive Plan (collectively, the "Plans").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7" w:name="page28"/>
    <w:bookmarkEnd w:id="27"/>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option and restricted stock activity for the Plans was as follows for the nine months ended September 30,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4"/>
            <w:vMerge w:val="restart"/>
          </w:tcPr>
          <w:p>
            <w:pPr>
              <w:ind w:left="260"/>
              <w:spacing w:after="0"/>
              <w:rPr>
                <w:sz w:val="20"/>
                <w:szCs w:val="20"/>
                <w:color w:val="auto"/>
              </w:rPr>
            </w:pPr>
            <w:r>
              <w:rPr>
                <w:rFonts w:ascii="Arial" w:cs="Arial" w:eastAsia="Arial" w:hAnsi="Arial"/>
                <w:sz w:val="17"/>
                <w:szCs w:val="17"/>
                <w:b w:val="1"/>
                <w:bCs w:val="1"/>
                <w:color w:val="auto"/>
              </w:rPr>
              <w:t>Options outstanding</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539"/>
              <w:spacing w:after="0"/>
              <w:rPr>
                <w:sz w:val="20"/>
                <w:szCs w:val="20"/>
                <w:color w:val="auto"/>
              </w:rPr>
            </w:pPr>
            <w:r>
              <w:rPr>
                <w:rFonts w:ascii="Arial" w:cs="Arial" w:eastAsia="Arial" w:hAnsi="Arial"/>
                <w:sz w:val="17"/>
                <w:szCs w:val="17"/>
                <w:b w:val="1"/>
                <w:bCs w:val="1"/>
                <w:color w:val="auto"/>
              </w:rPr>
              <w:t>Restricted stock</w:t>
            </w: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7"/>
                <w:szCs w:val="17"/>
                <w:b w:val="1"/>
                <w:bCs w:val="1"/>
                <w:color w:val="auto"/>
              </w:rPr>
              <w:t>outstanding</w:t>
            </w: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3" w:lineRule="exact"/>
              <w:rPr>
                <w:sz w:val="20"/>
                <w:szCs w:val="20"/>
                <w:color w:val="auto"/>
              </w:rPr>
            </w:pPr>
            <w:r>
              <w:rPr>
                <w:rFonts w:ascii="Arial" w:cs="Arial" w:eastAsia="Arial" w:hAnsi="Arial"/>
                <w:sz w:val="17"/>
                <w:szCs w:val="17"/>
                <w:color w:val="auto"/>
                <w:w w:val="95"/>
              </w:rPr>
              <w:t>Number of</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0"/>
              </w:rPr>
              <w:t>Weighted-</w:t>
            </w:r>
          </w:p>
        </w:tc>
        <w:tc>
          <w:tcPr>
            <w:tcW w:w="1240" w:type="dxa"/>
            <w:vAlign w:val="bottom"/>
            <w:gridSpan w:val="2"/>
          </w:tcPr>
          <w:p>
            <w:pPr>
              <w:jc w:val="center"/>
              <w:ind w:right="120"/>
              <w:spacing w:after="0" w:line="163" w:lineRule="exact"/>
              <w:rPr>
                <w:sz w:val="20"/>
                <w:szCs w:val="20"/>
                <w:color w:val="auto"/>
              </w:rPr>
            </w:pPr>
            <w:r>
              <w:rPr>
                <w:rFonts w:ascii="Arial" w:cs="Arial" w:eastAsia="Arial" w:hAnsi="Arial"/>
                <w:sz w:val="17"/>
                <w:szCs w:val="17"/>
                <w:color w:val="auto"/>
                <w:w w:val="92"/>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79"/>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6"/>
              </w:rPr>
              <w:t>shares</w:t>
            </w: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7"/>
              </w:rPr>
              <w:t>average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95"/>
              </w:rPr>
              <w:t>available for</w:t>
            </w: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86"/>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7"/>
                <w:szCs w:val="17"/>
                <w:color w:val="auto"/>
                <w:w w:val="87"/>
              </w:rPr>
              <w:t>average</w:t>
            </w:r>
          </w:p>
        </w:tc>
        <w:tc>
          <w:tcPr>
            <w:tcW w:w="12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93"/>
              </w:rPr>
              <w:t>remaining</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9"/>
              <w:spacing w:after="0" w:line="170" w:lineRule="exact"/>
              <w:rPr>
                <w:sz w:val="20"/>
                <w:szCs w:val="20"/>
                <w:color w:val="auto"/>
              </w:rPr>
            </w:pPr>
            <w:r>
              <w:rPr>
                <w:rFonts w:ascii="Arial" w:cs="Arial" w:eastAsia="Arial" w:hAnsi="Arial"/>
                <w:sz w:val="17"/>
                <w:szCs w:val="17"/>
                <w:color w:val="auto"/>
                <w:w w:val="87"/>
              </w:rPr>
              <w:t>average</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9"/>
              </w:rPr>
              <w:t>issuance</w:t>
            </w: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93"/>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7"/>
                <w:szCs w:val="17"/>
                <w:color w:val="auto"/>
                <w:w w:val="91"/>
              </w:rPr>
              <w:t>exercise</w:t>
            </w:r>
          </w:p>
        </w:tc>
        <w:tc>
          <w:tcPr>
            <w:tcW w:w="1240" w:type="dxa"/>
            <w:vAlign w:val="bottom"/>
            <w:gridSpan w:val="2"/>
          </w:tcPr>
          <w:p>
            <w:pPr>
              <w:jc w:val="center"/>
              <w:ind w:right="120"/>
              <w:spacing w:after="0" w:line="170" w:lineRule="exact"/>
              <w:rPr>
                <w:sz w:val="20"/>
                <w:szCs w:val="20"/>
                <w:color w:val="auto"/>
              </w:rPr>
            </w:pPr>
            <w:r>
              <w:rPr>
                <w:rFonts w:ascii="Arial" w:cs="Arial" w:eastAsia="Arial" w:hAnsi="Arial"/>
                <w:sz w:val="17"/>
                <w:szCs w:val="17"/>
                <w:color w:val="auto"/>
                <w:w w:val="91"/>
              </w:rPr>
              <w:t>contractual</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1"/>
              </w:rPr>
              <w:t>Aggregate</w:t>
            </w: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86"/>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9"/>
              <w:spacing w:after="0" w:line="170" w:lineRule="exact"/>
              <w:rPr>
                <w:sz w:val="20"/>
                <w:szCs w:val="20"/>
                <w:color w:val="auto"/>
              </w:rPr>
            </w:pPr>
            <w:r>
              <w:rPr>
                <w:rFonts w:ascii="Arial" w:cs="Arial" w:eastAsia="Arial" w:hAnsi="Arial"/>
                <w:sz w:val="17"/>
                <w:szCs w:val="17"/>
                <w:color w:val="auto"/>
                <w:w w:val="88"/>
              </w:rPr>
              <w:t>grant date</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9"/>
              </w:rPr>
              <w:t>under the</w:t>
            </w: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91"/>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7"/>
                <w:szCs w:val="17"/>
                <w:color w:val="auto"/>
                <w:w w:val="92"/>
              </w:rPr>
              <w:t>price</w:t>
            </w:r>
          </w:p>
        </w:tc>
        <w:tc>
          <w:tcPr>
            <w:tcW w:w="1240" w:type="dxa"/>
            <w:vAlign w:val="bottom"/>
            <w:gridSpan w:val="2"/>
          </w:tcPr>
          <w:p>
            <w:pPr>
              <w:jc w:val="center"/>
              <w:ind w:right="120"/>
              <w:spacing w:after="0" w:line="170" w:lineRule="exact"/>
              <w:rPr>
                <w:sz w:val="20"/>
                <w:szCs w:val="20"/>
                <w:color w:val="auto"/>
              </w:rPr>
            </w:pPr>
            <w:r>
              <w:rPr>
                <w:rFonts w:ascii="Arial" w:cs="Arial" w:eastAsia="Arial" w:hAnsi="Arial"/>
                <w:sz w:val="17"/>
                <w:szCs w:val="17"/>
                <w:color w:val="auto"/>
                <w:w w:val="93"/>
              </w:rPr>
              <w:t>term</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93"/>
              </w:rPr>
              <w:t>outstanding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9"/>
              <w:spacing w:after="0" w:line="170" w:lineRule="exact"/>
              <w:rPr>
                <w:sz w:val="20"/>
                <w:szCs w:val="20"/>
                <w:color w:val="auto"/>
              </w:rPr>
            </w:pPr>
            <w:r>
              <w:rPr>
                <w:rFonts w:ascii="Arial" w:cs="Arial" w:eastAsia="Arial" w:hAnsi="Arial"/>
                <w:sz w:val="17"/>
                <w:szCs w:val="17"/>
                <w:color w:val="auto"/>
                <w:w w:val="95"/>
              </w:rPr>
              <w:t>fair value</w:t>
            </w: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7"/>
                <w:szCs w:val="17"/>
                <w:color w:val="auto"/>
                <w:w w:val="84"/>
              </w:rPr>
              <w:t>Plans</w:t>
            </w:r>
          </w:p>
        </w:tc>
        <w:tc>
          <w:tcPr>
            <w:tcW w:w="1160" w:type="dxa"/>
            <w:vAlign w:val="bottom"/>
          </w:tcPr>
          <w:p>
            <w:pPr>
              <w:jc w:val="center"/>
              <w:spacing w:after="0"/>
              <w:rPr>
                <w:sz w:val="20"/>
                <w:szCs w:val="20"/>
                <w:color w:val="auto"/>
              </w:rPr>
            </w:pPr>
            <w:r>
              <w:rPr>
                <w:rFonts w:ascii="Arial" w:cs="Arial" w:eastAsia="Arial" w:hAnsi="Arial"/>
                <w:sz w:val="17"/>
                <w:szCs w:val="17"/>
                <w:color w:val="auto"/>
                <w:w w:val="89"/>
              </w:rPr>
              <w:t>Plans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86"/>
              </w:rPr>
              <w:t>per share</w:t>
            </w: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(In years)</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color w:val="auto"/>
                <w:w w:val="95"/>
              </w:rPr>
              <w:t>intrinsic value</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under the Plans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79"/>
              <w:spacing w:after="0"/>
              <w:rPr>
                <w:sz w:val="20"/>
                <w:szCs w:val="20"/>
                <w:color w:val="auto"/>
              </w:rPr>
            </w:pPr>
            <w:r>
              <w:rPr>
                <w:rFonts w:ascii="Arial" w:cs="Arial" w:eastAsia="Arial" w:hAnsi="Arial"/>
                <w:sz w:val="17"/>
                <w:szCs w:val="17"/>
                <w:color w:val="auto"/>
                <w:w w:val="89"/>
              </w:rPr>
              <w:t>per share</w:t>
            </w:r>
          </w:p>
        </w:tc>
        <w:tc>
          <w:tcPr>
            <w:tcW w:w="0" w:type="dxa"/>
            <w:vAlign w:val="bottom"/>
          </w:tcPr>
          <w:p>
            <w:pPr>
              <w:spacing w:after="0"/>
              <w:rPr>
                <w:sz w:val="1"/>
                <w:szCs w:val="1"/>
                <w:color w:val="auto"/>
              </w:rPr>
            </w:pPr>
          </w:p>
        </w:tc>
      </w:tr>
      <w:tr>
        <w:trPr>
          <w:trHeight w:val="32"/>
        </w:trPr>
        <w:tc>
          <w:tcPr>
            <w:tcW w:w="248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0"/>
              </w:rPr>
              <w:t>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222"/>
        </w:trPr>
        <w:tc>
          <w:tcPr>
            <w:tcW w:w="2480" w:type="dxa"/>
            <w:vAlign w:val="bottom"/>
          </w:tcPr>
          <w:p>
            <w:pPr>
              <w:ind w:left="20"/>
              <w:spacing w:after="0"/>
              <w:rPr>
                <w:sz w:val="20"/>
                <w:szCs w:val="20"/>
                <w:color w:val="auto"/>
              </w:rPr>
            </w:pPr>
            <w:r>
              <w:rPr>
                <w:rFonts w:ascii="Arial" w:cs="Arial" w:eastAsia="Arial" w:hAnsi="Arial"/>
                <w:sz w:val="17"/>
                <w:szCs w:val="17"/>
                <w:color w:val="auto"/>
              </w:rPr>
              <w:t>Additional shares authorized</w:t>
            </w:r>
          </w:p>
        </w:tc>
        <w:tc>
          <w:tcPr>
            <w:tcW w:w="124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Options exercised and restricted</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units and awards released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0" w:lineRule="exact"/>
              <w:rPr>
                <w:sz w:val="20"/>
                <w:szCs w:val="20"/>
                <w:color w:val="auto"/>
              </w:rPr>
            </w:pPr>
            <w:r>
              <w:rPr>
                <w:rFonts w:ascii="Arial" w:cs="Arial" w:eastAsia="Arial" w:hAnsi="Arial"/>
                <w:sz w:val="17"/>
                <w:szCs w:val="17"/>
                <w:color w:val="auto"/>
                <w:w w:val="97"/>
              </w:rPr>
              <w:t>Options and restricted stock units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Arial" w:cs="Arial" w:eastAsia="Arial" w:hAnsi="Arial"/>
                <w:sz w:val="17"/>
                <w:szCs w:val="17"/>
                <w:color w:val="auto"/>
              </w:rPr>
              <w:t>and awards canceled</w:t>
            </w:r>
          </w:p>
        </w:tc>
        <w:tc>
          <w:tcPr>
            <w:tcW w:w="12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17.52</w:t>
            </w:r>
          </w:p>
        </w:tc>
        <w:tc>
          <w:tcPr>
            <w:tcW w:w="1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Shares repurchased for tax</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withholdings on release of</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restricted stock units and awards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0" w:lineRule="exact"/>
              <w:rPr>
                <w:sz w:val="20"/>
                <w:szCs w:val="20"/>
                <w:color w:val="auto"/>
              </w:rPr>
            </w:pPr>
            <w:r>
              <w:rPr>
                <w:rFonts w:ascii="Arial" w:cs="Arial" w:eastAsia="Arial" w:hAnsi="Arial"/>
                <w:sz w:val="17"/>
                <w:szCs w:val="17"/>
                <w:color w:val="auto"/>
                <w:w w:val="97"/>
              </w:rPr>
              <w:t>Options and restricted stock units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and awards granted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18.85</w:t>
            </w:r>
          </w:p>
        </w:tc>
        <w:tc>
          <w:tcPr>
            <w:tcW w:w="0" w:type="dxa"/>
            <w:vAlign w:val="bottom"/>
          </w:tcPr>
          <w:p>
            <w:pPr>
              <w:spacing w:after="0"/>
              <w:rPr>
                <w:sz w:val="1"/>
                <w:szCs w:val="1"/>
                <w:color w:val="auto"/>
              </w:rPr>
            </w:pPr>
          </w:p>
        </w:tc>
      </w:tr>
      <w:tr>
        <w:trPr>
          <w:trHeight w:val="227"/>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w w:val="80"/>
              </w:rPr>
              <w:t>5.9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Vested at September 30, 2020</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4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w:t>
            </w:r>
          </w:p>
        </w:tc>
        <w:tc>
          <w:tcPr>
            <w:tcW w:w="2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16.19</w:t>
            </w:r>
          </w:p>
        </w:tc>
        <w:tc>
          <w:tcPr>
            <w:tcW w:w="100" w:type="dxa"/>
            <w:vAlign w:val="bottom"/>
          </w:tcPr>
          <w:p>
            <w:pPr>
              <w:spacing w:after="0"/>
              <w:rPr>
                <w:sz w:val="15"/>
                <w:szCs w:val="15"/>
                <w:color w:val="auto"/>
              </w:rPr>
            </w:pPr>
          </w:p>
        </w:tc>
        <w:tc>
          <w:tcPr>
            <w:tcW w:w="1120" w:type="dxa"/>
            <w:vAlign w:val="bottom"/>
          </w:tcPr>
          <w:p>
            <w:pPr>
              <w:ind w:left="920"/>
              <w:spacing w:after="0" w:line="181" w:lineRule="exact"/>
              <w:rPr>
                <w:sz w:val="20"/>
                <w:szCs w:val="20"/>
                <w:color w:val="auto"/>
              </w:rPr>
            </w:pPr>
            <w:r>
              <w:rPr>
                <w:rFonts w:ascii="Arial" w:cs="Arial" w:eastAsia="Arial" w:hAnsi="Arial"/>
                <w:sz w:val="16"/>
                <w:szCs w:val="16"/>
                <w:color w:val="auto"/>
                <w:w w:val="80"/>
              </w:rPr>
              <w:t>5.3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5.57</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Unvested at September 30, 2020</w:t>
            </w: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160" w:firstLine="430"/>
        <w:spacing w:after="0" w:line="287" w:lineRule="auto"/>
        <w:rPr>
          <w:sz w:val="20"/>
          <w:szCs w:val="20"/>
          <w:color w:val="auto"/>
        </w:rPr>
      </w:pPr>
      <w:r>
        <w:rPr>
          <w:rFonts w:ascii="Arial" w:cs="Arial" w:eastAsia="Arial" w:hAnsi="Arial"/>
          <w:sz w:val="17"/>
          <w:szCs w:val="17"/>
          <w:color w:val="auto"/>
        </w:rPr>
        <w:t>The following table summarizes information about the pre-tax intrinsic value of options exercised during the three and nine months ended September 30, 2020 and 2019:</w:t>
      </w:r>
    </w:p>
    <w:p>
      <w:pPr>
        <w:sectPr>
          <w:pgSz w:w="11900" w:h="16838" w:orient="portrait"/>
          <w:cols w:equalWidth="0" w:num="1">
            <w:col w:w="11240"/>
          </w:cols>
          <w:pgMar w:left="320" w:top="121" w:right="339" w:bottom="1440" w:gutter="0" w:footer="0" w:header="0"/>
        </w:sectPr>
      </w:pPr>
    </w:p>
    <w:p>
      <w:pPr>
        <w:spacing w:after="0" w:line="74" w:lineRule="exact"/>
        <w:rPr>
          <w:sz w:val="20"/>
          <w:szCs w:val="20"/>
          <w:color w:val="auto"/>
        </w:rPr>
      </w:pPr>
    </w:p>
    <w:p>
      <w:pPr>
        <w:jc w:val="center"/>
        <w:ind w:left="6900"/>
        <w:spacing w:after="0"/>
        <w:rPr>
          <w:sz w:val="20"/>
          <w:szCs w:val="20"/>
          <w:color w:val="auto"/>
        </w:rPr>
      </w:pPr>
      <w:r>
        <w:rPr>
          <w:rFonts w:ascii="Arial" w:cs="Arial" w:eastAsia="Arial" w:hAnsi="Arial"/>
          <w:sz w:val="15"/>
          <w:szCs w:val="15"/>
          <w:b w:val="1"/>
          <w:bCs w:val="1"/>
          <w:color w:val="auto"/>
        </w:rPr>
        <w:t>Three Months Ended</w:t>
      </w:r>
    </w:p>
    <w:p>
      <w:pPr>
        <w:spacing w:after="0" w:line="17" w:lineRule="exact"/>
        <w:rPr>
          <w:sz w:val="20"/>
          <w:szCs w:val="20"/>
          <w:color w:val="auto"/>
        </w:rPr>
      </w:pPr>
    </w:p>
    <w:p>
      <w:pPr>
        <w:jc w:val="center"/>
        <w:ind w:left="690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7620</wp:posOffset>
            </wp:positionV>
            <wp:extent cx="14243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ind w:left="7020"/>
        <w:spacing w:after="0"/>
        <w:tabs>
          <w:tab w:leader="none" w:pos="8160" w:val="left"/>
        </w:tabs>
        <w:rPr>
          <w:sz w:val="20"/>
          <w:szCs w:val="20"/>
          <w:color w:val="auto"/>
        </w:rPr>
      </w:pPr>
      <w:r>
        <w:rPr>
          <w:rFonts w:ascii="Arial" w:cs="Arial" w:eastAsia="Arial" w:hAnsi="Arial"/>
          <w:sz w:val="17"/>
          <w:szCs w:val="17"/>
          <w:b w:val="1"/>
          <w:bCs w:val="1"/>
          <w:color w:val="auto"/>
        </w:rPr>
        <w:t>2020</w:t>
      </w:r>
      <w:r>
        <w:rPr>
          <w:sz w:val="20"/>
          <w:szCs w:val="20"/>
          <w:color w:val="auto"/>
        </w:rPr>
        <w:tab/>
      </w:r>
      <w:r>
        <w:rPr>
          <w:rFonts w:ascii="Arial" w:cs="Arial" w:eastAsia="Arial" w:hAnsi="Arial"/>
          <w:sz w:val="17"/>
          <w:szCs w:val="17"/>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36765" cy="140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20320</wp:posOffset>
            </wp:positionV>
            <wp:extent cx="1424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Nine Months Ended</w:t>
      </w:r>
    </w:p>
    <w:p>
      <w:pPr>
        <w:spacing w:after="0" w:line="6"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7620</wp:posOffset>
            </wp:positionV>
            <wp:extent cx="1424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tabs>
          <w:tab w:leader="none" w:pos="1160" w:val="left"/>
        </w:tabs>
        <w:rPr>
          <w:sz w:val="20"/>
          <w:szCs w:val="20"/>
          <w:color w:val="auto"/>
        </w:rPr>
      </w:pPr>
      <w:r>
        <w:rPr>
          <w:rFonts w:ascii="Arial" w:cs="Arial" w:eastAsia="Arial" w:hAnsi="Arial"/>
          <w:sz w:val="15"/>
          <w:szCs w:val="15"/>
          <w:b w:val="1"/>
          <w:bCs w:val="1"/>
          <w:color w:val="auto"/>
        </w:rPr>
        <w:t>2020</w:t>
      </w:r>
      <w:r>
        <w:rPr>
          <w:sz w:val="20"/>
          <w:szCs w:val="20"/>
          <w:color w:val="auto"/>
        </w:rPr>
        <w:tab/>
      </w:r>
      <w:r>
        <w:rPr>
          <w:rFonts w:ascii="Arial" w:cs="Arial" w:eastAsia="Arial" w:hAnsi="Arial"/>
          <w:sz w:val="15"/>
          <w:szCs w:val="15"/>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34925</wp:posOffset>
            </wp:positionV>
            <wp:extent cx="1424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8640" w:space="720"/>
            <w:col w:w="1880"/>
          </w:cols>
          <w:pgMar w:left="320" w:top="121" w:right="339" w:bottom="1440" w:gutter="0" w:footer="0" w:header="0"/>
          <w:type w:val="continuous"/>
        </w:sectPr>
      </w:pPr>
    </w:p>
    <w:p>
      <w:pPr>
        <w:ind w:left="20"/>
        <w:spacing w:after="0"/>
        <w:tabs>
          <w:tab w:leader="none" w:pos="6660" w:val="left"/>
          <w:tab w:leader="none" w:pos="7420" w:val="left"/>
          <w:tab w:leader="none" w:pos="7820" w:val="left"/>
          <w:tab w:leader="none" w:pos="8600" w:val="left"/>
          <w:tab w:leader="none" w:pos="9000" w:val="left"/>
          <w:tab w:leader="none" w:pos="9760" w:val="left"/>
          <w:tab w:leader="none" w:pos="10180" w:val="left"/>
          <w:tab w:leader="none" w:pos="10940" w:val="left"/>
        </w:tabs>
        <w:rPr>
          <w:sz w:val="20"/>
          <w:szCs w:val="20"/>
          <w:color w:val="auto"/>
        </w:rPr>
      </w:pPr>
      <w:r>
        <w:rPr>
          <w:rFonts w:ascii="Arial" w:cs="Arial" w:eastAsia="Arial" w:hAnsi="Arial"/>
          <w:sz w:val="17"/>
          <w:szCs w:val="17"/>
          <w:color w:val="auto"/>
        </w:rPr>
        <w:t>Intrinsic value of options exercised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0.5</w:t>
        <w:tab/>
        <w:t>$</w:t>
      </w:r>
      <w:r>
        <w:rPr>
          <w:sz w:val="20"/>
          <w:szCs w:val="20"/>
          <w:color w:val="auto"/>
        </w:rPr>
        <w:tab/>
      </w:r>
      <w:r>
        <w:rPr>
          <w:rFonts w:ascii="Arial" w:cs="Arial" w:eastAsia="Arial" w:hAnsi="Arial"/>
          <w:sz w:val="17"/>
          <w:szCs w:val="17"/>
          <w:color w:val="auto"/>
        </w:rPr>
        <w:t>0.3</w:t>
        <w:tab/>
        <w:t>$</w:t>
      </w:r>
      <w:r>
        <w:rPr>
          <w:sz w:val="20"/>
          <w:szCs w:val="20"/>
          <w:color w:val="auto"/>
        </w:rPr>
        <w:tab/>
      </w:r>
      <w:r>
        <w:rPr>
          <w:rFonts w:ascii="Arial" w:cs="Arial" w:eastAsia="Arial" w:hAnsi="Arial"/>
          <w:sz w:val="17"/>
          <w:szCs w:val="17"/>
          <w:color w:val="auto"/>
        </w:rPr>
        <w:t>5.3</w:t>
        <w:tab/>
        <w:t>$</w:t>
      </w:r>
      <w:r>
        <w:rPr>
          <w:sz w:val="20"/>
          <w:szCs w:val="20"/>
          <w:color w:val="auto"/>
        </w:rPr>
        <w:tab/>
      </w:r>
      <w:r>
        <w:rPr>
          <w:rFonts w:ascii="Arial" w:cs="Arial" w:eastAsia="Arial" w:hAnsi="Arial"/>
          <w:sz w:val="15"/>
          <w:szCs w:val="15"/>
          <w:color w:val="auto"/>
        </w:rPr>
        <w:t>4.8</w:t>
      </w:r>
    </w:p>
    <w:p>
      <w:pPr>
        <w:spacing w:after="0" w:line="339" w:lineRule="exact"/>
        <w:rPr>
          <w:sz w:val="20"/>
          <w:szCs w:val="20"/>
          <w:color w:val="auto"/>
        </w:rPr>
      </w:pPr>
    </w:p>
    <w:p>
      <w:pPr>
        <w:ind w:right="240" w:firstLine="430"/>
        <w:spacing w:after="0" w:line="271" w:lineRule="auto"/>
        <w:rPr>
          <w:sz w:val="20"/>
          <w:szCs w:val="20"/>
          <w:color w:val="auto"/>
        </w:rPr>
      </w:pPr>
      <w:r>
        <w:rPr>
          <w:rFonts w:ascii="Arial" w:cs="Arial" w:eastAsia="Arial" w:hAnsi="Arial"/>
          <w:sz w:val="17"/>
          <w:szCs w:val="17"/>
          <w:color w:val="auto"/>
        </w:rPr>
        <w:t>As of September 30, 2020, unamortized stock-based compensation related to unvested stock options, restricted stock awards (excluding the Co-Founder Grants), and RSUs was $671.1 million. The weighted-average period over which such compensation expense will be recognized if the requisite service is provided is approximately 2.9 years as of September 30, 2020.</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Assumed stock options</w:t>
      </w:r>
    </w:p>
    <w:p>
      <w:pPr>
        <w:spacing w:after="0" w:line="117" w:lineRule="exact"/>
        <w:rPr>
          <w:sz w:val="20"/>
          <w:szCs w:val="20"/>
          <w:color w:val="auto"/>
        </w:rPr>
      </w:pPr>
    </w:p>
    <w:p>
      <w:pPr>
        <w:ind w:right="380" w:firstLine="430"/>
        <w:spacing w:after="0" w:line="287" w:lineRule="auto"/>
        <w:rPr>
          <w:sz w:val="20"/>
          <w:szCs w:val="20"/>
          <w:color w:val="auto"/>
        </w:rPr>
      </w:pPr>
      <w:r>
        <w:rPr>
          <w:rFonts w:ascii="Arial" w:cs="Arial" w:eastAsia="Arial" w:hAnsi="Arial"/>
          <w:sz w:val="17"/>
          <w:szCs w:val="17"/>
          <w:color w:val="auto"/>
        </w:rPr>
        <w:t>In connection with the acquisition of HelloSign the Company assumed 0.9 million unvested stock options which were valued using the Black-Scholes option-pricing model. The fair value of stock options assumed were estimated using the following assumptions: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960" w:type="dxa"/>
            <w:vAlign w:val="bottom"/>
          </w:tcPr>
          <w:p>
            <w:pPr>
              <w:spacing w:after="0"/>
              <w:rPr>
                <w:sz w:val="16"/>
                <w:szCs w:val="16"/>
                <w:color w:val="auto"/>
              </w:rPr>
            </w:pPr>
          </w:p>
        </w:tc>
        <w:tc>
          <w:tcPr>
            <w:tcW w:w="9240" w:type="dxa"/>
            <w:vAlign w:val="bottom"/>
          </w:tcPr>
          <w:p>
            <w:pPr>
              <w:jc w:val="center"/>
              <w:ind w:right="1913"/>
              <w:spacing w:after="0"/>
              <w:rPr>
                <w:sz w:val="20"/>
                <w:szCs w:val="20"/>
                <w:color w:val="auto"/>
              </w:rPr>
            </w:pPr>
            <w:r>
              <w:rPr>
                <w:rFonts w:ascii="Arial" w:cs="Arial" w:eastAsia="Arial" w:hAnsi="Arial"/>
                <w:sz w:val="17"/>
                <w:szCs w:val="17"/>
                <w:b w:val="1"/>
                <w:bCs w:val="1"/>
                <w:color w:val="auto"/>
              </w:rPr>
              <w:t>DROPBOX, INC.</w:t>
            </w:r>
          </w:p>
        </w:tc>
      </w:tr>
      <w:tr>
        <w:trPr>
          <w:trHeight w:val="227"/>
        </w:trPr>
        <w:tc>
          <w:tcPr>
            <w:tcW w:w="1960" w:type="dxa"/>
            <w:vAlign w:val="bottom"/>
          </w:tcPr>
          <w:p>
            <w:pPr>
              <w:spacing w:after="0"/>
              <w:rPr>
                <w:sz w:val="19"/>
                <w:szCs w:val="19"/>
                <w:color w:val="auto"/>
              </w:rPr>
            </w:pPr>
          </w:p>
        </w:tc>
        <w:tc>
          <w:tcPr>
            <w:tcW w:w="9240" w:type="dxa"/>
            <w:vAlign w:val="bottom"/>
          </w:tcPr>
          <w:p>
            <w:pPr>
              <w:jc w:val="center"/>
              <w:ind w:right="1893"/>
              <w:spacing w:after="0"/>
              <w:rPr>
                <w:sz w:val="20"/>
                <w:szCs w:val="20"/>
                <w:color w:val="auto"/>
              </w:rPr>
            </w:pPr>
            <w:r>
              <w:rPr>
                <w:rFonts w:ascii="Arial" w:cs="Arial" w:eastAsia="Arial" w:hAnsi="Arial"/>
                <w:sz w:val="17"/>
                <w:szCs w:val="17"/>
                <w:b w:val="1"/>
                <w:bCs w:val="1"/>
                <w:color w:val="auto"/>
              </w:rPr>
              <w:t>NOTES TO UNAUDITED CONDENSED CONSOLIDATED FINANCIAL STATEMENTS</w:t>
            </w:r>
          </w:p>
        </w:tc>
      </w:tr>
      <w:tr>
        <w:trPr>
          <w:trHeight w:val="313"/>
        </w:trPr>
        <w:tc>
          <w:tcPr>
            <w:tcW w:w="1960" w:type="dxa"/>
            <w:vAlign w:val="bottom"/>
          </w:tcPr>
          <w:p>
            <w:pPr>
              <w:spacing w:after="0"/>
              <w:rPr>
                <w:sz w:val="24"/>
                <w:szCs w:val="24"/>
                <w:color w:val="auto"/>
              </w:rPr>
            </w:pPr>
          </w:p>
        </w:tc>
        <w:tc>
          <w:tcPr>
            <w:tcW w:w="9240" w:type="dxa"/>
            <w:vAlign w:val="bottom"/>
          </w:tcPr>
          <w:p>
            <w:pPr>
              <w:jc w:val="center"/>
              <w:ind w:right="1893"/>
              <w:spacing w:after="0"/>
              <w:rPr>
                <w:sz w:val="20"/>
                <w:szCs w:val="20"/>
                <w:color w:val="auto"/>
              </w:rPr>
            </w:pPr>
            <w:r>
              <w:rPr>
                <w:rFonts w:ascii="Arial" w:cs="Arial" w:eastAsia="Arial" w:hAnsi="Arial"/>
                <w:sz w:val="17"/>
                <w:szCs w:val="17"/>
                <w:i w:val="1"/>
                <w:iCs w:val="1"/>
                <w:color w:val="auto"/>
                <w:w w:val="92"/>
              </w:rPr>
              <w:t>(Amounts in tables are in millions except per share data, or as otherwise noted)</w:t>
            </w:r>
          </w:p>
        </w:tc>
      </w:tr>
      <w:tr>
        <w:trPr>
          <w:trHeight w:val="509"/>
        </w:trPr>
        <w:tc>
          <w:tcPr>
            <w:tcW w:w="196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222"/>
        </w:trPr>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9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51.6 %</w:t>
            </w:r>
          </w:p>
        </w:tc>
      </w:tr>
      <w:tr>
        <w:trPr>
          <w:trHeight w:val="222"/>
        </w:trPr>
        <w:tc>
          <w:tcPr>
            <w:tcW w:w="1960" w:type="dxa"/>
            <w:vAlign w:val="bottom"/>
          </w:tcPr>
          <w:p>
            <w:pPr>
              <w:spacing w:after="0"/>
              <w:rPr>
                <w:sz w:val="20"/>
                <w:szCs w:val="20"/>
                <w:color w:val="auto"/>
              </w:rPr>
            </w:pPr>
            <w:r>
              <w:rPr>
                <w:rFonts w:ascii="Arial" w:cs="Arial" w:eastAsia="Arial" w:hAnsi="Arial"/>
                <w:sz w:val="17"/>
                <w:szCs w:val="17"/>
                <w:color w:val="auto"/>
              </w:rPr>
              <w:t>Expected term (in years)</w:t>
            </w:r>
          </w:p>
        </w:tc>
        <w:tc>
          <w:tcPr>
            <w:tcW w:w="9240" w:type="dxa"/>
            <w:vAlign w:val="bottom"/>
          </w:tcPr>
          <w:p>
            <w:pPr>
              <w:jc w:val="right"/>
              <w:spacing w:after="0"/>
              <w:rPr>
                <w:sz w:val="20"/>
                <w:szCs w:val="20"/>
                <w:color w:val="auto"/>
              </w:rPr>
            </w:pPr>
            <w:r>
              <w:rPr>
                <w:rFonts w:ascii="Arial" w:cs="Arial" w:eastAsia="Arial" w:hAnsi="Arial"/>
                <w:sz w:val="17"/>
                <w:szCs w:val="17"/>
                <w:color w:val="auto"/>
              </w:rPr>
              <w:t>3.4 - 7.0</w:t>
            </w:r>
          </w:p>
        </w:tc>
      </w:tr>
      <w:tr>
        <w:trPr>
          <w:trHeight w:val="222"/>
        </w:trPr>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9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 - 2.51%</w:t>
            </w:r>
          </w:p>
        </w:tc>
      </w:tr>
      <w:tr>
        <w:trPr>
          <w:trHeight w:val="222"/>
        </w:trPr>
        <w:tc>
          <w:tcPr>
            <w:tcW w:w="1960" w:type="dxa"/>
            <w:vAlign w:val="bottom"/>
          </w:tcPr>
          <w:p>
            <w:pPr>
              <w:spacing w:after="0"/>
              <w:rPr>
                <w:sz w:val="20"/>
                <w:szCs w:val="20"/>
                <w:color w:val="auto"/>
              </w:rPr>
            </w:pPr>
            <w:r>
              <w:rPr>
                <w:rFonts w:ascii="Arial" w:cs="Arial" w:eastAsia="Arial" w:hAnsi="Arial"/>
                <w:sz w:val="17"/>
                <w:szCs w:val="17"/>
                <w:color w:val="auto"/>
              </w:rPr>
              <w:t>Dividend yield</w:t>
            </w:r>
          </w:p>
        </w:tc>
        <w:tc>
          <w:tcPr>
            <w:tcW w:w="9240" w:type="dxa"/>
            <w:vAlign w:val="bottom"/>
          </w:tcPr>
          <w:p>
            <w:pPr>
              <w:jc w:val="right"/>
              <w:spacing w:after="0"/>
              <w:rPr>
                <w:sz w:val="20"/>
                <w:szCs w:val="20"/>
                <w:color w:val="auto"/>
              </w:rPr>
            </w:pPr>
            <w:r>
              <w:rPr>
                <w:rFonts w:ascii="Arial" w:cs="Arial" w:eastAsia="Arial" w:hAnsi="Arial"/>
                <w:sz w:val="17"/>
                <w:szCs w:val="17"/>
                <w:color w:val="auto"/>
              </w:rPr>
              <w:t>— %</w:t>
            </w:r>
          </w:p>
        </w:tc>
      </w:tr>
    </w:tbl>
    <w:p>
      <w:pPr>
        <w:spacing w:after="0" w:line="301" w:lineRule="exact"/>
        <w:rPr>
          <w:sz w:val="20"/>
          <w:szCs w:val="20"/>
          <w:color w:val="auto"/>
        </w:rPr>
      </w:pPr>
    </w:p>
    <w:p>
      <w:pPr>
        <w:ind w:right="220" w:firstLine="430"/>
        <w:spacing w:after="0" w:line="263"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is based on the Company's historical volatility. Management believes this is the best estimate of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over the expected life of its stock options.</w:t>
      </w:r>
    </w:p>
    <w:p>
      <w:pPr>
        <w:spacing w:after="0" w:line="1" w:lineRule="exact"/>
        <w:rPr>
          <w:sz w:val="20"/>
          <w:szCs w:val="20"/>
          <w:color w:val="auto"/>
        </w:rPr>
      </w:pPr>
    </w:p>
    <w:p>
      <w:pPr>
        <w:ind w:right="240" w:firstLine="430"/>
        <w:spacing w:after="0" w:line="288"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Company determines the expected term based on the average period the stock options are expected to remain outstanding,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86" w:lineRule="exact"/>
        <w:rPr>
          <w:sz w:val="20"/>
          <w:szCs w:val="20"/>
          <w:color w:val="auto"/>
        </w:rPr>
      </w:pPr>
    </w:p>
    <w:p>
      <w:pPr>
        <w:ind w:right="580" w:firstLine="430"/>
        <w:spacing w:after="0" w:line="287"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security in effect at the time the options were assumed for maturities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 dividend yield of</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zero.</w:t>
      </w:r>
    </w:p>
    <w:p>
      <w:pPr>
        <w:spacing w:after="0" w:line="236" w:lineRule="exact"/>
        <w:rPr>
          <w:sz w:val="20"/>
          <w:szCs w:val="20"/>
          <w:color w:val="auto"/>
        </w:rPr>
      </w:pPr>
    </w:p>
    <w:p>
      <w:pPr>
        <w:ind w:right="40" w:firstLine="430"/>
        <w:spacing w:after="0" w:line="287" w:lineRule="auto"/>
        <w:rPr>
          <w:sz w:val="20"/>
          <w:szCs w:val="20"/>
          <w:color w:val="auto"/>
        </w:rPr>
      </w:pPr>
      <w:r>
        <w:rPr>
          <w:rFonts w:ascii="Arial" w:cs="Arial" w:eastAsia="Arial" w:hAnsi="Arial"/>
          <w:sz w:val="17"/>
          <w:szCs w:val="17"/>
          <w:color w:val="auto"/>
        </w:rPr>
        <w:t>The estimated weighted-average grant date fair value for stock options assumed was $21.60 per share and total fair value of $19.4 million, of which, $18.6 million will be recognized as post-combination stock-based compensation expense.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Co-Founder Grants</w:t>
      </w:r>
    </w:p>
    <w:p>
      <w:pPr>
        <w:spacing w:after="0" w:line="117" w:lineRule="exact"/>
        <w:rPr>
          <w:sz w:val="20"/>
          <w:szCs w:val="20"/>
          <w:color w:val="auto"/>
        </w:rPr>
      </w:pPr>
    </w:p>
    <w:p>
      <w:pPr>
        <w:ind w:firstLine="430"/>
        <w:spacing w:after="0" w:line="279" w:lineRule="auto"/>
        <w:rPr>
          <w:sz w:val="20"/>
          <w:szCs w:val="20"/>
          <w:color w:val="auto"/>
        </w:rPr>
      </w:pPr>
      <w:r>
        <w:rPr>
          <w:rFonts w:ascii="Arial" w:cs="Arial" w:eastAsia="Arial" w:hAnsi="Arial"/>
          <w:sz w:val="16"/>
          <w:szCs w:val="16"/>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a former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income (loss) per share attributable to common stockholders in Note 13, "Net Income (Loss) Per Share", as the right to the cumulative declared dividends is forfeitable if the service condition is not met.</w:t>
      </w:r>
    </w:p>
    <w:p>
      <w:pPr>
        <w:spacing w:after="0" w:line="193" w:lineRule="exact"/>
        <w:rPr>
          <w:sz w:val="20"/>
          <w:szCs w:val="20"/>
          <w:color w:val="auto"/>
        </w:rPr>
      </w:pPr>
    </w:p>
    <w:p>
      <w:pPr>
        <w:ind w:right="400" w:firstLine="430"/>
        <w:spacing w:after="0" w:line="266" w:lineRule="auto"/>
        <w:rPr>
          <w:sz w:val="20"/>
          <w:szCs w:val="20"/>
          <w:color w:val="auto"/>
        </w:rPr>
      </w:pPr>
      <w:r>
        <w:rPr>
          <w:rFonts w:ascii="Arial" w:cs="Arial" w:eastAsia="Arial" w:hAnsi="Arial"/>
          <w:sz w:val="17"/>
          <w:szCs w:val="17"/>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203" w:lineRule="exact"/>
        <w:rPr>
          <w:sz w:val="20"/>
          <w:szCs w:val="20"/>
          <w:color w:val="auto"/>
        </w:rPr>
      </w:pPr>
    </w:p>
    <w:p>
      <w:pPr>
        <w:ind w:right="200" w:firstLine="430"/>
        <w:spacing w:after="0" w:line="287" w:lineRule="auto"/>
        <w:rPr>
          <w:sz w:val="20"/>
          <w:szCs w:val="20"/>
          <w:color w:val="auto"/>
        </w:rPr>
      </w:pPr>
      <w:r>
        <w:rPr>
          <w:rFonts w:ascii="Arial" w:cs="Arial" w:eastAsia="Arial" w:hAnsi="Arial"/>
          <w:sz w:val="17"/>
          <w:szCs w:val="17"/>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84" w:lineRule="exact"/>
        <w:rPr>
          <w:sz w:val="20"/>
          <w:szCs w:val="20"/>
          <w:color w:val="auto"/>
        </w:rPr>
      </w:pPr>
    </w:p>
    <w:p>
      <w:pPr>
        <w:ind w:firstLine="430"/>
        <w:spacing w:after="0" w:line="279" w:lineRule="auto"/>
        <w:rPr>
          <w:sz w:val="20"/>
          <w:szCs w:val="20"/>
          <w:color w:val="auto"/>
        </w:rPr>
      </w:pPr>
      <w:r>
        <w:rPr>
          <w:rFonts w:ascii="Arial" w:cs="Arial" w:eastAsia="Arial" w:hAnsi="Arial"/>
          <w:sz w:val="16"/>
          <w:szCs w:val="16"/>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As of the valuation date, the Company expected to recognize an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adjust its stock-based compensation to reflect the cumulative expense associated with the vested awards. The Company will recognize expense if the requisite service is provided, regardless of whether the market conditions are achieved.</w:t>
      </w:r>
    </w:p>
    <w:p>
      <w:pPr>
        <w:spacing w:after="0" w:line="184" w:lineRule="exact"/>
        <w:rPr>
          <w:sz w:val="20"/>
          <w:szCs w:val="20"/>
          <w:color w:val="auto"/>
        </w:rPr>
      </w:pPr>
    </w:p>
    <w:p>
      <w:pPr>
        <w:ind w:right="300" w:firstLine="430"/>
        <w:spacing w:after="0" w:line="287" w:lineRule="auto"/>
        <w:rPr>
          <w:sz w:val="20"/>
          <w:szCs w:val="20"/>
          <w:color w:val="auto"/>
        </w:rPr>
      </w:pPr>
      <w:r>
        <w:rPr>
          <w:rFonts w:ascii="Arial" w:cs="Arial" w:eastAsia="Arial" w:hAnsi="Arial"/>
          <w:sz w:val="17"/>
          <w:szCs w:val="17"/>
          <w:color w:val="auto"/>
        </w:rPr>
        <w:t>The Performance Vesting Condition for the Co-Founder Grants was satisfied on the date the Company’s shares of Class A common stock commenced trading on the Nasdaq Global Select Market in connection with the Company’s IPO, which was March 23, 2018.</w:t>
      </w:r>
    </w:p>
    <w:p>
      <w:pPr>
        <w:spacing w:after="0" w:line="184"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In March 2020, one of the Company's co-founders, Mr. Ferdowsi, resigned as a member of the Board of Directors and as an officer of the Company. As of the date of Mr. Ferdowsi’s resignation, none of the Stock Price Targets had been met, resulting in the forfeiture of his 4.4 million RSAs. As he did not provide the requisite service associated with the Co-Founder Grants, the Company reversed all stock-based compensation expense that had been recognized from the grant date through March 19, 2020, which totaled $23.8 million, of which $21.5 million related to expense recognized prior to December 31, 2019, and ceased recognizing further expense related to the award.</w:t>
      </w:r>
    </w:p>
    <w:p>
      <w:pPr>
        <w:spacing w:after="0" w:line="207" w:lineRule="exact"/>
        <w:rPr>
          <w:sz w:val="20"/>
          <w:szCs w:val="20"/>
          <w:color w:val="auto"/>
        </w:rPr>
      </w:pPr>
    </w:p>
    <w:p>
      <w:pPr>
        <w:ind w:right="40" w:firstLine="430"/>
        <w:spacing w:after="0" w:line="296" w:lineRule="auto"/>
        <w:rPr>
          <w:sz w:val="20"/>
          <w:szCs w:val="20"/>
          <w:color w:val="auto"/>
        </w:rPr>
      </w:pPr>
      <w:r>
        <w:rPr>
          <w:rFonts w:ascii="Arial" w:cs="Arial" w:eastAsia="Arial" w:hAnsi="Arial"/>
          <w:sz w:val="16"/>
          <w:szCs w:val="16"/>
          <w:color w:val="auto"/>
        </w:rPr>
        <w:t>The Company recognized stock-based compensation expense related to the Co-Founder Grant of $6.2 million and $18.4 million during the three and nine months ended September 30, 2020, respectively, and $8.8 million and $26.1 million during the three and nine months ended September 30, 2019, respectively. As of September 30, 2020, unamortized stock-based compensation expense related to the Co-Founder Grants was $40.6 million.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Net Income (Loss) Per Share</w:t>
      </w:r>
    </w:p>
    <w:p>
      <w:pPr>
        <w:spacing w:after="0" w:line="254" w:lineRule="exact"/>
        <w:rPr>
          <w:sz w:val="20"/>
          <w:szCs w:val="20"/>
          <w:color w:val="auto"/>
        </w:rPr>
      </w:pPr>
    </w:p>
    <w:p>
      <w:pPr>
        <w:ind w:firstLine="430"/>
        <w:spacing w:after="0" w:line="296" w:lineRule="auto"/>
        <w:rPr>
          <w:sz w:val="20"/>
          <w:szCs w:val="20"/>
          <w:color w:val="auto"/>
        </w:rPr>
      </w:pPr>
      <w:r>
        <w:rPr>
          <w:rFonts w:ascii="Arial" w:cs="Arial" w:eastAsia="Arial" w:hAnsi="Arial"/>
          <w:sz w:val="16"/>
          <w:szCs w:val="16"/>
          <w:color w:val="auto"/>
        </w:rPr>
        <w:t>The Company computes net income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0" w:lineRule="exact"/>
        <w:rPr>
          <w:sz w:val="20"/>
          <w:szCs w:val="20"/>
          <w:color w:val="auto"/>
        </w:rPr>
      </w:pPr>
    </w:p>
    <w:p>
      <w:pPr>
        <w:ind w:right="180" w:firstLine="430"/>
        <w:spacing w:after="0" w:line="287" w:lineRule="auto"/>
        <w:rPr>
          <w:sz w:val="20"/>
          <w:szCs w:val="20"/>
          <w:color w:val="auto"/>
        </w:rPr>
      </w:pPr>
      <w:r>
        <w:rPr>
          <w:rFonts w:ascii="Arial" w:cs="Arial" w:eastAsia="Arial" w:hAnsi="Arial"/>
          <w:sz w:val="17"/>
          <w:szCs w:val="17"/>
          <w:color w:val="auto"/>
        </w:rPr>
        <w:t>Basic net income (loss) per share is computed by dividing net income attributable to common stockholders by the weighted-average number of shares of the Class A and Class B common stock outstanding.</w:t>
      </w:r>
    </w:p>
    <w:p>
      <w:pPr>
        <w:spacing w:after="0" w:line="184" w:lineRule="exact"/>
        <w:rPr>
          <w:sz w:val="20"/>
          <w:szCs w:val="20"/>
          <w:color w:val="auto"/>
        </w:rPr>
      </w:pPr>
    </w:p>
    <w:p>
      <w:pPr>
        <w:ind w:right="60" w:firstLine="391"/>
        <w:spacing w:after="0" w:line="263" w:lineRule="auto"/>
        <w:rPr>
          <w:sz w:val="20"/>
          <w:szCs w:val="20"/>
          <w:color w:val="auto"/>
        </w:rPr>
      </w:pPr>
      <w:r>
        <w:rPr>
          <w:rFonts w:ascii="Arial" w:cs="Arial" w:eastAsia="Arial" w:hAnsi="Arial"/>
          <w:sz w:val="17"/>
          <w:szCs w:val="17"/>
          <w:color w:val="auto"/>
        </w:rPr>
        <w:t>Diluted net income (loss) per share is computed by dividing net income attributable to common stockholders by the weighted-average number of diluted common shares outstanding. The computation of the diluted net income (loss) per share of Class A common stock assumes the conversion of our Class B common stock to Class A common stock, while the diluted net income (loss per share) of Class B common stock does not assume the conversion of those shares to Class A common stock. Diluted loss per share for the three and nine months ended September 30, 2019 is the same as basic loss per share as there was a net loss for the period and inclusion of potentially issuable shares is anti-dilutive.</w:t>
      </w:r>
    </w:p>
    <w:p>
      <w:pPr>
        <w:spacing w:after="0" w:line="207" w:lineRule="exact"/>
        <w:rPr>
          <w:sz w:val="20"/>
          <w:szCs w:val="20"/>
          <w:color w:val="auto"/>
        </w:rPr>
      </w:pPr>
    </w:p>
    <w:p>
      <w:pPr>
        <w:ind w:right="220" w:firstLine="391"/>
        <w:spacing w:after="0" w:line="287" w:lineRule="auto"/>
        <w:rPr>
          <w:sz w:val="20"/>
          <w:szCs w:val="20"/>
          <w:color w:val="auto"/>
        </w:rPr>
      </w:pPr>
      <w:r>
        <w:rPr>
          <w:rFonts w:ascii="Arial" w:cs="Arial" w:eastAsia="Arial" w:hAnsi="Arial"/>
          <w:sz w:val="17"/>
          <w:szCs w:val="17"/>
          <w:color w:val="auto"/>
        </w:rPr>
        <w:t>The numerators and denominators of the basic and diluted EPS computations for our common stock are calculated as follows (in millions, except for per share amounts</w:t>
      </w:r>
    </w:p>
    <w:p>
      <w:pPr>
        <w:spacing w:after="0" w:line="54"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3"/>
          </w:tcPr>
          <w:p>
            <w:pPr>
              <w:jc w:val="right"/>
              <w:ind w:right="13"/>
              <w:spacing w:after="0"/>
              <w:rPr>
                <w:sz w:val="20"/>
                <w:szCs w:val="20"/>
                <w:color w:val="auto"/>
              </w:rPr>
            </w:pPr>
            <w:r>
              <w:rPr>
                <w:rFonts w:ascii="Arial" w:cs="Arial" w:eastAsia="Arial" w:hAnsi="Arial"/>
                <w:sz w:val="17"/>
                <w:szCs w:val="17"/>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4"/>
          </w:tcPr>
          <w:p>
            <w:pPr>
              <w:jc w:val="right"/>
              <w:ind w:right="313"/>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22"/>
        </w:trPr>
        <w:tc>
          <w:tcPr>
            <w:tcW w:w="5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7"/>
                <w:szCs w:val="17"/>
                <w:b w:val="1"/>
                <w:bCs w:val="1"/>
                <w:color w:val="auto"/>
              </w:rPr>
              <w:t>September 30,</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15"/>
        </w:trPr>
        <w:tc>
          <w:tcPr>
            <w:tcW w:w="5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73"/>
              <w:spacing w:after="0"/>
              <w:rPr>
                <w:sz w:val="20"/>
                <w:szCs w:val="20"/>
                <w:color w:val="auto"/>
              </w:rPr>
            </w:pPr>
            <w:r>
              <w:rPr>
                <w:rFonts w:ascii="Arial" w:cs="Arial" w:eastAsia="Arial" w:hAnsi="Arial"/>
                <w:sz w:val="17"/>
                <w:szCs w:val="17"/>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2019</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7"/>
                <w:szCs w:val="17"/>
                <w:color w:val="auto"/>
              </w:rPr>
              <w:t>Class A</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Class B</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Class A</w:t>
            </w:r>
          </w:p>
        </w:tc>
        <w:tc>
          <w:tcPr>
            <w:tcW w:w="20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7"/>
                <w:szCs w:val="17"/>
                <w:color w:val="auto"/>
              </w:rPr>
              <w:t>Class B</w:t>
            </w:r>
          </w:p>
        </w:tc>
        <w:tc>
          <w:tcPr>
            <w:tcW w:w="0" w:type="dxa"/>
            <w:vAlign w:val="bottom"/>
          </w:tcPr>
          <w:p>
            <w:pPr>
              <w:spacing w:after="0"/>
              <w:rPr>
                <w:sz w:val="1"/>
                <w:szCs w:val="1"/>
                <w:color w:val="auto"/>
              </w:rPr>
            </w:pPr>
          </w:p>
        </w:tc>
      </w:tr>
      <w:tr>
        <w:trPr>
          <w:trHeight w:val="32"/>
        </w:trPr>
        <w:tc>
          <w:tcPr>
            <w:tcW w:w="58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net income (loss) per share: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 (loss) attributable to common stockholders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160" w:type="dxa"/>
            <w:vAlign w:val="bottom"/>
            <w:gridSpan w:val="2"/>
            <w:shd w:val="clear" w:color="auto" w:fill="CCEEFF"/>
          </w:tcPr>
          <w:p>
            <w:pPr>
              <w:jc w:val="right"/>
              <w:ind w:right="873"/>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80" w:type="dxa"/>
            <w:vAlign w:val="bottom"/>
            <w:shd w:val="clear" w:color="auto" w:fill="CCEEFF"/>
          </w:tcPr>
          <w:p>
            <w:pPr>
              <w:ind w:left="120"/>
              <w:spacing w:after="0" w:line="170" w:lineRule="exact"/>
              <w:rPr>
                <w:sz w:val="20"/>
                <w:szCs w:val="20"/>
                <w:color w:val="auto"/>
              </w:rPr>
            </w:pPr>
            <w:r>
              <w:rPr>
                <w:rFonts w:ascii="Arial" w:cs="Arial" w:eastAsia="Arial" w:hAnsi="Arial"/>
                <w:sz w:val="17"/>
                <w:szCs w:val="17"/>
                <w:color w:val="auto"/>
                <w:w w:val="91"/>
              </w:rPr>
              <w:t>Weighted-average number of common shares outstanding used in computing basic</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316.3</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161.7</w:t>
            </w:r>
          </w:p>
        </w:tc>
        <w:tc>
          <w:tcPr>
            <w:tcW w:w="0" w:type="dxa"/>
            <w:vAlign w:val="bottom"/>
          </w:tcPr>
          <w:p>
            <w:pPr>
              <w:spacing w:after="0"/>
              <w:rPr>
                <w:sz w:val="1"/>
                <w:szCs w:val="1"/>
                <w:color w:val="auto"/>
              </w:rPr>
            </w:pPr>
          </w:p>
        </w:tc>
      </w:tr>
      <w:tr>
        <w:trPr>
          <w:trHeight w:val="215"/>
        </w:trPr>
        <w:tc>
          <w:tcPr>
            <w:tcW w:w="5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income (loss) per share</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(loss) per common share, basic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80" w:type="dxa"/>
            <w:vAlign w:val="bottom"/>
            <w:vMerge w:val="continue"/>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0.08</w:t>
            </w:r>
          </w:p>
        </w:tc>
        <w:tc>
          <w:tcPr>
            <w:tcW w:w="1160" w:type="dxa"/>
            <w:vAlign w:val="bottom"/>
            <w:gridSpan w:val="2"/>
          </w:tcPr>
          <w:p>
            <w:pPr>
              <w:jc w:val="right"/>
              <w:ind w:right="873"/>
              <w:spacing w:after="0" w:line="194"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auto"/>
              </w:rPr>
              <w:t>0.08</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(0.04)</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 (loss) per share: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 (loss) attributable to common stockholders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160" w:type="dxa"/>
            <w:vAlign w:val="bottom"/>
            <w:gridSpan w:val="2"/>
            <w:shd w:val="clear" w:color="auto" w:fill="CCEEFF"/>
          </w:tcPr>
          <w:p>
            <w:pPr>
              <w:jc w:val="right"/>
              <w:ind w:right="873"/>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70"/>
        </w:trPr>
        <w:tc>
          <w:tcPr>
            <w:tcW w:w="5880" w:type="dxa"/>
            <w:vAlign w:val="bottom"/>
          </w:tcPr>
          <w:p>
            <w:pPr>
              <w:ind w:left="120"/>
              <w:spacing w:after="0" w:line="170" w:lineRule="exact"/>
              <w:rPr>
                <w:sz w:val="20"/>
                <w:szCs w:val="20"/>
                <w:color w:val="auto"/>
              </w:rPr>
            </w:pPr>
            <w:r>
              <w:rPr>
                <w:rFonts w:ascii="Arial" w:cs="Arial" w:eastAsia="Arial" w:hAnsi="Arial"/>
                <w:sz w:val="17"/>
                <w:szCs w:val="17"/>
                <w:color w:val="auto"/>
              </w:rPr>
              <w:t>Reallocation of net income as a result of conversion of Class B to Class A</w:t>
            </w:r>
          </w:p>
        </w:tc>
        <w:tc>
          <w:tcPr>
            <w:tcW w:w="200" w:type="dxa"/>
            <w:vAlign w:val="bottom"/>
            <w:vMerge w:val="restart"/>
          </w:tcPr>
          <w:p>
            <w:pPr>
              <w:jc w:val="right"/>
              <w:ind w:right="13"/>
              <w:spacing w:after="0"/>
              <w:rPr>
                <w:sz w:val="20"/>
                <w:szCs w:val="20"/>
                <w:color w:val="auto"/>
              </w:rPr>
            </w:pPr>
            <w:r>
              <w:rPr>
                <w:rFonts w:ascii="Arial" w:cs="Arial" w:eastAsia="Arial" w:hAnsi="Arial"/>
                <w:sz w:val="17"/>
                <w:szCs w:val="17"/>
                <w:color w:val="auto"/>
                <w:w w:val="84"/>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880" w:type="dxa"/>
            <w:vAlign w:val="bottom"/>
          </w:tcPr>
          <w:p>
            <w:pPr>
              <w:ind w:left="120"/>
              <w:spacing w:after="0"/>
              <w:rPr>
                <w:sz w:val="20"/>
                <w:szCs w:val="20"/>
                <w:color w:val="auto"/>
              </w:rPr>
            </w:pPr>
            <w:r>
              <w:rPr>
                <w:rFonts w:ascii="Arial" w:cs="Arial" w:eastAsia="Arial" w:hAnsi="Arial"/>
                <w:sz w:val="17"/>
                <w:szCs w:val="17"/>
                <w:color w:val="auto"/>
              </w:rPr>
              <w:t>common stock</w:t>
            </w:r>
          </w:p>
        </w:tc>
        <w:tc>
          <w:tcPr>
            <w:tcW w:w="2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Reallocation of net income to Class B common stock</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120"/>
              <w:spacing w:after="0"/>
              <w:rPr>
                <w:sz w:val="20"/>
                <w:szCs w:val="20"/>
                <w:color w:val="auto"/>
              </w:rPr>
            </w:pPr>
            <w:r>
              <w:rPr>
                <w:rFonts w:ascii="Arial" w:cs="Arial" w:eastAsia="Arial" w:hAnsi="Arial"/>
                <w:sz w:val="17"/>
                <w:szCs w:val="17"/>
                <w:color w:val="auto"/>
              </w:rPr>
              <w:t>Net income (loss) attributable to common stockholders for diluted EPS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80" w:type="dxa"/>
            <w:vAlign w:val="bottom"/>
            <w:vMerge w:val="continue"/>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32.7</w:t>
            </w:r>
          </w:p>
        </w:tc>
        <w:tc>
          <w:tcPr>
            <w:tcW w:w="1160" w:type="dxa"/>
            <w:vAlign w:val="bottom"/>
            <w:gridSpan w:val="2"/>
          </w:tcPr>
          <w:p>
            <w:pPr>
              <w:jc w:val="right"/>
              <w:ind w:right="873"/>
              <w:spacing w:after="0" w:line="194"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auto"/>
              </w:rPr>
              <w:t>7.6</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880" w:type="dxa"/>
            <w:vAlign w:val="bottom"/>
          </w:tcPr>
          <w:p>
            <w:pPr>
              <w:ind w:left="120"/>
              <w:spacing w:after="0" w:line="170" w:lineRule="exact"/>
              <w:rPr>
                <w:sz w:val="20"/>
                <w:szCs w:val="20"/>
                <w:color w:val="auto"/>
              </w:rPr>
            </w:pPr>
            <w:r>
              <w:rPr>
                <w:rFonts w:ascii="Arial" w:cs="Arial" w:eastAsia="Arial" w:hAnsi="Arial"/>
                <w:sz w:val="17"/>
                <w:szCs w:val="17"/>
                <w:color w:val="auto"/>
                <w:w w:val="91"/>
              </w:rPr>
              <w:t>Weighted-average number of common shares outstanding used in computing basic</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316.3</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97.8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252.7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161.7</w:t>
            </w:r>
          </w:p>
        </w:tc>
        <w:tc>
          <w:tcPr>
            <w:tcW w:w="0" w:type="dxa"/>
            <w:vAlign w:val="bottom"/>
          </w:tcPr>
          <w:p>
            <w:pPr>
              <w:spacing w:after="0"/>
              <w:rPr>
                <w:sz w:val="1"/>
                <w:szCs w:val="1"/>
                <w:color w:val="auto"/>
              </w:rPr>
            </w:pPr>
          </w:p>
        </w:tc>
      </w:tr>
      <w:tr>
        <w:trPr>
          <w:trHeight w:val="221"/>
        </w:trPr>
        <w:tc>
          <w:tcPr>
            <w:tcW w:w="5880" w:type="dxa"/>
            <w:vAlign w:val="bottom"/>
          </w:tcPr>
          <w:p>
            <w:pPr>
              <w:ind w:left="120"/>
              <w:spacing w:after="0"/>
              <w:rPr>
                <w:sz w:val="20"/>
                <w:szCs w:val="20"/>
                <w:color w:val="auto"/>
              </w:rPr>
            </w:pPr>
            <w:r>
              <w:rPr>
                <w:rFonts w:ascii="Arial" w:cs="Arial" w:eastAsia="Arial" w:hAnsi="Arial"/>
                <w:sz w:val="17"/>
                <w:szCs w:val="17"/>
                <w:color w:val="auto"/>
              </w:rPr>
              <w:t>net income (loss) per share</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Weighted-average effect of dilutive RSUs and employee stock options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880" w:type="dxa"/>
            <w:vAlign w:val="bottom"/>
          </w:tcPr>
          <w:p>
            <w:pPr>
              <w:ind w:left="120"/>
              <w:spacing w:after="0"/>
              <w:rPr>
                <w:sz w:val="20"/>
                <w:szCs w:val="20"/>
                <w:color w:val="auto"/>
              </w:rPr>
            </w:pPr>
            <w:r>
              <w:rPr>
                <w:rFonts w:ascii="Arial" w:cs="Arial" w:eastAsia="Arial" w:hAnsi="Arial"/>
                <w:sz w:val="17"/>
                <w:szCs w:val="17"/>
                <w:color w:val="auto"/>
              </w:rPr>
              <w:t>Conversion of Class B to Class A common stock</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97.8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0"/>
        </w:trPr>
        <w:tc>
          <w:tcPr>
            <w:tcW w:w="5880" w:type="dxa"/>
            <w:vAlign w:val="bottom"/>
            <w:shd w:val="clear" w:color="auto" w:fill="CCEEFF"/>
          </w:tcPr>
          <w:p>
            <w:pPr>
              <w:ind w:left="120"/>
              <w:spacing w:after="0" w:line="170" w:lineRule="exact"/>
              <w:rPr>
                <w:sz w:val="20"/>
                <w:szCs w:val="20"/>
                <w:color w:val="auto"/>
              </w:rPr>
            </w:pPr>
            <w:r>
              <w:rPr>
                <w:rFonts w:ascii="Arial" w:cs="Arial" w:eastAsia="Arial" w:hAnsi="Arial"/>
                <w:sz w:val="17"/>
                <w:szCs w:val="17"/>
                <w:color w:val="auto"/>
                <w:w w:val="99"/>
              </w:rPr>
              <w:t>Weighted-average number of common shares outstanding used in computed</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419.7</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161.7</w:t>
            </w:r>
          </w:p>
        </w:tc>
        <w:tc>
          <w:tcPr>
            <w:tcW w:w="0" w:type="dxa"/>
            <w:vAlign w:val="bottom"/>
          </w:tcPr>
          <w:p>
            <w:pPr>
              <w:spacing w:after="0"/>
              <w:rPr>
                <w:sz w:val="1"/>
                <w:szCs w:val="1"/>
                <w:color w:val="auto"/>
              </w:rPr>
            </w:pPr>
          </w:p>
        </w:tc>
      </w:tr>
      <w:tr>
        <w:trPr>
          <w:trHeight w:val="215"/>
        </w:trPr>
        <w:tc>
          <w:tcPr>
            <w:tcW w:w="5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diluted net income (loss) per share</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color w:val="auto"/>
              </w:rPr>
              <w:t>Net income (loss) per common share, 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80" w:type="dxa"/>
            <w:vAlign w:val="bottom"/>
            <w:vMerge w:val="continue"/>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0.08</w:t>
            </w:r>
          </w:p>
        </w:tc>
        <w:tc>
          <w:tcPr>
            <w:tcW w:w="1160" w:type="dxa"/>
            <w:vAlign w:val="bottom"/>
            <w:gridSpan w:val="2"/>
          </w:tcPr>
          <w:p>
            <w:pPr>
              <w:jc w:val="right"/>
              <w:ind w:right="873"/>
              <w:spacing w:after="0" w:line="194"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auto"/>
              </w:rPr>
              <w:t>0.08</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(0.04)</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08"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5"/>
          </w:tcPr>
          <w:p>
            <w:pPr>
              <w:jc w:val="center"/>
              <w:ind w:right="200"/>
              <w:spacing w:after="0"/>
              <w:rPr>
                <w:sz w:val="20"/>
                <w:szCs w:val="20"/>
                <w:color w:val="auto"/>
              </w:rPr>
            </w:pPr>
            <w:r>
              <w:rPr>
                <w:rFonts w:ascii="Arial" w:cs="Arial" w:eastAsia="Arial" w:hAnsi="Arial"/>
                <w:sz w:val="17"/>
                <w:szCs w:val="17"/>
                <w:b w:val="1"/>
                <w:bCs w:val="1"/>
                <w:color w:val="auto"/>
                <w:w w:val="93"/>
              </w:rPr>
              <w:t>Nine Months Ended</w:t>
            </w:r>
          </w:p>
        </w:tc>
        <w:tc>
          <w:tcPr>
            <w:tcW w:w="180" w:type="dxa"/>
            <w:vAlign w:val="bottom"/>
          </w:tcPr>
          <w:p>
            <w:pPr>
              <w:spacing w:after="0"/>
              <w:rPr>
                <w:sz w:val="16"/>
                <w:szCs w:val="16"/>
                <w:color w:val="auto"/>
              </w:rPr>
            </w:pPr>
          </w:p>
        </w:tc>
        <w:tc>
          <w:tcPr>
            <w:tcW w:w="2060" w:type="dxa"/>
            <w:vAlign w:val="bottom"/>
            <w:gridSpan w:val="4"/>
          </w:tcPr>
          <w:p>
            <w:pPr>
              <w:jc w:val="right"/>
              <w:ind w:right="293"/>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2"/>
        </w:trPr>
        <w:tc>
          <w:tcPr>
            <w:tcW w:w="6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7"/>
                <w:szCs w:val="17"/>
                <w:b w:val="1"/>
                <w:bCs w:val="1"/>
                <w:color w:val="auto"/>
                <w:w w:val="92"/>
              </w:rPr>
              <w:t>September 30,</w:t>
            </w: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2019</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7"/>
                <w:szCs w:val="17"/>
                <w:color w:val="auto"/>
              </w:rPr>
              <w:t>Class A</w:t>
            </w:r>
          </w:p>
        </w:tc>
        <w:tc>
          <w:tcPr>
            <w:tcW w:w="2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7"/>
                <w:szCs w:val="17"/>
                <w:color w:val="auto"/>
              </w:rPr>
              <w:t>Class B</w:t>
            </w: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auto"/>
              </w:rPr>
              <w:t>Class A</w:t>
            </w:r>
          </w:p>
        </w:tc>
        <w:tc>
          <w:tcPr>
            <w:tcW w:w="180" w:type="dxa"/>
            <w:vAlign w:val="bottom"/>
          </w:tcPr>
          <w:p>
            <w:pPr>
              <w:spacing w:after="0"/>
              <w:rPr>
                <w:sz w:val="18"/>
                <w:szCs w:val="18"/>
                <w:color w:val="auto"/>
              </w:rPr>
            </w:pPr>
          </w:p>
        </w:tc>
        <w:tc>
          <w:tcPr>
            <w:tcW w:w="880" w:type="dxa"/>
            <w:vAlign w:val="bottom"/>
          </w:tcPr>
          <w:p>
            <w:pPr>
              <w:jc w:val="right"/>
              <w:ind w:right="193"/>
              <w:spacing w:after="0"/>
              <w:rPr>
                <w:sz w:val="20"/>
                <w:szCs w:val="20"/>
                <w:color w:val="auto"/>
              </w:rPr>
            </w:pPr>
            <w:r>
              <w:rPr>
                <w:rFonts w:ascii="Arial" w:cs="Arial" w:eastAsia="Arial" w:hAnsi="Arial"/>
                <w:sz w:val="17"/>
                <w:szCs w:val="17"/>
                <w:color w:val="auto"/>
                <w:w w:val="98"/>
              </w:rPr>
              <w:t>Class B</w:t>
            </w: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Basic net income (loss) per share: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7"/>
                <w:szCs w:val="17"/>
                <w:color w:val="auto"/>
              </w:rPr>
              <w:t>Numerator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Net income (loss) attributable to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Denominator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0" w:type="dxa"/>
            <w:vAlign w:val="bottom"/>
            <w:shd w:val="clear" w:color="auto" w:fill="CCEEFF"/>
          </w:tcPr>
          <w:p>
            <w:pPr>
              <w:ind w:left="100"/>
              <w:spacing w:after="0" w:line="170" w:lineRule="exact"/>
              <w:rPr>
                <w:sz w:val="20"/>
                <w:szCs w:val="20"/>
                <w:color w:val="auto"/>
              </w:rPr>
            </w:pPr>
            <w:r>
              <w:rPr>
                <w:rFonts w:ascii="Arial" w:cs="Arial" w:eastAsia="Arial" w:hAnsi="Arial"/>
                <w:sz w:val="17"/>
                <w:szCs w:val="17"/>
                <w:color w:val="auto"/>
                <w:w w:val="92"/>
              </w:rPr>
              <w:t>Weighted-average number of common shares outstanding used in computing basic net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233.1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179.3</w:t>
            </w:r>
          </w:p>
        </w:tc>
        <w:tc>
          <w:tcPr>
            <w:tcW w:w="0" w:type="dxa"/>
            <w:vAlign w:val="bottom"/>
          </w:tcPr>
          <w:p>
            <w:pPr>
              <w:spacing w:after="0"/>
              <w:rPr>
                <w:sz w:val="1"/>
                <w:szCs w:val="1"/>
                <w:color w:val="auto"/>
              </w:rPr>
            </w:pPr>
          </w:p>
        </w:tc>
      </w:tr>
      <w:tr>
        <w:trPr>
          <w:trHeight w:val="215"/>
        </w:trPr>
        <w:tc>
          <w:tcPr>
            <w:tcW w:w="6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income (loss) per share</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Net income (loss) per common share, basic</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00" w:type="dxa"/>
            <w:vAlign w:val="bottom"/>
            <w:vMerge w:val="continue"/>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0.22</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0.22</w:t>
            </w:r>
          </w:p>
        </w:tc>
        <w:tc>
          <w:tcPr>
            <w:tcW w:w="100" w:type="dxa"/>
            <w:vAlign w:val="bottom"/>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(0.11)</w:t>
            </w:r>
          </w:p>
        </w:tc>
        <w:tc>
          <w:tcPr>
            <w:tcW w:w="120" w:type="dxa"/>
            <w:vAlign w:val="bottom"/>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22"/>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Diluted net income (loss) per share: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7"/>
                <w:szCs w:val="17"/>
                <w:color w:val="auto"/>
              </w:rPr>
              <w:t>Numerator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income (loss) attributable to common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70"/>
        </w:trPr>
        <w:tc>
          <w:tcPr>
            <w:tcW w:w="6200" w:type="dxa"/>
            <w:vAlign w:val="bottom"/>
          </w:tcPr>
          <w:p>
            <w:pPr>
              <w:ind w:left="100"/>
              <w:spacing w:after="0" w:line="170" w:lineRule="exact"/>
              <w:rPr>
                <w:sz w:val="20"/>
                <w:szCs w:val="20"/>
                <w:color w:val="auto"/>
              </w:rPr>
            </w:pPr>
            <w:r>
              <w:rPr>
                <w:rFonts w:ascii="Arial" w:cs="Arial" w:eastAsia="Arial" w:hAnsi="Arial"/>
                <w:sz w:val="17"/>
                <w:szCs w:val="17"/>
                <w:color w:val="auto"/>
                <w:w w:val="97"/>
              </w:rPr>
              <w:t>Reallocation of net income as a result of conversion of Class B to Class A common</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200" w:type="dxa"/>
            <w:vAlign w:val="bottom"/>
          </w:tcPr>
          <w:p>
            <w:pPr>
              <w:ind w:left="100"/>
              <w:spacing w:after="0"/>
              <w:rPr>
                <w:sz w:val="20"/>
                <w:szCs w:val="20"/>
                <w:color w:val="auto"/>
              </w:rPr>
            </w:pPr>
            <w:r>
              <w:rPr>
                <w:rFonts w:ascii="Arial" w:cs="Arial" w:eastAsia="Arial" w:hAnsi="Arial"/>
                <w:sz w:val="17"/>
                <w:szCs w:val="17"/>
                <w:color w:val="auto"/>
              </w:rPr>
              <w:t>stock</w:t>
            </w:r>
          </w:p>
        </w:tc>
        <w:tc>
          <w:tcPr>
            <w:tcW w:w="1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Reallocation of net income to Class B common stock</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7"/>
                <w:szCs w:val="17"/>
                <w:color w:val="auto"/>
              </w:rPr>
              <w:t>Net income (loss) attributable to common stockholders for diluted EPS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00" w:type="dxa"/>
            <w:vAlign w:val="bottom"/>
            <w:vMerge w:val="continue"/>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89.5</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27.6</w:t>
            </w:r>
          </w:p>
        </w:tc>
        <w:tc>
          <w:tcPr>
            <w:tcW w:w="100" w:type="dxa"/>
            <w:vAlign w:val="bottom"/>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(26.1)</w:t>
            </w:r>
          </w:p>
        </w:tc>
        <w:tc>
          <w:tcPr>
            <w:tcW w:w="120" w:type="dxa"/>
            <w:vAlign w:val="bottom"/>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22"/>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200" w:type="dxa"/>
            <w:vAlign w:val="bottom"/>
          </w:tcPr>
          <w:p>
            <w:pPr>
              <w:ind w:left="100"/>
              <w:spacing w:after="0" w:line="170" w:lineRule="exact"/>
              <w:rPr>
                <w:sz w:val="20"/>
                <w:szCs w:val="20"/>
                <w:color w:val="auto"/>
              </w:rPr>
            </w:pPr>
            <w:r>
              <w:rPr>
                <w:rFonts w:ascii="Arial" w:cs="Arial" w:eastAsia="Arial" w:hAnsi="Arial"/>
                <w:sz w:val="17"/>
                <w:szCs w:val="17"/>
                <w:color w:val="auto"/>
                <w:w w:val="92"/>
              </w:rPr>
              <w:t>Weighted-average number of common shares outstanding used in computing basic net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286.1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129.1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233.1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179.3</w:t>
            </w:r>
          </w:p>
        </w:tc>
        <w:tc>
          <w:tcPr>
            <w:tcW w:w="0" w:type="dxa"/>
            <w:vAlign w:val="bottom"/>
          </w:tcPr>
          <w:p>
            <w:pPr>
              <w:spacing w:after="0"/>
              <w:rPr>
                <w:sz w:val="1"/>
                <w:szCs w:val="1"/>
                <w:color w:val="auto"/>
              </w:rPr>
            </w:pPr>
          </w:p>
        </w:tc>
      </w:tr>
      <w:tr>
        <w:trPr>
          <w:trHeight w:val="221"/>
        </w:trPr>
        <w:tc>
          <w:tcPr>
            <w:tcW w:w="6200" w:type="dxa"/>
            <w:vAlign w:val="bottom"/>
          </w:tcPr>
          <w:p>
            <w:pPr>
              <w:ind w:left="100"/>
              <w:spacing w:after="0"/>
              <w:rPr>
                <w:sz w:val="20"/>
                <w:szCs w:val="20"/>
                <w:color w:val="auto"/>
              </w:rPr>
            </w:pPr>
            <w:r>
              <w:rPr>
                <w:rFonts w:ascii="Arial" w:cs="Arial" w:eastAsia="Arial" w:hAnsi="Arial"/>
                <w:sz w:val="17"/>
                <w:szCs w:val="17"/>
                <w:color w:val="auto"/>
              </w:rPr>
              <w:t>income (loss) per share</w:t>
            </w: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Weighted-average effect of dilutive RSUs and employee stock options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200" w:type="dxa"/>
            <w:vAlign w:val="bottom"/>
          </w:tcPr>
          <w:p>
            <w:pPr>
              <w:ind w:left="100"/>
              <w:spacing w:after="0"/>
              <w:rPr>
                <w:sz w:val="20"/>
                <w:szCs w:val="20"/>
                <w:color w:val="auto"/>
              </w:rPr>
            </w:pPr>
            <w:r>
              <w:rPr>
                <w:rFonts w:ascii="Arial" w:cs="Arial" w:eastAsia="Arial" w:hAnsi="Arial"/>
                <w:sz w:val="17"/>
                <w:szCs w:val="17"/>
                <w:color w:val="auto"/>
              </w:rPr>
              <w:t>Conversion of Class B to Class A common stock</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0"/>
        </w:trPr>
        <w:tc>
          <w:tcPr>
            <w:tcW w:w="6200" w:type="dxa"/>
            <w:vAlign w:val="bottom"/>
            <w:shd w:val="clear" w:color="auto" w:fill="CCEEFF"/>
          </w:tcPr>
          <w:p>
            <w:pPr>
              <w:ind w:left="100"/>
              <w:spacing w:after="0" w:line="170" w:lineRule="exact"/>
              <w:rPr>
                <w:sz w:val="20"/>
                <w:szCs w:val="20"/>
                <w:color w:val="auto"/>
              </w:rPr>
            </w:pPr>
            <w:r>
              <w:rPr>
                <w:rFonts w:ascii="Arial" w:cs="Arial" w:eastAsia="Arial" w:hAnsi="Arial"/>
                <w:sz w:val="17"/>
                <w:szCs w:val="17"/>
                <w:color w:val="auto"/>
                <w:w w:val="92"/>
              </w:rPr>
              <w:t>Weighted-average number of common shares outstanding used in computed diluted net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129.4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233.1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179.3</w:t>
            </w:r>
          </w:p>
        </w:tc>
        <w:tc>
          <w:tcPr>
            <w:tcW w:w="0" w:type="dxa"/>
            <w:vAlign w:val="bottom"/>
          </w:tcPr>
          <w:p>
            <w:pPr>
              <w:spacing w:after="0"/>
              <w:rPr>
                <w:sz w:val="1"/>
                <w:szCs w:val="1"/>
                <w:color w:val="auto"/>
              </w:rPr>
            </w:pPr>
          </w:p>
        </w:tc>
      </w:tr>
      <w:tr>
        <w:trPr>
          <w:trHeight w:val="215"/>
        </w:trPr>
        <w:tc>
          <w:tcPr>
            <w:tcW w:w="6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income (loss) per share</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7"/>
                <w:szCs w:val="17"/>
                <w:color w:val="auto"/>
              </w:rPr>
              <w:t>Net income (loss) per common share, 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0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(0.11)</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360" w:firstLine="430"/>
        <w:spacing w:after="0" w:line="287" w:lineRule="auto"/>
        <w:rPr>
          <w:sz w:val="20"/>
          <w:szCs w:val="20"/>
          <w:color w:val="auto"/>
        </w:rPr>
      </w:pPr>
      <w:r>
        <w:rPr>
          <w:rFonts w:ascii="Arial" w:cs="Arial" w:eastAsia="Arial" w:hAnsi="Arial"/>
          <w:sz w:val="17"/>
          <w:szCs w:val="17"/>
          <w:color w:val="auto"/>
        </w:rPr>
        <w:t>The weighted-average impact of potentially dilutive securities that were not included in the diluted per share calculations because they would be anti-dilutive was as follows:</w:t>
      </w:r>
    </w:p>
    <w:p>
      <w:pPr>
        <w:spacing w:after="0" w:line="54"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230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3"/>
              </w:rPr>
              <w:t>Three Months Ended</w:t>
            </w:r>
          </w:p>
        </w:tc>
        <w:tc>
          <w:tcPr>
            <w:tcW w:w="2240" w:type="dxa"/>
            <w:vAlign w:val="bottom"/>
            <w:gridSpan w:val="3"/>
          </w:tcPr>
          <w:p>
            <w:pPr>
              <w:jc w:val="right"/>
              <w:ind w:right="293"/>
              <w:spacing w:after="0"/>
              <w:rPr>
                <w:sz w:val="20"/>
                <w:szCs w:val="20"/>
                <w:color w:val="auto"/>
              </w:rPr>
            </w:pPr>
            <w:r>
              <w:rPr>
                <w:rFonts w:ascii="Arial" w:cs="Arial" w:eastAsia="Arial" w:hAnsi="Arial"/>
                <w:sz w:val="17"/>
                <w:szCs w:val="17"/>
                <w:b w:val="1"/>
                <w:bCs w:val="1"/>
                <w:color w:val="auto"/>
              </w:rPr>
              <w:t>Nine Months Ended</w:t>
            </w:r>
          </w:p>
        </w:tc>
      </w:tr>
      <w:tr>
        <w:trPr>
          <w:trHeight w:val="222"/>
        </w:trPr>
        <w:tc>
          <w:tcPr>
            <w:tcW w:w="6240" w:type="dxa"/>
            <w:vAlign w:val="bottom"/>
          </w:tcPr>
          <w:p>
            <w:pPr>
              <w:spacing w:after="0"/>
              <w:rPr>
                <w:sz w:val="19"/>
                <w:szCs w:val="19"/>
                <w:color w:val="auto"/>
              </w:rPr>
            </w:pPr>
          </w:p>
        </w:tc>
        <w:tc>
          <w:tcPr>
            <w:tcW w:w="230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1"/>
              </w:rPr>
              <w:t>September 30,</w:t>
            </w:r>
          </w:p>
        </w:tc>
        <w:tc>
          <w:tcPr>
            <w:tcW w:w="2240" w:type="dxa"/>
            <w:vAlign w:val="bottom"/>
            <w:gridSpan w:val="3"/>
          </w:tcPr>
          <w:p>
            <w:pPr>
              <w:jc w:val="right"/>
              <w:ind w:right="513"/>
              <w:spacing w:after="0"/>
              <w:rPr>
                <w:sz w:val="20"/>
                <w:szCs w:val="20"/>
                <w:color w:val="auto"/>
              </w:rPr>
            </w:pPr>
            <w:r>
              <w:rPr>
                <w:rFonts w:ascii="Arial" w:cs="Arial" w:eastAsia="Arial" w:hAnsi="Arial"/>
                <w:sz w:val="17"/>
                <w:szCs w:val="17"/>
                <w:b w:val="1"/>
                <w:bCs w:val="1"/>
                <w:color w:val="auto"/>
              </w:rPr>
              <w:t>September 30,</w:t>
            </w:r>
          </w:p>
        </w:tc>
      </w:tr>
      <w:tr>
        <w:trPr>
          <w:trHeight w:val="215"/>
        </w:trPr>
        <w:tc>
          <w:tcPr>
            <w:tcW w:w="6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r>
      <w:tr>
        <w:trPr>
          <w:trHeight w:val="32"/>
        </w:trPr>
        <w:tc>
          <w:tcPr>
            <w:tcW w:w="6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2"/>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units and awards</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r>
      <w:tr>
        <w:trPr>
          <w:trHeight w:val="222"/>
        </w:trPr>
        <w:tc>
          <w:tcPr>
            <w:tcW w:w="6240" w:type="dxa"/>
            <w:vAlign w:val="bottom"/>
          </w:tcPr>
          <w:p>
            <w:pPr>
              <w:spacing w:after="0"/>
              <w:rPr>
                <w:sz w:val="20"/>
                <w:szCs w:val="20"/>
                <w:color w:val="auto"/>
              </w:rPr>
            </w:pPr>
            <w:r>
              <w:rPr>
                <w:rFonts w:ascii="Arial" w:cs="Arial" w:eastAsia="Arial" w:hAnsi="Arial"/>
                <w:sz w:val="17"/>
                <w:szCs w:val="17"/>
                <w:color w:val="auto"/>
              </w:rPr>
              <w:t>Options to purchase shares of common stock</w:t>
            </w:r>
          </w:p>
        </w:tc>
        <w:tc>
          <w:tcPr>
            <w:tcW w:w="102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Co-Founder Grants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r>
      <w:tr>
        <w:trPr>
          <w:trHeight w:val="215"/>
        </w:trPr>
        <w:tc>
          <w:tcPr>
            <w:tcW w:w="6240" w:type="dxa"/>
            <w:vAlign w:val="bottom"/>
          </w:tcPr>
          <w:p>
            <w:pPr>
              <w:spacing w:after="0"/>
              <w:rPr>
                <w:sz w:val="20"/>
                <w:szCs w:val="20"/>
                <w:color w:val="auto"/>
              </w:rPr>
            </w:pPr>
            <w:r>
              <w:rPr>
                <w:rFonts w:ascii="Arial" w:cs="Arial" w:eastAsia="Arial" w:hAnsi="Arial"/>
                <w:sz w:val="17"/>
                <w:szCs w:val="17"/>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w:t>
            </w:r>
          </w:p>
        </w:tc>
      </w:tr>
      <w:tr>
        <w:trPr>
          <w:trHeight w:val="20"/>
        </w:trPr>
        <w:tc>
          <w:tcPr>
            <w:tcW w:w="6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Income Taxes</w:t>
      </w:r>
    </w:p>
    <w:p>
      <w:pPr>
        <w:spacing w:after="0" w:line="254" w:lineRule="exact"/>
        <w:rPr>
          <w:sz w:val="20"/>
          <w:szCs w:val="20"/>
          <w:color w:val="auto"/>
        </w:rPr>
      </w:pPr>
    </w:p>
    <w:p>
      <w:pPr>
        <w:ind w:firstLine="430"/>
        <w:spacing w:after="0" w:line="266" w:lineRule="auto"/>
        <w:rPr>
          <w:sz w:val="20"/>
          <w:szCs w:val="20"/>
          <w:color w:val="auto"/>
        </w:rPr>
      </w:pPr>
      <w:r>
        <w:rPr>
          <w:rFonts w:ascii="Arial" w:cs="Arial" w:eastAsia="Arial" w:hAnsi="Arial"/>
          <w:sz w:val="17"/>
          <w:szCs w:val="17"/>
          <w:color w:val="auto"/>
        </w:rPr>
        <w:t>The Company computed the year-to-date income tax provision by applying the estimated annual effective tax rate to the year-to-date pre-tax income and adjusted for discrete tax items in the period. The Company's income tax was an expense of $0.9 million and $5.8 million for the three and nine months ended September 30, 2020. The Company's income tax was an expense of $1.6 million and a benefit of $3.5 million for the three and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income tax expense for the three and nine months ended September 30, 2020 was primarily attributable to foreign and state income taxes.</w:t>
      </w:r>
    </w:p>
    <w:p>
      <w:pPr>
        <w:spacing w:after="0" w:line="248" w:lineRule="exact"/>
        <w:rPr>
          <w:sz w:val="20"/>
          <w:szCs w:val="20"/>
          <w:color w:val="auto"/>
        </w:rPr>
      </w:pPr>
    </w:p>
    <w:p>
      <w:pPr>
        <w:ind w:right="340" w:firstLine="430"/>
        <w:spacing w:after="0" w:line="271" w:lineRule="auto"/>
        <w:rPr>
          <w:sz w:val="20"/>
          <w:szCs w:val="20"/>
          <w:color w:val="auto"/>
        </w:rPr>
      </w:pPr>
      <w:r>
        <w:rPr>
          <w:rFonts w:ascii="Arial" w:cs="Arial" w:eastAsia="Arial" w:hAnsi="Arial"/>
          <w:sz w:val="17"/>
          <w:szCs w:val="17"/>
          <w:color w:val="auto"/>
        </w:rPr>
        <w:t>For the periods presented, the difference between the U.S. statutory rate and the Company's effective tax rate is primarily due to the full valuation allowance on its U.S. and Irish deferred tax assets. The effective tax rate is also impacted by earnings realized in foreign jurisdictions with statutory tax rates lower than the federal statutory tax rate.</w:t>
      </w:r>
    </w:p>
    <w:p>
      <w:pPr>
        <w:spacing w:after="0" w:line="198"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September 30, 2020, the Company continues to maintain a full valuation allowance on its deferred tax assets in the U.S. and Ireland. However, the Company has partially benefited from its deferred tax assets due to the recognition of forecasted future income which is more likely than not to be earned in one of its foreign jurisdictions.</w:t>
      </w:r>
    </w:p>
    <w:p>
      <w:pPr>
        <w:spacing w:after="0" w:line="207" w:lineRule="exact"/>
        <w:rPr>
          <w:sz w:val="20"/>
          <w:szCs w:val="20"/>
          <w:color w:val="auto"/>
        </w:rPr>
      </w:pPr>
    </w:p>
    <w:p>
      <w:pPr>
        <w:ind w:right="220" w:firstLine="430"/>
        <w:spacing w:after="0" w:line="287" w:lineRule="auto"/>
        <w:rPr>
          <w:sz w:val="20"/>
          <w:szCs w:val="20"/>
          <w:color w:val="auto"/>
        </w:rPr>
      </w:pPr>
      <w:r>
        <w:rPr>
          <w:rFonts w:ascii="Arial" w:cs="Arial" w:eastAsia="Arial" w:hAnsi="Arial"/>
          <w:sz w:val="17"/>
          <w:szCs w:val="17"/>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184" w:lineRule="exact"/>
        <w:rPr>
          <w:sz w:val="20"/>
          <w:szCs w:val="20"/>
          <w:color w:val="auto"/>
        </w:rPr>
      </w:pPr>
    </w:p>
    <w:p>
      <w:pPr>
        <w:ind w:right="180" w:firstLine="430"/>
        <w:spacing w:after="0" w:line="266" w:lineRule="auto"/>
        <w:rPr>
          <w:sz w:val="20"/>
          <w:szCs w:val="20"/>
          <w:color w:val="auto"/>
        </w:rPr>
      </w:pPr>
      <w:r>
        <w:rPr>
          <w:rFonts w:ascii="Arial" w:cs="Arial" w:eastAsia="Arial" w:hAnsi="Arial"/>
          <w:sz w:val="17"/>
          <w:szCs w:val="17"/>
          <w:color w:val="auto"/>
        </w:rPr>
        <w:t>Unrecognized tax benefits increased by approximately $4.7 million and $12.3 million for the three and nine months ended September 30, 2020, respectively, of which $2.2 million, if recognized, would affect the Company's effective tax rate. Additionally, unrecognized tax benefits decreased by approximately $0.8 million and $1.0 million for the three and nine months ended September 30, 2020, respectively, for the settlement of an audit and statute of limitation lapses related to prior period tax positions.</w:t>
      </w:r>
    </w:p>
    <w:p>
      <w:pPr>
        <w:spacing w:after="0" w:line="203" w:lineRule="exact"/>
        <w:rPr>
          <w:sz w:val="20"/>
          <w:szCs w:val="20"/>
          <w:color w:val="auto"/>
        </w:rPr>
      </w:pPr>
    </w:p>
    <w:p>
      <w:pPr>
        <w:ind w:right="220" w:firstLine="391"/>
        <w:spacing w:after="0" w:line="323" w:lineRule="auto"/>
        <w:rPr>
          <w:sz w:val="20"/>
          <w:szCs w:val="20"/>
          <w:color w:val="auto"/>
        </w:rPr>
      </w:pPr>
      <w:r>
        <w:rPr>
          <w:rFonts w:ascii="Arial" w:cs="Arial" w:eastAsia="Arial" w:hAnsi="Arial"/>
          <w:sz w:val="15"/>
          <w:szCs w:val="15"/>
          <w:color w:val="auto"/>
        </w:rPr>
        <w:t>On June 29, 2020, California Governor Newsom signed Assembly Bill No. 85 as part of the California 2020 Budget Act which temporarily suspends the use of California net operating losses and imposes a cap on the amount of business incentive tax credits companies can utilize against their net income. This guidance does not have a material impact on the Company's provision for income taxes in its consolidated financial statements as of September 30, 2020.</w:t>
      </w:r>
    </w:p>
    <w:p>
      <w:pPr>
        <w:spacing w:after="0" w:line="164"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On June 7, 2019, a judicial panel of the Ninth Circuit Court of Appeals issued an opinion in Altera Corp. v. Commissioner that would require related parties in an intercompany cost-sharing arrangement to share expenses related to stock-based compensation. On July 22, 2019, the taxpayer requested an en banc rehearing before the full Ninth Circuit Court of Appeals and the request was denied on November 12, 2019. On February 10, 2020, the taxpayer filed a petition for writ of certiorari to the U.S. Supreme Court, which was denied on June 22, 2020. Accordingly, the Company has included stock-based compensation in its cost-sharing agreements and as a result, the Company recognized additional state tax expenses in some jurisdictions which do not have sufficient net operating losses to offset the state income. There was no material impact on the Company's income tax provision for the U.S. and Ireland due to its full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gridSpan w:val="2"/>
          </w:tcPr>
          <w:p>
            <w:pPr>
              <w:spacing w:after="0"/>
              <w:rPr>
                <w:sz w:val="20"/>
                <w:szCs w:val="20"/>
                <w:color w:val="auto"/>
              </w:rPr>
            </w:pPr>
            <w:r>
              <w:rPr>
                <w:rFonts w:ascii="Arial" w:cs="Arial" w:eastAsia="Arial" w:hAnsi="Arial"/>
                <w:sz w:val="17"/>
                <w:szCs w:val="17"/>
                <w:b w:val="1"/>
                <w:bCs w:val="1"/>
                <w:color w:val="auto"/>
              </w:rPr>
              <w:t>Note 15. Geographic Areas</w:t>
            </w: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3"/>
        </w:trPr>
        <w:tc>
          <w:tcPr>
            <w:tcW w:w="220" w:type="dxa"/>
            <w:vAlign w:val="bottom"/>
          </w:tcPr>
          <w:p>
            <w:pPr>
              <w:spacing w:after="0"/>
              <w:rPr>
                <w:sz w:val="24"/>
                <w:szCs w:val="24"/>
                <w:color w:val="auto"/>
              </w:rPr>
            </w:pPr>
          </w:p>
        </w:tc>
        <w:tc>
          <w:tcPr>
            <w:tcW w:w="6860" w:type="dxa"/>
            <w:vAlign w:val="bottom"/>
          </w:tcPr>
          <w:p>
            <w:pPr>
              <w:ind w:left="220"/>
              <w:spacing w:after="0"/>
              <w:rPr>
                <w:sz w:val="20"/>
                <w:szCs w:val="20"/>
                <w:color w:val="auto"/>
              </w:rPr>
            </w:pPr>
            <w:r>
              <w:rPr>
                <w:rFonts w:ascii="Arial" w:cs="Arial" w:eastAsia="Arial" w:hAnsi="Arial"/>
                <w:sz w:val="17"/>
                <w:szCs w:val="17"/>
                <w:b w:val="1"/>
                <w:bCs w:val="1"/>
                <w:i w:val="1"/>
                <w:iCs w:val="1"/>
                <w:color w:val="auto"/>
              </w:rPr>
              <w:t>Long-lived assets</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13"/>
        </w:trPr>
        <w:tc>
          <w:tcPr>
            <w:tcW w:w="220" w:type="dxa"/>
            <w:vAlign w:val="bottom"/>
          </w:tcPr>
          <w:p>
            <w:pPr>
              <w:spacing w:after="0"/>
              <w:rPr>
                <w:sz w:val="24"/>
                <w:szCs w:val="24"/>
                <w:color w:val="auto"/>
              </w:rPr>
            </w:pPr>
          </w:p>
        </w:tc>
        <w:tc>
          <w:tcPr>
            <w:tcW w:w="6860" w:type="dxa"/>
            <w:vAlign w:val="bottom"/>
          </w:tcPr>
          <w:p>
            <w:pPr>
              <w:ind w:left="220"/>
              <w:spacing w:after="0"/>
              <w:rPr>
                <w:sz w:val="20"/>
                <w:szCs w:val="20"/>
                <w:color w:val="auto"/>
              </w:rPr>
            </w:pPr>
            <w:r>
              <w:rPr>
                <w:rFonts w:ascii="Arial" w:cs="Arial" w:eastAsia="Arial" w:hAnsi="Arial"/>
                <w:sz w:val="17"/>
                <w:szCs w:val="17"/>
                <w:color w:val="auto"/>
              </w:rPr>
              <w:t>The following table sets forth long-lived assets by geographic area:</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39"/>
        </w:trPr>
        <w:tc>
          <w:tcPr>
            <w:tcW w:w="2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w:t>
            </w:r>
          </w:p>
        </w:tc>
        <w:tc>
          <w:tcPr>
            <w:tcW w:w="1740" w:type="dxa"/>
            <w:vAlign w:val="bottom"/>
            <w:tcBorders>
              <w:bottom w:val="single" w:sz="8" w:color="auto"/>
            </w:tcBorders>
          </w:tcPr>
          <w:p>
            <w:pPr>
              <w:spacing w:after="0"/>
              <w:rPr>
                <w:sz w:val="24"/>
                <w:szCs w:val="24"/>
                <w:color w:val="auto"/>
              </w:rPr>
            </w:pPr>
          </w:p>
        </w:tc>
      </w:tr>
      <w:tr>
        <w:trPr>
          <w:trHeight w:val="215"/>
        </w:trPr>
        <w:tc>
          <w:tcPr>
            <w:tcW w:w="2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 2020</w:t>
            </w:r>
          </w:p>
        </w:tc>
        <w:tc>
          <w:tcPr>
            <w:tcW w:w="200" w:type="dxa"/>
            <w:vAlign w:val="bottom"/>
          </w:tcPr>
          <w:p>
            <w:pPr>
              <w:spacing w:after="0"/>
              <w:rPr>
                <w:sz w:val="18"/>
                <w:szCs w:val="18"/>
                <w:color w:val="auto"/>
              </w:rPr>
            </w:pPr>
          </w:p>
        </w:tc>
        <w:tc>
          <w:tcPr>
            <w:tcW w:w="1740" w:type="dxa"/>
            <w:vAlign w:val="bottom"/>
          </w:tcPr>
          <w:p>
            <w:pPr>
              <w:jc w:val="right"/>
              <w:ind w:right="173"/>
              <w:spacing w:after="0"/>
              <w:rPr>
                <w:sz w:val="20"/>
                <w:szCs w:val="20"/>
                <w:color w:val="auto"/>
              </w:rPr>
            </w:pPr>
            <w:r>
              <w:rPr>
                <w:rFonts w:ascii="Arial" w:cs="Arial" w:eastAsia="Arial" w:hAnsi="Arial"/>
                <w:sz w:val="17"/>
                <w:szCs w:val="17"/>
                <w:b w:val="1"/>
                <w:bCs w:val="1"/>
                <w:color w:val="auto"/>
                <w:w w:val="95"/>
              </w:rPr>
              <w:t>December 31, 2019</w:t>
            </w:r>
          </w:p>
        </w:tc>
      </w:tr>
      <w:tr>
        <w:trPr>
          <w:trHeight w:val="32"/>
        </w:trPr>
        <w:tc>
          <w:tcPr>
            <w:tcW w:w="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r>
      <w:tr>
        <w:trPr>
          <w:trHeight w:val="222"/>
        </w:trPr>
        <w:tc>
          <w:tcPr>
            <w:tcW w:w="220" w:type="dxa"/>
            <w:vAlign w:val="bottom"/>
          </w:tcPr>
          <w:p>
            <w:pPr>
              <w:spacing w:after="0"/>
              <w:rPr>
                <w:sz w:val="19"/>
                <w:szCs w:val="19"/>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431.9</w:t>
            </w:r>
          </w:p>
        </w:tc>
      </w:tr>
      <w:tr>
        <w:trPr>
          <w:trHeight w:val="222"/>
        </w:trPr>
        <w:tc>
          <w:tcPr>
            <w:tcW w:w="220" w:type="dxa"/>
            <w:vAlign w:val="bottom"/>
          </w:tcPr>
          <w:p>
            <w:pPr>
              <w:spacing w:after="0"/>
              <w:rPr>
                <w:sz w:val="19"/>
                <w:szCs w:val="19"/>
                <w:color w:val="auto"/>
              </w:rPr>
            </w:pPr>
          </w:p>
        </w:tc>
        <w:tc>
          <w:tcPr>
            <w:tcW w:w="686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International</w:t>
            </w:r>
            <w:r>
              <w:rPr>
                <w:rFonts w:ascii="Arial" w:cs="Arial" w:eastAsia="Arial" w:hAnsi="Arial"/>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r>
      <w:tr>
        <w:trPr>
          <w:trHeight w:val="240"/>
        </w:trPr>
        <w:tc>
          <w:tcPr>
            <w:tcW w:w="220" w:type="dxa"/>
            <w:vAlign w:val="bottom"/>
          </w:tcPr>
          <w:p>
            <w:pPr>
              <w:spacing w:after="0"/>
              <w:rPr>
                <w:sz w:val="20"/>
                <w:szCs w:val="20"/>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445.3</w:t>
            </w:r>
          </w:p>
        </w:tc>
      </w:tr>
      <w:tr>
        <w:trPr>
          <w:trHeight w:val="20"/>
        </w:trPr>
        <w:tc>
          <w:tcPr>
            <w:tcW w:w="220" w:type="dxa"/>
            <w:vAlign w:val="bottom"/>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320" w:right="580" w:hanging="3"/>
        <w:spacing w:after="0" w:line="293" w:lineRule="auto"/>
        <w:tabs>
          <w:tab w:leader="none" w:pos="48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No single country other than the United States had a property and equipment balance greater than 10% of total property and equipment, net, as of September 30, 2020 and December 31, 2019.</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right="220" w:firstLine="430"/>
        <w:spacing w:after="0" w:line="287" w:lineRule="auto"/>
        <w:rPr>
          <w:sz w:val="20"/>
          <w:szCs w:val="20"/>
          <w:color w:val="auto"/>
        </w:rPr>
      </w:pPr>
      <w:r>
        <w:rPr>
          <w:rFonts w:ascii="Arial" w:cs="Arial" w:eastAsia="Arial" w:hAnsi="Arial"/>
          <w:sz w:val="17"/>
          <w:szCs w:val="17"/>
          <w:color w:val="auto"/>
        </w:rPr>
        <w:t>Revenue by geography is generally based on the address of the customer as defined in the Company’s subscription agreement. The following table sets forth revenue by geographic area for the three and nine months ended September 30, 2020 and 2019.</w:t>
      </w:r>
    </w:p>
    <w:p>
      <w:pPr>
        <w:spacing w:after="0" w:line="54"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5"/>
          </w:tcPr>
          <w:p>
            <w:pPr>
              <w:ind w:left="80"/>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Pr>
          <w:p>
            <w:pPr>
              <w:spacing w:after="0"/>
              <w:rPr>
                <w:sz w:val="16"/>
                <w:szCs w:val="16"/>
                <w:color w:val="auto"/>
              </w:rPr>
            </w:pPr>
          </w:p>
        </w:tc>
        <w:tc>
          <w:tcPr>
            <w:tcW w:w="1920" w:type="dxa"/>
            <w:vAlign w:val="bottom"/>
            <w:gridSpan w:val="4"/>
          </w:tcPr>
          <w:p>
            <w:pPr>
              <w:jc w:val="right"/>
              <w:ind w:right="233"/>
              <w:spacing w:after="0"/>
              <w:rPr>
                <w:sz w:val="20"/>
                <w:szCs w:val="20"/>
                <w:color w:val="auto"/>
              </w:rPr>
            </w:pPr>
            <w:r>
              <w:rPr>
                <w:rFonts w:ascii="Arial" w:cs="Arial" w:eastAsia="Arial" w:hAnsi="Arial"/>
                <w:sz w:val="17"/>
                <w:szCs w:val="17"/>
                <w:b w:val="1"/>
                <w:bCs w:val="1"/>
                <w:color w:val="auto"/>
                <w:w w:val="99"/>
              </w:rPr>
              <w:t>Nine Months Ended</w:t>
            </w:r>
          </w:p>
        </w:tc>
      </w:tr>
      <w:tr>
        <w:trPr>
          <w:trHeight w:val="222"/>
        </w:trPr>
        <w:tc>
          <w:tcPr>
            <w:tcW w:w="6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5"/>
          </w:tcPr>
          <w:p>
            <w:pPr>
              <w:ind w:left="340"/>
              <w:spacing w:after="0"/>
              <w:rPr>
                <w:sz w:val="20"/>
                <w:szCs w:val="20"/>
                <w:color w:val="auto"/>
              </w:rPr>
            </w:pPr>
            <w:r>
              <w:rPr>
                <w:rFonts w:ascii="Arial" w:cs="Arial" w:eastAsia="Arial" w:hAnsi="Arial"/>
                <w:sz w:val="17"/>
                <w:szCs w:val="17"/>
                <w:b w:val="1"/>
                <w:bCs w:val="1"/>
                <w:color w:val="auto"/>
              </w:rPr>
              <w:t>September 30,</w:t>
            </w:r>
          </w:p>
        </w:tc>
        <w:tc>
          <w:tcPr>
            <w:tcW w:w="220" w:type="dxa"/>
            <w:vAlign w:val="bottom"/>
          </w:tcPr>
          <w:p>
            <w:pPr>
              <w:spacing w:after="0"/>
              <w:rPr>
                <w:sz w:val="19"/>
                <w:szCs w:val="19"/>
                <w:color w:val="auto"/>
              </w:rPr>
            </w:pPr>
          </w:p>
        </w:tc>
        <w:tc>
          <w:tcPr>
            <w:tcW w:w="1920" w:type="dxa"/>
            <w:vAlign w:val="bottom"/>
            <w:gridSpan w:val="4"/>
          </w:tcPr>
          <w:p>
            <w:pPr>
              <w:jc w:val="right"/>
              <w:ind w:right="453"/>
              <w:spacing w:after="0"/>
              <w:rPr>
                <w:sz w:val="20"/>
                <w:szCs w:val="20"/>
                <w:color w:val="auto"/>
              </w:rPr>
            </w:pPr>
            <w:r>
              <w:rPr>
                <w:rFonts w:ascii="Arial" w:cs="Arial" w:eastAsia="Arial" w:hAnsi="Arial"/>
                <w:sz w:val="17"/>
                <w:szCs w:val="17"/>
                <w:b w:val="1"/>
                <w:bCs w:val="1"/>
                <w:color w:val="auto"/>
              </w:rPr>
              <w:t>September 30,</w:t>
            </w:r>
          </w:p>
        </w:tc>
      </w:tr>
      <w:tr>
        <w:trPr>
          <w:trHeight w:val="215"/>
        </w:trPr>
        <w:tc>
          <w:tcPr>
            <w:tcW w:w="6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2019</w:t>
            </w:r>
          </w:p>
        </w:tc>
      </w:tr>
      <w:tr>
        <w:trPr>
          <w:trHeight w:val="32"/>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2"/>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255.5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623.4</w:t>
            </w:r>
          </w:p>
        </w:tc>
      </w:tr>
      <w:tr>
        <w:trPr>
          <w:trHeight w:val="222"/>
        </w:trPr>
        <w:tc>
          <w:tcPr>
            <w:tcW w:w="6460" w:type="dxa"/>
            <w:vAlign w:val="bottom"/>
            <w:tcBorders>
              <w:bottom w:val="single" w:sz="8" w:color="CCEEFF"/>
            </w:tcBorders>
          </w:tcPr>
          <w:p>
            <w:pPr>
              <w:spacing w:after="0" w:line="222" w:lineRule="exact"/>
              <w:rPr>
                <w:sz w:val="20"/>
                <w:szCs w:val="20"/>
                <w:color w:val="auto"/>
              </w:rPr>
            </w:pPr>
            <w:r>
              <w:rPr>
                <w:rFonts w:ascii="Arial" w:cs="Arial" w:eastAsia="Arial" w:hAnsi="Arial"/>
                <w:sz w:val="17"/>
                <w:szCs w:val="17"/>
                <w:color w:val="auto"/>
              </w:rPr>
              <w:t>International</w:t>
            </w:r>
            <w:r>
              <w:rPr>
                <w:rFonts w:ascii="Arial" w:cs="Arial" w:eastAsia="Arial" w:hAnsi="Arial"/>
                <w:sz w:val="22"/>
                <w:szCs w:val="22"/>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231.9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591.9</w:t>
            </w:r>
          </w:p>
        </w:tc>
      </w:tr>
      <w:tr>
        <w:trPr>
          <w:trHeight w:val="240"/>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487.4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1,215.3</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20" w:hanging="3"/>
        <w:spacing w:after="0" w:line="293" w:lineRule="auto"/>
        <w:tabs>
          <w:tab w:leader="none" w:pos="480"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No single country outside of the United States accounted for more than 10% of total revenue during the three and nine months ended September 30, 2020 and 2019.</w:t>
      </w: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4" w:name="page35"/>
    <w:bookmarkEnd w:id="34"/>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Subsequent Events</w:t>
      </w:r>
    </w:p>
    <w:p>
      <w:pPr>
        <w:spacing w:after="0" w:line="254" w:lineRule="exact"/>
        <w:rPr>
          <w:sz w:val="20"/>
          <w:szCs w:val="20"/>
          <w:color w:val="auto"/>
        </w:rPr>
      </w:pPr>
    </w:p>
    <w:p>
      <w:pPr>
        <w:ind w:firstLine="430"/>
        <w:spacing w:after="0" w:line="296" w:lineRule="auto"/>
        <w:rPr>
          <w:sz w:val="20"/>
          <w:szCs w:val="20"/>
          <w:color w:val="auto"/>
        </w:rPr>
      </w:pPr>
      <w:r>
        <w:rPr>
          <w:rFonts w:ascii="Arial" w:cs="Arial" w:eastAsia="Arial" w:hAnsi="Arial"/>
          <w:sz w:val="16"/>
          <w:szCs w:val="16"/>
          <w:color w:val="auto"/>
        </w:rPr>
        <w:t>In October 2020, the Company announced a new Virtual First work model pursuant to which remote work will become the primary experience for all of its employees. As a result, the Company intends for its workforce to become more distributed over time, and will reduce its existing real-estate footprint while maintaining a scaled down presence in its current locations. Accordingly, the Company plans to sublease space in certain office locations.</w:t>
      </w:r>
    </w:p>
    <w:p>
      <w:pPr>
        <w:spacing w:after="0" w:line="180" w:lineRule="exact"/>
        <w:rPr>
          <w:sz w:val="20"/>
          <w:szCs w:val="20"/>
          <w:color w:val="auto"/>
        </w:rPr>
      </w:pPr>
    </w:p>
    <w:p>
      <w:pPr>
        <w:ind w:right="160" w:firstLine="430"/>
        <w:spacing w:after="0" w:line="266" w:lineRule="auto"/>
        <w:rPr>
          <w:sz w:val="20"/>
          <w:szCs w:val="20"/>
          <w:color w:val="auto"/>
        </w:rPr>
      </w:pPr>
      <w:r>
        <w:rPr>
          <w:rFonts w:ascii="Arial" w:cs="Arial" w:eastAsia="Arial" w:hAnsi="Arial"/>
          <w:sz w:val="17"/>
          <w:szCs w:val="17"/>
          <w:color w:val="auto"/>
        </w:rPr>
        <w:t>As a result of the Company's announcement to move towards a Virtual First work model, it is reassessing its asset groupings and evaluating the recoverability of the individual asset groups. Based on its preliminary assessment, the Company anticipates recording an impairment charge related to the right of use and other lease related assets in the range of $400 to $450 million. A substantial majority of the charge is expected to be incurred in the fourth quarter of 2020 but a portion of this amount may be incurred through the first half of 2021.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54" w:lineRule="exact"/>
        <w:rPr>
          <w:sz w:val="20"/>
          <w:szCs w:val="20"/>
          <w:color w:val="auto"/>
        </w:rPr>
      </w:pPr>
    </w:p>
    <w:p>
      <w:pPr>
        <w:ind w:right="20" w:firstLine="430"/>
        <w:spacing w:after="0" w:line="26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440" w:firstLine="430"/>
        <w:spacing w:after="0" w:line="271" w:lineRule="auto"/>
        <w:rPr>
          <w:sz w:val="20"/>
          <w:szCs w:val="20"/>
          <w:color w:val="auto"/>
        </w:rPr>
      </w:pPr>
      <w:r>
        <w:rPr>
          <w:rFonts w:ascii="Arial" w:cs="Arial" w:eastAsia="Arial" w:hAnsi="Arial"/>
          <w:sz w:val="17"/>
          <w:szCs w:val="17"/>
          <w:color w:val="auto"/>
        </w:rPr>
        <w:t>Our modern economy runs on knowledge. Today, knowledge lives in the cloud as digital content, and Dropbox is building the world’s first smart workspace where businesses and individuals can create, access, and share this content globally. We serve more than 600 million registered users across 180 countries.</w:t>
      </w:r>
    </w:p>
    <w:p>
      <w:pPr>
        <w:spacing w:after="0" w:line="198" w:lineRule="exact"/>
        <w:rPr>
          <w:sz w:val="20"/>
          <w:szCs w:val="20"/>
          <w:color w:val="auto"/>
        </w:rPr>
      </w:pPr>
    </w:p>
    <w:p>
      <w:pPr>
        <w:ind w:firstLine="430"/>
        <w:spacing w:after="0" w:line="323" w:lineRule="auto"/>
        <w:rPr>
          <w:sz w:val="20"/>
          <w:szCs w:val="20"/>
          <w:color w:val="auto"/>
        </w:rPr>
      </w:pPr>
      <w:r>
        <w:rPr>
          <w:rFonts w:ascii="Arial" w:cs="Arial" w:eastAsia="Arial" w:hAnsi="Arial"/>
          <w:sz w:val="15"/>
          <w:szCs w:val="15"/>
          <w:color w:val="auto"/>
        </w:rPr>
        <w:t>Since our founding in 2007, our market opportunity has grown as we’ve expanded from keeping files in sync to keeping teams in sync. Our smart workspace is a digital environment that brings all of a team’s content together with the tools they love, helping users cut through the clutter and surfacing what matters most. In a world where using technology at work can be fragmented and distracting, the smart workspace makes it easy to focus on the work that matters.</w:t>
      </w:r>
    </w:p>
    <w:p>
      <w:pPr>
        <w:spacing w:after="0" w:line="164" w:lineRule="exact"/>
        <w:rPr>
          <w:sz w:val="20"/>
          <w:szCs w:val="20"/>
          <w:color w:val="auto"/>
        </w:rPr>
      </w:pPr>
    </w:p>
    <w:p>
      <w:pPr>
        <w:ind w:right="220" w:firstLine="430"/>
        <w:spacing w:after="0" w:line="287" w:lineRule="auto"/>
        <w:rPr>
          <w:sz w:val="20"/>
          <w:szCs w:val="20"/>
          <w:color w:val="auto"/>
        </w:rPr>
      </w:pPr>
      <w:r>
        <w:rPr>
          <w:rFonts w:ascii="Arial" w:cs="Arial" w:eastAsia="Arial" w:hAnsi="Arial"/>
          <w:sz w:val="17"/>
          <w:szCs w:val="17"/>
          <w:color w:val="auto"/>
        </w:rPr>
        <w:t>By solving these universal problems, we’ve become invaluable to our users. The popularity of our platform drives viral growth, which has allowed us to scale rapidly and efficiently. We’ve built a thriving global business with 15.25 million paying users.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23" w:lineRule="exact"/>
        <w:rPr>
          <w:sz w:val="20"/>
          <w:szCs w:val="20"/>
          <w:color w:val="auto"/>
        </w:rPr>
      </w:pPr>
    </w:p>
    <w:p>
      <w:pPr>
        <w:ind w:right="80" w:firstLine="430"/>
        <w:spacing w:after="0" w:line="260" w:lineRule="auto"/>
        <w:rPr>
          <w:sz w:val="20"/>
          <w:szCs w:val="20"/>
          <w:color w:val="auto"/>
        </w:rPr>
      </w:pPr>
      <w:r>
        <w:rPr>
          <w:rFonts w:ascii="Arial" w:cs="Arial" w:eastAsia="Arial" w:hAnsi="Arial"/>
          <w:sz w:val="17"/>
          <w:szCs w:val="17"/>
          <w:color w:val="auto"/>
        </w:rPr>
        <w:t>We generate revenue from individuals, families, teams, and organizations by selling subscriptions to our platform, which serve the varying needs of our diverse customer base. Subscribers can purchase individual licenses through our Plus and Professional plans, or purchase multiple licenses through our Family plan or our Standard, Advanced,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10" w:lineRule="exact"/>
        <w:rPr>
          <w:sz w:val="20"/>
          <w:szCs w:val="20"/>
          <w:color w:val="auto"/>
        </w:rPr>
      </w:pPr>
    </w:p>
    <w:p>
      <w:pPr>
        <w:ind w:right="60" w:firstLine="430"/>
        <w:spacing w:after="0" w:line="266" w:lineRule="auto"/>
        <w:rPr>
          <w:sz w:val="20"/>
          <w:szCs w:val="20"/>
          <w:color w:val="auto"/>
        </w:rPr>
      </w:pPr>
      <w:r>
        <w:rPr>
          <w:rFonts w:ascii="Arial" w:cs="Arial" w:eastAsia="Arial" w:hAnsi="Arial"/>
          <w:sz w:val="17"/>
          <w:szCs w:val="17"/>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203" w:lineRule="exact"/>
        <w:rPr>
          <w:sz w:val="20"/>
          <w:szCs w:val="20"/>
          <w:color w:val="auto"/>
        </w:rPr>
      </w:pPr>
    </w:p>
    <w:p>
      <w:pPr>
        <w:ind w:right="100" w:firstLine="313"/>
        <w:spacing w:after="0" w:line="261" w:lineRule="auto"/>
        <w:rPr>
          <w:sz w:val="20"/>
          <w:szCs w:val="20"/>
          <w:color w:val="auto"/>
        </w:rPr>
      </w:pPr>
      <w:r>
        <w:rPr>
          <w:rFonts w:ascii="Arial" w:cs="Arial" w:eastAsia="Arial" w:hAnsi="Arial"/>
          <w:sz w:val="17"/>
          <w:szCs w:val="17"/>
          <w:color w:val="auto"/>
        </w:rPr>
        <w:t>In the first quarter of fiscal 2019, we acquired HelloSign, an e-signature and document workflow platform. The acquisition of HelloSign expands our content collaboration capabilities to include additional business-critical workflows.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of a certain number of licenses, but can also have hundreds of users. Customers can choose between an annual or monthly plan, with a small number of large organizations on multi-year plans. We typically bill HelloSign customers at the beginning of their respective terms and recognizes revenue ratably over the subscription period. We sell HelloSign products globally and sell primarily in U.S. dollars</w:t>
      </w:r>
      <w:r>
        <w:rPr>
          <w:rFonts w:ascii="Arial" w:cs="Arial" w:eastAsia="Arial" w:hAnsi="Arial"/>
          <w:sz w:val="17"/>
          <w:szCs w:val="17"/>
          <w:i w:val="1"/>
          <w:iCs w:val="1"/>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3" w:lineRule="exact"/>
        <w:rPr>
          <w:sz w:val="20"/>
          <w:szCs w:val="20"/>
          <w:color w:val="auto"/>
        </w:rPr>
      </w:pPr>
    </w:p>
    <w:p>
      <w:pPr>
        <w:ind w:right="200" w:firstLine="430"/>
        <w:spacing w:after="0" w:line="271" w:lineRule="auto"/>
        <w:rPr>
          <w:sz w:val="20"/>
          <w:szCs w:val="20"/>
          <w:color w:val="auto"/>
        </w:rPr>
      </w:pPr>
      <w:r>
        <w:rPr>
          <w:rFonts w:ascii="Arial" w:cs="Arial" w:eastAsia="Arial" w:hAnsi="Arial"/>
          <w:sz w:val="17"/>
          <w:szCs w:val="17"/>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media, education, industrials, consumer and retail, and financial services. Within companies, our platform is used by all types of teams and functions, including sales, marketing, product, design, engineering, finance, legal, and human resources.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Drive new signups</w:t>
      </w:r>
    </w:p>
    <w:p>
      <w:pPr>
        <w:spacing w:after="0" w:line="248" w:lineRule="exact"/>
        <w:rPr>
          <w:sz w:val="20"/>
          <w:szCs w:val="20"/>
          <w:color w:val="auto"/>
        </w:rPr>
      </w:pPr>
    </w:p>
    <w:p>
      <w:pPr>
        <w:ind w:right="260" w:firstLine="430"/>
        <w:spacing w:after="0" w:line="271" w:lineRule="auto"/>
        <w:rPr>
          <w:sz w:val="20"/>
          <w:szCs w:val="20"/>
          <w:color w:val="auto"/>
        </w:rPr>
      </w:pPr>
      <w:r>
        <w:rPr>
          <w:rFonts w:ascii="Arial" w:cs="Arial" w:eastAsia="Arial" w:hAnsi="Arial"/>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Increase conversion of registered users to our paid subscription plans</w:t>
      </w:r>
    </w:p>
    <w:p>
      <w:pPr>
        <w:spacing w:after="0" w:line="248" w:lineRule="exact"/>
        <w:rPr>
          <w:sz w:val="20"/>
          <w:szCs w:val="20"/>
          <w:color w:val="auto"/>
        </w:rPr>
      </w:pPr>
    </w:p>
    <w:p>
      <w:pPr>
        <w:ind w:right="140" w:firstLine="430"/>
        <w:spacing w:after="0" w:line="266" w:lineRule="auto"/>
        <w:rPr>
          <w:sz w:val="20"/>
          <w:szCs w:val="20"/>
          <w:color w:val="auto"/>
        </w:rPr>
      </w:pPr>
      <w:r>
        <w:rPr>
          <w:rFonts w:ascii="Arial" w:cs="Arial" w:eastAsia="Arial" w:hAnsi="Arial"/>
          <w:sz w:val="17"/>
          <w:szCs w:val="17"/>
          <w:color w:val="auto"/>
        </w:rPr>
        <w:t>We generate over 90% of our revenue from self-serve channels — 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Upgrade and expand existing customers</w:t>
      </w:r>
    </w:p>
    <w:p>
      <w:pPr>
        <w:spacing w:after="0" w:line="248" w:lineRule="exact"/>
        <w:rPr>
          <w:sz w:val="20"/>
          <w:szCs w:val="20"/>
          <w:color w:val="auto"/>
        </w:rPr>
      </w:pPr>
    </w:p>
    <w:p>
      <w:pPr>
        <w:ind w:right="80" w:firstLine="430"/>
        <w:spacing w:after="0" w:line="266" w:lineRule="auto"/>
        <w:rPr>
          <w:sz w:val="20"/>
          <w:szCs w:val="20"/>
          <w:color w:val="auto"/>
        </w:rPr>
      </w:pPr>
      <w:r>
        <w:rPr>
          <w:rFonts w:ascii="Arial" w:cs="Arial" w:eastAsia="Arial" w:hAnsi="Arial"/>
          <w:sz w:val="17"/>
          <w:szCs w:val="17"/>
          <w:color w:val="auto"/>
        </w:rPr>
        <w:t>We offer a range of paid subscription plans, from Plus, Professional, and Family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COVID-19 update</w:t>
      </w:r>
    </w:p>
    <w:p>
      <w:pPr>
        <w:spacing w:after="0" w:line="248" w:lineRule="exact"/>
        <w:rPr>
          <w:sz w:val="20"/>
          <w:szCs w:val="20"/>
          <w:color w:val="auto"/>
        </w:rPr>
      </w:pPr>
    </w:p>
    <w:p>
      <w:pPr>
        <w:ind w:right="80" w:firstLine="391"/>
        <w:spacing w:after="0" w:line="281" w:lineRule="auto"/>
        <w:rPr>
          <w:sz w:val="20"/>
          <w:szCs w:val="20"/>
          <w:color w:val="auto"/>
        </w:rPr>
      </w:pPr>
      <w:r>
        <w:rPr>
          <w:rFonts w:ascii="Arial" w:cs="Arial" w:eastAsia="Arial" w:hAnsi="Arial"/>
          <w:sz w:val="16"/>
          <w:szCs w:val="16"/>
          <w:color w:val="auto"/>
        </w:rPr>
        <w:t>Although we have seen and may continue to see an impact to our financial condition or results of operations, as described below, the full extent of the impact of the COVID-19 pandemic on our operational and financial performance will depend on certain developments, including the duration and spread of the outbreak, the pace of reopening, impact on our customers and our sales cycles, impact on our business operations, impact on our customer, employee or industry events, and effect on our vendors, all of which are uncertain and cannot be predicted. The extent to which the COVID-19 pandemic may impact our business, financial condition or results of operations is uncertain, but may include, without limitation, impacts to our paying user growth as well as disruptions to our business operations as a result of travel restrictions, shutdown of workplaces and potential impacts to our vendors.</w:t>
      </w:r>
    </w:p>
    <w:p>
      <w:pPr>
        <w:spacing w:after="0" w:line="194"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Additionally, our results of operations and cash flows are subject to fluctuations due to changes in foreign currency exchange rates relative to U.S. dollars, our reporting currency, as well as changes in interest rates. Volatile market conditions arising from the COVID-19 pandemic have and may continue to negatively impact our results of operations and cash flows, due to (i) a weakening of foreign currencies relative to the U.S. dollar, which may cause our revenues to decline relative to our costs, and (ii) government-initiated reductions in interest rates, which may reduce our interest income. In certain cases, we have provided relief to our customers in the form of extending net payment terms and changing invoice frequency, which may negatively impact our accounts receivable. Conversely, we have seen and may continue to see cost savings from the shift to remote work for all of our employees in areas including events, travel, utilities, and other benefits. Due to our subscription based business model, the effect of the COVID-19 pandemic may not be fully reflected in our results of operations until future periods, if at all.</w:t>
      </w:r>
    </w:p>
    <w:p>
      <w:pPr>
        <w:spacing w:after="0" w:line="210"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Furthermore, the effects of the COVID-19 pandemic have led us to reimagine the way we work, resulting in our announcement in October 2020 to shift to a new Virtual First work model pursuant to which remote work will become the primary experience for all of our employees. As a result, we intend for our workforce to become more distributed over time, although we will continue to offer our employees opportunities for in-person collaboration, either through our existing real-estate, or new on-demand, flexible spaces. We will reduce our existing real-estate footprint while maintaining a scaled down presence in our current locations and as a result, we plan to sublease space at certain office locations. While the actual amount and timing of the benefits of subleases will depend on the outcome of negotiations with potential subtenants, we estimate that this strategy will generate additional cash flows over the course of our lease agreements. In connection with our subleasing plans, we anticipate recording an impairment charge related to right of use and other lease related assets in the range of $400 to $450 million. A substantial majority of the charge is expected to be incurred in the fourth quarter of 2020 but a portion of this amount may be incurred through the first half of 2021. While we seek to manage the implementation of this new work model carefully and we believe this model will help us reap the benefits of remote work, while maintaining a meaningful in-person experience, there is no guarantee that we will realize any anticipated benefits to our business, including any cost savings,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operational efficiencies, increased employee satisfaction or increased productivity. In addition, given that we have a limited history of operating with a Virtual First workforce, the long-term impact on our financial results and business operations is uncertain. Please see Item 1A. “Risk Factors” in this Quarterly Report on Form 10-Q for a complete description of the material risks we currently face, including risks related to the COVID-19 pandemic and our shift to a Virtual First work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254" w:lineRule="exact"/>
        <w:rPr>
          <w:sz w:val="20"/>
          <w:szCs w:val="20"/>
          <w:color w:val="auto"/>
        </w:rPr>
      </w:pPr>
    </w:p>
    <w:p>
      <w:pPr>
        <w:ind w:right="180" w:firstLine="430"/>
        <w:spacing w:after="0" w:line="287" w:lineRule="auto"/>
        <w:rPr>
          <w:sz w:val="20"/>
          <w:szCs w:val="20"/>
          <w:color w:val="auto"/>
        </w:rPr>
      </w:pPr>
      <w:r>
        <w:rPr>
          <w:rFonts w:ascii="Arial" w:cs="Arial" w:eastAsia="Arial" w:hAnsi="Arial"/>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Total annual recurring revenue</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Total ARR is a performance metric and should be viewed independently of revenue and deferred revenue, and is not intended to be a substitute for, or combined with, any of these items.</w:t>
      </w:r>
    </w:p>
    <w:p>
      <w:pPr>
        <w:spacing w:after="0" w:line="172" w:lineRule="exact"/>
        <w:rPr>
          <w:sz w:val="20"/>
          <w:szCs w:val="20"/>
          <w:color w:val="auto"/>
        </w:rPr>
      </w:pPr>
    </w:p>
    <w:p>
      <w:pPr>
        <w:jc w:val="both"/>
        <w:ind w:right="60" w:firstLine="430"/>
        <w:spacing w:after="0" w:line="271" w:lineRule="auto"/>
        <w:rPr>
          <w:sz w:val="20"/>
          <w:szCs w:val="20"/>
          <w:color w:val="auto"/>
        </w:rPr>
      </w:pPr>
      <w:r>
        <w:rPr>
          <w:rFonts w:ascii="Arial" w:cs="Arial" w:eastAsia="Arial" w:hAnsi="Arial"/>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adjust the exchange rates used to calculate Total ARR on an annual basis at the beginning of each fiscal year.</w:t>
      </w:r>
    </w:p>
    <w:p>
      <w:pPr>
        <w:spacing w:after="0" w:line="198" w:lineRule="exact"/>
        <w:rPr>
          <w:sz w:val="20"/>
          <w:szCs w:val="20"/>
          <w:color w:val="auto"/>
        </w:rPr>
      </w:pPr>
    </w:p>
    <w:p>
      <w:pPr>
        <w:ind w:right="100" w:firstLine="430"/>
        <w:spacing w:after="0" w:line="287" w:lineRule="auto"/>
        <w:rPr>
          <w:sz w:val="20"/>
          <w:szCs w:val="20"/>
          <w:color w:val="auto"/>
        </w:rPr>
      </w:pPr>
      <w:r>
        <w:rPr>
          <w:rFonts w:ascii="Arial" w:cs="Arial" w:eastAsia="Arial" w:hAnsi="Arial"/>
          <w:sz w:val="17"/>
          <w:szCs w:val="17"/>
          <w:color w:val="auto"/>
        </w:rPr>
        <w:t>The below tables set forth our Total ARR using the exchange rates set at the beginning of each year, as well as on a constant currency basis relative to the exchange rates used in 2020.</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b w:val="1"/>
                <w:bCs w:val="1"/>
                <w:color w:val="auto"/>
                <w:w w:val="89"/>
              </w:rPr>
              <w:t>As of</w:t>
            </w:r>
          </w:p>
        </w:tc>
        <w:tc>
          <w:tcPr>
            <w:tcW w:w="1960" w:type="dxa"/>
            <w:vAlign w:val="bottom"/>
            <w:tcBorders>
              <w:bottom w:val="single" w:sz="8" w:color="auto"/>
            </w:tcBorders>
          </w:tcPr>
          <w:p>
            <w:pPr>
              <w:spacing w:after="0"/>
              <w:rPr>
                <w:sz w:val="19"/>
                <w:szCs w:val="19"/>
                <w:color w:val="auto"/>
              </w:rPr>
            </w:pPr>
          </w:p>
        </w:tc>
      </w:tr>
      <w:tr>
        <w:trPr>
          <w:trHeight w:val="215"/>
        </w:trPr>
        <w:tc>
          <w:tcPr>
            <w:tcW w:w="5060" w:type="dxa"/>
            <w:vAlign w:val="bottom"/>
          </w:tcPr>
          <w:p>
            <w:pPr>
              <w:spacing w:after="0"/>
              <w:rPr>
                <w:sz w:val="18"/>
                <w:szCs w:val="18"/>
                <w:color w:val="auto"/>
              </w:rPr>
            </w:pPr>
          </w:p>
        </w:tc>
        <w:tc>
          <w:tcPr>
            <w:tcW w:w="19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September 30, 2020</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December 31, 2019</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September 30, 2019</w:t>
            </w:r>
          </w:p>
        </w:tc>
      </w:tr>
      <w:tr>
        <w:trPr>
          <w:trHeight w:val="306"/>
        </w:trPr>
        <w:tc>
          <w:tcPr>
            <w:tcW w:w="5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8"/>
              </w:rPr>
              <w:t>(In millions)</w:t>
            </w:r>
          </w:p>
        </w:tc>
        <w:tc>
          <w:tcPr>
            <w:tcW w:w="1960" w:type="dxa"/>
            <w:vAlign w:val="bottom"/>
          </w:tcPr>
          <w:p>
            <w:pPr>
              <w:spacing w:after="0"/>
              <w:rPr>
                <w:sz w:val="24"/>
                <w:szCs w:val="24"/>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w:t>
            </w:r>
          </w:p>
        </w:tc>
      </w:tr>
      <w:tr>
        <w:trPr>
          <w:trHeight w:val="430"/>
        </w:trPr>
        <w:tc>
          <w:tcPr>
            <w:tcW w:w="50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b w:val="1"/>
                <w:bCs w:val="1"/>
                <w:color w:val="auto"/>
                <w:w w:val="89"/>
              </w:rPr>
              <w:t>As of</w:t>
            </w:r>
          </w:p>
        </w:tc>
        <w:tc>
          <w:tcPr>
            <w:tcW w:w="1960" w:type="dxa"/>
            <w:vAlign w:val="bottom"/>
            <w:tcBorders>
              <w:bottom w:val="single" w:sz="8" w:color="auto"/>
            </w:tcBorders>
          </w:tcPr>
          <w:p>
            <w:pPr>
              <w:spacing w:after="0"/>
              <w:rPr>
                <w:sz w:val="24"/>
                <w:szCs w:val="24"/>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Constant Currency</w:t>
            </w:r>
          </w:p>
        </w:tc>
        <w:tc>
          <w:tcPr>
            <w:tcW w:w="19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September 30, 2020</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December 31, 2019</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September 30, 2019</w:t>
            </w:r>
          </w:p>
        </w:tc>
      </w:tr>
      <w:tr>
        <w:trPr>
          <w:trHeight w:val="306"/>
        </w:trPr>
        <w:tc>
          <w:tcPr>
            <w:tcW w:w="5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8"/>
              </w:rPr>
              <w:t>(In millions)</w:t>
            </w:r>
          </w:p>
        </w:tc>
        <w:tc>
          <w:tcPr>
            <w:tcW w:w="1960" w:type="dxa"/>
            <w:vAlign w:val="bottom"/>
          </w:tcPr>
          <w:p>
            <w:pPr>
              <w:spacing w:after="0"/>
              <w:rPr>
                <w:sz w:val="24"/>
                <w:szCs w:val="24"/>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w:t>
            </w:r>
          </w:p>
        </w:tc>
      </w:tr>
    </w:tbl>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Paying users</w:t>
      </w:r>
    </w:p>
    <w:p>
      <w:pPr>
        <w:spacing w:after="0" w:line="117"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203" w:lineRule="exact"/>
        <w:rPr>
          <w:sz w:val="20"/>
          <w:szCs w:val="20"/>
          <w:color w:val="auto"/>
        </w:rPr>
      </w:pPr>
    </w:p>
    <w:p>
      <w:pPr>
        <w:ind w:right="140" w:firstLine="430"/>
        <w:spacing w:after="0" w:line="287" w:lineRule="auto"/>
        <w:rPr>
          <w:sz w:val="20"/>
          <w:szCs w:val="20"/>
          <w:color w:val="auto"/>
        </w:rPr>
      </w:pPr>
      <w:r>
        <w:rPr>
          <w:rFonts w:ascii="Arial" w:cs="Arial" w:eastAsia="Arial" w:hAnsi="Arial"/>
          <w:sz w:val="17"/>
          <w:szCs w:val="17"/>
          <w:color w:val="auto"/>
        </w:rPr>
        <w:t>We have experienced growth in the number of paying users across our products, with the majority of paying users for the periods presented coming from our self-serve channels.</w:t>
      </w:r>
    </w:p>
    <w:p>
      <w:pPr>
        <w:spacing w:after="0" w:line="184" w:lineRule="exact"/>
        <w:rPr>
          <w:sz w:val="20"/>
          <w:szCs w:val="20"/>
          <w:color w:val="auto"/>
        </w:rPr>
      </w:pPr>
    </w:p>
    <w:p>
      <w:pPr>
        <w:ind w:firstLine="430"/>
        <w:spacing w:after="0" w:line="284" w:lineRule="auto"/>
        <w:rPr>
          <w:sz w:val="20"/>
          <w:szCs w:val="20"/>
          <w:color w:val="auto"/>
        </w:rPr>
      </w:pPr>
      <w:r>
        <w:rPr>
          <w:rFonts w:ascii="Arial" w:cs="Arial" w:eastAsia="Arial" w:hAnsi="Arial"/>
          <w:sz w:val="16"/>
          <w:szCs w:val="16"/>
          <w:color w:val="auto"/>
        </w:rPr>
        <w:t>We acquired HelloSign in the first quarter of fiscal 2019. 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results,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the number of paying users as of September 30, 2020, December 31, 2019, and September 30, 2019.</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7"/>
        </w:trPr>
        <w:tc>
          <w:tcPr>
            <w:tcW w:w="5080" w:type="dxa"/>
            <w:vAlign w:val="bottom"/>
          </w:tcPr>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874"/>
        </w:trPr>
        <w:tc>
          <w:tcPr>
            <w:tcW w:w="508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b w:val="1"/>
                <w:bCs w:val="1"/>
                <w:color w:val="auto"/>
                <w:w w:val="89"/>
              </w:rPr>
              <w:t>As of</w:t>
            </w:r>
          </w:p>
        </w:tc>
        <w:tc>
          <w:tcPr>
            <w:tcW w:w="1960" w:type="dxa"/>
            <w:vAlign w:val="bottom"/>
            <w:tcBorders>
              <w:bottom w:val="single" w:sz="8" w:color="auto"/>
            </w:tcBorders>
          </w:tcPr>
          <w:p>
            <w:pPr>
              <w:spacing w:after="0"/>
              <w:rPr>
                <w:sz w:val="24"/>
                <w:szCs w:val="24"/>
                <w:color w:val="auto"/>
              </w:rPr>
            </w:pPr>
          </w:p>
        </w:tc>
      </w:tr>
      <w:tr>
        <w:trPr>
          <w:trHeight w:val="215"/>
        </w:trPr>
        <w:tc>
          <w:tcPr>
            <w:tcW w:w="5080" w:type="dxa"/>
            <w:vAlign w:val="bottom"/>
          </w:tcPr>
          <w:p>
            <w:pPr>
              <w:spacing w:after="0"/>
              <w:rPr>
                <w:sz w:val="18"/>
                <w:szCs w:val="18"/>
                <w:color w:val="auto"/>
              </w:rPr>
            </w:pPr>
          </w:p>
        </w:tc>
        <w:tc>
          <w:tcPr>
            <w:tcW w:w="19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September 30, 2020</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December 31, 2019</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September 30, 2019</w:t>
            </w:r>
          </w:p>
        </w:tc>
      </w:tr>
      <w:tr>
        <w:trPr>
          <w:trHeight w:val="306"/>
        </w:trPr>
        <w:tc>
          <w:tcPr>
            <w:tcW w:w="5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8"/>
              </w:rPr>
              <w:t>(In millions)</w:t>
            </w:r>
          </w:p>
        </w:tc>
        <w:tc>
          <w:tcPr>
            <w:tcW w:w="1960" w:type="dxa"/>
            <w:vAlign w:val="bottom"/>
          </w:tcPr>
          <w:p>
            <w:pPr>
              <w:spacing w:after="0"/>
              <w:rPr>
                <w:sz w:val="24"/>
                <w:szCs w:val="24"/>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Paying users</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r>
    </w:tbl>
    <w:p>
      <w:pPr>
        <w:spacing w:after="0" w:line="30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Average revenue per paying user</w:t>
      </w:r>
    </w:p>
    <w:p>
      <w:pPr>
        <w:spacing w:after="0" w:line="117" w:lineRule="exact"/>
        <w:rPr>
          <w:sz w:val="20"/>
          <w:szCs w:val="20"/>
          <w:color w:val="auto"/>
        </w:rPr>
      </w:pPr>
    </w:p>
    <w:p>
      <w:pPr>
        <w:ind w:right="60" w:firstLine="430"/>
        <w:spacing w:after="0" w:line="266"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203" w:lineRule="exact"/>
        <w:rPr>
          <w:sz w:val="20"/>
          <w:szCs w:val="20"/>
          <w:color w:val="auto"/>
        </w:rPr>
      </w:pPr>
    </w:p>
    <w:p>
      <w:pPr>
        <w:ind w:right="20" w:firstLine="430"/>
        <w:spacing w:after="0" w:line="288" w:lineRule="auto"/>
        <w:rPr>
          <w:sz w:val="20"/>
          <w:szCs w:val="20"/>
          <w:color w:val="auto"/>
        </w:rPr>
      </w:pPr>
      <w:r>
        <w:rPr>
          <w:rFonts w:ascii="Arial" w:cs="Arial" w:eastAsia="Arial" w:hAnsi="Arial"/>
          <w:sz w:val="16"/>
          <w:szCs w:val="16"/>
          <w:color w:val="auto"/>
        </w:rPr>
        <w:t>In the second quarter of 2019, we repackaged our existing Dropbox Plus plans to include additional features and, as a result, increased the price for new and existing users on this plan. For certain existing users, the increase in price is effective on their next renewal date. As a result of the price increase, and combined with an increased mix of sales towards our higher-priced subscription plans, we experienced an increase in our average revenue per paying user for the three and nine months ended September 30, 2020, compared to the three and nine months ended September 30, 2019.</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our ARPU for the three and nine months ended September 30, 2020 and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3"/>
              </w:rPr>
              <w:t>Three Months Ended</w:t>
            </w:r>
          </w:p>
        </w:tc>
        <w:tc>
          <w:tcPr>
            <w:tcW w:w="260" w:type="dxa"/>
            <w:vAlign w:val="bottom"/>
          </w:tcPr>
          <w:p>
            <w:pPr>
              <w:spacing w:after="0"/>
              <w:rPr>
                <w:sz w:val="16"/>
                <w:szCs w:val="16"/>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w w:val="93"/>
              </w:rPr>
              <w:t>Nine Months Ended</w:t>
            </w:r>
          </w:p>
        </w:tc>
      </w:tr>
      <w:tr>
        <w:trPr>
          <w:trHeight w:val="222"/>
        </w:trPr>
        <w:tc>
          <w:tcPr>
            <w:tcW w:w="30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1"/>
              </w:rPr>
              <w:t>September 30,</w:t>
            </w:r>
          </w:p>
        </w:tc>
        <w:tc>
          <w:tcPr>
            <w:tcW w:w="260" w:type="dxa"/>
            <w:vAlign w:val="bottom"/>
          </w:tcPr>
          <w:p>
            <w:pPr>
              <w:spacing w:after="0"/>
              <w:rPr>
                <w:sz w:val="19"/>
                <w:szCs w:val="19"/>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91"/>
              </w:rPr>
              <w:t>September 30,</w:t>
            </w:r>
          </w:p>
        </w:tc>
      </w:tr>
      <w:tr>
        <w:trPr>
          <w:trHeight w:val="215"/>
        </w:trPr>
        <w:tc>
          <w:tcPr>
            <w:tcW w:w="3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8"/>
                <w:szCs w:val="18"/>
                <w:color w:val="auto"/>
              </w:rPr>
            </w:pPr>
          </w:p>
        </w:tc>
      </w:tr>
      <w:tr>
        <w:trPr>
          <w:trHeight w:val="32"/>
        </w:trPr>
        <w:tc>
          <w:tcPr>
            <w:tcW w:w="3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ARPU</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121.75</w:t>
            </w:r>
          </w:p>
        </w:tc>
        <w:tc>
          <w:tcPr>
            <w:tcW w:w="80" w:type="dxa"/>
            <w:vAlign w:val="bottom"/>
          </w:tcPr>
          <w:p>
            <w:pPr>
              <w:spacing w:after="0"/>
              <w:rPr>
                <w:sz w:val="19"/>
                <w:szCs w:val="19"/>
                <w:color w:val="auto"/>
              </w:rPr>
            </w:pPr>
          </w:p>
        </w:tc>
      </w:tr>
      <w:tr>
        <w:trPr>
          <w:trHeight w:val="834"/>
        </w:trPr>
        <w:tc>
          <w:tcPr>
            <w:tcW w:w="3020" w:type="dxa"/>
            <w:vAlign w:val="bottom"/>
          </w:tcPr>
          <w:p>
            <w:pPr>
              <w:spacing w:after="0"/>
              <w:rPr>
                <w:sz w:val="24"/>
                <w:szCs w:val="24"/>
                <w:color w:val="auto"/>
              </w:rPr>
            </w:pPr>
          </w:p>
        </w:tc>
        <w:tc>
          <w:tcPr>
            <w:tcW w:w="3040" w:type="dxa"/>
            <w:vAlign w:val="bottom"/>
          </w:tcPr>
          <w:p>
            <w:pPr>
              <w:jc w:val="right"/>
              <w:ind w:right="253"/>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1"/>
        </w:trPr>
        <w:tc>
          <w:tcPr>
            <w:tcW w:w="302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-7620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w:t>
      </w:r>
    </w:p>
    <w:p>
      <w:pPr>
        <w:spacing w:after="0" w:line="254" w:lineRule="exact"/>
        <w:rPr>
          <w:sz w:val="20"/>
          <w:szCs w:val="20"/>
          <w:color w:val="auto"/>
        </w:rPr>
      </w:pPr>
    </w:p>
    <w:p>
      <w:pPr>
        <w:ind w:right="60" w:firstLine="430"/>
        <w:spacing w:after="0" w:line="287" w:lineRule="auto"/>
        <w:rPr>
          <w:sz w:val="20"/>
          <w:szCs w:val="20"/>
          <w:color w:val="auto"/>
        </w:rPr>
      </w:pPr>
      <w:r>
        <w:rPr>
          <w:rFonts w:ascii="Arial" w:cs="Arial" w:eastAsia="Arial" w:hAnsi="Arial"/>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Free cash flow</w:t>
      </w:r>
    </w:p>
    <w:p>
      <w:pPr>
        <w:spacing w:after="0" w:line="117" w:lineRule="exact"/>
        <w:rPr>
          <w:sz w:val="20"/>
          <w:szCs w:val="20"/>
          <w:color w:val="auto"/>
        </w:rPr>
      </w:pPr>
    </w:p>
    <w:p>
      <w:pPr>
        <w:ind w:right="20" w:firstLine="430"/>
        <w:spacing w:after="0" w:line="261" w:lineRule="auto"/>
        <w:rPr>
          <w:sz w:val="20"/>
          <w:szCs w:val="20"/>
          <w:color w:val="auto"/>
        </w:rPr>
      </w:pPr>
      <w:r>
        <w:rPr>
          <w:rFonts w:ascii="Arial" w:cs="Arial" w:eastAsia="Arial" w:hAnsi="Arial"/>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and may be calculated differently by other companies in our industry, limiting its usefulness as a comparative measure.</w:t>
      </w:r>
    </w:p>
    <w:p>
      <w:pPr>
        <w:spacing w:after="0" w:line="207" w:lineRule="exact"/>
        <w:rPr>
          <w:sz w:val="20"/>
          <w:szCs w:val="20"/>
          <w:color w:val="auto"/>
        </w:rPr>
      </w:pPr>
    </w:p>
    <w:p>
      <w:pPr>
        <w:ind w:right="160" w:firstLine="430"/>
        <w:spacing w:after="0" w:line="271" w:lineRule="auto"/>
        <w:rPr>
          <w:sz w:val="20"/>
          <w:szCs w:val="20"/>
          <w:color w:val="auto"/>
        </w:rPr>
      </w:pPr>
      <w:r>
        <w:rPr>
          <w:rFonts w:ascii="Arial" w:cs="Arial" w:eastAsia="Arial" w:hAnsi="Arial"/>
          <w:sz w:val="17"/>
          <w:szCs w:val="17"/>
          <w:color w:val="auto"/>
        </w:rPr>
        <w:t>Our FCF increased for the nine months ended September 30, 2020, compared to the nine months ended September 30, 2019, primarily due to an increase in cash provided by operating activities, which was driven by increased subscription sales, as a majority of our paying users are invoiced in advance, and a decrease in capital expenditures, due to decreased spend on office build-outs.</w:t>
      </w:r>
    </w:p>
    <w:p>
      <w:pPr>
        <w:spacing w:after="0" w:line="198" w:lineRule="exact"/>
        <w:rPr>
          <w:sz w:val="20"/>
          <w:szCs w:val="20"/>
          <w:color w:val="auto"/>
        </w:rPr>
      </w:pPr>
    </w:p>
    <w:p>
      <w:pPr>
        <w:ind w:right="300" w:firstLine="430"/>
        <w:spacing w:after="0" w:line="271" w:lineRule="auto"/>
        <w:rPr>
          <w:sz w:val="20"/>
          <w:szCs w:val="20"/>
          <w:color w:val="auto"/>
        </w:rPr>
      </w:pPr>
      <w:r>
        <w:rPr>
          <w:rFonts w:ascii="Arial" w:cs="Arial" w:eastAsia="Arial" w:hAnsi="Arial"/>
          <w:sz w:val="17"/>
          <w:szCs w:val="17"/>
          <w:color w:val="auto"/>
        </w:rPr>
        <w:t>We expect our FCF to fluctuate in future periods as we purchase infrastructure equipment to support our user base and as we sublease space at certain office locations. This, along with certain increased operating expenses as described below, may result in FCF to vary from period to period as a percentage of revenue.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FCF to the most comparable GAAP measure, net cash provided by operating activities:</w:t>
      </w:r>
    </w:p>
    <w:p>
      <w:pPr>
        <w:spacing w:after="0" w:line="132" w:lineRule="exact"/>
        <w:rPr>
          <w:sz w:val="20"/>
          <w:szCs w:val="20"/>
          <w:color w:val="auto"/>
        </w:rPr>
      </w:pPr>
    </w:p>
    <w:p>
      <w:pPr>
        <w:jc w:val="center"/>
        <w:ind w:left="7760"/>
        <w:spacing w:after="0"/>
        <w:rPr>
          <w:sz w:val="20"/>
          <w:szCs w:val="20"/>
          <w:color w:val="auto"/>
        </w:rPr>
      </w:pPr>
      <w:r>
        <w:rPr>
          <w:rFonts w:ascii="Arial" w:cs="Arial" w:eastAsia="Arial" w:hAnsi="Arial"/>
          <w:sz w:val="17"/>
          <w:szCs w:val="17"/>
          <w:b w:val="1"/>
          <w:bCs w:val="1"/>
          <w:color w:val="auto"/>
        </w:rPr>
        <w:t>Nine Months Ended</w:t>
      </w:r>
    </w:p>
    <w:p>
      <w:pPr>
        <w:jc w:val="center"/>
        <w:ind w:left="7760"/>
        <w:spacing w:after="0"/>
        <w:rPr>
          <w:sz w:val="20"/>
          <w:szCs w:val="20"/>
          <w:color w:val="auto"/>
        </w:rPr>
      </w:pPr>
      <w:r>
        <w:rPr>
          <w:rFonts w:ascii="Arial" w:cs="Arial" w:eastAsia="Arial" w:hAnsi="Arial"/>
          <w:sz w:val="17"/>
          <w:szCs w:val="17"/>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2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gridSpan w:val="3"/>
          </w:tcPr>
          <w:p>
            <w:pPr>
              <w:ind w:left="180"/>
              <w:spacing w:after="0"/>
              <w:rPr>
                <w:sz w:val="20"/>
                <w:szCs w:val="20"/>
                <w:color w:val="auto"/>
              </w:rPr>
            </w:pPr>
            <w:r>
              <w:rPr>
                <w:rFonts w:ascii="Arial" w:cs="Arial" w:eastAsia="Arial" w:hAnsi="Arial"/>
                <w:sz w:val="17"/>
                <w:szCs w:val="17"/>
                <w:i w:val="1"/>
                <w:iCs w:val="1"/>
                <w:color w:val="auto"/>
              </w:rPr>
              <w:t>(In millions)</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400.1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513"/>
              <w:spacing w:after="0"/>
              <w:rPr>
                <w:sz w:val="20"/>
                <w:szCs w:val="20"/>
                <w:color w:val="auto"/>
              </w:rPr>
            </w:pPr>
            <w:r>
              <w:rPr>
                <w:rFonts w:ascii="Arial" w:cs="Arial" w:eastAsia="Arial" w:hAnsi="Arial"/>
                <w:sz w:val="17"/>
                <w:szCs w:val="17"/>
                <w:color w:val="auto"/>
                <w:w w:val="93"/>
              </w:rPr>
              <w:t>341.7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expenditures</w:t>
            </w:r>
          </w:p>
        </w:tc>
        <w:tc>
          <w:tcPr>
            <w:tcW w:w="36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w w:val="94"/>
              </w:rPr>
              <w:t>(67.8)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493"/>
              <w:spacing w:after="0"/>
              <w:rPr>
                <w:sz w:val="20"/>
                <w:szCs w:val="20"/>
                <w:color w:val="auto"/>
              </w:rPr>
            </w:pPr>
            <w:r>
              <w:rPr>
                <w:rFonts w:ascii="Arial" w:cs="Arial" w:eastAsia="Arial" w:hAnsi="Arial"/>
                <w:sz w:val="17"/>
                <w:szCs w:val="17"/>
                <w:color w:val="auto"/>
                <w:w w:val="92"/>
              </w:rPr>
              <w:t>(110.6)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4700" w:type="dxa"/>
            <w:vAlign w:val="bottom"/>
            <w:gridSpan w:val="2"/>
            <w:shd w:val="clear" w:color="auto" w:fill="CCEEFF"/>
          </w:tcPr>
          <w:p>
            <w:pPr>
              <w:jc w:val="right"/>
              <w:ind w:right="89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332.3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center"/>
              <w:ind w:left="513"/>
              <w:spacing w:after="0"/>
              <w:rPr>
                <w:sz w:val="20"/>
                <w:szCs w:val="20"/>
                <w:color w:val="auto"/>
              </w:rPr>
            </w:pPr>
            <w:r>
              <w:rPr>
                <w:rFonts w:ascii="Arial" w:cs="Arial" w:eastAsia="Arial" w:hAnsi="Arial"/>
                <w:sz w:val="17"/>
                <w:szCs w:val="17"/>
                <w:color w:val="auto"/>
                <w:w w:val="93"/>
              </w:rPr>
              <w:t>231.1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2013"/>
              <w:spacing w:after="0"/>
              <w:rPr>
                <w:sz w:val="20"/>
                <w:szCs w:val="20"/>
                <w:color w:val="auto"/>
              </w:rPr>
            </w:pPr>
            <w:r>
              <w:rPr>
                <w:rFonts w:ascii="Arial" w:cs="Arial" w:eastAsia="Arial" w:hAnsi="Arial"/>
                <w:sz w:val="17"/>
                <w:szCs w:val="17"/>
                <w:color w:val="auto"/>
              </w:rPr>
              <w:t>42</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42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0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generate revenue from sales of subscriptions to our platform.</w:t>
      </w:r>
    </w:p>
    <w:p>
      <w:pPr>
        <w:spacing w:after="0" w:line="248"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203"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Our revenue is driven primarily by conversions and upsells to our paid plans. We also generate revenue from transaction-based products and fees from the referral of users to our partners. We generate over 90% of our revenue from self-serve channels. No customer represented more than 1% of our revenue in the periods presented.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117" w:lineRule="exact"/>
        <w:rPr>
          <w:sz w:val="20"/>
          <w:szCs w:val="20"/>
          <w:color w:val="auto"/>
        </w:rPr>
      </w:pPr>
    </w:p>
    <w:p>
      <w:pPr>
        <w:ind w:firstLine="430"/>
        <w:spacing w:after="0" w:line="278"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 paying</w:t>
      </w:r>
      <w:r>
        <w:rPr>
          <w:rFonts w:ascii="Arial" w:cs="Arial" w:eastAsia="Arial" w:hAnsi="Arial"/>
          <w:sz w:val="16"/>
          <w:szCs w:val="16"/>
          <w:i w:val="1"/>
          <w:iCs w:val="1"/>
          <w:color w:val="auto"/>
        </w:rPr>
        <w:t xml:space="preserve"> </w:t>
      </w:r>
      <w:r>
        <w:rPr>
          <w:rFonts w:ascii="Arial" w:cs="Arial" w:eastAsia="Arial" w:hAnsi="Arial"/>
          <w:sz w:val="16"/>
          <w:szCs w:val="16"/>
          <w:color w:val="auto"/>
        </w:rPr>
        <w:t>users and free users, also known as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4" w:lineRule="exact"/>
        <w:rPr>
          <w:sz w:val="20"/>
          <w:szCs w:val="20"/>
          <w:color w:val="auto"/>
        </w:rPr>
      </w:pPr>
    </w:p>
    <w:p>
      <w:pPr>
        <w:ind w:right="160" w:firstLine="430"/>
        <w:spacing w:after="0" w:line="287" w:lineRule="auto"/>
        <w:rPr>
          <w:sz w:val="20"/>
          <w:szCs w:val="20"/>
          <w:color w:val="auto"/>
        </w:rPr>
      </w:pPr>
      <w:r>
        <w:rPr>
          <w:rFonts w:ascii="Arial" w:cs="Arial" w:eastAsia="Arial" w:hAnsi="Arial"/>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84"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is gross profit expressed as a percentage of revenue. Our gross margin may fluctuate from period to period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timing of additional capital expenditures and the related depreciation expense, or other increases in our infrastructure costs, as well as revenue fluctuations. As we continue to utilize our internal infrastructure, we generally expect our gross margin to remain relatively constant in the near term and to increase modestly in the long term.</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right="120" w:firstLine="430"/>
        <w:spacing w:after="0" w:line="323" w:lineRule="auto"/>
        <w:rPr>
          <w:sz w:val="20"/>
          <w:szCs w:val="20"/>
          <w:color w:val="auto"/>
        </w:rPr>
      </w:pPr>
      <w:r>
        <w:rPr>
          <w:rFonts w:ascii="Arial" w:cs="Arial" w:eastAsia="Arial" w:hAnsi="Arial"/>
          <w:sz w:val="15"/>
          <w:szCs w:val="15"/>
          <w:i w:val="1"/>
          <w:iCs w:val="1"/>
          <w:color w:val="auto"/>
        </w:rPr>
        <w:t>Research and development</w:t>
      </w:r>
      <w:r>
        <w:rPr>
          <w:rFonts w:ascii="Arial" w:cs="Arial" w:eastAsia="Arial" w:hAnsi="Arial"/>
          <w:sz w:val="15"/>
          <w:szCs w:val="15"/>
          <w:color w:val="auto"/>
        </w:rPr>
        <w:t>. Our research and development expenses consist primarily of employee-related costs for our engineering, product, and design</w:t>
      </w:r>
      <w:r>
        <w:rPr>
          <w:rFonts w:ascii="Arial" w:cs="Arial" w:eastAsia="Arial" w:hAnsi="Arial"/>
          <w:sz w:val="15"/>
          <w:szCs w:val="15"/>
          <w:i w:val="1"/>
          <w:iCs w:val="1"/>
          <w:color w:val="auto"/>
        </w:rPr>
        <w:t xml:space="preserve"> </w:t>
      </w:r>
      <w:r>
        <w:rPr>
          <w:rFonts w:ascii="Arial" w:cs="Arial" w:eastAsia="Arial" w:hAnsi="Arial"/>
          <w:sz w:val="15"/>
          <w:szCs w:val="15"/>
          <w:color w:val="auto"/>
        </w:rPr>
        <w:t>teams, compensation expenses related to key personnel from acquisitions and allocated overhead. Additionally, research and development expenses include internal development-related third-party hosting fees. We have expensed almost all of our research and development costs as they were incurred.</w:t>
      </w:r>
    </w:p>
    <w:p>
      <w:pPr>
        <w:spacing w:after="0" w:line="164" w:lineRule="exact"/>
        <w:rPr>
          <w:sz w:val="20"/>
          <w:szCs w:val="20"/>
          <w:color w:val="auto"/>
        </w:rPr>
      </w:pPr>
    </w:p>
    <w:p>
      <w:pPr>
        <w:ind w:right="340" w:firstLine="430"/>
        <w:spacing w:after="0" w:line="320" w:lineRule="auto"/>
        <w:rPr>
          <w:sz w:val="20"/>
          <w:szCs w:val="20"/>
          <w:color w:val="auto"/>
        </w:rPr>
      </w:pPr>
      <w:r>
        <w:rPr>
          <w:rFonts w:ascii="Arial" w:cs="Arial" w:eastAsia="Arial" w:hAnsi="Arial"/>
          <w:sz w:val="16"/>
          <w:szCs w:val="16"/>
          <w:color w:val="auto"/>
        </w:rPr>
        <w:t>We plan to continue hiring employees for our engineering, product, and design teams to support our research and development efforts. We expect that research and development costs will increase in absolute dollars in future periods and vary from period to period as a percentage of revenue.</w:t>
      </w:r>
    </w:p>
    <w:p>
      <w:pPr>
        <w:spacing w:after="0" w:line="161" w:lineRule="exact"/>
        <w:rPr>
          <w:sz w:val="20"/>
          <w:szCs w:val="20"/>
          <w:color w:val="auto"/>
        </w:rPr>
      </w:pPr>
    </w:p>
    <w:p>
      <w:pPr>
        <w:ind w:right="100" w:firstLine="430"/>
        <w:spacing w:after="0" w:line="307"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relate to both self-serve and outbound sales activities, and consist primarily of employee-related</w:t>
      </w:r>
      <w:r>
        <w:rPr>
          <w:rFonts w:ascii="Arial" w:cs="Arial" w:eastAsia="Arial" w:hAnsi="Arial"/>
          <w:sz w:val="15"/>
          <w:szCs w:val="15"/>
          <w:i w:val="1"/>
          <w:iCs w:val="1"/>
          <w:color w:val="auto"/>
        </w:rPr>
        <w:t xml:space="preserve"> </w:t>
      </w:r>
      <w:r>
        <w:rPr>
          <w:rFonts w:ascii="Arial" w:cs="Arial" w:eastAsia="Arial" w:hAnsi="Arial"/>
          <w:sz w:val="15"/>
          <w:szCs w:val="15"/>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75" w:lineRule="exact"/>
        <w:rPr>
          <w:sz w:val="20"/>
          <w:szCs w:val="20"/>
          <w:color w:val="auto"/>
        </w:rPr>
      </w:pPr>
    </w:p>
    <w:p>
      <w:pPr>
        <w:ind w:right="220" w:firstLine="430"/>
        <w:spacing w:after="0" w:line="287" w:lineRule="auto"/>
        <w:rPr>
          <w:sz w:val="20"/>
          <w:szCs w:val="20"/>
          <w:color w:val="auto"/>
        </w:rPr>
      </w:pPr>
      <w:r>
        <w:rPr>
          <w:rFonts w:ascii="Arial" w:cs="Arial" w:eastAsia="Arial" w:hAnsi="Arial"/>
          <w:sz w:val="17"/>
          <w:szCs w:val="17"/>
          <w:color w:val="auto"/>
        </w:rPr>
        <w:t>We plan to continue to invest in sales and marketing to grow our user base and increase our brand awareness, including marketing efforts to continue to drive our self-serve business model. We expect that sales and marketing expenses will increase</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in absolute dollars in future periods and vary from period to period as a percentage of revenue. The trend and timing of sales and marketing expenses will depend in part on the timing of marketing campaigns.</w:t>
      </w:r>
    </w:p>
    <w:p>
      <w:pPr>
        <w:spacing w:after="0" w:line="184" w:lineRule="exact"/>
        <w:rPr>
          <w:sz w:val="20"/>
          <w:szCs w:val="20"/>
          <w:color w:val="auto"/>
        </w:rPr>
      </w:pPr>
    </w:p>
    <w:p>
      <w:pPr>
        <w:ind w:right="100" w:firstLine="430"/>
        <w:spacing w:after="0" w:line="271"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administrative teams, as well as certain executives. In addition, general and administrative expenses include allocated overhead, outside legal, accounting and other professional fees, and non-income based taxes.</w:t>
      </w:r>
    </w:p>
    <w:p>
      <w:pPr>
        <w:spacing w:after="0" w:line="198" w:lineRule="exact"/>
        <w:rPr>
          <w:sz w:val="20"/>
          <w:szCs w:val="20"/>
          <w:color w:val="auto"/>
        </w:rPr>
      </w:pPr>
    </w:p>
    <w:p>
      <w:pPr>
        <w:ind w:right="40" w:firstLine="430"/>
        <w:spacing w:after="0" w:line="296" w:lineRule="auto"/>
        <w:rPr>
          <w:sz w:val="20"/>
          <w:szCs w:val="20"/>
          <w:color w:val="auto"/>
        </w:rPr>
      </w:pPr>
      <w:r>
        <w:rPr>
          <w:rFonts w:ascii="Arial" w:cs="Arial" w:eastAsia="Arial" w:hAnsi="Arial"/>
          <w:sz w:val="16"/>
          <w:szCs w:val="16"/>
          <w:color w:val="auto"/>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increase in absolute dollars in future periods and vary from period to period as a percentage of revenue.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income (expense), net</w:t>
      </w:r>
    </w:p>
    <w:p>
      <w:pPr>
        <w:spacing w:after="0" w:line="117" w:lineRule="exact"/>
        <w:rPr>
          <w:sz w:val="20"/>
          <w:szCs w:val="20"/>
          <w:color w:val="auto"/>
        </w:rPr>
      </w:pPr>
    </w:p>
    <w:p>
      <w:pPr>
        <w:ind w:right="180" w:firstLine="430"/>
        <w:spacing w:after="0" w:line="287" w:lineRule="auto"/>
        <w:rPr>
          <w:sz w:val="20"/>
          <w:szCs w:val="20"/>
          <w:color w:val="auto"/>
        </w:rPr>
      </w:pPr>
      <w:r>
        <w:rPr>
          <w:rFonts w:ascii="Arial" w:cs="Arial" w:eastAsia="Arial" w:hAnsi="Arial"/>
          <w:sz w:val="17"/>
          <w:szCs w:val="17"/>
          <w:color w:val="auto"/>
        </w:rPr>
        <w:t>Interest income (expense), net consists primarily of interest income earned on our money market funds classified as cash and cash equivalents and short-term investments, partially offset by interest expense related to our finance lease obligations for infrastructure.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7" w:lineRule="exact"/>
        <w:rPr>
          <w:sz w:val="20"/>
          <w:szCs w:val="20"/>
          <w:color w:val="auto"/>
        </w:rPr>
      </w:pPr>
    </w:p>
    <w:p>
      <w:pPr>
        <w:ind w:right="600" w:firstLine="430"/>
        <w:spacing w:after="0" w:line="320" w:lineRule="auto"/>
        <w:rPr>
          <w:sz w:val="20"/>
          <w:szCs w:val="20"/>
          <w:color w:val="auto"/>
        </w:rPr>
      </w:pPr>
      <w:r>
        <w:rPr>
          <w:rFonts w:ascii="Arial" w:cs="Arial" w:eastAsia="Arial" w:hAnsi="Arial"/>
          <w:sz w:val="16"/>
          <w:szCs w:val="16"/>
          <w:color w:val="auto"/>
        </w:rPr>
        <w:t>Other income, net consists of other non-operating gains or losses, including those related to equity investments, lease arrangements, which include sublease income, foreign currency transaction gains and losses, and realized gains and losses related to our short-term investments.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Benefit from (provision for) income taxes</w:t>
      </w:r>
    </w:p>
    <w:p>
      <w:pPr>
        <w:spacing w:after="0" w:line="117" w:lineRule="exact"/>
        <w:rPr>
          <w:sz w:val="20"/>
          <w:szCs w:val="20"/>
          <w:color w:val="auto"/>
        </w:rPr>
      </w:pPr>
    </w:p>
    <w:p>
      <w:pPr>
        <w:ind w:right="40" w:firstLine="430"/>
        <w:spacing w:after="0" w:line="263" w:lineRule="auto"/>
        <w:rPr>
          <w:sz w:val="20"/>
          <w:szCs w:val="20"/>
          <w:color w:val="auto"/>
        </w:rPr>
      </w:pPr>
      <w:r>
        <w:rPr>
          <w:rFonts w:ascii="Arial" w:cs="Arial" w:eastAsia="Arial" w:hAnsi="Arial"/>
          <w:sz w:val="17"/>
          <w:szCs w:val="17"/>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7"/>
        </w:trPr>
        <w:tc>
          <w:tcPr>
            <w:tcW w:w="6520" w:type="dxa"/>
            <w:vAlign w:val="bottom"/>
          </w:tcPr>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743"/>
        </w:trPr>
        <w:tc>
          <w:tcPr>
            <w:tcW w:w="6520" w:type="dxa"/>
            <w:vAlign w:val="bottom"/>
          </w:tcPr>
          <w:p>
            <w:pPr>
              <w:spacing w:after="0"/>
              <w:rPr>
                <w:sz w:val="20"/>
                <w:szCs w:val="20"/>
                <w:color w:val="auto"/>
              </w:rPr>
            </w:pPr>
            <w:r>
              <w:rPr>
                <w:rFonts w:ascii="Arial" w:cs="Arial" w:eastAsia="Arial" w:hAnsi="Arial"/>
                <w:sz w:val="17"/>
                <w:szCs w:val="17"/>
                <w:b w:val="1"/>
                <w:bCs w:val="1"/>
                <w:color w:val="auto"/>
              </w:rPr>
              <w:t>Results of Operations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3"/>
        </w:trPr>
        <w:tc>
          <w:tcPr>
            <w:tcW w:w="6520" w:type="dxa"/>
            <w:vAlign w:val="bottom"/>
          </w:tcPr>
          <w:p>
            <w:pPr>
              <w:ind w:left="400"/>
              <w:spacing w:after="0"/>
              <w:rPr>
                <w:sz w:val="20"/>
                <w:szCs w:val="20"/>
                <w:color w:val="auto"/>
              </w:rPr>
            </w:pPr>
            <w:r>
              <w:rPr>
                <w:rFonts w:ascii="Arial" w:cs="Arial" w:eastAsia="Arial" w:hAnsi="Arial"/>
                <w:sz w:val="17"/>
                <w:szCs w:val="17"/>
                <w:color w:val="auto"/>
              </w:rPr>
              <w:t>The following tables set forth our results of operations for the periods presented: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9"/>
        </w:trPr>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93"/>
              </w:rPr>
              <w:t>Three Months Ended</w:t>
            </w:r>
          </w:p>
        </w:tc>
        <w:tc>
          <w:tcPr>
            <w:tcW w:w="240" w:type="dxa"/>
            <w:vAlign w:val="bottom"/>
          </w:tcPr>
          <w:p>
            <w:pPr>
              <w:spacing w:after="0"/>
              <w:rPr>
                <w:sz w:val="24"/>
                <w:szCs w:val="24"/>
                <w:color w:val="auto"/>
              </w:rPr>
            </w:pPr>
          </w:p>
        </w:tc>
        <w:tc>
          <w:tcPr>
            <w:tcW w:w="2060" w:type="dxa"/>
            <w:vAlign w:val="bottom"/>
            <w:gridSpan w:val="4"/>
          </w:tcPr>
          <w:p>
            <w:pPr>
              <w:jc w:val="right"/>
              <w:ind w:right="313"/>
              <w:spacing w:after="0"/>
              <w:rPr>
                <w:sz w:val="20"/>
                <w:szCs w:val="20"/>
                <w:color w:val="auto"/>
              </w:rPr>
            </w:pPr>
            <w:r>
              <w:rPr>
                <w:rFonts w:ascii="Arial" w:cs="Arial" w:eastAsia="Arial" w:hAnsi="Arial"/>
                <w:sz w:val="17"/>
                <w:szCs w:val="17"/>
                <w:b w:val="1"/>
                <w:bCs w:val="1"/>
                <w:color w:val="auto"/>
              </w:rPr>
              <w:t>Nine Months Ended</w:t>
            </w:r>
          </w:p>
        </w:tc>
      </w:tr>
      <w:tr>
        <w:trPr>
          <w:trHeight w:val="222"/>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91"/>
              </w:rPr>
              <w:t>September 30,</w:t>
            </w:r>
          </w:p>
        </w:tc>
        <w:tc>
          <w:tcPr>
            <w:tcW w:w="240" w:type="dxa"/>
            <w:vAlign w:val="bottom"/>
          </w:tcPr>
          <w:p>
            <w:pPr>
              <w:spacing w:after="0"/>
              <w:rPr>
                <w:sz w:val="19"/>
                <w:szCs w:val="19"/>
                <w:color w:val="auto"/>
              </w:rPr>
            </w:pPr>
          </w:p>
        </w:tc>
        <w:tc>
          <w:tcPr>
            <w:tcW w:w="2060" w:type="dxa"/>
            <w:vAlign w:val="bottom"/>
            <w:gridSpan w:val="4"/>
          </w:tcPr>
          <w:p>
            <w:pPr>
              <w:jc w:val="right"/>
              <w:ind w:right="533"/>
              <w:spacing w:after="0"/>
              <w:rPr>
                <w:sz w:val="20"/>
                <w:szCs w:val="20"/>
                <w:color w:val="auto"/>
              </w:rPr>
            </w:pPr>
            <w:r>
              <w:rPr>
                <w:rFonts w:ascii="Arial" w:cs="Arial" w:eastAsia="Arial" w:hAnsi="Arial"/>
                <w:sz w:val="17"/>
                <w:szCs w:val="17"/>
                <w:b w:val="1"/>
                <w:bCs w:val="1"/>
                <w:color w:val="auto"/>
              </w:rPr>
              <w:t>September 30,</w:t>
            </w:r>
          </w:p>
        </w:tc>
      </w:tr>
      <w:tr>
        <w:trPr>
          <w:trHeight w:val="215"/>
        </w:trPr>
        <w:tc>
          <w:tcPr>
            <w:tcW w:w="6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r>
      <w:tr>
        <w:trPr>
          <w:trHeight w:val="254"/>
        </w:trPr>
        <w:tc>
          <w:tcPr>
            <w:tcW w:w="6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gridSpan w:val="5"/>
          </w:tcPr>
          <w:p>
            <w:pPr>
              <w:ind w:left="480"/>
              <w:spacing w:after="0"/>
              <w:rPr>
                <w:sz w:val="20"/>
                <w:szCs w:val="20"/>
                <w:color w:val="auto"/>
              </w:rPr>
            </w:pPr>
            <w:r>
              <w:rPr>
                <w:rFonts w:ascii="Arial" w:cs="Arial" w:eastAsia="Arial" w:hAnsi="Arial"/>
                <w:sz w:val="17"/>
                <w:szCs w:val="17"/>
                <w:i w:val="1"/>
                <w:iCs w:val="1"/>
                <w:color w:val="auto"/>
              </w:rPr>
              <w:t>(In millions)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2"/>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1,215.3</w:t>
            </w:r>
          </w:p>
        </w:tc>
      </w:tr>
      <w:tr>
        <w:trPr>
          <w:trHeight w:val="222"/>
        </w:trPr>
        <w:tc>
          <w:tcPr>
            <w:tcW w:w="6520" w:type="dxa"/>
            <w:vAlign w:val="bottom"/>
            <w:tcBorders>
              <w:bottom w:val="single" w:sz="8" w:color="CCEEFF"/>
            </w:tcBorders>
          </w:tcPr>
          <w:p>
            <w:pPr>
              <w:ind w:left="38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306.1</w:t>
            </w:r>
          </w:p>
        </w:tc>
      </w:tr>
      <w:tr>
        <w:trPr>
          <w:trHeight w:val="215"/>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909.2</w:t>
            </w:r>
          </w:p>
        </w:tc>
      </w:tr>
      <w:tr>
        <w:trPr>
          <w:trHeight w:val="222"/>
        </w:trPr>
        <w:tc>
          <w:tcPr>
            <w:tcW w:w="6520" w:type="dxa"/>
            <w:vAlign w:val="bottom"/>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2"/>
        </w:trPr>
        <w:tc>
          <w:tcPr>
            <w:tcW w:w="6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485.2</w:t>
            </w:r>
          </w:p>
        </w:tc>
      </w:tr>
      <w:tr>
        <w:trPr>
          <w:trHeight w:val="222"/>
        </w:trPr>
        <w:tc>
          <w:tcPr>
            <w:tcW w:w="652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317.0</w:t>
            </w:r>
          </w:p>
        </w:tc>
      </w:tr>
      <w:tr>
        <w:trPr>
          <w:trHeight w:val="222"/>
        </w:trPr>
        <w:tc>
          <w:tcPr>
            <w:tcW w:w="6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167.6</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180.9</w:t>
            </w:r>
          </w:p>
        </w:tc>
      </w:tr>
      <w:tr>
        <w:trPr>
          <w:trHeight w:val="21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1,031.4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983.1</w:t>
            </w:r>
          </w:p>
        </w:tc>
      </w:tr>
      <w:tr>
        <w:trPr>
          <w:trHeight w:val="215"/>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w:t>
            </w:r>
          </w:p>
        </w:tc>
      </w:tr>
      <w:tr>
        <w:trPr>
          <w:trHeight w:val="222"/>
        </w:trPr>
        <w:tc>
          <w:tcPr>
            <w:tcW w:w="6520" w:type="dxa"/>
            <w:vAlign w:val="bottom"/>
          </w:tcPr>
          <w:p>
            <w:pPr>
              <w:ind w:left="20"/>
              <w:spacing w:after="0"/>
              <w:rPr>
                <w:sz w:val="20"/>
                <w:szCs w:val="20"/>
                <w:color w:val="auto"/>
              </w:rPr>
            </w:pPr>
            <w:r>
              <w:rPr>
                <w:rFonts w:ascii="Arial" w:cs="Arial" w:eastAsia="Arial" w:hAnsi="Arial"/>
                <w:sz w:val="17"/>
                <w:szCs w:val="17"/>
                <w:color w:val="auto"/>
              </w:rPr>
              <w:t>Interest income,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2"/>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15"/>
        </w:trPr>
        <w:tc>
          <w:tcPr>
            <w:tcW w:w="652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(49.6)</w:t>
            </w:r>
          </w:p>
        </w:tc>
      </w:tr>
      <w:tr>
        <w:trPr>
          <w:trHeight w:val="222"/>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5"/>
        </w:trPr>
        <w:tc>
          <w:tcPr>
            <w:tcW w:w="652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140" w:hanging="136"/>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follows: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400" w:type="dxa"/>
            <w:vAlign w:val="bottom"/>
            <w:gridSpan w:val="6"/>
          </w:tcPr>
          <w:p>
            <w:pPr>
              <w:jc w:val="center"/>
              <w:ind w:right="100"/>
              <w:spacing w:after="0"/>
              <w:rPr>
                <w:sz w:val="20"/>
                <w:szCs w:val="20"/>
                <w:color w:val="auto"/>
              </w:rPr>
            </w:pPr>
            <w:r>
              <w:rPr>
                <w:rFonts w:ascii="Arial" w:cs="Arial" w:eastAsia="Arial" w:hAnsi="Arial"/>
                <w:sz w:val="17"/>
                <w:szCs w:val="17"/>
                <w:b w:val="1"/>
                <w:bCs w:val="1"/>
                <w:color w:val="auto"/>
                <w:w w:val="93"/>
              </w:rPr>
              <w:t>Three Months Ended</w:t>
            </w:r>
          </w:p>
        </w:tc>
        <w:tc>
          <w:tcPr>
            <w:tcW w:w="240" w:type="dxa"/>
            <w:vAlign w:val="bottom"/>
          </w:tcPr>
          <w:p>
            <w:pPr>
              <w:spacing w:after="0"/>
              <w:rPr>
                <w:sz w:val="16"/>
                <w:szCs w:val="16"/>
                <w:color w:val="auto"/>
              </w:rPr>
            </w:pPr>
          </w:p>
        </w:tc>
        <w:tc>
          <w:tcPr>
            <w:tcW w:w="2060" w:type="dxa"/>
            <w:vAlign w:val="bottom"/>
            <w:gridSpan w:val="4"/>
          </w:tcPr>
          <w:p>
            <w:pPr>
              <w:jc w:val="right"/>
              <w:ind w:right="333"/>
              <w:spacing w:after="0"/>
              <w:rPr>
                <w:sz w:val="20"/>
                <w:szCs w:val="20"/>
                <w:color w:val="auto"/>
              </w:rPr>
            </w:pPr>
            <w:r>
              <w:rPr>
                <w:rFonts w:ascii="Arial" w:cs="Arial" w:eastAsia="Arial" w:hAnsi="Arial"/>
                <w:sz w:val="17"/>
                <w:szCs w:val="17"/>
                <w:b w:val="1"/>
                <w:bCs w:val="1"/>
                <w:color w:val="auto"/>
              </w:rPr>
              <w:t>Nine Months Ended</w:t>
            </w:r>
          </w:p>
        </w:tc>
      </w:tr>
      <w:tr>
        <w:trPr>
          <w:trHeight w:val="222"/>
        </w:trPr>
        <w:tc>
          <w:tcPr>
            <w:tcW w:w="6520" w:type="dxa"/>
            <w:vAlign w:val="bottom"/>
          </w:tcPr>
          <w:p>
            <w:pPr>
              <w:spacing w:after="0"/>
              <w:rPr>
                <w:sz w:val="19"/>
                <w:szCs w:val="19"/>
                <w:color w:val="auto"/>
              </w:rPr>
            </w:pPr>
          </w:p>
        </w:tc>
        <w:tc>
          <w:tcPr>
            <w:tcW w:w="2400" w:type="dxa"/>
            <w:vAlign w:val="bottom"/>
            <w:gridSpan w:val="6"/>
          </w:tcPr>
          <w:p>
            <w:pPr>
              <w:jc w:val="center"/>
              <w:ind w:right="100"/>
              <w:spacing w:after="0"/>
              <w:rPr>
                <w:sz w:val="20"/>
                <w:szCs w:val="20"/>
                <w:color w:val="auto"/>
              </w:rPr>
            </w:pPr>
            <w:r>
              <w:rPr>
                <w:rFonts w:ascii="Arial" w:cs="Arial" w:eastAsia="Arial" w:hAnsi="Arial"/>
                <w:sz w:val="17"/>
                <w:szCs w:val="17"/>
                <w:b w:val="1"/>
                <w:bCs w:val="1"/>
                <w:color w:val="auto"/>
                <w:w w:val="91"/>
              </w:rPr>
              <w:t>September 30,</w:t>
            </w:r>
          </w:p>
        </w:tc>
        <w:tc>
          <w:tcPr>
            <w:tcW w:w="240" w:type="dxa"/>
            <w:vAlign w:val="bottom"/>
          </w:tcPr>
          <w:p>
            <w:pPr>
              <w:spacing w:after="0"/>
              <w:rPr>
                <w:sz w:val="19"/>
                <w:szCs w:val="19"/>
                <w:color w:val="auto"/>
              </w:rPr>
            </w:pPr>
          </w:p>
        </w:tc>
        <w:tc>
          <w:tcPr>
            <w:tcW w:w="2060" w:type="dxa"/>
            <w:vAlign w:val="bottom"/>
            <w:gridSpan w:val="4"/>
          </w:tcPr>
          <w:p>
            <w:pPr>
              <w:jc w:val="right"/>
              <w:ind w:right="533"/>
              <w:spacing w:after="0"/>
              <w:rPr>
                <w:sz w:val="20"/>
                <w:szCs w:val="20"/>
                <w:color w:val="auto"/>
              </w:rPr>
            </w:pPr>
            <w:r>
              <w:rPr>
                <w:rFonts w:ascii="Arial" w:cs="Arial" w:eastAsia="Arial" w:hAnsi="Arial"/>
                <w:sz w:val="17"/>
                <w:szCs w:val="17"/>
                <w:b w:val="1"/>
                <w:bCs w:val="1"/>
                <w:color w:val="auto"/>
              </w:rPr>
              <w:t>September 30,</w:t>
            </w:r>
          </w:p>
        </w:tc>
      </w:tr>
      <w:tr>
        <w:trPr>
          <w:trHeight w:val="215"/>
        </w:trPr>
        <w:tc>
          <w:tcPr>
            <w:tcW w:w="65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r>
      <w:tr>
        <w:trPr>
          <w:trHeight w:val="254"/>
        </w:trPr>
        <w:tc>
          <w:tcPr>
            <w:tcW w:w="6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gridSpan w:val="5"/>
          </w:tcPr>
          <w:p>
            <w:pPr>
              <w:ind w:left="480"/>
              <w:spacing w:after="0"/>
              <w:rPr>
                <w:sz w:val="20"/>
                <w:szCs w:val="20"/>
                <w:color w:val="auto"/>
              </w:rPr>
            </w:pPr>
            <w:r>
              <w:rPr>
                <w:rFonts w:ascii="Arial" w:cs="Arial" w:eastAsia="Arial" w:hAnsi="Arial"/>
                <w:sz w:val="17"/>
                <w:szCs w:val="17"/>
                <w:i w:val="1"/>
                <w:iCs w:val="1"/>
                <w:color w:val="auto"/>
              </w:rPr>
              <w:t>(In millions)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2"/>
        </w:trPr>
        <w:tc>
          <w:tcPr>
            <w:tcW w:w="6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22"/>
        </w:trPr>
        <w:tc>
          <w:tcPr>
            <w:tcW w:w="652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107.1</w:t>
            </w:r>
          </w:p>
        </w:tc>
      </w:tr>
      <w:tr>
        <w:trPr>
          <w:trHeight w:val="222"/>
        </w:trPr>
        <w:tc>
          <w:tcPr>
            <w:tcW w:w="6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222"/>
        </w:trPr>
        <w:tc>
          <w:tcPr>
            <w:tcW w:w="6520" w:type="dxa"/>
            <w:vAlign w:val="bottom"/>
            <w:tcBorders>
              <w:bottom w:val="single" w:sz="8" w:color="CCEEFF"/>
            </w:tcBorders>
          </w:tcPr>
          <w:p>
            <w:pPr>
              <w:ind w:left="320"/>
              <w:spacing w:after="0" w:line="22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w:t>
            </w:r>
          </w:p>
        </w:tc>
      </w:tr>
      <w:tr>
        <w:trPr>
          <w:trHeight w:val="24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75.7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192.1</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right="140" w:firstLine="4"/>
        <w:spacing w:after="0" w:line="290" w:lineRule="auto"/>
        <w:tabs>
          <w:tab w:leader="none" w:pos="144"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our results of operations for each of the periods presented as a percentage of revenue: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40" w:type="dxa"/>
            <w:vAlign w:val="bottom"/>
          </w:tcPr>
          <w:p>
            <w:pPr>
              <w:spacing w:after="0"/>
              <w:rPr>
                <w:sz w:val="16"/>
                <w:szCs w:val="16"/>
                <w:color w:val="auto"/>
              </w:rPr>
            </w:pPr>
          </w:p>
        </w:tc>
        <w:tc>
          <w:tcPr>
            <w:tcW w:w="258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93"/>
              </w:rPr>
              <w:t>Three Months Ended</w:t>
            </w:r>
          </w:p>
        </w:tc>
        <w:tc>
          <w:tcPr>
            <w:tcW w:w="2500" w:type="dxa"/>
            <w:vAlign w:val="bottom"/>
            <w:gridSpan w:val="3"/>
          </w:tcPr>
          <w:p>
            <w:pPr>
              <w:jc w:val="right"/>
              <w:ind w:right="413"/>
              <w:spacing w:after="0"/>
              <w:rPr>
                <w:sz w:val="20"/>
                <w:szCs w:val="20"/>
                <w:color w:val="auto"/>
              </w:rPr>
            </w:pPr>
            <w:r>
              <w:rPr>
                <w:rFonts w:ascii="Arial" w:cs="Arial" w:eastAsia="Arial" w:hAnsi="Arial"/>
                <w:sz w:val="17"/>
                <w:szCs w:val="17"/>
                <w:b w:val="1"/>
                <w:bCs w:val="1"/>
                <w:color w:val="auto"/>
              </w:rPr>
              <w:t>Nine Months Ended</w:t>
            </w:r>
          </w:p>
        </w:tc>
      </w:tr>
      <w:tr>
        <w:trPr>
          <w:trHeight w:val="222"/>
        </w:trPr>
        <w:tc>
          <w:tcPr>
            <w:tcW w:w="6140" w:type="dxa"/>
            <w:vAlign w:val="bottom"/>
          </w:tcPr>
          <w:p>
            <w:pPr>
              <w:spacing w:after="0"/>
              <w:rPr>
                <w:sz w:val="19"/>
                <w:szCs w:val="19"/>
                <w:color w:val="auto"/>
              </w:rPr>
            </w:pPr>
          </w:p>
        </w:tc>
        <w:tc>
          <w:tcPr>
            <w:tcW w:w="258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91"/>
              </w:rPr>
              <w:t>September 30,</w:t>
            </w:r>
          </w:p>
        </w:tc>
        <w:tc>
          <w:tcPr>
            <w:tcW w:w="2500" w:type="dxa"/>
            <w:vAlign w:val="bottom"/>
            <w:gridSpan w:val="3"/>
          </w:tcPr>
          <w:p>
            <w:pPr>
              <w:jc w:val="right"/>
              <w:ind w:right="633"/>
              <w:spacing w:after="0"/>
              <w:rPr>
                <w:sz w:val="20"/>
                <w:szCs w:val="20"/>
                <w:color w:val="auto"/>
              </w:rPr>
            </w:pPr>
            <w:r>
              <w:rPr>
                <w:rFonts w:ascii="Arial" w:cs="Arial" w:eastAsia="Arial" w:hAnsi="Arial"/>
                <w:sz w:val="17"/>
                <w:szCs w:val="17"/>
                <w:b w:val="1"/>
                <w:bCs w:val="1"/>
                <w:color w:val="auto"/>
              </w:rPr>
              <w:t>September 30,</w:t>
            </w:r>
          </w:p>
        </w:tc>
      </w:tr>
      <w:tr>
        <w:trPr>
          <w:trHeight w:val="215"/>
        </w:trPr>
        <w:tc>
          <w:tcPr>
            <w:tcW w:w="61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2019</w:t>
            </w:r>
          </w:p>
        </w:tc>
      </w:tr>
      <w:tr>
        <w:trPr>
          <w:trHeight w:val="254"/>
        </w:trPr>
        <w:tc>
          <w:tcPr>
            <w:tcW w:w="6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80" w:type="dxa"/>
            <w:vAlign w:val="bottom"/>
            <w:gridSpan w:val="4"/>
          </w:tcPr>
          <w:p>
            <w:pPr>
              <w:ind w:left="560"/>
              <w:spacing w:after="0"/>
              <w:rPr>
                <w:sz w:val="20"/>
                <w:szCs w:val="20"/>
                <w:color w:val="auto"/>
              </w:rPr>
            </w:pPr>
            <w:r>
              <w:rPr>
                <w:rFonts w:ascii="Arial" w:cs="Arial" w:eastAsia="Arial" w:hAnsi="Arial"/>
                <w:sz w:val="17"/>
                <w:szCs w:val="17"/>
                <w:i w:val="1"/>
                <w:iCs w:val="1"/>
                <w:color w:val="auto"/>
              </w:rPr>
              <w:t>(As a % of revenue)</w:t>
            </w:r>
          </w:p>
        </w:tc>
        <w:tc>
          <w:tcPr>
            <w:tcW w:w="1200" w:type="dxa"/>
            <w:vAlign w:val="bottom"/>
          </w:tcPr>
          <w:p>
            <w:pPr>
              <w:spacing w:after="0"/>
              <w:rPr>
                <w:sz w:val="22"/>
                <w:szCs w:val="22"/>
                <w:color w:val="auto"/>
              </w:rPr>
            </w:pPr>
          </w:p>
        </w:tc>
      </w:tr>
      <w:tr>
        <w:trPr>
          <w:trHeight w:val="222"/>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22"/>
        </w:trPr>
        <w:tc>
          <w:tcPr>
            <w:tcW w:w="6140" w:type="dxa"/>
            <w:vAlign w:val="bottom"/>
            <w:tcBorders>
              <w:bottom w:val="single" w:sz="8" w:color="CCEEFF"/>
            </w:tcBorders>
          </w:tcPr>
          <w:p>
            <w:pPr>
              <w:ind w:left="38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25</w:t>
            </w:r>
          </w:p>
        </w:tc>
      </w:tr>
      <w:tr>
        <w:trPr>
          <w:trHeight w:val="215"/>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75</w:t>
            </w:r>
          </w:p>
        </w:tc>
      </w:tr>
      <w:tr>
        <w:trPr>
          <w:trHeight w:val="222"/>
        </w:trPr>
        <w:tc>
          <w:tcPr>
            <w:tcW w:w="6140" w:type="dxa"/>
            <w:vAlign w:val="bottom"/>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2"/>
        </w:trPr>
        <w:tc>
          <w:tcPr>
            <w:tcW w:w="6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40</w:t>
            </w:r>
          </w:p>
        </w:tc>
      </w:tr>
      <w:tr>
        <w:trPr>
          <w:trHeight w:val="222"/>
        </w:trPr>
        <w:tc>
          <w:tcPr>
            <w:tcW w:w="614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1200" w:type="dxa"/>
            <w:vAlign w:val="bottom"/>
          </w:tcPr>
          <w:p>
            <w:pPr>
              <w:jc w:val="right"/>
              <w:ind w:right="133"/>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7"/>
                <w:szCs w:val="17"/>
                <w:color w:val="auto"/>
              </w:rPr>
              <w:t>26</w:t>
            </w:r>
          </w:p>
        </w:tc>
      </w:tr>
      <w:tr>
        <w:trPr>
          <w:trHeight w:val="222"/>
        </w:trPr>
        <w:tc>
          <w:tcPr>
            <w:tcW w:w="6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15</w:t>
            </w:r>
          </w:p>
        </w:tc>
      </w:tr>
      <w:tr>
        <w:trPr>
          <w:trHeight w:val="215"/>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81</w:t>
            </w:r>
          </w:p>
        </w:tc>
      </w:tr>
      <w:tr>
        <w:trPr>
          <w:trHeight w:val="215"/>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ind w:left="82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820"/>
              <w:spacing w:after="0"/>
              <w:rPr>
                <w:sz w:val="20"/>
                <w:szCs w:val="20"/>
                <w:color w:val="auto"/>
              </w:rPr>
            </w:pPr>
            <w:r>
              <w:rPr>
                <w:rFonts w:ascii="Arial" w:cs="Arial" w:eastAsia="Arial" w:hAnsi="Arial"/>
                <w:sz w:val="17"/>
                <w:szCs w:val="17"/>
                <w:color w:val="auto"/>
              </w:rPr>
              <w:t>(6)</w:t>
            </w:r>
          </w:p>
        </w:tc>
      </w:tr>
      <w:tr>
        <w:trPr>
          <w:trHeight w:val="222"/>
        </w:trPr>
        <w:tc>
          <w:tcPr>
            <w:tcW w:w="6140" w:type="dxa"/>
            <w:vAlign w:val="bottom"/>
          </w:tcPr>
          <w:p>
            <w:pPr>
              <w:ind w:left="20"/>
              <w:spacing w:after="0"/>
              <w:rPr>
                <w:sz w:val="20"/>
                <w:szCs w:val="20"/>
                <w:color w:val="auto"/>
              </w:rPr>
            </w:pPr>
            <w:r>
              <w:rPr>
                <w:rFonts w:ascii="Arial" w:cs="Arial" w:eastAsia="Arial" w:hAnsi="Arial"/>
                <w:sz w:val="17"/>
                <w:szCs w:val="17"/>
                <w:color w:val="auto"/>
              </w:rPr>
              <w:t>Interest income, net</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1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3"/>
              <w:spacing w:after="0"/>
              <w:rPr>
                <w:sz w:val="20"/>
                <w:szCs w:val="20"/>
                <w:color w:val="auto"/>
              </w:rPr>
            </w:pPr>
            <w:r>
              <w:rPr>
                <w:rFonts w:ascii="Arial" w:cs="Arial" w:eastAsia="Arial" w:hAnsi="Arial"/>
                <w:sz w:val="17"/>
                <w:szCs w:val="17"/>
                <w:color w:val="auto"/>
              </w:rPr>
              <w:t>1</w:t>
            </w:r>
          </w:p>
        </w:tc>
      </w:tr>
      <w:tr>
        <w:trPr>
          <w:trHeight w:val="222"/>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w:t>
            </w:r>
          </w:p>
        </w:tc>
      </w:tr>
      <w:tr>
        <w:trPr>
          <w:trHeight w:val="215"/>
        </w:trPr>
        <w:tc>
          <w:tcPr>
            <w:tcW w:w="614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20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180" w:type="dxa"/>
            <w:vAlign w:val="bottom"/>
            <w:tcBorders>
              <w:top w:val="single" w:sz="8" w:color="auto"/>
            </w:tcBorders>
          </w:tcPr>
          <w:p>
            <w:pPr>
              <w:ind w:left="8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200" w:type="dxa"/>
            <w:vAlign w:val="bottom"/>
            <w:tcBorders>
              <w:top w:val="single" w:sz="8" w:color="auto"/>
            </w:tcBorders>
          </w:tcPr>
          <w:p>
            <w:pPr>
              <w:ind w:left="820"/>
              <w:spacing w:after="0"/>
              <w:rPr>
                <w:sz w:val="20"/>
                <w:szCs w:val="20"/>
                <w:color w:val="auto"/>
              </w:rPr>
            </w:pPr>
            <w:r>
              <w:rPr>
                <w:rFonts w:ascii="Arial" w:cs="Arial" w:eastAsia="Arial" w:hAnsi="Arial"/>
                <w:sz w:val="17"/>
                <w:szCs w:val="17"/>
                <w:color w:val="auto"/>
              </w:rPr>
              <w:t>(4)</w:t>
            </w:r>
          </w:p>
        </w:tc>
      </w:tr>
      <w:tr>
        <w:trPr>
          <w:trHeight w:val="222"/>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15"/>
        </w:trPr>
        <w:tc>
          <w:tcPr>
            <w:tcW w:w="61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7 %</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7"/>
                <w:szCs w:val="17"/>
                <w:color w:val="auto"/>
                <w:w w:val="94"/>
              </w:rPr>
              <w:t>(4)%</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6 %</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7"/>
                <w:szCs w:val="17"/>
                <w:color w:val="auto"/>
              </w:rPr>
              <w:t>(4)%</w:t>
            </w:r>
          </w:p>
        </w:tc>
      </w:tr>
      <w:tr>
        <w:trPr>
          <w:trHeight w:val="20"/>
        </w:trPr>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140" w:hanging="136"/>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a percentage of revenue as follows:</w:t>
      </w:r>
    </w:p>
    <w:p>
      <w:pPr>
        <w:sectPr>
          <w:pgSz w:w="11900" w:h="16838" w:orient="portrait"/>
          <w:cols w:equalWidth="0" w:num="1">
            <w:col w:w="11240"/>
          </w:cols>
          <w:pgMar w:left="320" w:top="121" w:right="339" w:bottom="1440" w:gutter="0" w:footer="0" w:header="0"/>
        </w:sectPr>
      </w:pPr>
    </w:p>
    <w:p>
      <w:pPr>
        <w:spacing w:after="0" w:line="121" w:lineRule="exact"/>
        <w:rPr>
          <w:sz w:val="20"/>
          <w:szCs w:val="20"/>
          <w:color w:val="auto"/>
        </w:rPr>
      </w:pPr>
    </w:p>
    <w:p>
      <w:pPr>
        <w:jc w:val="center"/>
        <w:ind w:left="6360"/>
        <w:spacing w:after="0"/>
        <w:rPr>
          <w:sz w:val="20"/>
          <w:szCs w:val="20"/>
          <w:color w:val="auto"/>
        </w:rPr>
      </w:pPr>
      <w:r>
        <w:rPr>
          <w:rFonts w:ascii="Arial" w:cs="Arial" w:eastAsia="Arial" w:hAnsi="Arial"/>
          <w:sz w:val="16"/>
          <w:szCs w:val="16"/>
          <w:b w:val="1"/>
          <w:bCs w:val="1"/>
          <w:color w:val="auto"/>
        </w:rPr>
        <w:t>Three Months Ended</w:t>
      </w:r>
    </w:p>
    <w:p>
      <w:pPr>
        <w:spacing w:after="0" w:line="6" w:lineRule="exact"/>
        <w:rPr>
          <w:sz w:val="20"/>
          <w:szCs w:val="20"/>
          <w:color w:val="auto"/>
        </w:rPr>
      </w:pPr>
    </w:p>
    <w:p>
      <w:pPr>
        <w:jc w:val="center"/>
        <w:ind w:left="636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7620</wp:posOffset>
            </wp:positionV>
            <wp:extent cx="1572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72895" cy="8255"/>
                    </a:xfrm>
                    <a:prstGeom prst="rect">
                      <a:avLst/>
                    </a:prstGeom>
                    <a:noFill/>
                  </pic:spPr>
                </pic:pic>
              </a:graphicData>
            </a:graphic>
          </wp:anchor>
        </w:drawing>
      </w:r>
    </w:p>
    <w:p>
      <w:pPr>
        <w:ind w:left="6600"/>
        <w:spacing w:after="0"/>
        <w:tabs>
          <w:tab w:leader="none" w:pos="7860" w:val="left"/>
        </w:tabs>
        <w:rPr>
          <w:sz w:val="20"/>
          <w:szCs w:val="20"/>
          <w:color w:val="auto"/>
        </w:rPr>
      </w:pPr>
      <w:r>
        <w:rPr>
          <w:rFonts w:ascii="Arial" w:cs="Arial" w:eastAsia="Arial" w:hAnsi="Arial"/>
          <w:sz w:val="15"/>
          <w:szCs w:val="15"/>
          <w:b w:val="1"/>
          <w:bCs w:val="1"/>
          <w:color w:val="auto"/>
        </w:rPr>
        <w:t>2020</w:t>
      </w:r>
      <w:r>
        <w:rPr>
          <w:sz w:val="20"/>
          <w:szCs w:val="20"/>
          <w:color w:val="auto"/>
        </w:rPr>
        <w:tab/>
      </w:r>
      <w:r>
        <w:rPr>
          <w:rFonts w:ascii="Arial" w:cs="Arial" w:eastAsia="Arial" w:hAnsi="Arial"/>
          <w:sz w:val="15"/>
          <w:szCs w:val="15"/>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34925</wp:posOffset>
            </wp:positionV>
            <wp:extent cx="1572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72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Nine Months Ended</w:t>
      </w:r>
    </w:p>
    <w:p>
      <w:pPr>
        <w:jc w:val="center"/>
        <w:ind w:right="42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7620</wp:posOffset>
            </wp:positionV>
            <wp:extent cx="1572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72895" cy="8255"/>
                    </a:xfrm>
                    <a:prstGeom prst="rect">
                      <a:avLst/>
                    </a:prstGeom>
                    <a:noFill/>
                  </pic:spPr>
                </pic:pic>
              </a:graphicData>
            </a:graphic>
          </wp:anchor>
        </w:drawing>
      </w:r>
    </w:p>
    <w:p>
      <w:pPr>
        <w:spacing w:after="0"/>
        <w:tabs>
          <w:tab w:leader="none" w:pos="126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27305</wp:posOffset>
            </wp:positionV>
            <wp:extent cx="1572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72895" cy="8255"/>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8460" w:space="720"/>
            <w:col w:w="206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21"/>
        </w:trPr>
        <w:tc>
          <w:tcPr>
            <w:tcW w:w="6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3"/>
          </w:tcPr>
          <w:p>
            <w:pPr>
              <w:ind w:left="560"/>
              <w:spacing w:after="0"/>
              <w:rPr>
                <w:sz w:val="20"/>
                <w:szCs w:val="20"/>
                <w:color w:val="auto"/>
              </w:rPr>
            </w:pPr>
            <w:r>
              <w:rPr>
                <w:rFonts w:ascii="Arial" w:cs="Arial" w:eastAsia="Arial" w:hAnsi="Arial"/>
                <w:sz w:val="17"/>
                <w:szCs w:val="17"/>
                <w:i w:val="1"/>
                <w:iCs w:val="1"/>
                <w:color w:val="auto"/>
                <w:w w:val="95"/>
              </w:rPr>
              <w:t>(As a % of revenue)</w:t>
            </w: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2"/>
        </w:trPr>
        <w:tc>
          <w:tcPr>
            <w:tcW w:w="6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1 %</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22"/>
        </w:trPr>
        <w:tc>
          <w:tcPr>
            <w:tcW w:w="616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1180" w:type="dxa"/>
            <w:vAlign w:val="bottom"/>
          </w:tcPr>
          <w:p>
            <w:pPr>
              <w:jc w:val="right"/>
              <w:ind w:right="133"/>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jc w:val="right"/>
              <w:ind w:right="573"/>
              <w:spacing w:after="0"/>
              <w:rPr>
                <w:sz w:val="20"/>
                <w:szCs w:val="20"/>
                <w:color w:val="auto"/>
              </w:rPr>
            </w:pPr>
            <w:r>
              <w:rPr>
                <w:rFonts w:ascii="Arial" w:cs="Arial" w:eastAsia="Arial" w:hAnsi="Arial"/>
                <w:sz w:val="17"/>
                <w:szCs w:val="17"/>
                <w:color w:val="auto"/>
              </w:rPr>
              <w:t>9</w:t>
            </w: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9</w:t>
            </w:r>
          </w:p>
        </w:tc>
      </w:tr>
      <w:tr>
        <w:trPr>
          <w:trHeight w:val="222"/>
        </w:trPr>
        <w:tc>
          <w:tcPr>
            <w:tcW w:w="6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2</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w:t>
            </w:r>
          </w:p>
        </w:tc>
      </w:tr>
      <w:tr>
        <w:trPr>
          <w:trHeight w:val="222"/>
        </w:trPr>
        <w:tc>
          <w:tcPr>
            <w:tcW w:w="6160" w:type="dxa"/>
            <w:vAlign w:val="bottom"/>
            <w:tcBorders>
              <w:bottom w:val="single" w:sz="8" w:color="CCEEFF"/>
            </w:tcBorders>
          </w:tcPr>
          <w:p>
            <w:pPr>
              <w:ind w:left="320"/>
              <w:spacing w:after="0" w:line="22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2</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4</w:t>
            </w:r>
          </w:p>
        </w:tc>
      </w:tr>
      <w:tr>
        <w:trPr>
          <w:trHeight w:val="24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rPr>
              <w:t>14 %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right="140" w:firstLine="4"/>
        <w:spacing w:after="0" w:line="290" w:lineRule="auto"/>
        <w:tabs>
          <w:tab w:leader="none" w:pos="144"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Comparison of the three months ended September 30, 2020 and 2019</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Revenue</w:t>
      </w:r>
    </w:p>
    <w:p>
      <w:pPr>
        <w:spacing w:after="0" w:line="171" w:lineRule="exact"/>
        <w:rPr>
          <w:sz w:val="20"/>
          <w:szCs w:val="20"/>
          <w:color w:val="auto"/>
        </w:rPr>
      </w:pPr>
    </w:p>
    <w:p>
      <w:pPr>
        <w:jc w:val="center"/>
        <w:ind w:left="1860"/>
        <w:spacing w:after="0"/>
        <w:rPr>
          <w:sz w:val="20"/>
          <w:szCs w:val="20"/>
          <w:color w:val="auto"/>
        </w:rPr>
      </w:pPr>
      <w:r>
        <w:rPr>
          <w:rFonts w:ascii="Arial" w:cs="Arial" w:eastAsia="Arial" w:hAnsi="Arial"/>
          <w:sz w:val="17"/>
          <w:szCs w:val="17"/>
          <w:b w:val="1"/>
          <w:bCs w:val="1"/>
          <w:color w:val="auto"/>
        </w:rPr>
        <w:t>Three Months Ended</w:t>
      </w:r>
    </w:p>
    <w:p>
      <w:pPr>
        <w:jc w:val="center"/>
        <w:ind w:left="1860"/>
        <w:spacing w:after="0"/>
        <w:rPr>
          <w:sz w:val="20"/>
          <w:szCs w:val="20"/>
          <w:color w:val="auto"/>
        </w:rPr>
      </w:pPr>
      <w:r>
        <w:rPr>
          <w:rFonts w:ascii="Arial" w:cs="Arial" w:eastAsia="Arial" w:hAnsi="Arial"/>
          <w:sz w:val="17"/>
          <w:szCs w:val="17"/>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4"/>
        </w:trPr>
        <w:tc>
          <w:tcPr>
            <w:tcW w:w="5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i w:val="1"/>
                <w:iCs w:val="1"/>
                <w:color w:val="auto"/>
              </w:rPr>
              <w:t>(In millions)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r>
    </w:tbl>
    <w:p>
      <w:pPr>
        <w:spacing w:after="0" w:line="314" w:lineRule="exact"/>
        <w:rPr>
          <w:sz w:val="20"/>
          <w:szCs w:val="20"/>
          <w:color w:val="auto"/>
        </w:rPr>
      </w:pPr>
    </w:p>
    <w:p>
      <w:pPr>
        <w:jc w:val="both"/>
        <w:ind w:right="120" w:firstLine="391"/>
        <w:spacing w:after="0" w:line="271" w:lineRule="auto"/>
        <w:rPr>
          <w:sz w:val="20"/>
          <w:szCs w:val="20"/>
          <w:color w:val="auto"/>
        </w:rPr>
      </w:pPr>
      <w:r>
        <w:rPr>
          <w:rFonts w:ascii="Arial" w:cs="Arial" w:eastAsia="Arial" w:hAnsi="Arial"/>
          <w:sz w:val="17"/>
          <w:szCs w:val="17"/>
          <w:color w:val="auto"/>
        </w:rPr>
        <w:t>Revenue increased $59.2 million or 14% during the three months ended September 30, 2020, as compared to the three months ended September 30, 2019. The increase in revenue was driven primarily by an increase in paying users, an increase in the price of our Plus plan, and an increased mix of sales towards our higher-priced subscription plans.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ind w:left="40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7"/>
                <w:szCs w:val="17"/>
                <w:b w:val="1"/>
                <w:bCs w:val="1"/>
                <w:color w:val="auto"/>
                <w:w w:val="93"/>
              </w:rPr>
              <w:t>Three Months Ended</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4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7"/>
                <w:szCs w:val="17"/>
                <w:b w:val="1"/>
                <w:bCs w:val="1"/>
                <w:color w:val="auto"/>
                <w:w w:val="91"/>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4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 Change</w:t>
            </w:r>
          </w:p>
        </w:tc>
      </w:tr>
      <w:tr>
        <w:trPr>
          <w:trHeight w:val="254"/>
        </w:trPr>
        <w:tc>
          <w:tcPr>
            <w:tcW w:w="4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gridSpan w:val="3"/>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7"/>
              </w:rPr>
              <w:t>(1.6)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2"/>
        </w:trPr>
        <w:tc>
          <w:tcPr>
            <w:tcW w:w="49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7"/>
                <w:szCs w:val="17"/>
                <w:color w:val="auto"/>
              </w:rPr>
              <w:t>384.2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7"/>
                <w:szCs w:val="17"/>
                <w:color w:val="auto"/>
              </w:rPr>
              <w:t>323.4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ind w:left="780"/>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19 %</w:t>
            </w: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01" w:lineRule="exact"/>
        <w:rPr>
          <w:sz w:val="20"/>
          <w:szCs w:val="20"/>
          <w:color w:val="auto"/>
        </w:rPr>
      </w:pPr>
    </w:p>
    <w:p>
      <w:pPr>
        <w:ind w:right="220" w:firstLine="391"/>
        <w:spacing w:after="0" w:line="266" w:lineRule="auto"/>
        <w:rPr>
          <w:sz w:val="20"/>
          <w:szCs w:val="20"/>
          <w:color w:val="auto"/>
        </w:rPr>
      </w:pPr>
      <w:r>
        <w:rPr>
          <w:rFonts w:ascii="Arial" w:cs="Arial" w:eastAsia="Arial" w:hAnsi="Arial"/>
          <w:sz w:val="17"/>
          <w:szCs w:val="17"/>
          <w:color w:val="auto"/>
        </w:rPr>
        <w:t>Cost of revenue decreased $1.6 million or 2% during the three months ended September 30, 2020, as compared to the three months ended September 30, 2019, primarily due to decreases of $1.9 million in infrastructure costs and $0.9 million in allocated overhead, which includes facilities-related costs for our corporate headquarters. These decreases were offset by increases of $0.8 million in employee-related costs due to headcount growth and $0.6 million in credit card transaction fees due to higher sales and professional fees for user support.</w:t>
      </w:r>
    </w:p>
    <w:p>
      <w:pPr>
        <w:spacing w:after="0" w:line="346" w:lineRule="exact"/>
        <w:rPr>
          <w:sz w:val="20"/>
          <w:szCs w:val="20"/>
          <w:color w:val="auto"/>
        </w:rPr>
      </w:pPr>
    </w:p>
    <w:p>
      <w:pPr>
        <w:ind w:firstLine="391"/>
        <w:spacing w:after="0" w:line="287" w:lineRule="auto"/>
        <w:rPr>
          <w:sz w:val="20"/>
          <w:szCs w:val="20"/>
          <w:color w:val="auto"/>
        </w:rPr>
      </w:pPr>
      <w:r>
        <w:rPr>
          <w:rFonts w:ascii="Arial" w:cs="Arial" w:eastAsia="Arial" w:hAnsi="Arial"/>
          <w:sz w:val="17"/>
          <w:szCs w:val="17"/>
          <w:color w:val="auto"/>
        </w:rPr>
        <w:t>Our gross margin increased during the three months ended September 30, 2020 compared to the three months ended September 30, 2019, primarily due to a 14% increase in revenue during the period and a decrease in our cost of revenue as described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Research and development</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20" w:type="dxa"/>
            <w:vAlign w:val="bottom"/>
            <w:gridSpan w:val="4"/>
          </w:tcPr>
          <w:p>
            <w:pPr>
              <w:jc w:val="center"/>
              <w:ind w:left="433"/>
              <w:spacing w:after="0"/>
              <w:rPr>
                <w:sz w:val="20"/>
                <w:szCs w:val="20"/>
                <w:color w:val="auto"/>
              </w:rPr>
            </w:pPr>
            <w:r>
              <w:rPr>
                <w:rFonts w:ascii="Arial" w:cs="Arial" w:eastAsia="Arial" w:hAnsi="Arial"/>
                <w:sz w:val="17"/>
                <w:szCs w:val="17"/>
                <w:b w:val="1"/>
                <w:bCs w:val="1"/>
                <w:color w:val="auto"/>
                <w:w w:val="93"/>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29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4"/>
        </w:trPr>
        <w:tc>
          <w:tcPr>
            <w:tcW w:w="5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20" w:type="dxa"/>
            <w:vAlign w:val="bottom"/>
            <w:gridSpan w:val="3"/>
          </w:tcPr>
          <w:p>
            <w:pPr>
              <w:jc w:val="center"/>
              <w:ind w:right="293"/>
              <w:spacing w:after="0"/>
              <w:rPr>
                <w:sz w:val="20"/>
                <w:szCs w:val="20"/>
                <w:color w:val="auto"/>
              </w:rPr>
            </w:pPr>
            <w:r>
              <w:rPr>
                <w:rFonts w:ascii="Arial" w:cs="Arial" w:eastAsia="Arial" w:hAnsi="Arial"/>
                <w:sz w:val="17"/>
                <w:szCs w:val="17"/>
                <w:i w:val="1"/>
                <w:iCs w:val="1"/>
                <w:color w:val="auto"/>
                <w:w w:val="98"/>
              </w:rPr>
              <w:t>(In millions)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183.3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r>
    </w:tbl>
    <w:p>
      <w:pPr>
        <w:spacing w:after="0" w:line="301" w:lineRule="exact"/>
        <w:rPr>
          <w:sz w:val="20"/>
          <w:szCs w:val="20"/>
          <w:color w:val="auto"/>
        </w:rPr>
      </w:pPr>
    </w:p>
    <w:p>
      <w:pPr>
        <w:ind w:right="220" w:firstLine="391"/>
        <w:spacing w:after="0" w:line="271" w:lineRule="auto"/>
        <w:rPr>
          <w:sz w:val="20"/>
          <w:szCs w:val="20"/>
          <w:color w:val="auto"/>
        </w:rPr>
      </w:pPr>
      <w:r>
        <w:rPr>
          <w:rFonts w:ascii="Arial" w:cs="Arial" w:eastAsia="Arial" w:hAnsi="Arial"/>
          <w:sz w:val="17"/>
          <w:szCs w:val="17"/>
          <w:color w:val="auto"/>
        </w:rPr>
        <w:t>Research and development expenses increased $10.5 million or 6% during the three months ended September 30, 2020, as compared to the three months ended September 30, 2019, primarily due to an increase of $14.0 million in employee-related costs due to headcount growth. This increase was offset by a decrease of $1.6 million in allocated overhead, which includes facilities-related costs for our corporate headquarters.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Sales and marketing</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20" w:type="dxa"/>
            <w:vAlign w:val="bottom"/>
            <w:gridSpan w:val="4"/>
          </w:tcPr>
          <w:p>
            <w:pPr>
              <w:jc w:val="center"/>
              <w:ind w:left="433"/>
              <w:spacing w:after="0"/>
              <w:rPr>
                <w:sz w:val="20"/>
                <w:szCs w:val="20"/>
                <w:color w:val="auto"/>
              </w:rPr>
            </w:pPr>
            <w:r>
              <w:rPr>
                <w:rFonts w:ascii="Arial" w:cs="Arial" w:eastAsia="Arial" w:hAnsi="Arial"/>
                <w:sz w:val="17"/>
                <w:szCs w:val="17"/>
                <w:b w:val="1"/>
                <w:bCs w:val="1"/>
                <w:color w:val="auto"/>
                <w:w w:val="93"/>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29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20" w:type="dxa"/>
            <w:vAlign w:val="bottom"/>
          </w:tcPr>
          <w:p>
            <w:pPr>
              <w:spacing w:after="0"/>
              <w:rPr>
                <w:sz w:val="18"/>
                <w:szCs w:val="18"/>
                <w:color w:val="auto"/>
              </w:rPr>
            </w:pPr>
          </w:p>
        </w:tc>
      </w:tr>
      <w:tr>
        <w:trPr>
          <w:trHeight w:val="254"/>
        </w:trPr>
        <w:tc>
          <w:tcPr>
            <w:tcW w:w="5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20" w:type="dxa"/>
            <w:vAlign w:val="bottom"/>
            <w:gridSpan w:val="3"/>
          </w:tcPr>
          <w:p>
            <w:pPr>
              <w:jc w:val="center"/>
              <w:ind w:right="293"/>
              <w:spacing w:after="0"/>
              <w:rPr>
                <w:sz w:val="20"/>
                <w:szCs w:val="20"/>
                <w:color w:val="auto"/>
              </w:rPr>
            </w:pPr>
            <w:r>
              <w:rPr>
                <w:rFonts w:ascii="Arial" w:cs="Arial" w:eastAsia="Arial" w:hAnsi="Arial"/>
                <w:sz w:val="17"/>
                <w:szCs w:val="17"/>
                <w:i w:val="1"/>
                <w:iCs w:val="1"/>
                <w:color w:val="auto"/>
                <w:w w:val="98"/>
              </w:rPr>
              <w:t>(In millions)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105.8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r>
      <w:tr>
        <w:trPr>
          <w:trHeight w:val="834"/>
        </w:trPr>
        <w:tc>
          <w:tcPr>
            <w:tcW w:w="5100" w:type="dxa"/>
            <w:vAlign w:val="bottom"/>
          </w:tcPr>
          <w:p>
            <w:pPr>
              <w:spacing w:after="0"/>
              <w:rPr>
                <w:sz w:val="24"/>
                <w:szCs w:val="24"/>
                <w:color w:val="auto"/>
              </w:rPr>
            </w:pPr>
          </w:p>
        </w:tc>
        <w:tc>
          <w:tcPr>
            <w:tcW w:w="900" w:type="dxa"/>
            <w:vAlign w:val="bottom"/>
          </w:tcPr>
          <w:p>
            <w:pPr>
              <w:jc w:val="right"/>
              <w:ind w:right="193"/>
              <w:spacing w:after="0"/>
              <w:rPr>
                <w:sz w:val="20"/>
                <w:szCs w:val="20"/>
                <w:color w:val="auto"/>
              </w:rPr>
            </w:pPr>
            <w:r>
              <w:rPr>
                <w:rFonts w:ascii="Arial" w:cs="Arial" w:eastAsia="Arial" w:hAnsi="Arial"/>
                <w:sz w:val="17"/>
                <w:szCs w:val="17"/>
                <w:color w:val="auto"/>
              </w:rPr>
              <w:t>47</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-7620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91"/>
        <w:spacing w:after="0" w:line="288" w:lineRule="auto"/>
        <w:rPr>
          <w:sz w:val="20"/>
          <w:szCs w:val="20"/>
          <w:color w:val="auto"/>
        </w:rPr>
      </w:pPr>
      <w:r>
        <w:rPr>
          <w:rFonts w:ascii="Arial" w:cs="Arial" w:eastAsia="Arial" w:hAnsi="Arial"/>
          <w:sz w:val="16"/>
          <w:szCs w:val="16"/>
          <w:color w:val="auto"/>
        </w:rPr>
        <w:t>Sales and marketing expenses decreased $2.4 million or 2% during the three months ended September 30, 2020, as compared to the three months ended September 30, 2019, primarily due to decreases of $4.9 million in brand marketing expenses driven by a reduction of events due to the COVID-19 pandemic and $2.0 million in allocated overhead, which includes facilities-related costs for our corporate headquarters. These decreases were offset by increases of $2.2 million in employee-related costs due to headcount growth and $2.6 million in app store fees due to increased sales.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General and administrative</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80" w:type="dxa"/>
            <w:vAlign w:val="bottom"/>
            <w:gridSpan w:val="4"/>
          </w:tcPr>
          <w:p>
            <w:pPr>
              <w:jc w:val="center"/>
              <w:ind w:left="373"/>
              <w:spacing w:after="0"/>
              <w:rPr>
                <w:sz w:val="20"/>
                <w:szCs w:val="20"/>
                <w:color w:val="auto"/>
              </w:rPr>
            </w:pPr>
            <w:r>
              <w:rPr>
                <w:rFonts w:ascii="Arial" w:cs="Arial" w:eastAsia="Arial" w:hAnsi="Arial"/>
                <w:sz w:val="17"/>
                <w:szCs w:val="17"/>
                <w:b w:val="1"/>
                <w:bCs w:val="1"/>
                <w:color w:val="auto"/>
                <w:w w:val="93"/>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353"/>
              <w:spacing w:after="0"/>
              <w:rPr>
                <w:sz w:val="20"/>
                <w:szCs w:val="20"/>
                <w:color w:val="auto"/>
              </w:rPr>
            </w:pPr>
            <w:r>
              <w:rPr>
                <w:rFonts w:ascii="Arial" w:cs="Arial" w:eastAsia="Arial" w:hAnsi="Arial"/>
                <w:sz w:val="17"/>
                <w:szCs w:val="17"/>
                <w:b w:val="1"/>
                <w:bCs w:val="1"/>
                <w:color w:val="auto"/>
                <w:w w:val="91"/>
              </w:rPr>
              <w:t>September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4"/>
        </w:trPr>
        <w:tc>
          <w:tcPr>
            <w:tcW w:w="5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80" w:type="dxa"/>
            <w:vAlign w:val="bottom"/>
            <w:gridSpan w:val="3"/>
          </w:tcPr>
          <w:p>
            <w:pPr>
              <w:jc w:val="center"/>
              <w:ind w:right="353"/>
              <w:spacing w:after="0"/>
              <w:rPr>
                <w:sz w:val="20"/>
                <w:szCs w:val="20"/>
                <w:color w:val="auto"/>
              </w:rPr>
            </w:pPr>
            <w:r>
              <w:rPr>
                <w:rFonts w:ascii="Arial" w:cs="Arial" w:eastAsia="Arial" w:hAnsi="Arial"/>
                <w:sz w:val="17"/>
                <w:szCs w:val="17"/>
                <w:i w:val="1"/>
                <w:iCs w:val="1"/>
                <w:color w:val="auto"/>
                <w:w w:val="98"/>
              </w:rPr>
              <w:t>(In millions)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r>
    </w:tbl>
    <w:p>
      <w:pPr>
        <w:spacing w:after="0" w:line="200" w:lineRule="exact"/>
        <w:rPr>
          <w:sz w:val="20"/>
          <w:szCs w:val="20"/>
          <w:color w:val="auto"/>
        </w:rPr>
      </w:pPr>
    </w:p>
    <w:p>
      <w:pPr>
        <w:spacing w:after="0" w:line="244"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General and administrative expenses increased $4.1 million or 7% during the three months ended September 30, 2020, as compared to the three months ended September 30, 2019, primarily due to increases of $2.6 million in legal-related expenses and $2.0 million in non-income based taxes. These increases were offset by a decrease in allocated overhead, which includes facilities-related costs for our corporate headquarters.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income (expense), net</w:t>
      </w:r>
    </w:p>
    <w:p>
      <w:pPr>
        <w:spacing w:after="0" w:line="248" w:lineRule="exact"/>
        <w:rPr>
          <w:sz w:val="20"/>
          <w:szCs w:val="20"/>
          <w:color w:val="auto"/>
        </w:rPr>
      </w:pPr>
    </w:p>
    <w:p>
      <w:pPr>
        <w:ind w:right="100" w:firstLine="391"/>
        <w:spacing w:after="0" w:line="271" w:lineRule="auto"/>
        <w:rPr>
          <w:sz w:val="20"/>
          <w:szCs w:val="20"/>
          <w:color w:val="auto"/>
        </w:rPr>
      </w:pPr>
      <w:r>
        <w:rPr>
          <w:rFonts w:ascii="Arial" w:cs="Arial" w:eastAsia="Arial" w:hAnsi="Arial"/>
          <w:sz w:val="17"/>
          <w:szCs w:val="17"/>
          <w:color w:val="auto"/>
        </w:rPr>
        <w:t>Interest income (expense), net decreased $2.9 million during the three months ended September 30, 2020, as compared to the three months ended September 30, 2019, primarily due to a decrease in interest income from our money market funds and short-term investments as a result of government-initiated interest rate reductions in response to the COVID-19 pandemic.</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Other income, net</w:t>
      </w:r>
    </w:p>
    <w:p>
      <w:pPr>
        <w:spacing w:after="0" w:line="248" w:lineRule="exact"/>
        <w:rPr>
          <w:sz w:val="20"/>
          <w:szCs w:val="20"/>
          <w:color w:val="auto"/>
        </w:rPr>
      </w:pPr>
    </w:p>
    <w:p>
      <w:pPr>
        <w:ind w:right="100" w:firstLine="391"/>
        <w:spacing w:after="0" w:line="296" w:lineRule="auto"/>
        <w:rPr>
          <w:sz w:val="20"/>
          <w:szCs w:val="20"/>
          <w:color w:val="auto"/>
        </w:rPr>
      </w:pPr>
      <w:r>
        <w:rPr>
          <w:rFonts w:ascii="Arial" w:cs="Arial" w:eastAsia="Arial" w:hAnsi="Arial"/>
          <w:sz w:val="16"/>
          <w:szCs w:val="16"/>
          <w:color w:val="auto"/>
        </w:rPr>
        <w:t>Other income, net decreased $3.3 million during the three months ended September 30, 2020, as compared to the three months ended September 30, 2019, primarily due to a decrease of $2.0 million in other income due to gains on disposal of infrastructure assets and $1.8 million of losses related to equity investments in the three months ended September 30, 2019, offset by foreign currency transaction gains in the current period.</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248" w:lineRule="exact"/>
        <w:rPr>
          <w:sz w:val="20"/>
          <w:szCs w:val="20"/>
          <w:color w:val="auto"/>
        </w:rPr>
      </w:pPr>
    </w:p>
    <w:p>
      <w:pPr>
        <w:ind w:right="180" w:firstLine="391"/>
        <w:spacing w:after="0" w:line="287" w:lineRule="auto"/>
        <w:rPr>
          <w:sz w:val="20"/>
          <w:szCs w:val="20"/>
          <w:color w:val="auto"/>
        </w:rPr>
      </w:pPr>
      <w:r>
        <w:rPr>
          <w:rFonts w:ascii="Arial" w:cs="Arial" w:eastAsia="Arial" w:hAnsi="Arial"/>
          <w:sz w:val="17"/>
          <w:szCs w:val="17"/>
          <w:color w:val="auto"/>
        </w:rPr>
        <w:t>Provision for income taxes decreased $0.7 million during the three months ended September 30, 2020, as compared to the three months ended September 30, 2019, primarily due to a decrease in foreign and state income taxes.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Comparison of the nine months ended September 30, 2020 and 2019</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Revenue</w:t>
      </w:r>
    </w:p>
    <w:p>
      <w:pPr>
        <w:spacing w:after="0" w:line="171" w:lineRule="exact"/>
        <w:rPr>
          <w:sz w:val="20"/>
          <w:szCs w:val="20"/>
          <w:color w:val="auto"/>
        </w:rPr>
      </w:pPr>
    </w:p>
    <w:p>
      <w:pPr>
        <w:jc w:val="center"/>
        <w:ind w:left="1860"/>
        <w:spacing w:after="0"/>
        <w:rPr>
          <w:sz w:val="20"/>
          <w:szCs w:val="20"/>
          <w:color w:val="auto"/>
        </w:rPr>
      </w:pPr>
      <w:r>
        <w:rPr>
          <w:rFonts w:ascii="Arial" w:cs="Arial" w:eastAsia="Arial" w:hAnsi="Arial"/>
          <w:sz w:val="17"/>
          <w:szCs w:val="17"/>
          <w:b w:val="1"/>
          <w:bCs w:val="1"/>
          <w:color w:val="auto"/>
        </w:rPr>
        <w:t>Nine Months Ended</w:t>
      </w:r>
    </w:p>
    <w:p>
      <w:pPr>
        <w:jc w:val="center"/>
        <w:ind w:left="1860"/>
        <w:spacing w:after="0"/>
        <w:rPr>
          <w:sz w:val="20"/>
          <w:szCs w:val="20"/>
          <w:color w:val="auto"/>
        </w:rPr>
      </w:pPr>
      <w:r>
        <w:rPr>
          <w:rFonts w:ascii="Arial" w:cs="Arial" w:eastAsia="Arial" w:hAnsi="Arial"/>
          <w:sz w:val="17"/>
          <w:szCs w:val="17"/>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4"/>
        </w:trPr>
        <w:tc>
          <w:tcPr>
            <w:tcW w:w="5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i w:val="1"/>
                <w:iCs w:val="1"/>
                <w:color w:val="auto"/>
              </w:rPr>
              <w:t>(In millions)</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r>
    </w:tbl>
    <w:p>
      <w:pPr>
        <w:spacing w:after="0" w:line="314" w:lineRule="exact"/>
        <w:rPr>
          <w:sz w:val="20"/>
          <w:szCs w:val="20"/>
          <w:color w:val="auto"/>
        </w:rPr>
      </w:pPr>
    </w:p>
    <w:p>
      <w:pPr>
        <w:jc w:val="both"/>
        <w:ind w:right="100" w:firstLine="391"/>
        <w:spacing w:after="0" w:line="261" w:lineRule="auto"/>
        <w:rPr>
          <w:sz w:val="20"/>
          <w:szCs w:val="20"/>
          <w:color w:val="auto"/>
        </w:rPr>
      </w:pPr>
      <w:r>
        <w:rPr>
          <w:rFonts w:ascii="Arial" w:cs="Arial" w:eastAsia="Arial" w:hAnsi="Arial"/>
          <w:sz w:val="17"/>
          <w:szCs w:val="17"/>
          <w:color w:val="auto"/>
        </w:rPr>
        <w:t>Revenue increased $194.5 million or 16% during the nine months ended September 30, 2020, as compared to the nine months ended September 30, 2019. The increase in revenue was driven primarily by an increase in paying users, an increase in the price of our Plus plan, and an increased mix of sales towards our higher-priced subscription plans.</w:t>
      </w:r>
    </w:p>
    <w:p>
      <w:pPr>
        <w:ind w:left="400"/>
        <w:spacing w:after="0"/>
        <w:rPr>
          <w:sz w:val="20"/>
          <w:szCs w:val="20"/>
          <w:color w:val="auto"/>
        </w:rPr>
      </w:pPr>
      <w:r>
        <w:rPr>
          <w:rFonts w:ascii="Arial" w:cs="Arial" w:eastAsia="Arial" w:hAnsi="Arial"/>
          <w:sz w:val="17"/>
          <w:szCs w:val="17"/>
          <w:i w:val="1"/>
          <w:iCs w:val="1"/>
          <w:color w:val="auto"/>
        </w:rPr>
        <w:t>Cost of revenue, gross profit, and gross margin</w:t>
      </w:r>
    </w:p>
    <w:p>
      <w:pPr>
        <w:spacing w:after="0" w:line="119" w:lineRule="exact"/>
        <w:rPr>
          <w:sz w:val="20"/>
          <w:szCs w:val="20"/>
          <w:color w:val="auto"/>
        </w:rPr>
      </w:pPr>
    </w:p>
    <w:p>
      <w:pPr>
        <w:jc w:val="center"/>
        <w:ind w:left="1700"/>
        <w:spacing w:after="0"/>
        <w:rPr>
          <w:sz w:val="20"/>
          <w:szCs w:val="20"/>
          <w:color w:val="auto"/>
        </w:rPr>
      </w:pPr>
      <w:r>
        <w:rPr>
          <w:rFonts w:ascii="Arial" w:cs="Arial" w:eastAsia="Arial" w:hAnsi="Arial"/>
          <w:sz w:val="17"/>
          <w:szCs w:val="17"/>
          <w:b w:val="1"/>
          <w:bCs w:val="1"/>
          <w:color w:val="auto"/>
        </w:rPr>
        <w:t>Nine Months Ended</w:t>
      </w:r>
    </w:p>
    <w:p>
      <w:pPr>
        <w:jc w:val="center"/>
        <w:ind w:left="1700"/>
        <w:spacing w:after="0"/>
        <w:rPr>
          <w:sz w:val="20"/>
          <w:szCs w:val="20"/>
          <w:color w:val="auto"/>
        </w:rPr>
      </w:pPr>
      <w:r>
        <w:rPr>
          <w:rFonts w:ascii="Arial" w:cs="Arial" w:eastAsia="Arial" w:hAnsi="Arial"/>
          <w:sz w:val="17"/>
          <w:szCs w:val="17"/>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 Change</w:t>
            </w:r>
          </w:p>
        </w:tc>
      </w:tr>
      <w:tr>
        <w:trPr>
          <w:trHeight w:val="254"/>
        </w:trPr>
        <w:tc>
          <w:tcPr>
            <w:tcW w:w="4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60" w:type="dxa"/>
            <w:vAlign w:val="bottom"/>
            <w:gridSpan w:val="3"/>
          </w:tcPr>
          <w:p>
            <w:pPr>
              <w:jc w:val="right"/>
              <w:ind w:right="13"/>
              <w:spacing w:after="0"/>
              <w:rPr>
                <w:sz w:val="20"/>
                <w:szCs w:val="20"/>
                <w:color w:val="auto"/>
              </w:rPr>
            </w:pPr>
            <w:r>
              <w:rPr>
                <w:rFonts w:ascii="Arial" w:cs="Arial" w:eastAsia="Arial" w:hAnsi="Arial"/>
                <w:sz w:val="17"/>
                <w:szCs w:val="17"/>
                <w:i w:val="1"/>
                <w:iCs w:val="1"/>
                <w:color w:val="auto"/>
              </w:rPr>
              <w:t>(In millions)</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308.8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22"/>
        </w:trPr>
        <w:tc>
          <w:tcPr>
            <w:tcW w:w="49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7"/>
                <w:szCs w:val="17"/>
                <w:color w:val="auto"/>
              </w:rPr>
              <w:t>1,101.0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909.2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191.8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21 %</w:t>
            </w: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01" w:lineRule="exact"/>
        <w:rPr>
          <w:sz w:val="20"/>
          <w:szCs w:val="20"/>
          <w:color w:val="auto"/>
        </w:rPr>
      </w:pPr>
    </w:p>
    <w:p>
      <w:pPr>
        <w:jc w:val="both"/>
        <w:ind w:right="320" w:firstLine="391"/>
        <w:spacing w:after="0" w:line="312" w:lineRule="auto"/>
        <w:rPr>
          <w:sz w:val="20"/>
          <w:szCs w:val="20"/>
          <w:color w:val="auto"/>
        </w:rPr>
      </w:pPr>
      <w:r>
        <w:rPr>
          <w:rFonts w:ascii="Arial" w:cs="Arial" w:eastAsia="Arial" w:hAnsi="Arial"/>
          <w:sz w:val="15"/>
          <w:szCs w:val="15"/>
          <w:color w:val="auto"/>
        </w:rPr>
        <w:t>Cost of revenue increased $2.7 million or 1% during the nine months ended September 30, 2020, as compared to the nine months ended September 30, 2019, primarily due to increases of $4.8 million in employee-related costs due to headcount growth, $3.9 million in credit card transaction fees due to higher sales and professional fees for user support, $1.1 million in allocated overhead, which includes facilities-related costs for our corporate headquarters, and an increase in amortization of acquired intangible assets. These increases were offset by a decrease of $7.8 million in infrastructure costs.</w:t>
      </w:r>
    </w:p>
    <w:p>
      <w:pPr>
        <w:spacing w:after="0" w:line="81" w:lineRule="exact"/>
        <w:rPr>
          <w:sz w:val="20"/>
          <w:szCs w:val="20"/>
          <w:color w:val="auto"/>
        </w:rPr>
      </w:pPr>
    </w:p>
    <w:p>
      <w:pPr>
        <w:ind w:right="80" w:firstLine="391"/>
        <w:spacing w:after="0" w:line="320" w:lineRule="auto"/>
        <w:rPr>
          <w:sz w:val="20"/>
          <w:szCs w:val="20"/>
          <w:color w:val="auto"/>
        </w:rPr>
      </w:pPr>
      <w:r>
        <w:rPr>
          <w:rFonts w:ascii="Arial" w:cs="Arial" w:eastAsia="Arial" w:hAnsi="Arial"/>
          <w:sz w:val="16"/>
          <w:szCs w:val="16"/>
          <w:color w:val="auto"/>
        </w:rPr>
        <w:t>Our gross margin increased during the nine months ended September 30, 2020 compared to the nine months ended September 30, 2019, primarily due to a 16% increase in our revenue during the period, which was offset by a lower percentage increase in our cost of revenue described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Research and development</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20" w:type="dxa"/>
            <w:vAlign w:val="bottom"/>
            <w:gridSpan w:val="4"/>
          </w:tcPr>
          <w:p>
            <w:pPr>
              <w:jc w:val="center"/>
              <w:ind w:left="413"/>
              <w:spacing w:after="0"/>
              <w:rPr>
                <w:sz w:val="20"/>
                <w:szCs w:val="20"/>
                <w:color w:val="auto"/>
              </w:rPr>
            </w:pPr>
            <w:r>
              <w:rPr>
                <w:rFonts w:ascii="Arial" w:cs="Arial" w:eastAsia="Arial" w:hAnsi="Arial"/>
                <w:sz w:val="17"/>
                <w:szCs w:val="17"/>
                <w:b w:val="1"/>
                <w:bCs w:val="1"/>
                <w:color w:val="auto"/>
                <w:w w:val="93"/>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29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4"/>
        </w:trPr>
        <w:tc>
          <w:tcPr>
            <w:tcW w:w="5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20" w:type="dxa"/>
            <w:vAlign w:val="bottom"/>
            <w:gridSpan w:val="3"/>
          </w:tcPr>
          <w:p>
            <w:pPr>
              <w:jc w:val="center"/>
              <w:ind w:right="293"/>
              <w:spacing w:after="0"/>
              <w:rPr>
                <w:sz w:val="20"/>
                <w:szCs w:val="20"/>
                <w:color w:val="auto"/>
              </w:rPr>
            </w:pPr>
            <w:r>
              <w:rPr>
                <w:rFonts w:ascii="Arial" w:cs="Arial" w:eastAsia="Arial" w:hAnsi="Arial"/>
                <w:sz w:val="17"/>
                <w:szCs w:val="17"/>
                <w:i w:val="1"/>
                <w:iCs w:val="1"/>
                <w:color w:val="auto"/>
                <w:w w:val="98"/>
              </w:rPr>
              <w:t>(In millions)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550.9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485.2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r>
    </w:tbl>
    <w:p>
      <w:pPr>
        <w:spacing w:after="0" w:line="301" w:lineRule="exact"/>
        <w:rPr>
          <w:sz w:val="20"/>
          <w:szCs w:val="20"/>
          <w:color w:val="auto"/>
        </w:rPr>
      </w:pPr>
    </w:p>
    <w:p>
      <w:pPr>
        <w:ind w:right="220" w:firstLine="391"/>
        <w:spacing w:after="0" w:line="271" w:lineRule="auto"/>
        <w:rPr>
          <w:sz w:val="20"/>
          <w:szCs w:val="20"/>
          <w:color w:val="auto"/>
        </w:rPr>
      </w:pPr>
      <w:r>
        <w:rPr>
          <w:rFonts w:ascii="Arial" w:cs="Arial" w:eastAsia="Arial" w:hAnsi="Arial"/>
          <w:sz w:val="17"/>
          <w:szCs w:val="17"/>
          <w:color w:val="auto"/>
        </w:rPr>
        <w:t>Research and development expenses increased $65.7 million or 14% during the nine months ended September 30, 2020, as compared to the nine months ended September 30, 2019, primarily due to increases of $56.6 million in employee-related costs due to headcount growth and $7.8 million in allocated overhead, which includes facilities-related costs for our corporate headquarters.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Sales and marketing</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20" w:type="dxa"/>
            <w:vAlign w:val="bottom"/>
            <w:gridSpan w:val="4"/>
          </w:tcPr>
          <w:p>
            <w:pPr>
              <w:jc w:val="center"/>
              <w:ind w:left="413"/>
              <w:spacing w:after="0"/>
              <w:rPr>
                <w:sz w:val="20"/>
                <w:szCs w:val="20"/>
                <w:color w:val="auto"/>
              </w:rPr>
            </w:pPr>
            <w:r>
              <w:rPr>
                <w:rFonts w:ascii="Arial" w:cs="Arial" w:eastAsia="Arial" w:hAnsi="Arial"/>
                <w:sz w:val="17"/>
                <w:szCs w:val="17"/>
                <w:b w:val="1"/>
                <w:bCs w:val="1"/>
                <w:color w:val="auto"/>
                <w:w w:val="93"/>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29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4"/>
        </w:trPr>
        <w:tc>
          <w:tcPr>
            <w:tcW w:w="5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20" w:type="dxa"/>
            <w:vAlign w:val="bottom"/>
            <w:gridSpan w:val="3"/>
          </w:tcPr>
          <w:p>
            <w:pPr>
              <w:jc w:val="center"/>
              <w:ind w:right="293"/>
              <w:spacing w:after="0"/>
              <w:rPr>
                <w:sz w:val="20"/>
                <w:szCs w:val="20"/>
                <w:color w:val="auto"/>
              </w:rPr>
            </w:pPr>
            <w:r>
              <w:rPr>
                <w:rFonts w:ascii="Arial" w:cs="Arial" w:eastAsia="Arial" w:hAnsi="Arial"/>
                <w:sz w:val="17"/>
                <w:szCs w:val="17"/>
                <w:i w:val="1"/>
                <w:iCs w:val="1"/>
                <w:color w:val="auto"/>
                <w:w w:val="98"/>
              </w:rPr>
              <w:t>(In millions)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312.9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20" w:firstLine="391"/>
        <w:spacing w:after="0" w:line="312" w:lineRule="auto"/>
        <w:rPr>
          <w:sz w:val="20"/>
          <w:szCs w:val="20"/>
          <w:color w:val="auto"/>
        </w:rPr>
      </w:pPr>
      <w:r>
        <w:rPr>
          <w:rFonts w:ascii="Arial" w:cs="Arial" w:eastAsia="Arial" w:hAnsi="Arial"/>
          <w:sz w:val="15"/>
          <w:szCs w:val="15"/>
          <w:color w:val="auto"/>
        </w:rPr>
        <w:t>Sales and marketing expenses decreased $4.1 million or 1% during the nine months ended September 30, 2020, as compared to the nine months ended September 30, 2019, primarily due to decreases of $18.5 million related to brand marketing expenses driven by a reduction of events due to the COVID-19 pandemic, $1.4 million in allocated overhead, which includes facilities-related costs for our corporate headquarters, and marketing research expenses. These decreases were offset by increases of $10.1 million in app store fees due to increased sales and $6.6 million in employee-related costs due to headcount growth.</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General and administrative</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20" w:type="dxa"/>
            <w:vAlign w:val="bottom"/>
            <w:gridSpan w:val="4"/>
          </w:tcPr>
          <w:p>
            <w:pPr>
              <w:jc w:val="center"/>
              <w:ind w:left="413"/>
              <w:spacing w:after="0"/>
              <w:rPr>
                <w:sz w:val="20"/>
                <w:szCs w:val="20"/>
                <w:color w:val="auto"/>
              </w:rPr>
            </w:pPr>
            <w:r>
              <w:rPr>
                <w:rFonts w:ascii="Arial" w:cs="Arial" w:eastAsia="Arial" w:hAnsi="Arial"/>
                <w:sz w:val="17"/>
                <w:szCs w:val="17"/>
                <w:b w:val="1"/>
                <w:bCs w:val="1"/>
                <w:color w:val="auto"/>
                <w:w w:val="93"/>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29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4"/>
        </w:trPr>
        <w:tc>
          <w:tcPr>
            <w:tcW w:w="5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20" w:type="dxa"/>
            <w:vAlign w:val="bottom"/>
            <w:gridSpan w:val="3"/>
          </w:tcPr>
          <w:p>
            <w:pPr>
              <w:jc w:val="center"/>
              <w:ind w:right="293"/>
              <w:spacing w:after="0"/>
              <w:rPr>
                <w:sz w:val="20"/>
                <w:szCs w:val="20"/>
                <w:color w:val="auto"/>
              </w:rPr>
            </w:pPr>
            <w:r>
              <w:rPr>
                <w:rFonts w:ascii="Arial" w:cs="Arial" w:eastAsia="Arial" w:hAnsi="Arial"/>
                <w:sz w:val="17"/>
                <w:szCs w:val="17"/>
                <w:i w:val="1"/>
                <w:iCs w:val="1"/>
                <w:color w:val="auto"/>
                <w:w w:val="98"/>
              </w:rPr>
              <w:t>(In millions)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167.6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bl>
    <w:p>
      <w:pPr>
        <w:spacing w:after="0" w:line="200" w:lineRule="exact"/>
        <w:rPr>
          <w:sz w:val="20"/>
          <w:szCs w:val="20"/>
          <w:color w:val="auto"/>
        </w:rPr>
      </w:pPr>
    </w:p>
    <w:p>
      <w:pPr>
        <w:spacing w:after="0" w:line="244"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General and administrative expenses decreased $13.3 million or 7% during the nine months ended September 30, 2020, as compared to the nine months ended September 30, 2019, primarily due to a decrease of $26.0 million in stock-based compensation, with the majority of the decrease due to the resignation of one of the co-founders and the forfeiture of his Co-Founder Grant as discussed in "--Note 12. Stockholders' Equity." The decrease was offset by increases of $6.4 million in employee-related costs, excluding stock-based compensation, due to headcount growth, and $5.7 million in allocated overhead, which includes facilities-related costs for our corporate headquarters.</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income (expense), net</w:t>
      </w:r>
    </w:p>
    <w:p>
      <w:pPr>
        <w:spacing w:after="0" w:line="248"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Interest income (expense), net decreased $7.3 million during the nine months ended September 30, 2020, as compared to the nine months ended September 30, 2019, primarily due to a decrease in interest income from our money market funds and short-term investments as a result of government-initiated interest rate reductions in response to the COVID-19 pandemic.</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Other income, net</w:t>
      </w:r>
    </w:p>
    <w:p>
      <w:pPr>
        <w:spacing w:after="0" w:line="248" w:lineRule="exact"/>
        <w:rPr>
          <w:sz w:val="20"/>
          <w:szCs w:val="20"/>
          <w:color w:val="auto"/>
        </w:rPr>
      </w:pPr>
    </w:p>
    <w:p>
      <w:pPr>
        <w:jc w:val="both"/>
        <w:ind w:right="120" w:firstLine="391"/>
        <w:spacing w:after="0" w:line="271" w:lineRule="auto"/>
        <w:rPr>
          <w:sz w:val="20"/>
          <w:szCs w:val="20"/>
          <w:color w:val="auto"/>
        </w:rPr>
      </w:pPr>
      <w:r>
        <w:rPr>
          <w:rFonts w:ascii="Arial" w:cs="Arial" w:eastAsia="Arial" w:hAnsi="Arial"/>
          <w:sz w:val="17"/>
          <w:szCs w:val="17"/>
          <w:color w:val="auto"/>
        </w:rPr>
        <w:t>Other income, net increased $8.7 million during the nine months ended September 30, 2020, as compared to the nine months ended September 30, 2019, primarily due to $11.2 million in gains related to an equity investment and foreign currency transaction gains. These increases were offset by a decrease of $6.6 million due to the disposal of infrastructure assets in the nine months ended September 30, 2019.</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248" w:lineRule="exact"/>
        <w:rPr>
          <w:sz w:val="20"/>
          <w:szCs w:val="20"/>
          <w:color w:val="auto"/>
        </w:rPr>
      </w:pPr>
    </w:p>
    <w:p>
      <w:pPr>
        <w:ind w:right="60" w:firstLine="391"/>
        <w:spacing w:after="0" w:line="287" w:lineRule="auto"/>
        <w:rPr>
          <w:sz w:val="20"/>
          <w:szCs w:val="20"/>
          <w:color w:val="auto"/>
        </w:rPr>
      </w:pPr>
      <w:r>
        <w:rPr>
          <w:rFonts w:ascii="Arial" w:cs="Arial" w:eastAsia="Arial" w:hAnsi="Arial"/>
          <w:sz w:val="17"/>
          <w:szCs w:val="17"/>
          <w:color w:val="auto"/>
        </w:rPr>
        <w:t>Provision for income taxes increased by $9.3 million during the nine months ended September 30, 2020, as compared to the nine months ended September 30, 2019, primarily due to the one-time tax benefit recognized in 2019 as a result of our acquisition of HelloSign.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4" w:lineRule="exact"/>
        <w:rPr>
          <w:sz w:val="20"/>
          <w:szCs w:val="20"/>
          <w:color w:val="auto"/>
        </w:rPr>
      </w:pPr>
    </w:p>
    <w:p>
      <w:pPr>
        <w:ind w:right="60" w:firstLine="391"/>
        <w:spacing w:after="0" w:line="263" w:lineRule="auto"/>
        <w:rPr>
          <w:sz w:val="20"/>
          <w:szCs w:val="20"/>
          <w:color w:val="auto"/>
        </w:rPr>
      </w:pPr>
      <w:r>
        <w:rPr>
          <w:rFonts w:ascii="Arial" w:cs="Arial" w:eastAsia="Arial" w:hAnsi="Arial"/>
          <w:sz w:val="17"/>
          <w:szCs w:val="17"/>
          <w:color w:val="auto"/>
        </w:rPr>
        <w:t>As of September 30, 2020, we had cash and cash equivalents of $452.7 million and short-term investments of $773.8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and municipal securities. As of September 30, 2020, we had $124.4 million of our cash and cash equivalents held by our foreign subsidiaries. We do not expect to incur material taxes in the event we repatriate any of these amounts.</w:t>
      </w:r>
    </w:p>
    <w:p>
      <w:pPr>
        <w:spacing w:after="0" w:line="115" w:lineRule="exact"/>
        <w:rPr>
          <w:sz w:val="20"/>
          <w:szCs w:val="20"/>
          <w:color w:val="auto"/>
        </w:rPr>
      </w:pPr>
    </w:p>
    <w:p>
      <w:pPr>
        <w:jc w:val="both"/>
        <w:ind w:firstLine="391"/>
        <w:spacing w:after="0" w:line="288" w:lineRule="auto"/>
        <w:rPr>
          <w:sz w:val="20"/>
          <w:szCs w:val="20"/>
          <w:color w:val="auto"/>
        </w:rPr>
      </w:pPr>
      <w:r>
        <w:rPr>
          <w:rFonts w:ascii="Arial" w:cs="Arial" w:eastAsia="Arial" w:hAnsi="Arial"/>
          <w:sz w:val="16"/>
          <w:szCs w:val="16"/>
          <w:color w:val="auto"/>
        </w:rPr>
        <w:t>Since our inception, we have financed our operations primarily through equity issuances, cash generated from our operations,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82" w:lineRule="exact"/>
        <w:rPr>
          <w:sz w:val="20"/>
          <w:szCs w:val="20"/>
          <w:color w:val="auto"/>
        </w:rPr>
      </w:pPr>
    </w:p>
    <w:p>
      <w:pPr>
        <w:ind w:right="20" w:firstLine="391"/>
        <w:spacing w:after="0" w:line="278" w:lineRule="auto"/>
        <w:rPr>
          <w:sz w:val="20"/>
          <w:szCs w:val="20"/>
          <w:color w:val="auto"/>
        </w:rPr>
      </w:pPr>
      <w:r>
        <w:rPr>
          <w:rFonts w:ascii="Arial" w:cs="Arial" w:eastAsia="Arial" w:hAnsi="Arial"/>
          <w:sz w:val="16"/>
          <w:szCs w:val="16"/>
          <w:color w:val="auto"/>
        </w:rPr>
        <w:t>Our principal uses of cash in recent periods have been funding our operations, purchases of short-term investments, the satisfaction of tax withholdings in connection with the settlement of restricted stock units and awards, making principal payments on our finance lease obligations, and capital expenditures. In February 2020, our Board of Directors approved a stock repurchase program for the repurchase of up to $600 million of the outstanding shares of our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three and nine months ended September 30, 2020, we repurchased and subsequently retired 1.8 million and 9.2 million shares respectively of its Class A common stock for an aggregate amount of $37.5 million and $177.3 million, respectively. We have announced our intention to increase the pace of our share repurchases under the current plan in future periods, however this may fluctuate from period to period based on prevailing market prices and other factors and considerations.</w:t>
      </w:r>
    </w:p>
    <w:p>
      <w:pPr>
        <w:spacing w:after="0" w:line="103" w:lineRule="exact"/>
        <w:rPr>
          <w:sz w:val="20"/>
          <w:szCs w:val="20"/>
          <w:color w:val="auto"/>
        </w:rPr>
      </w:pPr>
    </w:p>
    <w:p>
      <w:pPr>
        <w:ind w:right="40" w:firstLine="391"/>
        <w:spacing w:after="0" w:line="281" w:lineRule="auto"/>
        <w:rPr>
          <w:sz w:val="20"/>
          <w:szCs w:val="20"/>
          <w:color w:val="auto"/>
        </w:rPr>
      </w:pPr>
      <w:r>
        <w:rPr>
          <w:rFonts w:ascii="Arial" w:cs="Arial" w:eastAsia="Arial" w:hAnsi="Arial"/>
          <w:sz w:val="16"/>
          <w:szCs w:val="16"/>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the borrowing capacity under our revolving credit facility of up to $275.0 million, provided no event of default has occurred or is continuing or would result from such increase.</w:t>
      </w:r>
    </w:p>
    <w:p>
      <w:pPr>
        <w:spacing w:after="0" w:line="103" w:lineRule="exact"/>
        <w:rPr>
          <w:sz w:val="20"/>
          <w:szCs w:val="20"/>
          <w:color w:val="auto"/>
        </w:rPr>
      </w:pPr>
    </w:p>
    <w:p>
      <w:pPr>
        <w:ind w:right="480" w:firstLine="391"/>
        <w:spacing w:after="0" w:line="298" w:lineRule="auto"/>
        <w:rPr>
          <w:sz w:val="20"/>
          <w:szCs w:val="20"/>
          <w:color w:val="auto"/>
        </w:rPr>
      </w:pPr>
      <w:r>
        <w:rPr>
          <w:rFonts w:ascii="Arial" w:cs="Arial" w:eastAsia="Arial" w:hAnsi="Arial"/>
          <w:sz w:val="15"/>
          <w:szCs w:val="15"/>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w:t>
      </w:r>
    </w:p>
    <w:p>
      <w:pPr>
        <w:spacing w:after="0" w:line="1" w:lineRule="exact"/>
        <w:rPr>
          <w:sz w:val="20"/>
          <w:szCs w:val="20"/>
          <w:color w:val="auto"/>
        </w:rPr>
      </w:pPr>
    </w:p>
    <w:p>
      <w:pPr>
        <w:jc w:val="both"/>
        <w:ind w:right="40"/>
        <w:spacing w:after="0" w:line="315" w:lineRule="auto"/>
        <w:rPr>
          <w:sz w:val="20"/>
          <w:szCs w:val="20"/>
          <w:color w:val="auto"/>
        </w:rPr>
      </w:pPr>
      <w:r>
        <w:rPr>
          <w:rFonts w:ascii="Arial" w:cs="Arial" w:eastAsia="Arial" w:hAnsi="Arial"/>
          <w:sz w:val="15"/>
          <w:szCs w:val="15"/>
          <w:color w:val="auto"/>
        </w:rPr>
        <w:t>0.20% per annum on the unused portion of the borrowing commitments under the revolving credit facility. In addition, we are required to pay a fee in connection with letters of credit issued under the revolving credit facility that accrues at a rate of 1.5% per annum on the amount of such letters of credit outstanding. There is an additional fronting fee of 0.125% per annum multiplied by the average aggregate daily maximum amount available under all letters of credit.</w:t>
      </w:r>
    </w:p>
    <w:p>
      <w:pPr>
        <w:spacing w:after="0" w:line="65" w:lineRule="exact"/>
        <w:rPr>
          <w:sz w:val="20"/>
          <w:szCs w:val="20"/>
          <w:color w:val="auto"/>
        </w:rPr>
      </w:pPr>
    </w:p>
    <w:p>
      <w:pPr>
        <w:ind w:right="220" w:firstLine="391"/>
        <w:spacing w:after="0" w:line="266"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September 30, 2020.</w:t>
      </w:r>
    </w:p>
    <w:p>
      <w:pPr>
        <w:spacing w:after="0" w:line="111" w:lineRule="exact"/>
        <w:rPr>
          <w:sz w:val="20"/>
          <w:szCs w:val="20"/>
          <w:color w:val="auto"/>
        </w:rPr>
      </w:pPr>
    </w:p>
    <w:p>
      <w:pPr>
        <w:ind w:right="220" w:firstLine="391"/>
        <w:spacing w:after="0" w:line="357" w:lineRule="auto"/>
        <w:rPr>
          <w:sz w:val="20"/>
          <w:szCs w:val="20"/>
          <w:color w:val="auto"/>
        </w:rPr>
      </w:pPr>
      <w:r>
        <w:rPr>
          <w:rFonts w:ascii="Arial" w:cs="Arial" w:eastAsia="Arial" w:hAnsi="Arial"/>
          <w:sz w:val="15"/>
          <w:szCs w:val="15"/>
          <w:color w:val="auto"/>
        </w:rPr>
        <w:t>As of September 30, 2020, we had no amounts outstanding under the revolving credit facility and an aggregate of $45.7 million in letters of credit issued under the revolving credit facility. Our total available borrowing capacity under the revolving credit facility was $679.3 million as of September 30, 2020.</w:t>
      </w:r>
    </w:p>
    <w:p>
      <w:pPr>
        <w:spacing w:after="0" w:line="48" w:lineRule="exact"/>
        <w:rPr>
          <w:sz w:val="20"/>
          <w:szCs w:val="20"/>
          <w:color w:val="auto"/>
        </w:rPr>
      </w:pPr>
    </w:p>
    <w:p>
      <w:pPr>
        <w:ind w:firstLine="391"/>
        <w:spacing w:after="0" w:line="284" w:lineRule="auto"/>
        <w:rPr>
          <w:sz w:val="20"/>
          <w:szCs w:val="20"/>
          <w:color w:val="auto"/>
        </w:rPr>
      </w:pPr>
      <w:r>
        <w:rPr>
          <w:rFonts w:ascii="Arial" w:cs="Arial" w:eastAsia="Arial" w:hAnsi="Arial"/>
          <w:sz w:val="16"/>
          <w:szCs w:val="16"/>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the sublease of space at certain office locations, the satisfaction of tax withholding obligations for the release of restricted stock units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awards, the expansion of sales and marketing and international operation activities, the introduction of new product capabilities and enhancement of our platform, the continuing market acceptance of our platform, the volume and timing of our share repurchases and any potential impacts of the COVID-19 pandemic on our business.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60" w:type="dxa"/>
            <w:vAlign w:val="bottom"/>
          </w:tcPr>
          <w:p>
            <w:pPr>
              <w:ind w:left="400"/>
              <w:spacing w:after="0"/>
              <w:rPr>
                <w:sz w:val="20"/>
                <w:szCs w:val="20"/>
                <w:color w:val="auto"/>
              </w:rPr>
            </w:pPr>
            <w:r>
              <w:rPr>
                <w:rFonts w:ascii="Arial" w:cs="Arial" w:eastAsia="Arial" w:hAnsi="Arial"/>
                <w:sz w:val="17"/>
                <w:szCs w:val="17"/>
                <w:color w:val="auto"/>
              </w:rPr>
              <w:t>Our cash flow activities were as follows for the periods presented:</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8"/>
        </w:trPr>
        <w:tc>
          <w:tcPr>
            <w:tcW w:w="7160" w:type="dxa"/>
            <w:vAlign w:val="bottom"/>
          </w:tcPr>
          <w:p>
            <w:pPr>
              <w:spacing w:after="0"/>
              <w:rPr>
                <w:sz w:val="24"/>
                <w:szCs w:val="24"/>
                <w:color w:val="auto"/>
              </w:rPr>
            </w:pPr>
          </w:p>
        </w:tc>
        <w:tc>
          <w:tcPr>
            <w:tcW w:w="342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7"/>
                <w:szCs w:val="17"/>
                <w:b w:val="1"/>
                <w:bCs w:val="1"/>
                <w:color w:val="auto"/>
              </w:rPr>
              <w:t>Nine Months Ended September 30,</w:t>
            </w:r>
          </w:p>
        </w:tc>
        <w:tc>
          <w:tcPr>
            <w:tcW w:w="620" w:type="dxa"/>
            <w:vAlign w:val="bottom"/>
            <w:tcBorders>
              <w:bottom w:val="single" w:sz="8" w:color="auto"/>
            </w:tcBorders>
          </w:tcPr>
          <w:p>
            <w:pPr>
              <w:spacing w:after="0"/>
              <w:rPr>
                <w:sz w:val="24"/>
                <w:szCs w:val="24"/>
                <w:color w:val="auto"/>
              </w:rPr>
            </w:pPr>
          </w:p>
        </w:tc>
      </w:tr>
      <w:tr>
        <w:trPr>
          <w:trHeight w:val="215"/>
        </w:trPr>
        <w:tc>
          <w:tcPr>
            <w:tcW w:w="7160" w:type="dxa"/>
            <w:vAlign w:val="bottom"/>
          </w:tcPr>
          <w:p>
            <w:pPr>
              <w:spacing w:after="0"/>
              <w:rPr>
                <w:sz w:val="18"/>
                <w:szCs w:val="18"/>
                <w:color w:val="auto"/>
              </w:rPr>
            </w:pPr>
          </w:p>
        </w:tc>
        <w:tc>
          <w:tcPr>
            <w:tcW w:w="13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2020</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2019</w:t>
            </w:r>
          </w:p>
        </w:tc>
        <w:tc>
          <w:tcPr>
            <w:tcW w:w="620" w:type="dxa"/>
            <w:vAlign w:val="bottom"/>
            <w:tcBorders>
              <w:bottom w:val="single" w:sz="8" w:color="auto"/>
            </w:tcBorders>
          </w:tcPr>
          <w:p>
            <w:pPr>
              <w:spacing w:after="0"/>
              <w:rPr>
                <w:sz w:val="18"/>
                <w:szCs w:val="18"/>
                <w:color w:val="auto"/>
              </w:rPr>
            </w:pPr>
          </w:p>
        </w:tc>
      </w:tr>
      <w:tr>
        <w:trPr>
          <w:trHeight w:val="254"/>
        </w:trPr>
        <w:tc>
          <w:tcPr>
            <w:tcW w:w="7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120" w:type="dxa"/>
            <w:vAlign w:val="bottom"/>
            <w:gridSpan w:val="3"/>
          </w:tcPr>
          <w:p>
            <w:pPr>
              <w:jc w:val="right"/>
              <w:ind w:right="873"/>
              <w:spacing w:after="0"/>
              <w:rPr>
                <w:sz w:val="20"/>
                <w:szCs w:val="20"/>
                <w:color w:val="auto"/>
              </w:rPr>
            </w:pPr>
            <w:r>
              <w:rPr>
                <w:rFonts w:ascii="Arial" w:cs="Arial" w:eastAsia="Arial" w:hAnsi="Arial"/>
                <w:sz w:val="17"/>
                <w:szCs w:val="17"/>
                <w:i w:val="1"/>
                <w:iCs w:val="1"/>
                <w:color w:val="auto"/>
              </w:rPr>
              <w:t>(In millions)</w:t>
            </w:r>
          </w:p>
        </w:tc>
        <w:tc>
          <w:tcPr>
            <w:tcW w:w="620" w:type="dxa"/>
            <w:vAlign w:val="bottom"/>
          </w:tcPr>
          <w:p>
            <w:pPr>
              <w:spacing w:after="0"/>
              <w:rPr>
                <w:sz w:val="22"/>
                <w:szCs w:val="22"/>
                <w:color w:val="auto"/>
              </w:rPr>
            </w:pPr>
          </w:p>
        </w:tc>
      </w:tr>
      <w:tr>
        <w:trPr>
          <w:trHeight w:val="222"/>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341.7</w:t>
            </w:r>
          </w:p>
        </w:tc>
      </w:tr>
      <w:tr>
        <w:trPr>
          <w:trHeight w:val="222"/>
        </w:trPr>
        <w:tc>
          <w:tcPr>
            <w:tcW w:w="716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(191.6)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(278.8)</w:t>
            </w:r>
          </w:p>
        </w:tc>
      </w:tr>
      <w:tr>
        <w:trPr>
          <w:trHeight w:val="222"/>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w:t>
            </w:r>
          </w:p>
        </w:tc>
      </w:tr>
      <w:tr>
        <w:trPr>
          <w:trHeight w:val="222"/>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24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57" w:lineRule="exact"/>
        <w:rPr>
          <w:sz w:val="20"/>
          <w:szCs w:val="20"/>
          <w:color w:val="auto"/>
        </w:rPr>
      </w:pPr>
    </w:p>
    <w:p>
      <w:pPr>
        <w:ind w:right="200" w:firstLine="391"/>
        <w:spacing w:after="0" w:line="266" w:lineRule="auto"/>
        <w:rPr>
          <w:sz w:val="20"/>
          <w:szCs w:val="20"/>
          <w:color w:val="auto"/>
        </w:rPr>
      </w:pPr>
      <w:r>
        <w:rPr>
          <w:rFonts w:ascii="Arial" w:cs="Arial" w:eastAsia="Arial" w:hAnsi="Arial"/>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depreciation and amortization expenses and stock-based compensation, as well as the effect of changes in operating assets and liabilities.</w:t>
      </w:r>
    </w:p>
    <w:p>
      <w:pPr>
        <w:spacing w:after="0" w:line="98" w:lineRule="exact"/>
        <w:rPr>
          <w:sz w:val="20"/>
          <w:szCs w:val="20"/>
          <w:color w:val="auto"/>
        </w:rPr>
      </w:pPr>
    </w:p>
    <w:p>
      <w:pPr>
        <w:ind w:right="80" w:firstLine="391"/>
        <w:spacing w:after="0" w:line="263" w:lineRule="auto"/>
        <w:rPr>
          <w:sz w:val="20"/>
          <w:szCs w:val="20"/>
          <w:color w:val="auto"/>
        </w:rPr>
      </w:pPr>
      <w:r>
        <w:rPr>
          <w:rFonts w:ascii="Arial" w:cs="Arial" w:eastAsia="Arial" w:hAnsi="Arial"/>
          <w:sz w:val="17"/>
          <w:szCs w:val="17"/>
          <w:color w:val="auto"/>
        </w:rPr>
        <w:t>For the nine months ended September 30, 2020, net cash provided by operating activities was $400.1 million, which mostly consisted of our net income of $89.5 million, adjusted for stock-based compensation expense of $192.1 million and depreciation and amortization expenses of $120.5 million, and net cash outflow of $1.1 million from operating assets and liabilities. The outflow from operating assets and liabilities was primarily due to the payment of our corporate bonus and key employee holdback payments related to the acquisition of HelloSign, offset by an increase in deferred revenue from increased subscription sales, as a majority of our paying users are invoiced in advance.</w:t>
      </w:r>
    </w:p>
    <w:p>
      <w:pPr>
        <w:spacing w:after="0" w:line="115"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The increase in net cash provided by operating activities during the nine months ended September 30, 2020, compared to the nine months ended September 30, 2019, was primarily due to an increase in net income, as adjusted for stock-based compensation and depreciation and amortization expenses. This was partially offset by a decrease in cash inflows from changes in operating assets and liabilities.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44" w:lineRule="exact"/>
        <w:rPr>
          <w:sz w:val="20"/>
          <w:szCs w:val="20"/>
          <w:color w:val="auto"/>
        </w:rPr>
      </w:pPr>
    </w:p>
    <w:p>
      <w:pPr>
        <w:ind w:right="500" w:firstLine="391"/>
        <w:spacing w:after="0" w:line="357" w:lineRule="auto"/>
        <w:rPr>
          <w:sz w:val="20"/>
          <w:szCs w:val="20"/>
          <w:color w:val="auto"/>
        </w:rPr>
      </w:pPr>
      <w:r>
        <w:rPr>
          <w:rFonts w:ascii="Arial" w:cs="Arial" w:eastAsia="Arial" w:hAnsi="Arial"/>
          <w:sz w:val="15"/>
          <w:szCs w:val="15"/>
          <w:color w:val="auto"/>
        </w:rPr>
        <w:t>Net cash used in investing activities is primarily impacted by purchases of short-term investments, purchases of property and equipment to make improvements to existing and collaboration spaces, and for purchasing infrastructure equipment in co-location facilities that we directly lease and operate.</w:t>
      </w:r>
    </w:p>
    <w:p>
      <w:pPr>
        <w:spacing w:after="0" w:line="48"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For the nine months ended September 30, 2020, net cash used in investing activities was $191.6 million, which primarily related to $136.2 million in net investment activity outflows, driven by the purchases of short-term investments, net of sales and maturities and $11.4 million in equipment rebates. Additionally, cash paid for capital expenditures during the period was $67.8 million related to our office and datacenter build-outs.</w:t>
      </w:r>
    </w:p>
    <w:p>
      <w:pPr>
        <w:spacing w:after="0" w:line="107" w:lineRule="exact"/>
        <w:rPr>
          <w:sz w:val="20"/>
          <w:szCs w:val="20"/>
          <w:color w:val="auto"/>
        </w:rPr>
      </w:pPr>
    </w:p>
    <w:p>
      <w:pPr>
        <w:ind w:right="60" w:firstLine="391"/>
        <w:spacing w:after="0" w:line="357" w:lineRule="auto"/>
        <w:rPr>
          <w:sz w:val="20"/>
          <w:szCs w:val="20"/>
          <w:color w:val="auto"/>
        </w:rPr>
      </w:pPr>
      <w:r>
        <w:rPr>
          <w:rFonts w:ascii="Arial" w:cs="Arial" w:eastAsia="Arial" w:hAnsi="Arial"/>
          <w:sz w:val="15"/>
          <w:szCs w:val="15"/>
          <w:color w:val="auto"/>
        </w:rPr>
        <w:t>The decrease in cash used in investing activities during the nine months ended September 30, 2020, compared to the nine months ended September 30, 2019, was primarily due to cash paid for our acquisition of HelloSign, net of cash acquired of $171.6 million during the nine months ended September 30, 2019.</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57" w:lineRule="exact"/>
        <w:rPr>
          <w:sz w:val="20"/>
          <w:szCs w:val="20"/>
          <w:color w:val="auto"/>
        </w:rPr>
      </w:pPr>
    </w:p>
    <w:p>
      <w:pPr>
        <w:ind w:right="240" w:firstLine="391"/>
        <w:spacing w:after="0" w:line="271" w:lineRule="auto"/>
        <w:rPr>
          <w:sz w:val="20"/>
          <w:szCs w:val="20"/>
          <w:color w:val="auto"/>
        </w:rPr>
      </w:pPr>
      <w:r>
        <w:rPr>
          <w:rFonts w:ascii="Arial" w:cs="Arial" w:eastAsia="Arial" w:hAnsi="Arial"/>
          <w:sz w:val="17"/>
          <w:szCs w:val="17"/>
          <w:color w:val="auto"/>
        </w:rPr>
        <w:t>Net cash used in financing activities is primarily impacted by repurchases of common stock to satisfy the tax withholding obligation for the release of restricted stock units (“RSUs”) and awards, principal payments on finance lease obligations for our infrastructure equipment, and open-market repurchases of common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For the nine months ended September 30, 2020, net cash used in financing activities was $307.9 million, which primarily consisted of $177.3 million for the repurchase of our common stock, $64.9 million in principal payments on finance lease obligations and $66.5 million for the satisfaction of tax withholding obligations for the release of restricted stock units and awards.</w:t>
      </w:r>
    </w:p>
    <w:p>
      <w:pPr>
        <w:spacing w:after="0" w:line="107" w:lineRule="exact"/>
        <w:rPr>
          <w:sz w:val="20"/>
          <w:szCs w:val="20"/>
          <w:color w:val="auto"/>
        </w:rPr>
      </w:pPr>
    </w:p>
    <w:p>
      <w:pPr>
        <w:ind w:right="140" w:firstLine="391"/>
        <w:spacing w:after="0" w:line="287" w:lineRule="auto"/>
        <w:rPr>
          <w:sz w:val="20"/>
          <w:szCs w:val="20"/>
          <w:color w:val="auto"/>
        </w:rPr>
      </w:pPr>
      <w:r>
        <w:rPr>
          <w:rFonts w:ascii="Arial" w:cs="Arial" w:eastAsia="Arial" w:hAnsi="Arial"/>
          <w:sz w:val="17"/>
          <w:szCs w:val="17"/>
          <w:color w:val="auto"/>
        </w:rPr>
        <w:t>The increase in cash used in financing activities during the nine months ended September 30, 2020, compared to the nine months ended September 30, 2019, was primarily due to the repurchase of our common stock during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53" w:name="page54"/>
    <w:bookmarkEnd w:id="53"/>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54" w:lineRule="exact"/>
        <w:rPr>
          <w:sz w:val="20"/>
          <w:szCs w:val="20"/>
          <w:color w:val="auto"/>
        </w:rPr>
      </w:pPr>
    </w:p>
    <w:p>
      <w:pPr>
        <w:jc w:val="both"/>
        <w:ind w:firstLine="391"/>
        <w:spacing w:after="0" w:line="296" w:lineRule="auto"/>
        <w:rPr>
          <w:sz w:val="20"/>
          <w:szCs w:val="20"/>
          <w:color w:val="auto"/>
        </w:rPr>
      </w:pPr>
      <w:r>
        <w:rPr>
          <w:rFonts w:ascii="Arial" w:cs="Arial" w:eastAsia="Arial" w:hAnsi="Arial"/>
          <w:sz w:val="16"/>
          <w:szCs w:val="16"/>
          <w:color w:val="auto"/>
        </w:rPr>
        <w:t>Our principal commitments consist of obligations under operating leases for office space and datacenter operations, and finance leases for datacenter equipment. See Note 9 "Leases" to our condensed consolidated financial statements included elsewhere in this Quarterly Report on Form 10-Q for further information. There have been no material changes in our contractual obligations and commitments, as disclosed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4"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As of September 30, 2020,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55" w:name="page56"/>
    <w:bookmarkEnd w:id="55"/>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Judgments</w:t>
      </w:r>
    </w:p>
    <w:p>
      <w:pPr>
        <w:spacing w:after="0" w:line="254" w:lineRule="exact"/>
        <w:rPr>
          <w:sz w:val="20"/>
          <w:szCs w:val="20"/>
          <w:color w:val="auto"/>
        </w:rPr>
      </w:pPr>
    </w:p>
    <w:p>
      <w:pPr>
        <w:ind w:firstLine="313"/>
        <w:spacing w:after="0" w:line="357" w:lineRule="auto"/>
        <w:rPr>
          <w:sz w:val="20"/>
          <w:szCs w:val="20"/>
          <w:color w:val="auto"/>
        </w:rPr>
      </w:pPr>
      <w:r>
        <w:rPr>
          <w:rFonts w:ascii="Arial" w:cs="Arial" w:eastAsia="Arial" w:hAnsi="Arial"/>
          <w:sz w:val="15"/>
          <w:szCs w:val="15"/>
          <w:color w:val="auto"/>
        </w:rPr>
        <w:t>See Part II, Item 7, "Critical Accounting Policies and Judgments " in our Annual Report on Form 10-K for the year ended December 31, 2019. There have been no material changes to our critical accounting policies and estimates since our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4" w:lineRule="exact"/>
        <w:rPr>
          <w:sz w:val="20"/>
          <w:szCs w:val="20"/>
          <w:color w:val="auto"/>
        </w:rPr>
      </w:pPr>
    </w:p>
    <w:p>
      <w:pPr>
        <w:ind w:firstLine="391"/>
        <w:spacing w:after="0" w:line="357" w:lineRule="auto"/>
        <w:rPr>
          <w:sz w:val="20"/>
          <w:szCs w:val="20"/>
          <w:color w:val="auto"/>
        </w:rPr>
      </w:pPr>
      <w:r>
        <w:rPr>
          <w:rFonts w:ascii="Arial" w:cs="Arial" w:eastAsia="Arial" w:hAnsi="Arial"/>
          <w:sz w:val="15"/>
          <w:szCs w:val="15"/>
          <w:color w:val="auto"/>
        </w:rPr>
        <w:t>See Note 1, “Description of the Business and Summary of Significant Accounting Policies” to our condensed consolidated financial statements included elsewhere in this Quarterly Report on Form 10-Q for recently adopted accounting pronouncements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57" w:name="page58"/>
    <w:bookmarkEnd w:id="57"/>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57" w:lineRule="exact"/>
        <w:rPr>
          <w:sz w:val="20"/>
          <w:szCs w:val="20"/>
          <w:color w:val="auto"/>
        </w:rPr>
      </w:pPr>
    </w:p>
    <w:p>
      <w:pPr>
        <w:ind w:right="80" w:firstLine="391"/>
        <w:spacing w:after="0" w:line="280" w:lineRule="auto"/>
        <w:rPr>
          <w:sz w:val="20"/>
          <w:szCs w:val="20"/>
          <w:color w:val="auto"/>
        </w:rPr>
      </w:pPr>
      <w:r>
        <w:rPr>
          <w:rFonts w:ascii="Arial" w:cs="Arial" w:eastAsia="Arial" w:hAnsi="Arial"/>
          <w:sz w:val="16"/>
          <w:szCs w:val="16"/>
          <w:color w:val="auto"/>
        </w:rPr>
        <w:t>We had cash and cash equivalents of $452.7 million and short-term investments of $773.8 million as of September 30, 2020.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and municipal securities.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88" w:lineRule="exact"/>
        <w:rPr>
          <w:sz w:val="20"/>
          <w:szCs w:val="20"/>
          <w:color w:val="auto"/>
        </w:rPr>
      </w:pPr>
    </w:p>
    <w:p>
      <w:pPr>
        <w:jc w:val="both"/>
        <w:ind w:right="240" w:firstLine="391"/>
        <w:spacing w:after="0" w:line="271" w:lineRule="auto"/>
        <w:rPr>
          <w:sz w:val="20"/>
          <w:szCs w:val="20"/>
          <w:color w:val="auto"/>
        </w:rPr>
      </w:pPr>
      <w:r>
        <w:rPr>
          <w:rFonts w:ascii="Arial" w:cs="Arial" w:eastAsia="Arial" w:hAnsi="Arial"/>
          <w:sz w:val="17"/>
          <w:szCs w:val="17"/>
          <w:color w:val="auto"/>
        </w:rPr>
        <w:t>Any borrowings under the revolving credit facility bear interest at a variable rate tied to the prime rate or the LIBOR rate. As of September 30, 2020, we had no amounts outstanding under the revolving credit facility. We do not have any other long-term debt or financial liabilities with floating interest rates that would subject us to interest rate fluctuations.</w:t>
      </w:r>
    </w:p>
    <w:p>
      <w:pPr>
        <w:spacing w:after="0" w:line="107" w:lineRule="exact"/>
        <w:rPr>
          <w:sz w:val="20"/>
          <w:szCs w:val="20"/>
          <w:color w:val="auto"/>
        </w:rPr>
      </w:pPr>
    </w:p>
    <w:p>
      <w:pPr>
        <w:ind w:right="80" w:firstLine="391"/>
        <w:spacing w:after="0" w:line="287" w:lineRule="auto"/>
        <w:rPr>
          <w:sz w:val="20"/>
          <w:szCs w:val="20"/>
          <w:color w:val="auto"/>
        </w:rPr>
      </w:pPr>
      <w:r>
        <w:rPr>
          <w:rFonts w:ascii="Arial" w:cs="Arial" w:eastAsia="Arial" w:hAnsi="Arial"/>
          <w:sz w:val="17"/>
          <w:szCs w:val="17"/>
          <w:color w:val="auto"/>
        </w:rPr>
        <w:t>As of September 30, 2020, a hypothetical change in interest rates by 100 basis points would not have a significant impact on our cash and cash equivalents or the fair value of our investment portfolio.</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44" w:lineRule="exact"/>
        <w:rPr>
          <w:sz w:val="20"/>
          <w:szCs w:val="20"/>
          <w:color w:val="auto"/>
        </w:rPr>
      </w:pPr>
    </w:p>
    <w:p>
      <w:pPr>
        <w:ind w:right="80" w:firstLine="391"/>
        <w:spacing w:after="0" w:line="287"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w:t>
      </w:r>
    </w:p>
    <w:p>
      <w:pPr>
        <w:spacing w:after="0" w:line="93" w:lineRule="exact"/>
        <w:rPr>
          <w:sz w:val="20"/>
          <w:szCs w:val="20"/>
          <w:color w:val="auto"/>
        </w:rPr>
      </w:pPr>
    </w:p>
    <w:p>
      <w:pPr>
        <w:ind w:right="160" w:firstLine="391"/>
        <w:spacing w:after="0" w:line="287" w:lineRule="auto"/>
        <w:rPr>
          <w:sz w:val="20"/>
          <w:szCs w:val="20"/>
          <w:color w:val="auto"/>
        </w:rPr>
      </w:pPr>
      <w:r>
        <w:rPr>
          <w:rFonts w:ascii="Arial" w:cs="Arial" w:eastAsia="Arial" w:hAnsi="Arial"/>
          <w:sz w:val="17"/>
          <w:szCs w:val="17"/>
          <w:color w:val="auto"/>
        </w:rPr>
        <w:t>Most of our revenue is generated in U.S. dollars, with the remainder generated in Euros, British pounds sterling, Australian dollars, Canadian dollars, and Japanese yen.</w:t>
      </w:r>
    </w:p>
    <w:p>
      <w:pPr>
        <w:spacing w:after="0" w:line="93"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98" w:lineRule="exact"/>
        <w:rPr>
          <w:sz w:val="20"/>
          <w:szCs w:val="20"/>
          <w:color w:val="auto"/>
        </w:rPr>
      </w:pPr>
    </w:p>
    <w:p>
      <w:pPr>
        <w:ind w:firstLine="391"/>
        <w:spacing w:after="0" w:line="279" w:lineRule="auto"/>
        <w:rPr>
          <w:sz w:val="20"/>
          <w:szCs w:val="20"/>
          <w:color w:val="auto"/>
        </w:rPr>
      </w:pPr>
      <w:r>
        <w:rPr>
          <w:rFonts w:ascii="Arial" w:cs="Arial" w:eastAsia="Arial" w:hAnsi="Arial"/>
          <w:sz w:val="16"/>
          <w:szCs w:val="16"/>
          <w:color w:val="auto"/>
        </w:rPr>
        <w:t>As exchange rates may fluctuate significantly between periods, revenue and operating expenses, when converted into U.S. dollars, may also experience significant fluctuations between periods. Volatile market conditions arising from the COVID-19 pandemic may result in significant changes in exchange rates, and in particular a weakening of foreign currencies relative to the U.S. dollar may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nine months ended September 30, 2020, 28%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101" w:lineRule="exact"/>
        <w:rPr>
          <w:sz w:val="20"/>
          <w:szCs w:val="20"/>
          <w:color w:val="auto"/>
        </w:rPr>
      </w:pPr>
    </w:p>
    <w:p>
      <w:pPr>
        <w:ind w:right="180" w:firstLine="391"/>
        <w:spacing w:after="0" w:line="271" w:lineRule="auto"/>
        <w:rPr>
          <w:sz w:val="20"/>
          <w:szCs w:val="20"/>
          <w:color w:val="auto"/>
        </w:rPr>
      </w:pPr>
      <w:r>
        <w:rPr>
          <w:rFonts w:ascii="Arial" w:cs="Arial" w:eastAsia="Arial" w:hAnsi="Arial"/>
          <w:sz w:val="17"/>
          <w:szCs w:val="17"/>
          <w:color w:val="auto"/>
        </w:rPr>
        <w:t>We recorded $2.1 million and $1.1 million in net foreign currency transaction gains and losses in the nine months ended September 30, 2020 and 2019, respectively. A hypothetical 10% change in foreign currency rates would not have resulted in material gains or losses for the nine months ended September 30, 2020 and 2019.</w:t>
      </w:r>
    </w:p>
    <w:p>
      <w:pPr>
        <w:spacing w:after="0" w:line="107" w:lineRule="exact"/>
        <w:rPr>
          <w:sz w:val="20"/>
          <w:szCs w:val="20"/>
          <w:color w:val="auto"/>
        </w:rPr>
      </w:pPr>
    </w:p>
    <w:p>
      <w:pPr>
        <w:ind w:right="140" w:firstLine="391"/>
        <w:spacing w:after="0" w:line="287" w:lineRule="auto"/>
        <w:rPr>
          <w:sz w:val="20"/>
          <w:szCs w:val="20"/>
          <w:color w:val="auto"/>
        </w:rPr>
      </w:pPr>
      <w:r>
        <w:rPr>
          <w:rFonts w:ascii="Arial" w:cs="Arial" w:eastAsia="Arial" w:hAnsi="Arial"/>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Inflation risk</w:t>
      </w:r>
    </w:p>
    <w:p>
      <w:pPr>
        <w:spacing w:after="0" w:line="157" w:lineRule="exact"/>
        <w:rPr>
          <w:sz w:val="20"/>
          <w:szCs w:val="20"/>
          <w:color w:val="auto"/>
        </w:rPr>
      </w:pPr>
    </w:p>
    <w:p>
      <w:pPr>
        <w:ind w:right="360" w:firstLine="391"/>
        <w:spacing w:after="0" w:line="271"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4" w:lineRule="exact"/>
        <w:rPr>
          <w:sz w:val="20"/>
          <w:szCs w:val="20"/>
          <w:color w:val="auto"/>
        </w:rPr>
      </w:pPr>
    </w:p>
    <w:p>
      <w:pPr>
        <w:jc w:val="both"/>
        <w:ind w:right="80" w:firstLine="391"/>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4" w:lineRule="exact"/>
        <w:rPr>
          <w:sz w:val="20"/>
          <w:szCs w:val="20"/>
          <w:color w:val="auto"/>
        </w:rPr>
      </w:pPr>
    </w:p>
    <w:p>
      <w:pPr>
        <w:ind w:right="120" w:firstLine="391"/>
        <w:spacing w:after="0" w:line="271" w:lineRule="auto"/>
        <w:rPr>
          <w:sz w:val="20"/>
          <w:szCs w:val="20"/>
          <w:color w:val="auto"/>
        </w:rPr>
      </w:pPr>
      <w:r>
        <w:rPr>
          <w:rFonts w:ascii="Arial" w:cs="Arial" w:eastAsia="Arial" w:hAnsi="Arial"/>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254" w:lineRule="exact"/>
        <w:rPr>
          <w:sz w:val="20"/>
          <w:szCs w:val="20"/>
          <w:color w:val="auto"/>
        </w:rPr>
      </w:pPr>
    </w:p>
    <w:p>
      <w:pPr>
        <w:ind w:firstLine="391"/>
        <w:spacing w:after="0" w:line="259"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9" w:name="page60"/>
    <w:bookmarkEnd w:id="59"/>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3" w:lineRule="exact"/>
        <w:rPr>
          <w:sz w:val="20"/>
          <w:szCs w:val="20"/>
          <w:color w:val="auto"/>
        </w:rPr>
      </w:pPr>
    </w:p>
    <w:p>
      <w:pPr>
        <w:ind w:right="40" w:firstLine="391"/>
        <w:spacing w:after="0" w:line="299" w:lineRule="auto"/>
        <w:rPr>
          <w:sz w:val="20"/>
          <w:szCs w:val="20"/>
          <w:color w:val="auto"/>
        </w:rPr>
      </w:pPr>
      <w:r>
        <w:rPr>
          <w:rFonts w:ascii="Arial" w:cs="Arial" w:eastAsia="Arial" w:hAnsi="Arial"/>
          <w:sz w:val="15"/>
          <w:szCs w:val="15"/>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("Synchronoss"),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and at summary judgment, the court resolved all claims in our favor. Synchronoss appealed this order and the appeal has been fully briefed and argued. We do not currently believe that this matter is likely to have a material adverse impact on our consolidated results of operations, cash flows, or our financial position. However, any litigation is inherently uncertain, and any judgment or injunctive relief entered against us or any adverse settlement could materially and adversely impact our business, results of operations, financial condition, and prospects.</w:t>
      </w:r>
    </w:p>
    <w:p>
      <w:pPr>
        <w:spacing w:after="0" w:line="93"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Four putative class action lawsuits alleging violations of the federal securities laws were filed on August 30, 2019, September 5, 2019, September 13, 2019, and October 3, 2019, in the Superior Court of the State of California, San Mateo County, against us, certain of our officers and directors, underwriters of our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"Federal Plaintiffs"). The six lawsuits each make the same or similar allegations of violations of federal securities laws, for allegedly making materially false and misleading statements in, or omitting material information from, our IPO registration statement. The plaintiffs seek unspecified monetary damages and other relief. On March 2, 2020, the Federal Plaintiffs filed a consolidated class action complaint. On April 16, 2020, the Dropbox Defendants filed a motion to dismiss the federal consolidated class action complaint. On May 11, 2020, the Dropbox Defendants filed a motion to dismiss the consolidated state court case based on the exclusive federal forum provisions contained in our amended and restated bylaws. On October 21, 2020, the court issued an order granting our motion to dismiss the Federal Plaintiffs’ complaint with leave to amend. We believe the claims are without merit and we intend to vigorously defend against them. We do not currently believe that this matter is likely to have a material adverse impact on our consolidated results of operations, cash flows, or financial position. However, any litigation is inherently uncertain, and any judgment or injunctive relief entered against us or any adverse settlement could materially and adversely impact our business, results of operations, financial condition, and prospects.</w:t>
      </w:r>
    </w:p>
    <w:p>
      <w:pPr>
        <w:spacing w:after="0" w:line="92" w:lineRule="exact"/>
        <w:rPr>
          <w:sz w:val="20"/>
          <w:szCs w:val="20"/>
          <w:color w:val="auto"/>
        </w:rPr>
      </w:pPr>
    </w:p>
    <w:p>
      <w:pPr>
        <w:ind w:firstLine="391"/>
        <w:spacing w:after="0" w:line="296"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243" w:lineRule="exact"/>
        <w:rPr>
          <w:sz w:val="20"/>
          <w:szCs w:val="20"/>
          <w:color w:val="auto"/>
        </w:rPr>
      </w:pPr>
    </w:p>
    <w:p>
      <w:pPr>
        <w:ind w:right="80" w:firstLine="391"/>
        <w:spacing w:after="0" w:line="260" w:lineRule="auto"/>
        <w:rPr>
          <w:sz w:val="20"/>
          <w:szCs w:val="20"/>
          <w:color w:val="auto"/>
        </w:rPr>
      </w:pPr>
      <w:r>
        <w:rPr>
          <w:rFonts w:ascii="Arial" w:cs="Arial" w:eastAsia="Arial" w:hAnsi="Arial"/>
          <w:sz w:val="17"/>
          <w:szCs w:val="17"/>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the impacts of COVID-19 and any worsening of the economic environment may exacerbate the risks described below, any of which could have a material impact on us. This situation is changing rapidly and additional impacts may arise that we are not currently aware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254"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84" w:lineRule="exact"/>
        <w:rPr>
          <w:sz w:val="20"/>
          <w:szCs w:val="20"/>
          <w:color w:val="auto"/>
        </w:rPr>
      </w:pPr>
    </w:p>
    <w:p>
      <w:pPr>
        <w:ind w:firstLine="391"/>
        <w:spacing w:after="0" w:line="303" w:lineRule="auto"/>
        <w:rPr>
          <w:sz w:val="20"/>
          <w:szCs w:val="20"/>
          <w:color w:val="auto"/>
        </w:rPr>
      </w:pPr>
      <w:r>
        <w:rPr>
          <w:rFonts w:ascii="Arial" w:cs="Arial" w:eastAsia="Arial" w:hAnsi="Arial"/>
          <w:sz w:val="15"/>
          <w:szCs w:val="15"/>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the perception that competitive products provide better or less expensive options, shifts in the mix of monthly and annual subscriptions or the impact of catastrophic events, such as the ongoing COVID-19 pandemic, on our paying users. In addition, some paying users downgrade or do not renew their subscriptions.</w:t>
      </w:r>
    </w:p>
    <w:p>
      <w:pPr>
        <w:spacing w:after="0" w:line="180" w:lineRule="exact"/>
        <w:rPr>
          <w:sz w:val="20"/>
          <w:szCs w:val="20"/>
          <w:color w:val="auto"/>
        </w:rPr>
      </w:pPr>
    </w:p>
    <w:p>
      <w:pPr>
        <w:ind w:right="60" w:firstLine="391"/>
        <w:spacing w:after="0" w:line="296" w:lineRule="auto"/>
        <w:rPr>
          <w:sz w:val="20"/>
          <w:szCs w:val="20"/>
          <w:color w:val="auto"/>
        </w:rPr>
      </w:pPr>
      <w:r>
        <w:rPr>
          <w:rFonts w:ascii="Arial" w:cs="Arial" w:eastAsia="Arial" w:hAnsi="Arial"/>
          <w:sz w:val="15"/>
          <w:szCs w:val="15"/>
          <w:color w:val="auto"/>
        </w:rPr>
        <w:t>We encourage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cancel their subscriptions or fail to renew, or if we fail to upgrade our paying users to premium offerings or expand within organizations, our business, results of operations, and financial condition may be harmed. Furthermore, we have and may continue to see an increase in customers opting for our monthly plans rather than our annual plans, including from users who upgrade to paid plans using mobile devices. As a result, if more of our users subscribe to our paid plans through mobile devices or otherwise opt for monthly plans, subscription renewals may fluctuate or decline. Additionally, we are increasingly introducing our users to offerings that are not subscription based, such as add-ons and transaction volume-based offerings. We believe these efforts, and certain fees from the referral of users to our partners, will generate increased recurring revenues from our existing user base. However, if users do not believe these offerings are compelling, they may not retain or expand their deployments, and we may not be able to increase the amount of recurring revenue from our user base.</w:t>
      </w:r>
    </w:p>
    <w:p>
      <w:pPr>
        <w:spacing w:after="0" w:line="185"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could be harmed if we fail to attract new users or convert registered users to paying users.</w:t>
      </w:r>
    </w:p>
    <w:p>
      <w:pPr>
        <w:spacing w:after="0" w:line="248"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98" w:lineRule="exact"/>
        <w:rPr>
          <w:sz w:val="20"/>
          <w:szCs w:val="20"/>
          <w:color w:val="auto"/>
        </w:rPr>
      </w:pPr>
    </w:p>
    <w:p>
      <w:pPr>
        <w:jc w:val="both"/>
        <w:ind w:right="400" w:firstLine="391"/>
        <w:spacing w:after="0" w:line="271"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September 30, 2020, we served over 600 million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ind w:right="240"/>
        <w:spacing w:after="0" w:line="296" w:lineRule="auto"/>
        <w:rPr>
          <w:sz w:val="20"/>
          <w:szCs w:val="20"/>
          <w:color w:val="auto"/>
        </w:rPr>
      </w:pPr>
      <w:r>
        <w:rPr>
          <w:rFonts w:ascii="Arial" w:cs="Arial" w:eastAsia="Arial" w:hAnsi="Arial"/>
          <w:sz w:val="16"/>
          <w:szCs w:val="16"/>
          <w:color w:val="auto"/>
        </w:rPr>
        <w:t>registered users but only 15.25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180" w:lineRule="exact"/>
        <w:rPr>
          <w:sz w:val="20"/>
          <w:szCs w:val="20"/>
          <w:color w:val="auto"/>
        </w:rPr>
      </w:pPr>
    </w:p>
    <w:p>
      <w:pPr>
        <w:ind w:right="100" w:firstLine="391"/>
        <w:spacing w:after="0" w:line="307" w:lineRule="auto"/>
        <w:rPr>
          <w:sz w:val="20"/>
          <w:szCs w:val="20"/>
          <w:color w:val="auto"/>
        </w:rPr>
      </w:pPr>
      <w:r>
        <w:rPr>
          <w:rFonts w:ascii="Arial" w:cs="Arial" w:eastAsia="Arial" w:hAnsi="Arial"/>
          <w:sz w:val="15"/>
          <w:szCs w:val="15"/>
          <w:color w:val="auto"/>
        </w:rPr>
        <w:t>In addition, our user growth rate has and may continue to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 Furthermore, catastrophic events that financially impact our registered users and other prospective paying users, such as the ongoing COVID-19 pandemic, may cause these users to delay or reduce technology spending, which may impact our ability to convert registered users or otherwise attract new paying users.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has declined in recent periods and may continue to slow in the future.</w:t>
      </w:r>
    </w:p>
    <w:p>
      <w:pPr>
        <w:spacing w:after="0" w:line="248" w:lineRule="exact"/>
        <w:rPr>
          <w:sz w:val="20"/>
          <w:szCs w:val="20"/>
          <w:color w:val="auto"/>
        </w:rPr>
      </w:pPr>
    </w:p>
    <w:p>
      <w:pPr>
        <w:ind w:right="60" w:firstLine="391"/>
        <w:spacing w:after="0" w:line="303" w:lineRule="auto"/>
        <w:rPr>
          <w:sz w:val="20"/>
          <w:szCs w:val="20"/>
          <w:color w:val="auto"/>
        </w:rPr>
      </w:pPr>
      <w:r>
        <w:rPr>
          <w:rFonts w:ascii="Arial" w:cs="Arial" w:eastAsia="Arial" w:hAnsi="Arial"/>
          <w:sz w:val="15"/>
          <w:szCs w:val="15"/>
          <w:color w:val="auto"/>
        </w:rPr>
        <w:t>We have experienced significant revenue growth in prior periods. However, our rates of revenue growth are slowing, will likely continue to slow through the end of our current fiscal year and may continue to slow in future periods.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the impact of catastrophic events on economic conditions or on our current and prospective paying users,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history of operating with a Virtual First workforce and the long-term impact on our financial results and business operations is uncertain.</w:t>
      </w:r>
    </w:p>
    <w:p>
      <w:pPr>
        <w:spacing w:after="0" w:line="271" w:lineRule="exact"/>
        <w:rPr>
          <w:sz w:val="20"/>
          <w:szCs w:val="20"/>
          <w:color w:val="auto"/>
        </w:rPr>
      </w:pPr>
    </w:p>
    <w:p>
      <w:pPr>
        <w:ind w:right="20" w:firstLine="391"/>
        <w:spacing w:after="0" w:line="263" w:lineRule="auto"/>
        <w:rPr>
          <w:sz w:val="20"/>
          <w:szCs w:val="20"/>
          <w:color w:val="auto"/>
        </w:rPr>
      </w:pPr>
      <w:r>
        <w:rPr>
          <w:rFonts w:ascii="Arial" w:cs="Arial" w:eastAsia="Arial" w:hAnsi="Arial"/>
          <w:sz w:val="17"/>
          <w:szCs w:val="17"/>
          <w:color w:val="auto"/>
        </w:rPr>
        <w:t>In October 2020, we announced a new Virtual First work model pursuant to which remote work will become the primary experience for all of our employees and our intention is for our workforce to become more distributed over time. However, we have a limited history of operating with a Virtual First workforce and, although we anticipate that our shift to a new Virtual First work model will have a long-term positive impact on our financial results and business operations, the impact remains uncertain. Additionally, there is no guarantee that we will realize any anticipated benefits to our business, including any cost savings, operational efficiencies, or productivity.</w:t>
      </w:r>
    </w:p>
    <w:p>
      <w:pPr>
        <w:spacing w:after="0" w:line="207" w:lineRule="exact"/>
        <w:rPr>
          <w:sz w:val="20"/>
          <w:szCs w:val="20"/>
          <w:color w:val="auto"/>
        </w:rPr>
      </w:pPr>
    </w:p>
    <w:p>
      <w:pPr>
        <w:ind w:right="60" w:firstLine="391"/>
        <w:spacing w:after="0" w:line="288" w:lineRule="auto"/>
        <w:rPr>
          <w:sz w:val="20"/>
          <w:szCs w:val="20"/>
          <w:color w:val="auto"/>
        </w:rPr>
      </w:pPr>
      <w:r>
        <w:rPr>
          <w:rFonts w:ascii="Arial" w:cs="Arial" w:eastAsia="Arial" w:hAnsi="Arial"/>
          <w:sz w:val="16"/>
          <w:szCs w:val="16"/>
          <w:color w:val="auto"/>
        </w:rPr>
        <w:t>Our shift to Virtual First could make it increasingly difficult to manage our business and adequately oversee our employees and business functions,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involving our data or our users’ content. Any of these factors could adversely affect our financial condition and operating results.</w:t>
      </w:r>
    </w:p>
    <w:p>
      <w:pPr>
        <w:spacing w:after="0" w:line="186" w:lineRule="exact"/>
        <w:rPr>
          <w:sz w:val="20"/>
          <w:szCs w:val="20"/>
          <w:color w:val="auto"/>
        </w:rPr>
      </w:pPr>
    </w:p>
    <w:p>
      <w:pPr>
        <w:ind w:right="40" w:firstLine="391"/>
        <w:spacing w:after="0" w:line="299" w:lineRule="auto"/>
        <w:rPr>
          <w:sz w:val="20"/>
          <w:szCs w:val="20"/>
          <w:color w:val="auto"/>
        </w:rPr>
      </w:pPr>
      <w:r>
        <w:rPr>
          <w:rFonts w:ascii="Arial" w:cs="Arial" w:eastAsia="Arial" w:hAnsi="Arial"/>
          <w:sz w:val="15"/>
          <w:szCs w:val="15"/>
          <w:color w:val="auto"/>
        </w:rPr>
        <w:t>In addition, we expect that we will need less office space than we are currently contractually committed to leasing and as a result, we anticipate incurring impairment charges in connection with the subleasing of certain of our unused office spaces, which will impact our ability to achieve GAAP profitability in the fourth quarter of 2020 and current fiscal year, and may impact our ability to achieve GAAP profitability in future periods. Furthermore, a prolonged recessionary period and industry shifts towards remote work, including as a result of the COVID-19 pandemic,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185"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b w:val="1"/>
          <w:bCs w:val="1"/>
          <w:i w:val="1"/>
          <w:iCs w:val="1"/>
          <w:color w:val="auto"/>
        </w:rPr>
        <w:t>The full extent of the impacts of the COVID-19 pandemic on our business is currently unknown, but it may adversely affect our financial results as well as our business operations.</w:t>
      </w:r>
    </w:p>
    <w:p>
      <w:pPr>
        <w:spacing w:after="0" w:line="184" w:lineRule="exact"/>
        <w:rPr>
          <w:sz w:val="20"/>
          <w:szCs w:val="20"/>
          <w:color w:val="auto"/>
        </w:rPr>
      </w:pPr>
    </w:p>
    <w:p>
      <w:pPr>
        <w:jc w:val="both"/>
        <w:ind w:firstLine="391"/>
        <w:spacing w:after="0" w:line="266" w:lineRule="auto"/>
        <w:rPr>
          <w:sz w:val="20"/>
          <w:szCs w:val="20"/>
          <w:color w:val="auto"/>
        </w:rPr>
      </w:pPr>
      <w:r>
        <w:rPr>
          <w:rFonts w:ascii="Arial" w:cs="Arial" w:eastAsia="Arial" w:hAnsi="Arial"/>
          <w:sz w:val="17"/>
          <w:szCs w:val="17"/>
          <w:color w:val="auto"/>
        </w:rPr>
        <w:t>The full extent of the impacts of the COVID-19 pandemic on our financial results and business operations are currently unknown and cannot be estimated with any degree of certainty. Impacts to our financial results may include, without limitation, (1) negative impacts to our current and prospective users’ ability to purchase or renew paid licenses for access to our platform, delays or defaults on payment obligations, which could negatively affect our revenues and cash flows, or modifications to net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payment terms or invoice frequency, which could negatively affect our cash flows, (2) fluctuations in foreign currency exchange rates, which have and may continue to negatively impact our results of operations and cash flows, and (3) decreases in interest rates, which has and may continue to reduce interest income. Impacts to our business operations may include, without limitation, (1) disruptions to our sales operations and marketing efforts, (2) negative impacts to the financial condition or operations of our vendors and business partners, as well as disruptions to the supply chain of hardware needed to offer our services, (3) disruptions to our ability to conduct product development and other important business activities, and (4) potential postponement or cancellation of previously planned investments or other initiatives. Accordingly, the COVID-19 pandemic may have a negative impact on our financial results as well as our business operations, the magnitude and duration of which we are currently unable to predict. Additionally, concerns over the economic impact of the COVID-19 pandemic have caused extreme volatility in financial and other capital markets which may adversely impact our stock price.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competitive markets, and we must continue to compete effectively.</w:t>
      </w:r>
    </w:p>
    <w:p>
      <w:pPr>
        <w:spacing w:after="0" w:line="248" w:lineRule="exact"/>
        <w:rPr>
          <w:sz w:val="20"/>
          <w:szCs w:val="20"/>
          <w:color w:val="auto"/>
        </w:rPr>
      </w:pPr>
    </w:p>
    <w:p>
      <w:pPr>
        <w:ind w:right="160" w:firstLine="391"/>
        <w:spacing w:after="0" w:line="263"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and Google and in the content collaboration market with products offered by Microsoft, Atlassian, Slack, and Google.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207" w:lineRule="exact"/>
        <w:rPr>
          <w:sz w:val="20"/>
          <w:szCs w:val="20"/>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brand;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continued innovation;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pricing.</w:t>
      </w:r>
    </w:p>
    <w:p>
      <w:pPr>
        <w:spacing w:after="0" w:line="248"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206" w:lineRule="exact"/>
        <w:rPr>
          <w:sz w:val="20"/>
          <w:szCs w:val="20"/>
          <w:color w:val="auto"/>
        </w:rPr>
      </w:pPr>
    </w:p>
    <w:p>
      <w:pPr>
        <w:ind w:firstLine="391"/>
        <w:spacing w:after="0" w:line="296"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98"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84" w:lineRule="exact"/>
        <w:rPr>
          <w:sz w:val="20"/>
          <w:szCs w:val="20"/>
          <w:color w:val="auto"/>
        </w:rPr>
      </w:pPr>
    </w:p>
    <w:p>
      <w:pPr>
        <w:ind w:right="20" w:firstLine="391"/>
        <w:spacing w:after="0" w:line="292" w:lineRule="auto"/>
        <w:rPr>
          <w:sz w:val="20"/>
          <w:szCs w:val="20"/>
          <w:color w:val="auto"/>
        </w:rPr>
      </w:pPr>
      <w:r>
        <w:rPr>
          <w:rFonts w:ascii="Arial" w:cs="Arial" w:eastAsia="Arial" w:hAnsi="Arial"/>
          <w:sz w:val="15"/>
          <w:szCs w:val="15"/>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w:t>
      </w:r>
    </w:p>
    <w:p>
      <w:pPr>
        <w:spacing w:after="0" w:line="2"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212" w:lineRule="exact"/>
        <w:rPr>
          <w:sz w:val="20"/>
          <w:szCs w:val="20"/>
          <w:color w:val="auto"/>
        </w:rPr>
      </w:pPr>
    </w:p>
    <w:p>
      <w:pPr>
        <w:ind w:right="80" w:firstLine="391"/>
        <w:spacing w:after="0" w:line="271" w:lineRule="auto"/>
        <w:rPr>
          <w:sz w:val="20"/>
          <w:szCs w:val="20"/>
          <w:color w:val="auto"/>
        </w:rPr>
      </w:pPr>
      <w:r>
        <w:rPr>
          <w:rFonts w:ascii="Arial" w:cs="Arial" w:eastAsia="Arial" w:hAnsi="Arial"/>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such as during the ongoing COVID-19 pandemic.</w:t>
      </w:r>
    </w:p>
    <w:p>
      <w:pPr>
        <w:spacing w:after="0" w:line="198"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198" w:lineRule="exact"/>
        <w:rPr>
          <w:sz w:val="20"/>
          <w:szCs w:val="20"/>
          <w:color w:val="auto"/>
        </w:rPr>
      </w:pPr>
    </w:p>
    <w:p>
      <w:pPr>
        <w:ind w:right="180" w:firstLine="391"/>
        <w:spacing w:after="0" w:line="263" w:lineRule="auto"/>
        <w:rPr>
          <w:sz w:val="20"/>
          <w:szCs w:val="20"/>
          <w:color w:val="auto"/>
        </w:rPr>
      </w:pPr>
      <w:r>
        <w:rPr>
          <w:rFonts w:ascii="Arial" w:cs="Arial" w:eastAsia="Arial" w:hAnsi="Arial"/>
          <w:sz w:val="17"/>
          <w:szCs w:val="17"/>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This risk may be heightened as we transition to a Virtual First and increasingly distributed workforce. In addition, our users may also disclose or lose control of their passwords, or use the same or similar passwords on third parties’ systems, which could lead to unauthorized access to their accounts on our platform.</w:t>
      </w:r>
    </w:p>
    <w:p>
      <w:pPr>
        <w:spacing w:after="0" w:line="207" w:lineRule="exact"/>
        <w:rPr>
          <w:sz w:val="20"/>
          <w:szCs w:val="20"/>
          <w:color w:val="auto"/>
        </w:rPr>
      </w:pPr>
    </w:p>
    <w:p>
      <w:pPr>
        <w:ind w:right="80" w:firstLine="391"/>
        <w:spacing w:after="0" w:line="259"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infrastructure,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by any significant disruption of service on our platform or loss of content.</w:t>
      </w:r>
    </w:p>
    <w:p>
      <w:pPr>
        <w:spacing w:after="0" w:line="248" w:lineRule="exact"/>
        <w:rPr>
          <w:sz w:val="20"/>
          <w:szCs w:val="20"/>
          <w:color w:val="auto"/>
        </w:rPr>
      </w:pPr>
    </w:p>
    <w:p>
      <w:pPr>
        <w:ind w:right="200" w:firstLine="391"/>
        <w:spacing w:after="0" w:line="262"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6"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that we directly lease and operate. As we add to our infrastructure, we may move or transfer additional content.</w:t>
      </w:r>
    </w:p>
    <w:p>
      <w:pPr>
        <w:spacing w:after="0" w:line="203"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Significant and unforeseen disruptions to the supply chain, including those resulting from the COVID-19 pandemic, in addition to competition for a limited supply of such equipment, may impede our ability to meet our short-term or long-term infrastructure capacity requirements.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202"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07"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84" w:lineRule="exact"/>
        <w:rPr>
          <w:sz w:val="20"/>
          <w:szCs w:val="20"/>
          <w:color w:val="auto"/>
        </w:rPr>
      </w:pPr>
    </w:p>
    <w:p>
      <w:pPr>
        <w:ind w:right="160" w:firstLine="391"/>
        <w:spacing w:after="0" w:line="266"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 current shift to remote or distributed work does not materialize into a longer-term trend, demand for our platform could be negatively affected.</w:t>
      </w:r>
    </w:p>
    <w:p>
      <w:pPr>
        <w:spacing w:after="0" w:line="203" w:lineRule="exact"/>
        <w:rPr>
          <w:sz w:val="20"/>
          <w:szCs w:val="20"/>
          <w:color w:val="auto"/>
        </w:rPr>
      </w:pPr>
    </w:p>
    <w:p>
      <w:pPr>
        <w:jc w:val="both"/>
        <w:ind w:right="20" w:firstLine="391"/>
        <w:spacing w:after="0" w:line="271" w:lineRule="auto"/>
        <w:rPr>
          <w:sz w:val="20"/>
          <w:szCs w:val="20"/>
          <w:color w:val="auto"/>
        </w:rPr>
      </w:pPr>
      <w:r>
        <w:rPr>
          <w:rFonts w:ascii="Arial" w:cs="Arial" w:eastAsia="Arial" w:hAnsi="Arial"/>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98" w:lineRule="exact"/>
        <w:rPr>
          <w:sz w:val="20"/>
          <w:szCs w:val="20"/>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awareness of the content collaboration category generally;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scale, and duration, of trends towards or away from remote or distributed work;</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brand;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customer support;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pricing.</w:t>
      </w:r>
    </w:p>
    <w:p>
      <w:pPr>
        <w:spacing w:after="0" w:line="248" w:lineRule="exact"/>
        <w:rPr>
          <w:sz w:val="20"/>
          <w:szCs w:val="20"/>
          <w:color w:val="auto"/>
        </w:rPr>
      </w:pPr>
    </w:p>
    <w:p>
      <w:pPr>
        <w:ind w:right="140" w:firstLine="391"/>
        <w:spacing w:after="0" w:line="271" w:lineRule="auto"/>
        <w:rPr>
          <w:sz w:val="20"/>
          <w:szCs w:val="20"/>
          <w:color w:val="auto"/>
        </w:rPr>
      </w:pPr>
      <w:r>
        <w:rPr>
          <w:rFonts w:ascii="Arial" w:cs="Arial" w:eastAsia="Arial" w:hAnsi="Arial"/>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71" w:lineRule="exact"/>
        <w:rPr>
          <w:sz w:val="20"/>
          <w:szCs w:val="20"/>
          <w:color w:val="auto"/>
        </w:rPr>
      </w:pPr>
    </w:p>
    <w:p>
      <w:pPr>
        <w:ind w:right="160" w:firstLine="391"/>
        <w:spacing w:after="0" w:line="260" w:lineRule="auto"/>
        <w:rPr>
          <w:sz w:val="20"/>
          <w:szCs w:val="20"/>
          <w:color w:val="auto"/>
        </w:rPr>
      </w:pPr>
      <w:r>
        <w:rPr>
          <w:rFonts w:ascii="Arial" w:cs="Arial" w:eastAsia="Arial" w:hAnsi="Arial"/>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206" w:lineRule="exact"/>
        <w:rPr>
          <w:sz w:val="20"/>
          <w:szCs w:val="20"/>
          <w:color w:val="auto"/>
        </w:rPr>
      </w:pPr>
    </w:p>
    <w:p>
      <w:pPr>
        <w:ind w:firstLine="391"/>
        <w:spacing w:after="0" w:line="279"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200" w:lineRule="exact"/>
        <w:rPr>
          <w:sz w:val="20"/>
          <w:szCs w:val="20"/>
          <w:color w:val="auto"/>
        </w:rPr>
      </w:pPr>
    </w:p>
    <w:p>
      <w:pPr>
        <w:spacing w:after="0" w:line="227"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84" w:lineRule="exact"/>
        <w:rPr>
          <w:sz w:val="20"/>
          <w:szCs w:val="20"/>
          <w:color w:val="auto"/>
        </w:rPr>
      </w:pPr>
    </w:p>
    <w:p>
      <w:pPr>
        <w:ind w:right="120" w:firstLine="391"/>
        <w:spacing w:after="0" w:line="259"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In addition, while we believe current trends towards remote or distributed work will prove to be significant and long lasting, and that these trends will open up increased market opportunities for us,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For example, in 2017, we released Smart Sync, an advanced productivity feature, and introduced Paper, a collaborative product experience. In 2018, we announced Dropbox Extensions, which allows users to initiate and manage workflows with third-party partner applications from Dropbox. More recently, in 2019, we launched Dropbox Spaces, an evolution of the shared folder which creates a collaborative workspace for individuals and teams to work together. There is no</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ind w:right="200"/>
        <w:spacing w:after="0" w:line="250" w:lineRule="auto"/>
        <w:rPr>
          <w:sz w:val="20"/>
          <w:szCs w:val="20"/>
          <w:color w:val="auto"/>
        </w:rPr>
      </w:pPr>
      <w:r>
        <w:rPr>
          <w:rFonts w:ascii="Arial" w:cs="Arial" w:eastAsia="Arial" w:hAnsi="Arial"/>
          <w:sz w:val="17"/>
          <w:szCs w:val="17"/>
          <w:color w:val="auto"/>
        </w:rPr>
        <w:t>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03" w:lineRule="exact"/>
        <w:rPr>
          <w:sz w:val="20"/>
          <w:szCs w:val="20"/>
          <w:color w:val="auto"/>
        </w:rPr>
      </w:pPr>
    </w:p>
    <w:p>
      <w:pPr>
        <w:ind w:firstLine="391"/>
        <w:spacing w:after="0" w:line="295" w:lineRule="auto"/>
        <w:rPr>
          <w:sz w:val="20"/>
          <w:szCs w:val="20"/>
          <w:color w:val="auto"/>
        </w:rPr>
      </w:pPr>
      <w:r>
        <w:rPr>
          <w:rFonts w:ascii="Arial" w:cs="Arial" w:eastAsia="Arial" w:hAnsi="Arial"/>
          <w:sz w:val="15"/>
          <w:szCs w:val="15"/>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as a result of the ongoing COVID-19 pandemic, we are temporarily requiring substantially all of our employees to work remotely, which may lead to disruptions and decreased productivity that could result in delays in our product development process, as could our transition to a Virtual First workforce.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may increase expenses in the future, and we may not be able to achieve or maintain profitability.</w:t>
      </w:r>
    </w:p>
    <w:p>
      <w:pPr>
        <w:spacing w:after="0" w:line="248" w:lineRule="exact"/>
        <w:rPr>
          <w:sz w:val="20"/>
          <w:szCs w:val="20"/>
          <w:color w:val="auto"/>
        </w:rPr>
      </w:pPr>
    </w:p>
    <w:p>
      <w:pPr>
        <w:ind w:firstLine="391"/>
        <w:spacing w:after="0" w:line="294" w:lineRule="auto"/>
        <w:rPr>
          <w:sz w:val="20"/>
          <w:szCs w:val="20"/>
          <w:color w:val="auto"/>
        </w:rPr>
      </w:pPr>
      <w:r>
        <w:rPr>
          <w:rFonts w:ascii="Arial" w:cs="Arial" w:eastAsia="Arial" w:hAnsi="Arial"/>
          <w:sz w:val="15"/>
          <w:szCs w:val="15"/>
          <w:color w:val="auto"/>
        </w:rPr>
        <w:t>We have incurred net losses on an annual basis since our inception. We incurred net losses of $52.7 million, $484.9 million, and $111.7 million in the years ended December 31, 2019, 2018, and 2017, respectively, and we had an accumulated deficit of $1,726.2 million as of December 31, 2019. While we have been profitable on a GAAP basis in the prior fiscal quarters, we expect to incur net losses on a GAAP basis in the fourth quarter of 2020 and for our current fiscal year, and we may not achieve or maintain profitability in future periods. As we strive to grow our business, expenses may increase in the near term, particularly as we continue to make investments to scale our business.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new Virtual First work model will have a long-term positive impact on our financial results and business operations, the impact remains uncertain. We expect to incur impairment charges related to our facilities and we may also incur additional or unanticipated expense related to subleasing our facilities, including lower than anticipated sublease income and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unforeseen operating expenses, complications, or delays, which may result in increased costs, or cause us to generate less sublease income than we have currently estimated.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successfully manage our growth or plan for future growth.</w:t>
      </w:r>
    </w:p>
    <w:p>
      <w:pPr>
        <w:spacing w:after="0" w:line="248"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Since our founding in 2007, we have experienced rapid growth. The growth and expansion of our business, including the introduction of new features and products, places a continuous significant strain on our management, operational, and financial resources. As we introduce new products and features, and our user base and third-party relationships expand, our information</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technology systems, organizational structures, and internal controls and procedures may not be adequate to support our operations. In addition, we face challenges of integrating, developing, and motivating an increasingly distributed employee base in various countries around the world. These challenges may be heightened as we transition to a Virtual First workforce and seek to align our resources in order to create a more nimble and streamlined organization.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206"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In addition, the expansion of our business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lack of a significant outbound sales force may limit the potential growth of our business.</w:t>
      </w:r>
    </w:p>
    <w:p>
      <w:pPr>
        <w:spacing w:after="0" w:line="248" w:lineRule="exact"/>
        <w:rPr>
          <w:sz w:val="20"/>
          <w:szCs w:val="20"/>
          <w:color w:val="auto"/>
        </w:rPr>
      </w:pPr>
    </w:p>
    <w:p>
      <w:pPr>
        <w:ind w:right="60" w:firstLine="391"/>
        <w:spacing w:after="0" w:line="277"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expand sales to large organizations, which could lengthen sales cycles and result in greater deployment challenges.</w:t>
      </w:r>
    </w:p>
    <w:p>
      <w:pPr>
        <w:spacing w:after="0" w:line="248" w:lineRule="exact"/>
        <w:rPr>
          <w:sz w:val="20"/>
          <w:szCs w:val="20"/>
          <w:color w:val="auto"/>
        </w:rPr>
      </w:pPr>
    </w:p>
    <w:p>
      <w:pPr>
        <w:ind w:right="120" w:firstLine="391"/>
        <w:spacing w:after="0" w:line="280" w:lineRule="auto"/>
        <w:rPr>
          <w:sz w:val="20"/>
          <w:szCs w:val="20"/>
          <w:color w:val="auto"/>
        </w:rPr>
      </w:pPr>
      <w:r>
        <w:rPr>
          <w:rFonts w:ascii="Arial" w:cs="Arial" w:eastAsia="Arial" w:hAnsi="Arial"/>
          <w:sz w:val="16"/>
          <w:szCs w:val="16"/>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may continue to be, impeded by catastrophic events, including public health epidemics such as the ongoing COVID-19 pandemic, that limit our ability to travel or meet in person. As a result, sales to large organizations may lead to greater unpredictability in our business,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offer high-quality customer support may harm our relationships with our users and our financial results.</w:t>
      </w:r>
    </w:p>
    <w:p>
      <w:pPr>
        <w:spacing w:after="0" w:line="248"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8.81 million as of December 31, 2016, to 15.25 million as of September 30, 2020.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firstLine="391"/>
        <w:spacing w:after="0" w:line="260" w:lineRule="auto"/>
        <w:rPr>
          <w:sz w:val="20"/>
          <w:szCs w:val="20"/>
          <w:color w:val="auto"/>
        </w:rPr>
      </w:pPr>
      <w:r>
        <w:rPr>
          <w:rFonts w:ascii="Arial" w:cs="Arial" w:eastAsia="Arial" w:hAnsi="Arial"/>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We expect to incur net losses on a GAAP basis in the fourth quarter of 2020 and for our current fiscal year, and may not achieve profitability in future periods.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210" w:lineRule="exact"/>
        <w:rPr>
          <w:sz w:val="20"/>
          <w:szCs w:val="20"/>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attract new paying users and convert registered to paying users;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247" w:lineRule="exact"/>
        <w:rPr>
          <w:rFonts w:ascii="Arial" w:cs="Arial" w:eastAsia="Arial" w:hAnsi="Arial"/>
          <w:sz w:val="17"/>
          <w:szCs w:val="17"/>
          <w:color w:val="auto"/>
        </w:rPr>
      </w:pPr>
    </w:p>
    <w:p>
      <w:pPr>
        <w:ind w:left="1260" w:right="140" w:hanging="317"/>
        <w:spacing w:after="0" w:line="287" w:lineRule="auto"/>
        <w:tabs>
          <w:tab w:leader="none" w:pos="125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 as well as entry into operating and finance leases;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of expenses related to acquisitions;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large indemnification payments to our users or other third parties;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and success of new product feature and service introductions by us or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47" w:lineRule="exact"/>
        <w:rPr>
          <w:rFonts w:ascii="Arial" w:cs="Arial" w:eastAsia="Arial" w:hAnsi="Arial"/>
          <w:sz w:val="17"/>
          <w:szCs w:val="17"/>
          <w:color w:val="auto"/>
        </w:rPr>
      </w:pPr>
    </w:p>
    <w:p>
      <w:pPr>
        <w:ind w:left="1260" w:right="140" w:hanging="317"/>
        <w:spacing w:after="0" w:line="320" w:lineRule="auto"/>
        <w:tabs>
          <w:tab w:leader="none" w:pos="1256"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catastrophic events, including earthquakes, fires, floods, tsunamis, or other weather events, power loss, telecommunications failures, software or hardware malfunctions, cyber-attack, war, or terrorist attacks, and pandemics such the ongoing COVID-19 pandemic;</w:t>
      </w:r>
    </w:p>
    <w:p>
      <w:pPr>
        <w:spacing w:after="0" w:line="161" w:lineRule="exact"/>
        <w:rPr>
          <w:rFonts w:ascii="Arial" w:cs="Arial" w:eastAsia="Arial" w:hAnsi="Arial"/>
          <w:sz w:val="16"/>
          <w:szCs w:val="16"/>
          <w:color w:val="auto"/>
        </w:rPr>
      </w:pPr>
    </w:p>
    <w:p>
      <w:pPr>
        <w:ind w:left="1260" w:right="100" w:hanging="317"/>
        <w:spacing w:after="0" w:line="287" w:lineRule="auto"/>
        <w:tabs>
          <w:tab w:leader="none" w:pos="125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reserves or other non-cash credits or charges, such as our anticipated incurrence of impairment charges as a result of the subleasing of certain of our unused office space in connection with our shift to a new Virtual First work model; and</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other impacts of shifting our operations to a new Virtual First work model.</w:t>
      </w:r>
    </w:p>
    <w:p>
      <w:pPr>
        <w:spacing w:after="0" w:line="248" w:lineRule="exact"/>
        <w:rPr>
          <w:sz w:val="20"/>
          <w:szCs w:val="20"/>
          <w:color w:val="auto"/>
        </w:rPr>
      </w:pPr>
    </w:p>
    <w:p>
      <w:pPr>
        <w:ind w:right="380"/>
        <w:spacing w:after="0" w:line="287" w:lineRule="auto"/>
        <w:rPr>
          <w:sz w:val="20"/>
          <w:szCs w:val="20"/>
          <w:color w:val="auto"/>
        </w:rPr>
      </w:pPr>
      <w:r>
        <w:rPr>
          <w:rFonts w:ascii="Arial" w:cs="Arial" w:eastAsia="Arial" w:hAnsi="Arial"/>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84"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subscription term. We may not attain sufficient revenue to maintain positive cash flow from operations or achieve profitability in any given period.</w:t>
      </w:r>
    </w:p>
    <w:p>
      <w:pPr>
        <w:spacing w:after="0" w:line="259"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depend on the continued service and performance of our key personnel. In particular, Andrew W. Houston, our Chief Executive Officer and one of</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our co-founders, is critical to our vision, strategic direction, culture, and offerings. From time to time, there have been changes in our management team resulting</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from the hiring or departure of our executives, and there may be additional changes in the future. For example, Ajay Vashee, resigned as 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2020, and Timothy Regan, our former Chief Accounting Officer, was appointed to succeed him. In addition, in November 2020, Timothy Young</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was promoted to President and Bharat Mediratta stepped down as our Chief Technology Officer and Senior Vice President, Platform. While we seek to manage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these transitions carefully, such changes may result in a loss of institutional knowledge and may cause disruptions to our business. If we fail to successfully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integrate new key personnel into our organization or if key employees are unable to successfully transition into new roles, our business could be adversely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affected.</w:t>
      </w:r>
    </w:p>
    <w:p>
      <w:pPr>
        <w:spacing w:after="0" w:line="223" w:lineRule="exact"/>
        <w:rPr>
          <w:sz w:val="20"/>
          <w:szCs w:val="20"/>
          <w:color w:val="auto"/>
        </w:rPr>
      </w:pPr>
    </w:p>
    <w:p>
      <w:pPr>
        <w:ind w:right="40" w:firstLine="391"/>
        <w:spacing w:after="0" w:line="218" w:lineRule="auto"/>
        <w:rPr>
          <w:sz w:val="20"/>
          <w:szCs w:val="20"/>
          <w:color w:val="auto"/>
        </w:rPr>
      </w:pPr>
      <w:r>
        <w:rPr>
          <w:rFonts w:ascii="Arial" w:cs="Arial" w:eastAsia="Arial" w:hAnsi="Arial"/>
          <w:sz w:val="17"/>
          <w:szCs w:val="17"/>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new Virtual First strategy will give us the opportunity to realign our resources in order to create a more nimble and streamlined organization, we can provide no assurance that we will be able to successfully execute on these plans, and failure to successfully manage these transitions may cause disruptions to our business.</w:t>
      </w:r>
    </w:p>
    <w:p>
      <w:pPr>
        <w:spacing w:after="0" w:line="199" w:lineRule="exact"/>
        <w:rPr>
          <w:sz w:val="20"/>
          <w:szCs w:val="20"/>
          <w:color w:val="auto"/>
        </w:rPr>
      </w:pPr>
    </w:p>
    <w:p>
      <w:pPr>
        <w:ind w:right="80" w:firstLine="391"/>
        <w:spacing w:after="0" w:line="277" w:lineRule="auto"/>
        <w:rPr>
          <w:sz w:val="20"/>
          <w:szCs w:val="20"/>
          <w:color w:val="auto"/>
        </w:rPr>
      </w:pPr>
      <w:r>
        <w:rPr>
          <w:rFonts w:ascii="Arial" w:cs="Arial" w:eastAsia="Arial" w:hAnsi="Arial"/>
          <w:sz w:val="16"/>
          <w:szCs w:val="16"/>
          <w:color w:val="auto"/>
        </w:rPr>
        <w:t>To execute our business plan, we must attract and retain highly qualified personnel. Competition for these employees is intense, particularly in the San Francisco Bay Area where our headquarters is located, and we may not be successful in attracting and retaining qualified personnel. We have from time to time in the past experienced, and we expect to continue to experience, difficulty in hiring and retaining highly skilled employees with appropriate qualifications. As we transition to Virtual First workforce,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197" w:lineRule="exact"/>
        <w:rPr>
          <w:sz w:val="20"/>
          <w:szCs w:val="20"/>
          <w:color w:val="auto"/>
        </w:rPr>
      </w:pPr>
    </w:p>
    <w:p>
      <w:pPr>
        <w:jc w:val="both"/>
        <w:ind w:right="60" w:firstLine="391"/>
        <w:spacing w:after="0" w:line="296" w:lineRule="auto"/>
        <w:rPr>
          <w:sz w:val="20"/>
          <w:szCs w:val="20"/>
          <w:color w:val="auto"/>
        </w:rPr>
      </w:pPr>
      <w:r>
        <w:rPr>
          <w:rFonts w:ascii="Arial" w:cs="Arial" w:eastAsia="Arial" w:hAnsi="Arial"/>
          <w:sz w:val="16"/>
          <w:szCs w:val="16"/>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employees, and higher employee turnover could significantly and adversely impact our culture, as could our transition to a Virtual First workforce.</w:t>
      </w:r>
    </w:p>
    <w:p>
      <w:pPr>
        <w:spacing w:after="0" w:line="180" w:lineRule="exact"/>
        <w:rPr>
          <w:sz w:val="20"/>
          <w:szCs w:val="20"/>
          <w:color w:val="auto"/>
        </w:rPr>
      </w:pPr>
    </w:p>
    <w:p>
      <w:pPr>
        <w:jc w:val="both"/>
        <w:ind w:right="60"/>
        <w:spacing w:after="0" w:line="287" w:lineRule="auto"/>
        <w:rPr>
          <w:sz w:val="20"/>
          <w:szCs w:val="20"/>
          <w:color w:val="auto"/>
        </w:rPr>
      </w:pPr>
      <w:r>
        <w:rPr>
          <w:rFonts w:ascii="Arial" w:cs="Arial" w:eastAsia="Arial" w:hAnsi="Arial"/>
          <w:sz w:val="17"/>
          <w:szCs w:val="17"/>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84" w:lineRule="exact"/>
        <w:rPr>
          <w:sz w:val="20"/>
          <w:szCs w:val="20"/>
          <w:color w:val="auto"/>
        </w:rPr>
      </w:pPr>
    </w:p>
    <w:p>
      <w:pPr>
        <w:ind w:firstLine="391"/>
        <w:spacing w:after="0" w:line="307" w:lineRule="auto"/>
        <w:rPr>
          <w:sz w:val="20"/>
          <w:szCs w:val="20"/>
          <w:color w:val="auto"/>
        </w:rPr>
      </w:pPr>
      <w:r>
        <w:rPr>
          <w:rFonts w:ascii="Arial" w:cs="Arial" w:eastAsia="Arial" w:hAnsi="Arial"/>
          <w:sz w:val="15"/>
          <w:szCs w:val="15"/>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75"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84" w:lineRule="exact"/>
        <w:rPr>
          <w:sz w:val="20"/>
          <w:szCs w:val="20"/>
          <w:color w:val="auto"/>
        </w:rPr>
      </w:pPr>
    </w:p>
    <w:p>
      <w:pPr>
        <w:jc w:val="both"/>
        <w:ind w:right="160" w:firstLine="391"/>
        <w:spacing w:after="0" w:line="271" w:lineRule="auto"/>
        <w:rPr>
          <w:sz w:val="20"/>
          <w:szCs w:val="20"/>
          <w:color w:val="auto"/>
        </w:rPr>
      </w:pPr>
      <w:r>
        <w:rPr>
          <w:rFonts w:ascii="Arial" w:cs="Arial" w:eastAsia="Arial" w:hAnsi="Arial"/>
          <w:sz w:val="17"/>
          <w:szCs w:val="17"/>
          <w:color w:val="auto"/>
        </w:rPr>
        <w:t>We have paying users across 180 countries and approximately half of our revenue in the year ended December 31, 2019 was generated from paying users outside the United States. We expect to continue to expand our international operations, which may include opening offices in new jurisdictions and providing our platform in additional languages. Any new markets or</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206" w:lineRule="exact"/>
        <w:rPr>
          <w:sz w:val="20"/>
          <w:szCs w:val="20"/>
          <w:color w:val="auto"/>
        </w:rPr>
      </w:pPr>
    </w:p>
    <w:p>
      <w:pPr>
        <w:ind w:left="1260" w:right="120" w:hanging="317"/>
        <w:spacing w:after="0" w:line="271" w:lineRule="auto"/>
        <w:tabs>
          <w:tab w:leader="none" w:pos="12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98" w:lineRule="exact"/>
        <w:rPr>
          <w:rFonts w:ascii="Arial" w:cs="Arial" w:eastAsia="Arial" w:hAnsi="Arial"/>
          <w:sz w:val="17"/>
          <w:szCs w:val="17"/>
          <w:color w:val="auto"/>
        </w:rPr>
      </w:pPr>
    </w:p>
    <w:p>
      <w:pPr>
        <w:ind w:left="1260" w:right="460" w:hanging="317"/>
        <w:spacing w:after="0" w:line="287" w:lineRule="auto"/>
        <w:tabs>
          <w:tab w:leader="none" w:pos="12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recruiting and retaining talented and capable employees outside the United States, and maintaining our company culture across all of our offices, including as we shift to a Virtual First and increasingly distributed workforce;</w:t>
      </w:r>
    </w:p>
    <w:p>
      <w:pPr>
        <w:spacing w:after="0" w:line="184" w:lineRule="exact"/>
        <w:rPr>
          <w:rFonts w:ascii="Arial" w:cs="Arial" w:eastAsia="Arial" w:hAnsi="Arial"/>
          <w:sz w:val="17"/>
          <w:szCs w:val="17"/>
          <w:color w:val="auto"/>
        </w:rPr>
      </w:pPr>
    </w:p>
    <w:p>
      <w:pPr>
        <w:ind w:left="1260" w:right="100" w:hanging="317"/>
        <w:spacing w:after="0" w:line="357" w:lineRule="auto"/>
        <w:tabs>
          <w:tab w:leader="none" w:pos="1256" w:val="left"/>
        </w:tabs>
        <w:numPr>
          <w:ilvl w:val="0"/>
          <w:numId w:val="22"/>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38" w:lineRule="exact"/>
        <w:rPr>
          <w:rFonts w:ascii="Arial" w:cs="Arial" w:eastAsia="Arial" w:hAnsi="Arial"/>
          <w:sz w:val="15"/>
          <w:szCs w:val="15"/>
          <w:color w:val="auto"/>
        </w:rPr>
      </w:pPr>
    </w:p>
    <w:p>
      <w:pPr>
        <w:ind w:left="1260" w:hanging="317"/>
        <w:spacing w:after="0"/>
        <w:tabs>
          <w:tab w:leader="none" w:pos="12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management of an employee base in jurisdictions that may not give us the same employment and retention flexibility as does the United States;</w:t>
      </w:r>
    </w:p>
    <w:p>
      <w:pPr>
        <w:spacing w:after="0" w:line="270" w:lineRule="exact"/>
        <w:rPr>
          <w:rFonts w:ascii="Arial" w:cs="Arial" w:eastAsia="Arial" w:hAnsi="Arial"/>
          <w:sz w:val="15"/>
          <w:szCs w:val="15"/>
          <w:color w:val="auto"/>
        </w:rPr>
      </w:pPr>
    </w:p>
    <w:p>
      <w:pPr>
        <w:ind w:left="1260" w:hanging="317"/>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operating in jurisdictions that do not protect intellectual property rights to the same extent as does the United States;</w:t>
      </w:r>
    </w:p>
    <w:p>
      <w:pPr>
        <w:spacing w:after="0" w:line="247" w:lineRule="exact"/>
        <w:rPr>
          <w:rFonts w:ascii="Arial" w:cs="Arial" w:eastAsia="Arial" w:hAnsi="Arial"/>
          <w:sz w:val="17"/>
          <w:szCs w:val="17"/>
          <w:color w:val="auto"/>
        </w:rPr>
      </w:pPr>
    </w:p>
    <w:p>
      <w:pPr>
        <w:ind w:left="1260" w:right="640" w:hanging="317"/>
        <w:spacing w:after="0" w:line="287" w:lineRule="auto"/>
        <w:tabs>
          <w:tab w:leader="none" w:pos="12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84" w:lineRule="exact"/>
        <w:rPr>
          <w:rFonts w:ascii="Arial" w:cs="Arial" w:eastAsia="Arial" w:hAnsi="Arial"/>
          <w:sz w:val="17"/>
          <w:szCs w:val="17"/>
          <w:color w:val="auto"/>
        </w:rPr>
      </w:pPr>
    </w:p>
    <w:p>
      <w:pPr>
        <w:ind w:left="1260" w:hanging="317"/>
        <w:spacing w:after="0" w:line="287" w:lineRule="auto"/>
        <w:tabs>
          <w:tab w:leader="none" w:pos="12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247" w:lineRule="exact"/>
        <w:rPr>
          <w:rFonts w:ascii="Arial" w:cs="Arial" w:eastAsia="Arial" w:hAnsi="Arial"/>
          <w:sz w:val="17"/>
          <w:szCs w:val="17"/>
          <w:color w:val="auto"/>
        </w:rPr>
      </w:pPr>
    </w:p>
    <w:p>
      <w:pPr>
        <w:ind w:left="1260" w:right="220" w:hanging="317"/>
        <w:spacing w:after="0" w:line="287" w:lineRule="auto"/>
        <w:tabs>
          <w:tab w:leader="none" w:pos="12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84" w:lineRule="exact"/>
        <w:rPr>
          <w:rFonts w:ascii="Arial" w:cs="Arial" w:eastAsia="Arial" w:hAnsi="Arial"/>
          <w:sz w:val="17"/>
          <w:szCs w:val="17"/>
          <w:color w:val="auto"/>
        </w:rPr>
      </w:pPr>
    </w:p>
    <w:p>
      <w:pPr>
        <w:ind w:left="1260" w:right="140" w:hanging="317"/>
        <w:spacing w:after="0" w:line="287" w:lineRule="auto"/>
        <w:tabs>
          <w:tab w:leader="none" w:pos="12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 and</w:t>
      </w:r>
    </w:p>
    <w:p>
      <w:pPr>
        <w:spacing w:after="0" w:line="247" w:lineRule="exact"/>
        <w:rPr>
          <w:rFonts w:ascii="Arial" w:cs="Arial" w:eastAsia="Arial" w:hAnsi="Arial"/>
          <w:sz w:val="17"/>
          <w:szCs w:val="17"/>
          <w:color w:val="auto"/>
        </w:rPr>
      </w:pPr>
    </w:p>
    <w:p>
      <w:pPr>
        <w:ind w:left="1260" w:right="620" w:hanging="317"/>
        <w:spacing w:after="0" w:line="287" w:lineRule="auto"/>
        <w:tabs>
          <w:tab w:leader="none" w:pos="12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of natural disasters and public health epidemics on employees, travel and the global economy, including the ongoing global COVID-19 pandemic.</w:t>
      </w:r>
    </w:p>
    <w:p>
      <w:pPr>
        <w:spacing w:after="0" w:line="184"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regulatory investigations and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40" w:firstLine="391"/>
        <w:spacing w:after="0" w:line="260" w:lineRule="auto"/>
        <w:rPr>
          <w:sz w:val="20"/>
          <w:szCs w:val="20"/>
          <w:color w:val="auto"/>
        </w:rPr>
      </w:pPr>
      <w:r>
        <w:rPr>
          <w:rFonts w:ascii="Arial" w:cs="Arial" w:eastAsia="Arial" w:hAnsi="Arial"/>
          <w:sz w:val="17"/>
          <w:szCs w:val="17"/>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2019, 29% of our sales were denominated in currencies other than U.S. dollars. Our expenses, by contrast, are primarily denominated in U.S. dollars. As a result, any increase in the value of the U.S. dollar against these foreign currencies, including those resulting from the impact of the COVID-19 pandemic,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06"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84" w:lineRule="exact"/>
        <w:rPr>
          <w:sz w:val="20"/>
          <w:szCs w:val="20"/>
          <w:color w:val="auto"/>
        </w:rPr>
      </w:pPr>
    </w:p>
    <w:p>
      <w:pPr>
        <w:ind w:right="20" w:firstLine="391"/>
        <w:spacing w:after="0" w:line="288"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86"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207"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84" w:lineRule="exact"/>
        <w:rPr>
          <w:sz w:val="20"/>
          <w:szCs w:val="20"/>
          <w:color w:val="auto"/>
        </w:rPr>
      </w:pPr>
    </w:p>
    <w:p>
      <w:pPr>
        <w:ind w:right="180" w:firstLine="391"/>
        <w:spacing w:after="0" w:line="262"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6" w:lineRule="exact"/>
        <w:rPr>
          <w:sz w:val="20"/>
          <w:szCs w:val="20"/>
          <w:color w:val="auto"/>
        </w:rPr>
      </w:pPr>
    </w:p>
    <w:p>
      <w:pPr>
        <w:ind w:right="180" w:firstLine="391"/>
        <w:spacing w:after="0" w:line="307" w:lineRule="auto"/>
        <w:rPr>
          <w:sz w:val="20"/>
          <w:szCs w:val="20"/>
          <w:color w:val="auto"/>
        </w:rPr>
      </w:pPr>
      <w:r>
        <w:rPr>
          <w:rFonts w:ascii="Arial" w:cs="Arial" w:eastAsia="Arial" w:hAnsi="Arial"/>
          <w:sz w:val="15"/>
          <w:szCs w:val="15"/>
          <w:color w:val="auto"/>
        </w:rPr>
        <w:t>We also depend on our ecosystem of developers to create applications that will integrate with our platform. As of December 31, 2019, Dropbox was receiving over 50 billion API calls per month, and more than 750,000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39" w:lineRule="exact"/>
        <w:rPr>
          <w:sz w:val="20"/>
          <w:szCs w:val="20"/>
          <w:color w:val="auto"/>
        </w:rPr>
      </w:pPr>
    </w:p>
    <w:p>
      <w:pPr>
        <w:ind w:right="160" w:firstLine="391"/>
        <w:spacing w:after="0" w:line="261"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207" w:lineRule="exact"/>
        <w:rPr>
          <w:sz w:val="20"/>
          <w:szCs w:val="20"/>
          <w:color w:val="auto"/>
        </w:rPr>
      </w:pPr>
    </w:p>
    <w:p>
      <w:pPr>
        <w:ind w:right="100" w:firstLine="391"/>
        <w:spacing w:after="0" w:line="281" w:lineRule="auto"/>
        <w:rPr>
          <w:sz w:val="20"/>
          <w:szCs w:val="20"/>
          <w:color w:val="auto"/>
        </w:rPr>
      </w:pPr>
      <w:r>
        <w:rPr>
          <w:rFonts w:ascii="Arial" w:cs="Arial" w:eastAsia="Arial" w:hAnsi="Arial"/>
          <w:sz w:val="16"/>
          <w:szCs w:val="16"/>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94" w:lineRule="exact"/>
        <w:rPr>
          <w:sz w:val="20"/>
          <w:szCs w:val="20"/>
          <w:color w:val="auto"/>
        </w:rPr>
      </w:pPr>
    </w:p>
    <w:p>
      <w:pPr>
        <w:ind w:right="20" w:firstLine="391"/>
        <w:spacing w:after="0" w:line="296"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80" w:lineRule="exact"/>
        <w:rPr>
          <w:sz w:val="20"/>
          <w:szCs w:val="20"/>
          <w:color w:val="auto"/>
        </w:rPr>
      </w:pPr>
    </w:p>
    <w:p>
      <w:pPr>
        <w:ind w:right="160" w:firstLine="391"/>
        <w:spacing w:after="0" w:line="284"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89"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84"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w:t>
      </w:r>
    </w:p>
    <w:p>
      <w:pPr>
        <w:spacing w:after="0" w:line="196" w:lineRule="exact"/>
        <w:rPr>
          <w:sz w:val="20"/>
          <w:szCs w:val="20"/>
          <w:color w:val="auto"/>
        </w:rPr>
      </w:pPr>
    </w:p>
    <w:p>
      <w:pPr>
        <w:ind w:right="380" w:firstLine="391"/>
        <w:spacing w:after="0" w:line="266"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actual or perceived failure to comply with privacy, data protection, and information security laws, regulations, and obligations could harm our business.</w:t>
      </w:r>
    </w:p>
    <w:p>
      <w:pPr>
        <w:spacing w:after="0" w:line="271" w:lineRule="exact"/>
        <w:rPr>
          <w:sz w:val="20"/>
          <w:szCs w:val="20"/>
          <w:color w:val="auto"/>
        </w:rPr>
      </w:pPr>
    </w:p>
    <w:p>
      <w:pPr>
        <w:ind w:right="120" w:firstLine="391"/>
        <w:spacing w:after="0" w:line="260"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10" w:lineRule="exact"/>
        <w:rPr>
          <w:sz w:val="20"/>
          <w:szCs w:val="20"/>
          <w:color w:val="auto"/>
        </w:rPr>
      </w:pPr>
    </w:p>
    <w:p>
      <w:pPr>
        <w:ind w:right="40" w:firstLine="391"/>
        <w:spacing w:after="0" w:line="293" w:lineRule="auto"/>
        <w:rPr>
          <w:sz w:val="20"/>
          <w:szCs w:val="20"/>
          <w:color w:val="auto"/>
        </w:rPr>
      </w:pPr>
      <w:r>
        <w:rPr>
          <w:rFonts w:ascii="Arial" w:cs="Arial" w:eastAsia="Arial" w:hAnsi="Arial"/>
          <w:sz w:val="15"/>
          <w:szCs w:val="15"/>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European Union, or EU. The GDPR imposed more stringent data protection requirements and provides greater penalties for noncompliance than previous data protection laws. Further, following a referendum in June 2016 in which voters in the United Kingdom approved an exit from the EU, ("Brexit"), the United Kingdom government has initiated a process to leave the EU ("Brexit"). The United Kingdom withdrew from the EU pursuant to Brexit on January 31, 2020, subject to a transition period that is set to end on December 31, 2020. Brexit has created uncertainty with regard to the regulation of data protection in the United Kingdom. In particular, although the United Kingdom has enacted a Data Protection Act designed to be consistent with the GDPR, it remains unclear how data transfers to and from the United Kingdom will be regulated. Additionally, although we have self-certified under the U.S.-EU and U.S.-Swiss Privacy Shield Frameworks with regard to our transfer of certain personal data from the European Economic Area ("EEA") and Switzerland to the United States, on July 16, 2020, the Court of Justice of the European Union invalidated Decision 2016/1250 on the adequacy of the protection provided by the U.S.-EU Privacy Shield Framework, and the Swiss Federal Data Protection and Information Commissioner has stated that it no longer considers the U.S.-Swiss Privacy Shield adequate for the purposes of transfers of personal data from Switzerland to the U.S. While we rely on additional legal mechanisms to transfer data from the EEA and Switzerland to the United States, there is some regulatory uncertainty surrounding the future of data transfers from these locations to the United States, and we are closely monitoring regulatory developments in this area. The California Consumer Privacy Act of 2018 (the "CCPA"), which affords consumers expanded privacy protections, went into effect on January 1, 2020. However, certain aspects of the CCPA and its enforcement remain uncertain. Additionally, a new privacy law, the California Privacy Rights Act ("CPRA") significantly modified the CCPA, potentially resulting in further uncertainty and requiring us to incur additional costs and expenses. The effects of the CCPA and the CPRA remain far-reaching, and depending on final regulatory guidance and other related developments, potentially may require us to modify our data processing practices and policies and to incur substantial costs and expenses in an effort to comply. Similarly, a number of legislative proposals in the European Union, the United States, at both the federal and state level, as well as other jurisdictions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200" w:lineRule="exact"/>
        <w:rPr>
          <w:sz w:val="20"/>
          <w:szCs w:val="20"/>
          <w:color w:val="auto"/>
        </w:rPr>
      </w:pPr>
    </w:p>
    <w:p>
      <w:pPr>
        <w:spacing w:after="0" w:line="204" w:lineRule="exact"/>
        <w:rPr>
          <w:sz w:val="20"/>
          <w:szCs w:val="20"/>
          <w:color w:val="auto"/>
        </w:rPr>
      </w:pPr>
    </w:p>
    <w:p>
      <w:pPr>
        <w:ind w:firstLine="391"/>
        <w:spacing w:after="0" w:line="279" w:lineRule="auto"/>
        <w:rPr>
          <w:sz w:val="20"/>
          <w:szCs w:val="20"/>
          <w:color w:val="auto"/>
        </w:rPr>
      </w:pPr>
      <w:r>
        <w:rPr>
          <w:rFonts w:ascii="Arial" w:cs="Arial" w:eastAsia="Arial" w:hAnsi="Arial"/>
          <w:sz w:val="16"/>
          <w:szCs w:val="16"/>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91"/>
        <w:spacing w:after="0" w:line="262" w:lineRule="auto"/>
        <w:rPr>
          <w:sz w:val="20"/>
          <w:szCs w:val="20"/>
          <w:color w:val="auto"/>
        </w:rPr>
      </w:pPr>
      <w:r>
        <w:rPr>
          <w:rFonts w:ascii="Arial" w:cs="Arial" w:eastAsia="Arial" w:hAnsi="Arial"/>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impacted by changes in internet access for our users or laws specifically governing the internet.</w:t>
      </w:r>
    </w:p>
    <w:p>
      <w:pPr>
        <w:spacing w:after="0" w:line="248" w:lineRule="exact"/>
        <w:rPr>
          <w:sz w:val="20"/>
          <w:szCs w:val="20"/>
          <w:color w:val="auto"/>
        </w:rPr>
      </w:pPr>
    </w:p>
    <w:p>
      <w:pPr>
        <w:ind w:right="80" w:firstLine="391"/>
        <w:spacing w:after="0" w:line="266" w:lineRule="auto"/>
        <w:rPr>
          <w:sz w:val="20"/>
          <w:szCs w:val="20"/>
          <w:color w:val="auto"/>
        </w:rPr>
      </w:pPr>
      <w:r>
        <w:rPr>
          <w:rFonts w:ascii="Arial" w:cs="Arial" w:eastAsia="Arial" w:hAnsi="Arial"/>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03" w:lineRule="exact"/>
        <w:rPr>
          <w:sz w:val="20"/>
          <w:szCs w:val="20"/>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25" w:lineRule="exact"/>
        <w:rPr>
          <w:sz w:val="20"/>
          <w:szCs w:val="20"/>
          <w:color w:val="auto"/>
        </w:rPr>
      </w:pPr>
    </w:p>
    <w:p>
      <w:pPr>
        <w:ind w:right="100" w:firstLine="391"/>
        <w:spacing w:after="0" w:line="276" w:lineRule="auto"/>
        <w:rPr>
          <w:sz w:val="20"/>
          <w:szCs w:val="20"/>
          <w:color w:val="auto"/>
        </w:rPr>
      </w:pPr>
      <w:r>
        <w:rPr>
          <w:rFonts w:ascii="Arial" w:cs="Arial" w:eastAsia="Arial" w:hAnsi="Arial"/>
          <w:sz w:val="16"/>
          <w:szCs w:val="16"/>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99"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94"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84" w:lineRule="exact"/>
        <w:rPr>
          <w:sz w:val="20"/>
          <w:szCs w:val="20"/>
          <w:color w:val="auto"/>
        </w:rPr>
      </w:pPr>
    </w:p>
    <w:p>
      <w:pPr>
        <w:ind w:right="360" w:firstLine="391"/>
        <w:spacing w:after="0" w:line="266" w:lineRule="auto"/>
        <w:rPr>
          <w:sz w:val="20"/>
          <w:szCs w:val="20"/>
          <w:color w:val="auto"/>
        </w:rPr>
      </w:pPr>
      <w:r>
        <w:rPr>
          <w:rFonts w:ascii="Arial" w:cs="Arial" w:eastAsia="Arial" w:hAnsi="Arial"/>
          <w:sz w:val="17"/>
          <w:szCs w:val="17"/>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time in the future become, a party to litigation and disputes related to our intellectual property, our business practices, transactions involving our securities and our platform. For example, we were recently subject to a number of putative class action lawsuits in state and federal court alleging federal securities law violations in connection with our IPO. Although the lawsuit in federal court has since been dismissed, the plaintiffs may appeal or amend their complaint, and we may not be successful in an appeal proceeding or in winning dismissal of an amended complaint.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48" w:lineRule="exact"/>
        <w:rPr>
          <w:sz w:val="20"/>
          <w:szCs w:val="20"/>
          <w:color w:val="auto"/>
        </w:rPr>
      </w:pPr>
    </w:p>
    <w:p>
      <w:pPr>
        <w:ind w:right="20" w:firstLine="391"/>
        <w:spacing w:after="0" w:line="295" w:lineRule="auto"/>
        <w:rPr>
          <w:sz w:val="20"/>
          <w:szCs w:val="20"/>
          <w:color w:val="auto"/>
        </w:rPr>
      </w:pPr>
      <w:r>
        <w:rPr>
          <w:rFonts w:ascii="Arial" w:cs="Arial" w:eastAsia="Arial" w:hAnsi="Arial"/>
          <w:sz w:val="15"/>
          <w:szCs w:val="15"/>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1,000 issued patents and more than 500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271" w:lineRule="exact"/>
        <w:rPr>
          <w:sz w:val="20"/>
          <w:szCs w:val="20"/>
          <w:color w:val="auto"/>
        </w:rPr>
      </w:pPr>
    </w:p>
    <w:p>
      <w:pPr>
        <w:ind w:right="20" w:firstLine="391"/>
        <w:spacing w:after="0" w:line="277"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248" w:lineRule="exact"/>
        <w:rPr>
          <w:sz w:val="20"/>
          <w:szCs w:val="20"/>
          <w:color w:val="auto"/>
        </w:rPr>
      </w:pPr>
    </w:p>
    <w:p>
      <w:pPr>
        <w:ind w:right="280" w:firstLine="391"/>
        <w:spacing w:after="0" w:line="287"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first introduced or when new features or capabilities are released. We have from time to time found defects or</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89"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98" w:lineRule="exact"/>
        <w:rPr>
          <w:sz w:val="20"/>
          <w:szCs w:val="20"/>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us to issue refunds to our users or expose us to claims for damages;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cause us to lose existing users and make it more difficult to attract new users;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 our technical support costs;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harm our reputation and brand.</w:t>
      </w:r>
    </w:p>
    <w:p>
      <w:pPr>
        <w:spacing w:after="0" w:line="248"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84"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2019 we acquired HelloSign, an e-signature and document workflow platform, to expand our content collaboration capabilities to include additional business critical workflows. The pursuit of acquisitions may divert the attention of management and cause us to incur various expenses in identifying, investigating, and pursuing suitable acquisitions, whether or not they are consummated.</w:t>
      </w:r>
    </w:p>
    <w:p>
      <w:pPr>
        <w:spacing w:after="0" w:line="207" w:lineRule="exact"/>
        <w:rPr>
          <w:sz w:val="20"/>
          <w:szCs w:val="20"/>
          <w:color w:val="auto"/>
        </w:rPr>
      </w:pPr>
    </w:p>
    <w:p>
      <w:pPr>
        <w:ind w:right="260" w:firstLine="391"/>
        <w:spacing w:after="0" w:line="271" w:lineRule="auto"/>
        <w:rPr>
          <w:sz w:val="20"/>
          <w:szCs w:val="20"/>
          <w:color w:val="auto"/>
        </w:rPr>
      </w:pPr>
      <w:r>
        <w:rPr>
          <w:rFonts w:ascii="Arial" w:cs="Arial" w:eastAsia="Arial" w:hAnsi="Arial"/>
          <w:sz w:val="17"/>
          <w:szCs w:val="17"/>
          <w:color w:val="auto"/>
        </w:rPr>
        <w:t>We have limited experience making acquisitions. We may not be able to find suitable acquisition candidates and we may not be able to complete acquisitions on favorable terms, if at all. If we do complete acquisitions, we may not ultimately strengthen our competitive position or achieve the anticipated benefits from such acquisitions, due to a number of factors, including:</w:t>
      </w:r>
    </w:p>
    <w:p>
      <w:pPr>
        <w:spacing w:after="0" w:line="198" w:lineRule="exact"/>
        <w:rPr>
          <w:sz w:val="20"/>
          <w:szCs w:val="20"/>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acquisition-related costs, liabilities, or tax impacts, some of which may be unanticipated;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difficulty integrating and retaining the personnel, intellectual property, technology infrastructure, and operations of an acquired business;</w:t>
      </w:r>
    </w:p>
    <w:p>
      <w:pPr>
        <w:spacing w:after="0" w:line="259" w:lineRule="exact"/>
        <w:rPr>
          <w:rFonts w:ascii="Arial" w:cs="Arial" w:eastAsia="Arial" w:hAnsi="Arial"/>
          <w:sz w:val="16"/>
          <w:szCs w:val="16"/>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ineffective or inadequate, controls, procedures, or policies at an acquired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multiple product lines or services offerings, as a result of our acquisitions, that are offered, priced, and supported differently;</w:t>
      </w:r>
    </w:p>
    <w:p>
      <w:pPr>
        <w:spacing w:after="0" w:line="247" w:lineRule="exact"/>
        <w:rPr>
          <w:rFonts w:ascii="Arial" w:cs="Arial" w:eastAsia="Arial" w:hAnsi="Arial"/>
          <w:sz w:val="17"/>
          <w:szCs w:val="17"/>
          <w:color w:val="auto"/>
        </w:rPr>
      </w:pPr>
    </w:p>
    <w:p>
      <w:pPr>
        <w:ind w:left="1260" w:right="360" w:hanging="317"/>
        <w:spacing w:after="0" w:line="287" w:lineRule="auto"/>
        <w:tabs>
          <w:tab w:leader="none" w:pos="12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potential unknown liabilities or risks associated with an acquired business, including those arising from existing contractual obligations or litigation matters;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inability to maintain relationships with key customers, suppliers, and partners of an acquired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lack of experience in new markets, products or technologies;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 and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w:t>
      </w:r>
    </w:p>
    <w:p>
      <w:pPr>
        <w:spacing w:after="0" w:line="248" w:lineRule="exact"/>
        <w:rPr>
          <w:sz w:val="20"/>
          <w:szCs w:val="20"/>
          <w:color w:val="auto"/>
        </w:rPr>
      </w:pPr>
    </w:p>
    <w:p>
      <w:pPr>
        <w:jc w:val="both"/>
        <w:ind w:right="80" w:firstLine="313"/>
        <w:spacing w:after="0" w:line="271"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98" w:lineRule="exact"/>
        <w:rPr>
          <w:sz w:val="20"/>
          <w:szCs w:val="20"/>
          <w:color w:val="auto"/>
        </w:rPr>
      </w:pPr>
    </w:p>
    <w:p>
      <w:pPr>
        <w:ind w:right="80" w:firstLine="391"/>
        <w:spacing w:after="0" w:line="312" w:lineRule="auto"/>
        <w:rPr>
          <w:sz w:val="20"/>
          <w:szCs w:val="20"/>
          <w:color w:val="auto"/>
        </w:rPr>
      </w:pPr>
      <w:r>
        <w:rPr>
          <w:rFonts w:ascii="Arial" w:cs="Arial" w:eastAsia="Arial" w:hAnsi="Arial"/>
          <w:sz w:val="15"/>
          <w:szCs w:val="15"/>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72" w:lineRule="exact"/>
        <w:rPr>
          <w:sz w:val="20"/>
          <w:szCs w:val="20"/>
          <w:color w:val="auto"/>
        </w:rPr>
      </w:pPr>
    </w:p>
    <w:p>
      <w:pPr>
        <w:ind w:right="140" w:firstLine="391"/>
        <w:spacing w:after="0" w:line="271" w:lineRule="auto"/>
        <w:rPr>
          <w:sz w:val="20"/>
          <w:szCs w:val="20"/>
          <w:color w:val="auto"/>
        </w:rPr>
      </w:pPr>
      <w:r>
        <w:rPr>
          <w:rFonts w:ascii="Arial" w:cs="Arial" w:eastAsia="Arial" w:hAnsi="Arial"/>
          <w:sz w:val="17"/>
          <w:szCs w:val="17"/>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98" w:lineRule="exact"/>
        <w:rPr>
          <w:sz w:val="20"/>
          <w:szCs w:val="20"/>
          <w:color w:val="auto"/>
        </w:rPr>
      </w:pPr>
    </w:p>
    <w:p>
      <w:pPr>
        <w:ind w:right="120" w:firstLine="391"/>
        <w:spacing w:after="0" w:line="266" w:lineRule="auto"/>
        <w:rPr>
          <w:sz w:val="20"/>
          <w:szCs w:val="20"/>
          <w:color w:val="auto"/>
        </w:rPr>
      </w:pPr>
      <w:r>
        <w:rPr>
          <w:rFonts w:ascii="Arial" w:cs="Arial" w:eastAsia="Arial" w:hAnsi="Arial"/>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significantly impacted by a change in the economy, including any resulting effect on consumer or business spending.</w:t>
      </w:r>
    </w:p>
    <w:p>
      <w:pPr>
        <w:spacing w:after="0" w:line="259" w:lineRule="exact"/>
        <w:rPr>
          <w:sz w:val="20"/>
          <w:szCs w:val="20"/>
          <w:color w:val="auto"/>
        </w:rPr>
      </w:pPr>
    </w:p>
    <w:p>
      <w:pPr>
        <w:jc w:val="both"/>
        <w:ind w:right="80" w:firstLine="391"/>
        <w:spacing w:after="0" w:line="280" w:lineRule="auto"/>
        <w:rPr>
          <w:sz w:val="20"/>
          <w:szCs w:val="20"/>
          <w:color w:val="auto"/>
        </w:rPr>
      </w:pPr>
      <w:r>
        <w:rPr>
          <w:rFonts w:ascii="Arial" w:cs="Arial" w:eastAsia="Arial" w:hAnsi="Arial"/>
          <w:sz w:val="16"/>
          <w:szCs w:val="16"/>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For example, the ongoing COVID-19 pandemic and efforts to control such pandemic have resulted in economic uncertainty worldwide and may cause, or have already caused, an economic recession in the United States and elsewhere, which could cause current and prospective paying users to delay, decrease, or cancel purchases of our products and services, or delay or default on their payment obligations. As a result, our business, results of operations, and financial condition may be significantly affected by changes in the economy generally.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disrupted by catastrophic events.</w:t>
      </w:r>
    </w:p>
    <w:p>
      <w:pPr>
        <w:spacing w:after="0" w:line="248"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Further, outbreaks of pandemic diseases, such as COVID-19, or the fear of such events, have resulted in responses, including government-imposed travel restrictions, grounding of flights, and shutdown of workplaces. As a result, we are conducting business with substantial modifications, including modifications to employee travel and employee work locations. These modifications may disrupt important business operations, such as our product development and sales and marketing activities, and the productivity of our employees.</w:t>
      </w:r>
    </w:p>
    <w:p>
      <w:pPr>
        <w:spacing w:after="0" w:line="206"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exposure to greater than anticipated tax liabilities, which could adversely impact our results of operations.</w:t>
      </w:r>
    </w:p>
    <w:p>
      <w:pPr>
        <w:spacing w:after="0" w:line="248" w:lineRule="exact"/>
        <w:rPr>
          <w:sz w:val="20"/>
          <w:szCs w:val="20"/>
          <w:color w:val="auto"/>
        </w:rPr>
      </w:pPr>
    </w:p>
    <w:p>
      <w:pPr>
        <w:ind w:right="380" w:firstLine="391"/>
        <w:spacing w:after="0" w:line="271" w:lineRule="auto"/>
        <w:rPr>
          <w:sz w:val="20"/>
          <w:szCs w:val="20"/>
          <w:color w:val="auto"/>
        </w:rPr>
      </w:pPr>
      <w:r>
        <w:rPr>
          <w:rFonts w:ascii="Arial" w:cs="Arial" w:eastAsia="Arial" w:hAnsi="Arial"/>
          <w:sz w:val="17"/>
          <w:szCs w:val="17"/>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84"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Our tax provision could also be impacted by changes in accounting principles, changes in U.S. federal, state, or international tax laws applicable to corporate multinationals such as the recent legislation enacted in the United States, other fundamental law changes currently being considered by many countries, and changes in taxing jurisdictions’ administrative interpretations, decisions, policies, and positions. Additionally, the Organization for Economic Co-Operation and Development has released guidance covering various topics, including digital economy, transfer pricing, country-by-country reporting, and definitional changes to permanent establishment that could ultimately impact our tax liabilities.</w:t>
      </w:r>
    </w:p>
    <w:p>
      <w:pPr>
        <w:spacing w:after="0" w:line="207"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48" w:lineRule="exact"/>
        <w:rPr>
          <w:sz w:val="20"/>
          <w:szCs w:val="20"/>
          <w:color w:val="auto"/>
        </w:rPr>
      </w:pPr>
    </w:p>
    <w:p>
      <w:pPr>
        <w:ind w:right="80" w:firstLine="391"/>
        <w:spacing w:after="0" w:line="276" w:lineRule="auto"/>
        <w:rPr>
          <w:sz w:val="20"/>
          <w:szCs w:val="20"/>
          <w:color w:val="auto"/>
        </w:rPr>
      </w:pPr>
      <w:r>
        <w:rPr>
          <w:rFonts w:ascii="Arial" w:cs="Arial" w:eastAsia="Arial" w:hAnsi="Arial"/>
          <w:sz w:val="16"/>
          <w:szCs w:val="16"/>
          <w:color w:val="auto"/>
        </w:rPr>
        <w:t>As of December 31, 2019, we had $916.9 million of federal and $390.8 million of state net operating loss carryforwards available to reduce future taxable income. Of our federal net operating loss carryforwards, $288.9 million will begin to expire in 2032 and $628.0 million will carryforward indefinitely, while state net operating losses begin to expire in 2026. As of December 31, 2019, we also had $221.4 million of foreign net operating loss carryforwards available to reduce future taxable income, which will carryforward indefinitely. In addition, we had $22.9 million of foreign acquired net operating losses, which will carryforward indefinitely. We also had $0.7 million of foreign tax credit carryforwards,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199"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84" w:lineRule="exact"/>
        <w:rPr>
          <w:sz w:val="20"/>
          <w:szCs w:val="20"/>
          <w:color w:val="auto"/>
        </w:rPr>
      </w:pPr>
    </w:p>
    <w:p>
      <w:pPr>
        <w:ind w:right="340" w:firstLine="391"/>
        <w:spacing w:after="0" w:line="263"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207"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84" w:lineRule="exact"/>
        <w:rPr>
          <w:sz w:val="20"/>
          <w:szCs w:val="20"/>
          <w:color w:val="auto"/>
        </w:rPr>
      </w:pPr>
    </w:p>
    <w:p>
      <w:pPr>
        <w:ind w:right="80" w:firstLine="391"/>
        <w:spacing w:after="0" w:line="263" w:lineRule="auto"/>
        <w:rPr>
          <w:sz w:val="20"/>
          <w:szCs w:val="20"/>
          <w:color w:val="auto"/>
        </w:rPr>
      </w:pPr>
      <w:r>
        <w:rPr>
          <w:rFonts w:ascii="Arial" w:cs="Arial" w:eastAsia="Arial" w:hAnsi="Arial"/>
          <w:sz w:val="17"/>
          <w:szCs w:val="17"/>
          <w:color w:val="auto"/>
        </w:rPr>
        <w:t>On December 22, 2017, the legislation commonly referred to as the 2017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these changes to U.S. tax law do not have a material impact on our provision for income taxes in our consolidated financial statements.</w:t>
      </w:r>
    </w:p>
    <w:p>
      <w:pPr>
        <w:spacing w:after="0" w:line="207" w:lineRule="exact"/>
        <w:rPr>
          <w:sz w:val="20"/>
          <w:szCs w:val="20"/>
          <w:color w:val="auto"/>
        </w:rPr>
      </w:pPr>
    </w:p>
    <w:p>
      <w:pPr>
        <w:ind w:right="40" w:firstLine="391"/>
        <w:spacing w:after="0" w:line="271" w:lineRule="auto"/>
        <w:rPr>
          <w:sz w:val="20"/>
          <w:szCs w:val="20"/>
          <w:color w:val="auto"/>
        </w:rPr>
      </w:pPr>
      <w:r>
        <w:rPr>
          <w:rFonts w:ascii="Arial" w:cs="Arial" w:eastAsia="Arial" w:hAnsi="Arial"/>
          <w:sz w:val="17"/>
          <w:szCs w:val="17"/>
          <w:color w:val="auto"/>
        </w:rPr>
        <w:t>On March 11, 2020, the World Health Organization declared COVID-19 a global pandemic and recommended containment and mitigation measures worldwide. The 2020 CARES Act was enacted in the United States on March 27, 2020, and contains several income tax provisions, including, but not limited to, changes to the rules governing net operating losses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and technical corrections to certain provisions in the 2017 Tax Reform Act. However, since we have recorded a full valuation allowance against our deferred tax assets, these changes to U.S. tax law do not have a material impact on our provision for income taxes in our consolidated financial statements. In addition, although many countries in which we operate have also issued some form of COVID-19 related income tax guidance, such guidance does not have a material impact on our provision for income taxes in our consolidated financial statements as of September 30, 2020.</w:t>
      </w:r>
    </w:p>
    <w:p>
      <w:pPr>
        <w:spacing w:after="0" w:line="203" w:lineRule="exact"/>
        <w:rPr>
          <w:sz w:val="20"/>
          <w:szCs w:val="20"/>
          <w:color w:val="auto"/>
        </w:rPr>
      </w:pPr>
    </w:p>
    <w:p>
      <w:pPr>
        <w:ind w:right="220" w:firstLine="391"/>
        <w:spacing w:after="0" w:line="296" w:lineRule="auto"/>
        <w:rPr>
          <w:sz w:val="20"/>
          <w:szCs w:val="20"/>
          <w:color w:val="auto"/>
        </w:rPr>
      </w:pPr>
      <w:r>
        <w:rPr>
          <w:rFonts w:ascii="Arial" w:cs="Arial" w:eastAsia="Arial" w:hAnsi="Arial"/>
          <w:sz w:val="16"/>
          <w:szCs w:val="16"/>
          <w:color w:val="auto"/>
        </w:rPr>
        <w:t>On June 29, 2020, California Governor Newsom signed Assembly Bill No. 85 as part of the California 2020 Budget Act which temporarily suspends the use of California net operating losses and imposes a cap on the amount of business incentive tax credits companies can utilize against their net income. This guidance does not have a material impact on our provision for income taxes in our consolidated financial statements as of September 30, 2020.</w:t>
      </w:r>
    </w:p>
    <w:p>
      <w:pPr>
        <w:spacing w:after="0" w:line="180"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On June 7, 2019, a judicial panel of the Ninth Circuit Court of Appeals issued an opinion in Altera Corp. v. Commissioner that would require related parties in an intercompany cost-sharing arrangement to share expenses related to stock-based compensation. On July 22, 2019, the taxpayer requested an en banc rehearing before the full Ninth Circuit Court of Appeals and the request was denied on November 12, 2019. On February 10, 2020, the taxpayer filed a petition for writ of certiorari to the U.S. Supreme Court, which was denied on June 22, 2020. Accordingly, we have included stock-based compensation in our cost-sharing agreements and as a result, we recognized additional state tax expenses in some jurisdictions which do not have sufficient net operating losses to offset the state income. There was no material impact on our income tax provision for the U.S. and Ireland due to our full valuation allowance.</w:t>
      </w:r>
    </w:p>
    <w:p>
      <w:pPr>
        <w:spacing w:after="0" w:line="194" w:lineRule="exact"/>
        <w:rPr>
          <w:sz w:val="20"/>
          <w:szCs w:val="20"/>
          <w:color w:val="auto"/>
        </w:rPr>
      </w:pPr>
    </w:p>
    <w:p>
      <w:pPr>
        <w:ind w:right="20" w:firstLine="391"/>
        <w:spacing w:after="0" w:line="278" w:lineRule="auto"/>
        <w:rPr>
          <w:sz w:val="20"/>
          <w:szCs w:val="20"/>
          <w:color w:val="auto"/>
        </w:rPr>
      </w:pPr>
      <w:r>
        <w:rPr>
          <w:rFonts w:ascii="Arial" w:cs="Arial" w:eastAsia="Arial" w:hAnsi="Arial"/>
          <w:sz w:val="16"/>
          <w:szCs w:val="16"/>
          <w:color w:val="auto"/>
        </w:rPr>
        <w:t>In March 2018, the European Commission introduced proposals addressing taxation of digital businesses operating within the European Union. Any proposal requires unanimity in the Economic and Financial Affairs Council (the “Council”) for its adoption, following the consultation of the European Parliament. However, by March 2019, the Council could not reach an agreement on a sales tax with a scope limited to digital advertising services. As a result, certain countries, including the United Kingdom and France, have unilaterally moved to introduce their own digital service tax to capture tax revenue on digital services more immediately, which is generally a percentage of gross revenue on taxable activities. The EU Presidency continues to work on the EU position in international discussions on digital tax, in view of the Organization for Economic Co-operation and Development’s report on the issue. As a result of the above measures and the increasing focus by government taxing authorities on multinational companies, the tax laws of certain countries in which we do business could change on a prospective or retroactive basis, and any such changes could increase our liabilities for taxes, interest and penalties, lead to higher effective tax rates, and harm our cash flows, results of operations and financial condition.</w:t>
      </w:r>
    </w:p>
    <w:p>
      <w:pPr>
        <w:spacing w:after="0" w:line="194"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4" w:lineRule="exact"/>
        <w:rPr>
          <w:sz w:val="20"/>
          <w:szCs w:val="20"/>
          <w:color w:val="auto"/>
        </w:rPr>
      </w:pPr>
    </w:p>
    <w:p>
      <w:pPr>
        <w:ind w:right="20" w:firstLine="391"/>
        <w:spacing w:after="0" w:line="266"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3"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20" w:firstLine="391"/>
        <w:spacing w:after="0" w:line="277"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48"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07" w:lineRule="exact"/>
        <w:rPr>
          <w:sz w:val="20"/>
          <w:szCs w:val="20"/>
          <w:color w:val="auto"/>
        </w:rPr>
      </w:pPr>
    </w:p>
    <w:p>
      <w:pPr>
        <w:ind w:right="200"/>
        <w:spacing w:after="0" w:line="357"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39" w:lineRule="exact"/>
        <w:rPr>
          <w:sz w:val="20"/>
          <w:szCs w:val="20"/>
          <w:color w:val="auto"/>
        </w:rPr>
      </w:pPr>
    </w:p>
    <w:p>
      <w:pPr>
        <w:ind w:right="60" w:firstLine="391"/>
        <w:spacing w:after="0" w:line="278"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94"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198" w:lineRule="exact"/>
        <w:rPr>
          <w:sz w:val="20"/>
          <w:szCs w:val="20"/>
          <w:color w:val="auto"/>
        </w:rPr>
      </w:pPr>
    </w:p>
    <w:p>
      <w:pPr>
        <w:ind w:right="100" w:firstLine="391"/>
        <w:spacing w:after="0" w:line="261" w:lineRule="auto"/>
        <w:rPr>
          <w:sz w:val="20"/>
          <w:szCs w:val="20"/>
          <w:color w:val="auto"/>
        </w:rPr>
      </w:pPr>
      <w:r>
        <w:rPr>
          <w:rFonts w:ascii="Arial" w:cs="Arial" w:eastAsia="Arial" w:hAnsi="Arial"/>
          <w:sz w:val="17"/>
          <w:szCs w:val="17"/>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207" w:lineRule="exact"/>
        <w:rPr>
          <w:sz w:val="20"/>
          <w:szCs w:val="20"/>
          <w:color w:val="auto"/>
        </w:rPr>
      </w:pPr>
    </w:p>
    <w:p>
      <w:pPr>
        <w:ind w:right="60" w:firstLine="391"/>
        <w:spacing w:after="0" w:line="288" w:lineRule="auto"/>
        <w:rPr>
          <w:sz w:val="20"/>
          <w:szCs w:val="20"/>
          <w:color w:val="auto"/>
        </w:rPr>
      </w:pPr>
      <w:r>
        <w:rPr>
          <w:rFonts w:ascii="Arial" w:cs="Arial" w:eastAsia="Arial" w:hAnsi="Arial"/>
          <w:sz w:val="16"/>
          <w:szCs w:val="16"/>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84" w:lineRule="exact"/>
        <w:rPr>
          <w:sz w:val="20"/>
          <w:szCs w:val="20"/>
          <w:color w:val="auto"/>
        </w:rPr>
      </w:pPr>
    </w:p>
    <w:p>
      <w:pPr>
        <w:ind w:right="60" w:firstLine="391"/>
        <w:spacing w:after="0" w:line="288" w:lineRule="auto"/>
        <w:rPr>
          <w:sz w:val="20"/>
          <w:szCs w:val="20"/>
          <w:color w:val="auto"/>
        </w:rPr>
      </w:pPr>
      <w:r>
        <w:rPr>
          <w:rFonts w:ascii="Arial" w:cs="Arial" w:eastAsia="Arial" w:hAnsi="Arial"/>
          <w:sz w:val="16"/>
          <w:szCs w:val="16"/>
          <w:color w:val="auto"/>
        </w:rPr>
        <w:t>We finance a significant portion of our expenditures through leasing arrangements and we may enter into additional similar arrangements in the future. As of December 31, 2019, we had an aggregate of $1,457.9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86" w:lineRule="exact"/>
        <w:rPr>
          <w:sz w:val="20"/>
          <w:szCs w:val="20"/>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 repayment of any outstanding lease obligations;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terminate our leasing arrangements;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terminate our access to the leased datacenters we utilize;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stop delivery of ordered equipment;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sell or require us to return our leased equipment;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 repayment of any outstanding amounts drawn on our revolving credit facility;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terminate our revolving credit facility; or</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 us to pay significant fees, penalties, or damages.</w:t>
      </w:r>
    </w:p>
    <w:p>
      <w:pPr>
        <w:spacing w:after="0" w:line="248" w:lineRule="exact"/>
        <w:rPr>
          <w:sz w:val="20"/>
          <w:szCs w:val="20"/>
          <w:color w:val="auto"/>
        </w:rPr>
      </w:pPr>
    </w:p>
    <w:p>
      <w:pPr>
        <w:ind w:right="60" w:firstLine="391"/>
        <w:spacing w:after="0" w:line="287" w:lineRule="auto"/>
        <w:rPr>
          <w:sz w:val="20"/>
          <w:szCs w:val="20"/>
          <w:color w:val="auto"/>
        </w:rPr>
      </w:pPr>
      <w:r>
        <w:rPr>
          <w:rFonts w:ascii="Arial" w:cs="Arial" w:eastAsia="Arial" w:hAnsi="Arial"/>
          <w:sz w:val="17"/>
          <w:szCs w:val="17"/>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248" w:lineRule="exact"/>
        <w:rPr>
          <w:sz w:val="20"/>
          <w:szCs w:val="20"/>
          <w:color w:val="auto"/>
        </w:rPr>
      </w:pPr>
    </w:p>
    <w:p>
      <w:pPr>
        <w:ind w:right="40" w:firstLine="391"/>
        <w:spacing w:after="0" w:line="301" w:lineRule="auto"/>
        <w:rPr>
          <w:sz w:val="20"/>
          <w:szCs w:val="20"/>
          <w:color w:val="auto"/>
        </w:rPr>
      </w:pPr>
      <w:r>
        <w:rPr>
          <w:rFonts w:ascii="Arial" w:cs="Arial" w:eastAsia="Arial" w:hAnsi="Arial"/>
          <w:sz w:val="15"/>
          <w:szCs w:val="15"/>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you could lose all or part of your investment.</w:t>
      </w:r>
    </w:p>
    <w:p>
      <w:pPr>
        <w:spacing w:after="0" w:line="248" w:lineRule="exact"/>
        <w:rPr>
          <w:sz w:val="20"/>
          <w:szCs w:val="20"/>
          <w:color w:val="auto"/>
        </w:rPr>
      </w:pPr>
    </w:p>
    <w:p>
      <w:pPr>
        <w:ind w:right="480" w:firstLine="391"/>
        <w:spacing w:after="0" w:line="287"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84" w:lineRule="exact"/>
        <w:rPr>
          <w:sz w:val="20"/>
          <w:szCs w:val="20"/>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technology stocks;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1260" w:hanging="317"/>
        <w:spacing w:after="0"/>
        <w:tabs>
          <w:tab w:leader="none" w:pos="12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270" w:lineRule="exact"/>
        <w:rPr>
          <w:rFonts w:ascii="Arial" w:cs="Arial" w:eastAsia="Arial" w:hAnsi="Arial"/>
          <w:sz w:val="15"/>
          <w:szCs w:val="15"/>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247" w:lineRule="exact"/>
        <w:rPr>
          <w:rFonts w:ascii="Arial" w:cs="Arial" w:eastAsia="Arial" w:hAnsi="Arial"/>
          <w:sz w:val="17"/>
          <w:szCs w:val="17"/>
          <w:color w:val="auto"/>
        </w:rPr>
      </w:pPr>
    </w:p>
    <w:p>
      <w:pPr>
        <w:ind w:left="1260" w:right="140" w:hanging="317"/>
        <w:spacing w:after="0" w:line="287" w:lineRule="auto"/>
        <w:tabs>
          <w:tab w:leader="none" w:pos="12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significant change in our management;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 and</w:t>
      </w:r>
    </w:p>
    <w:p>
      <w:pPr>
        <w:spacing w:after="0" w:line="247" w:lineRule="exact"/>
        <w:rPr>
          <w:rFonts w:ascii="Arial" w:cs="Arial" w:eastAsia="Arial" w:hAnsi="Arial"/>
          <w:sz w:val="17"/>
          <w:szCs w:val="17"/>
          <w:color w:val="auto"/>
        </w:rPr>
      </w:pPr>
    </w:p>
    <w:p>
      <w:pPr>
        <w:ind w:left="1260" w:right="100" w:hanging="317"/>
        <w:spacing w:after="0" w:line="320" w:lineRule="auto"/>
        <w:tabs>
          <w:tab w:leader="none" w:pos="12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catastrophic events, including earthquakes, fires, floods, tsunamis, or other weather events, power loss, telecommunications failures, software or hardware malfunctions, cyber-attack, war, or terrorist attacks, and pandemics such the ongoing COVID-19 pandemic.</w:t>
      </w:r>
    </w:p>
    <w:p>
      <w:pPr>
        <w:spacing w:after="0" w:line="161"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In addition, in the past, following periods of volatility in the overall market and the market price of a particular company’s securities, securities class action litigation has often been instituted against these companies. For example, we were recently subject to a number of putative class action lawsuits in state and federal court alleging federal securities law violations in connection with our IPO. Although the lawsuit in federal court has since been dismissed, the plaintiffs may appeal or amend their complaint, and we may not be successful in an appeal proceeding or in winning dismissal of an amended complaint. This recent litigation, and any securities litigation that may be instituted against us in the future, could result in substantial costs and a diversion of our management’s attention and resources.</w:t>
      </w:r>
    </w:p>
    <w:p>
      <w:pPr>
        <w:spacing w:after="0" w:line="206"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84" w:lineRule="exact"/>
        <w:rPr>
          <w:sz w:val="20"/>
          <w:szCs w:val="20"/>
          <w:color w:val="auto"/>
        </w:rPr>
      </w:pPr>
    </w:p>
    <w:p>
      <w:pPr>
        <w:ind w:firstLine="391"/>
        <w:spacing w:after="0" w:line="284" w:lineRule="auto"/>
        <w:rPr>
          <w:sz w:val="20"/>
          <w:szCs w:val="20"/>
          <w:color w:val="auto"/>
        </w:rPr>
      </w:pPr>
      <w:r>
        <w:rPr>
          <w:rFonts w:ascii="Arial" w:cs="Arial" w:eastAsia="Arial" w:hAnsi="Arial"/>
          <w:sz w:val="16"/>
          <w:szCs w:val="16"/>
          <w:color w:val="auto"/>
        </w:rPr>
        <w:t>Our Class A common stock has one vote per share, our Class B common stock has ten votes per share, and our Class C common stock has no voting rights, except as otherwise required by law. As of September 30, 2020, our directors, executive officers and holders of more than 5% of our common stock, and their respective affiliates, held in the aggregate 77.2% of the voting power of our capital stock, with Mr. Houston holding approximately 63.8% of the voting power of our capital stock. We are including Mr. Houston's Co-Founder Grant in this calculation since the shares underlying such grant are legally issued and outstanding shares of our Class A common stock and Mr. Houston is able to vote these shares prior to their vesting. Because of</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207" w:lineRule="exact"/>
        <w:rPr>
          <w:sz w:val="20"/>
          <w:szCs w:val="20"/>
          <w:color w:val="auto"/>
        </w:rPr>
      </w:pPr>
    </w:p>
    <w:p>
      <w:pPr>
        <w:ind w:right="80" w:firstLine="391"/>
        <w:spacing w:after="0" w:line="276" w:lineRule="auto"/>
        <w:rPr>
          <w:sz w:val="20"/>
          <w:szCs w:val="20"/>
          <w:color w:val="auto"/>
        </w:rPr>
      </w:pPr>
      <w:r>
        <w:rPr>
          <w:rFonts w:ascii="Arial" w:cs="Arial" w:eastAsia="Arial" w:hAnsi="Arial"/>
          <w:sz w:val="16"/>
          <w:szCs w:val="16"/>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196" w:lineRule="exact"/>
        <w:rPr>
          <w:sz w:val="20"/>
          <w:szCs w:val="20"/>
          <w:color w:val="auto"/>
        </w:rPr>
      </w:pPr>
    </w:p>
    <w:p>
      <w:pPr>
        <w:jc w:val="both"/>
        <w:ind w:right="300" w:firstLine="391"/>
        <w:spacing w:after="0" w:line="323" w:lineRule="auto"/>
        <w:rPr>
          <w:sz w:val="20"/>
          <w:szCs w:val="20"/>
          <w:color w:val="auto"/>
        </w:rPr>
      </w:pPr>
      <w:r>
        <w:rPr>
          <w:rFonts w:ascii="Arial" w:cs="Arial" w:eastAsia="Arial" w:hAnsi="Arial"/>
          <w:sz w:val="15"/>
          <w:szCs w:val="15"/>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64" w:lineRule="exact"/>
        <w:rPr>
          <w:sz w:val="20"/>
          <w:szCs w:val="20"/>
          <w:color w:val="auto"/>
        </w:rPr>
      </w:pPr>
    </w:p>
    <w:p>
      <w:pPr>
        <w:ind w:firstLine="391"/>
        <w:spacing w:after="0" w:line="280" w:lineRule="auto"/>
        <w:rPr>
          <w:sz w:val="20"/>
          <w:szCs w:val="20"/>
          <w:color w:val="auto"/>
        </w:rPr>
      </w:pPr>
      <w:r>
        <w:rPr>
          <w:rFonts w:ascii="Arial" w:cs="Arial" w:eastAsia="Arial" w:hAnsi="Arial"/>
          <w:sz w:val="16"/>
          <w:szCs w:val="16"/>
          <w:color w:val="auto"/>
        </w:rPr>
        <w:t>Additionally,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 exchange-traded funds, and other investment vehicles that attempt to passively track these S&amp;P indices will not be investing in our stock. It is as of yet unclear what effect, if any, these policies will have on the valuations of publicly traded companies excluded from one or more of these indices, but it is possible that they may depress these valuations compared to those of other similar companies that are included.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could depress the market price of our Class A common stock.</w:t>
      </w:r>
    </w:p>
    <w:p>
      <w:pPr>
        <w:spacing w:after="0" w:line="248" w:lineRule="exact"/>
        <w:rPr>
          <w:sz w:val="20"/>
          <w:szCs w:val="20"/>
          <w:color w:val="auto"/>
        </w:rPr>
      </w:pPr>
    </w:p>
    <w:p>
      <w:pPr>
        <w:ind w:right="300" w:firstLine="391"/>
        <w:spacing w:after="0" w:line="287" w:lineRule="auto"/>
        <w:rPr>
          <w:sz w:val="20"/>
          <w:szCs w:val="20"/>
          <w:color w:val="auto"/>
        </w:rPr>
      </w:pPr>
      <w:r>
        <w:rPr>
          <w:rFonts w:ascii="Arial" w:cs="Arial" w:eastAsia="Arial" w:hAnsi="Arial"/>
          <w:sz w:val="17"/>
          <w:szCs w:val="17"/>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84" w:lineRule="exact"/>
        <w:rPr>
          <w:sz w:val="20"/>
          <w:szCs w:val="20"/>
          <w:color w:val="auto"/>
        </w:rPr>
      </w:pPr>
    </w:p>
    <w:p>
      <w:pPr>
        <w:ind w:right="60" w:firstLine="391"/>
        <w:spacing w:after="0" w:line="271" w:lineRule="auto"/>
        <w:rPr>
          <w:sz w:val="20"/>
          <w:szCs w:val="20"/>
          <w:color w:val="auto"/>
        </w:rPr>
      </w:pPr>
      <w:r>
        <w:rPr>
          <w:rFonts w:ascii="Arial" w:cs="Arial" w:eastAsia="Arial" w:hAnsi="Arial"/>
          <w:sz w:val="17"/>
          <w:szCs w:val="17"/>
          <w:color w:val="auto"/>
        </w:rPr>
        <w:t>In addition, we have filed registration statements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198" w:lineRule="exact"/>
        <w:rPr>
          <w:sz w:val="20"/>
          <w:szCs w:val="20"/>
          <w:color w:val="auto"/>
        </w:rPr>
      </w:pPr>
    </w:p>
    <w:p>
      <w:pPr>
        <w:ind w:right="20" w:firstLine="391"/>
        <w:spacing w:after="0" w:line="320"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1"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20" w:firstLine="391"/>
        <w:spacing w:after="0" w:line="288"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86" w:lineRule="exact"/>
        <w:rPr>
          <w:sz w:val="20"/>
          <w:szCs w:val="20"/>
          <w:color w:val="auto"/>
        </w:rPr>
      </w:pPr>
    </w:p>
    <w:p>
      <w:pPr>
        <w:ind w:left="126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184" w:lineRule="exact"/>
        <w:rPr>
          <w:rFonts w:ascii="Arial" w:cs="Arial" w:eastAsia="Arial" w:hAnsi="Arial"/>
          <w:sz w:val="17"/>
          <w:szCs w:val="17"/>
          <w:color w:val="auto"/>
        </w:rPr>
      </w:pPr>
    </w:p>
    <w:p>
      <w:pPr>
        <w:ind w:left="1260" w:right="60" w:hanging="317"/>
        <w:spacing w:after="0" w:line="271"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98" w:lineRule="exact"/>
        <w:rPr>
          <w:rFonts w:ascii="Arial" w:cs="Arial" w:eastAsia="Arial" w:hAnsi="Arial"/>
          <w:sz w:val="17"/>
          <w:szCs w:val="17"/>
          <w:color w:val="auto"/>
        </w:rPr>
      </w:pPr>
    </w:p>
    <w:p>
      <w:pPr>
        <w:jc w:val="both"/>
        <w:ind w:left="1260" w:right="240" w:hanging="317"/>
        <w:spacing w:after="0" w:line="271"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98" w:lineRule="exact"/>
        <w:rPr>
          <w:rFonts w:ascii="Arial" w:cs="Arial" w:eastAsia="Arial" w:hAnsi="Arial"/>
          <w:sz w:val="17"/>
          <w:szCs w:val="17"/>
          <w:color w:val="auto"/>
        </w:rPr>
      </w:pPr>
    </w:p>
    <w:p>
      <w:pPr>
        <w:ind w:left="1260" w:hanging="317"/>
        <w:spacing w:after="0" w:line="288" w:lineRule="auto"/>
        <w:tabs>
          <w:tab w:leader="none" w:pos="12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86" w:lineRule="exact"/>
        <w:rPr>
          <w:rFonts w:ascii="Arial" w:cs="Arial" w:eastAsia="Arial" w:hAnsi="Arial"/>
          <w:sz w:val="16"/>
          <w:szCs w:val="16"/>
          <w:color w:val="auto"/>
        </w:rPr>
      </w:pPr>
    </w:p>
    <w:p>
      <w:pPr>
        <w:ind w:left="1260" w:right="28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84" w:lineRule="exact"/>
        <w:rPr>
          <w:rFonts w:ascii="Arial" w:cs="Arial" w:eastAsia="Arial" w:hAnsi="Arial"/>
          <w:sz w:val="17"/>
          <w:szCs w:val="17"/>
          <w:color w:val="auto"/>
        </w:rPr>
      </w:pPr>
    </w:p>
    <w:p>
      <w:pPr>
        <w:ind w:left="1260" w:right="42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after the Voting Threshold Date our stockholders will only be able to take action at a meeting of stockholders, and will not be able to take action by written consent for any matter;</w:t>
      </w:r>
    </w:p>
    <w:p>
      <w:pPr>
        <w:spacing w:after="0" w:line="184" w:lineRule="exact"/>
        <w:rPr>
          <w:rFonts w:ascii="Arial" w:cs="Arial" w:eastAsia="Arial" w:hAnsi="Arial"/>
          <w:sz w:val="17"/>
          <w:szCs w:val="17"/>
          <w:color w:val="auto"/>
        </w:rPr>
      </w:pPr>
    </w:p>
    <w:p>
      <w:pPr>
        <w:ind w:left="1260" w:right="10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until the Voting Threshold Date, our stockholders will be able to act by written consent only if the action is first recommended or approved by the Board of Directors;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w:t>
      </w:r>
    </w:p>
    <w:p>
      <w:pPr>
        <w:spacing w:after="0" w:line="247" w:lineRule="exact"/>
        <w:rPr>
          <w:rFonts w:ascii="Arial" w:cs="Arial" w:eastAsia="Arial" w:hAnsi="Arial"/>
          <w:sz w:val="17"/>
          <w:szCs w:val="17"/>
          <w:color w:val="auto"/>
        </w:rPr>
      </w:pPr>
    </w:p>
    <w:p>
      <w:pPr>
        <w:jc w:val="both"/>
        <w:ind w:left="1260" w:right="300" w:hanging="317"/>
        <w:spacing w:after="0" w:line="271"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98" w:lineRule="exact"/>
        <w:rPr>
          <w:rFonts w:ascii="Arial" w:cs="Arial" w:eastAsia="Arial" w:hAnsi="Arial"/>
          <w:sz w:val="17"/>
          <w:szCs w:val="17"/>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certain litigation against us may be required to be brought in Delaware;</w:t>
      </w:r>
    </w:p>
    <w:p>
      <w:pPr>
        <w:spacing w:after="0" w:line="247" w:lineRule="exact"/>
        <w:rPr>
          <w:rFonts w:ascii="Arial" w:cs="Arial" w:eastAsia="Arial" w:hAnsi="Arial"/>
          <w:sz w:val="17"/>
          <w:szCs w:val="17"/>
          <w:color w:val="auto"/>
        </w:rPr>
      </w:pPr>
    </w:p>
    <w:p>
      <w:pPr>
        <w:ind w:left="1260" w:right="26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84" w:lineRule="exact"/>
        <w:rPr>
          <w:rFonts w:ascii="Arial" w:cs="Arial" w:eastAsia="Arial" w:hAnsi="Arial"/>
          <w:sz w:val="17"/>
          <w:szCs w:val="17"/>
          <w:color w:val="auto"/>
        </w:rPr>
      </w:pPr>
    </w:p>
    <w:p>
      <w:pPr>
        <w:ind w:left="1260" w:right="6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84"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203"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206" w:lineRule="exact"/>
        <w:rPr>
          <w:sz w:val="20"/>
          <w:szCs w:val="20"/>
          <w:color w:val="auto"/>
        </w:rPr>
      </w:pPr>
    </w:p>
    <w:p>
      <w:pPr>
        <w:ind w:right="60" w:firstLine="391"/>
        <w:spacing w:after="0" w:line="287" w:lineRule="auto"/>
        <w:rPr>
          <w:sz w:val="20"/>
          <w:szCs w:val="20"/>
          <w:color w:val="auto"/>
        </w:rPr>
      </w:pPr>
      <w:r>
        <w:rPr>
          <w:rFonts w:ascii="Arial" w:cs="Arial" w:eastAsia="Arial" w:hAnsi="Arial"/>
          <w:sz w:val="17"/>
          <w:szCs w:val="17"/>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84" w:lineRule="exact"/>
        <w:rPr>
          <w:sz w:val="20"/>
          <w:szCs w:val="20"/>
          <w:color w:val="auto"/>
        </w:rPr>
      </w:pPr>
    </w:p>
    <w:p>
      <w:pPr>
        <w:ind w:right="400" w:firstLine="391"/>
        <w:spacing w:after="0" w:line="296"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0" w:lineRule="exact"/>
        <w:rPr>
          <w:sz w:val="20"/>
          <w:szCs w:val="20"/>
          <w:color w:val="auto"/>
        </w:rPr>
      </w:pPr>
    </w:p>
    <w:p>
      <w:pPr>
        <w:ind w:right="540" w:firstLine="391"/>
        <w:spacing w:after="0" w:line="287" w:lineRule="auto"/>
        <w:rPr>
          <w:sz w:val="20"/>
          <w:szCs w:val="20"/>
          <w:color w:val="auto"/>
        </w:rPr>
      </w:pPr>
      <w:r>
        <w:rPr>
          <w:rFonts w:ascii="Arial" w:cs="Arial" w:eastAsia="Arial" w:hAnsi="Arial"/>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248"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In February 2020, our Board of Directors approved a stock repurchase program for the repurchase of up to $600 million of the outstanding shares of our Class A common stock. The repurchase program does not have an expiration date and we are not obligated to repurchase a specified number or dollar value of shares. Share repurchases will be made from time to time in private transactions or open market purchases, as permitted by securities laws and other legal requirements. Although we have recently announced an intention to increase the pace of our share repurchases, any share repurchases remain subject to the circumstances in place at that time, including prevailing market prices. As a result, there can be no guarantee around the timing of our share repurchases, or that the volume of such repurchases will increase.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210"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84" w:lineRule="exact"/>
        <w:rPr>
          <w:sz w:val="20"/>
          <w:szCs w:val="20"/>
          <w:color w:val="auto"/>
        </w:rPr>
      </w:pPr>
    </w:p>
    <w:p>
      <w:pPr>
        <w:ind w:firstLine="391"/>
        <w:spacing w:after="0" w:line="284"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48" w:lineRule="exact"/>
        <w:rPr>
          <w:sz w:val="20"/>
          <w:szCs w:val="20"/>
          <w:color w:val="auto"/>
        </w:rPr>
      </w:pPr>
    </w:p>
    <w:p>
      <w:pPr>
        <w:ind w:right="260" w:firstLine="391"/>
        <w:spacing w:after="0" w:line="26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presents information with respect to Dropbox's repurchases of Class A common stock during the quarter ended September 30, 2020.</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color w:val="auto"/>
                <w:w w:val="88"/>
              </w:rPr>
              <w:t>Total Number 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center"/>
              <w:ind w:right="59"/>
              <w:spacing w:after="0"/>
              <w:rPr>
                <w:sz w:val="20"/>
                <w:szCs w:val="20"/>
                <w:color w:val="auto"/>
              </w:rPr>
            </w:pPr>
            <w:r>
              <w:rPr>
                <w:rFonts w:ascii="Arial" w:cs="Arial" w:eastAsia="Arial" w:hAnsi="Arial"/>
                <w:sz w:val="16"/>
                <w:szCs w:val="16"/>
                <w:color w:val="auto"/>
                <w:w w:val="92"/>
              </w:rPr>
              <w:t>Approximate Dollar Value of</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7" w:lineRule="exact"/>
              <w:rPr>
                <w:sz w:val="20"/>
                <w:szCs w:val="20"/>
                <w:color w:val="auto"/>
              </w:rPr>
            </w:pPr>
            <w:r>
              <w:rPr>
                <w:rFonts w:ascii="Arial" w:cs="Arial" w:eastAsia="Arial" w:hAnsi="Arial"/>
                <w:sz w:val="16"/>
                <w:szCs w:val="16"/>
                <w:color w:val="auto"/>
                <w:w w:val="87"/>
              </w:rPr>
              <w:t>Shares that May Yet Be</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restart"/>
          </w:tcPr>
          <w:p>
            <w:pPr>
              <w:jc w:val="right"/>
              <w:ind w:right="256"/>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jc w:val="center"/>
              <w:spacing w:after="0" w:line="157" w:lineRule="exact"/>
              <w:rPr>
                <w:sz w:val="20"/>
                <w:szCs w:val="20"/>
                <w:color w:val="auto"/>
              </w:rPr>
            </w:pPr>
            <w:r>
              <w:rPr>
                <w:rFonts w:ascii="Arial" w:cs="Arial" w:eastAsia="Arial" w:hAnsi="Arial"/>
                <w:sz w:val="16"/>
                <w:szCs w:val="16"/>
                <w:color w:val="auto"/>
                <w:w w:val="88"/>
              </w:rPr>
              <w:t>Purchased as Part of Publicly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7" w:lineRule="exact"/>
              <w:rPr>
                <w:sz w:val="20"/>
                <w:szCs w:val="20"/>
                <w:color w:val="auto"/>
              </w:rPr>
            </w:pPr>
            <w:r>
              <w:rPr>
                <w:rFonts w:ascii="Arial" w:cs="Arial" w:eastAsia="Arial" w:hAnsi="Arial"/>
                <w:sz w:val="16"/>
                <w:szCs w:val="16"/>
                <w:color w:val="auto"/>
                <w:w w:val="89"/>
              </w:rPr>
              <w:t>Purchased Under Publicly</w:t>
            </w:r>
          </w:p>
        </w:tc>
        <w:tc>
          <w:tcPr>
            <w:tcW w:w="0" w:type="dxa"/>
            <w:vAlign w:val="bottom"/>
          </w:tcPr>
          <w:p>
            <w:pPr>
              <w:spacing w:after="0"/>
              <w:rPr>
                <w:sz w:val="1"/>
                <w:szCs w:val="1"/>
                <w:color w:val="auto"/>
              </w:rPr>
            </w:pPr>
          </w:p>
        </w:tc>
      </w:tr>
      <w:tr>
        <w:trPr>
          <w:trHeight w:val="153"/>
        </w:trPr>
        <w:tc>
          <w:tcPr>
            <w:tcW w:w="2140" w:type="dxa"/>
            <w:vAlign w:val="bottom"/>
            <w:vMerge w:val="restart"/>
          </w:tcPr>
          <w:p>
            <w:pPr>
              <w:jc w:val="center"/>
              <w:spacing w:after="0"/>
              <w:rPr>
                <w:sz w:val="20"/>
                <w:szCs w:val="20"/>
                <w:color w:val="auto"/>
              </w:rPr>
            </w:pPr>
            <w:r>
              <w:rPr>
                <w:rFonts w:ascii="Arial" w:cs="Arial" w:eastAsia="Arial" w:hAnsi="Arial"/>
                <w:sz w:val="16"/>
                <w:szCs w:val="16"/>
                <w:color w:val="auto"/>
                <w:w w:val="86"/>
              </w:rPr>
              <w:t>Period</w:t>
            </w:r>
          </w:p>
        </w:tc>
        <w:tc>
          <w:tcPr>
            <w:tcW w:w="100" w:type="dxa"/>
            <w:vAlign w:val="bottom"/>
            <w:vMerge w:val="restart"/>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vMerge w:val="restart"/>
          </w:tcPr>
          <w:p>
            <w:pPr>
              <w:jc w:val="right"/>
              <w:ind w:right="13"/>
              <w:spacing w:after="0"/>
              <w:rPr>
                <w:sz w:val="20"/>
                <w:szCs w:val="20"/>
                <w:color w:val="auto"/>
              </w:rPr>
            </w:pPr>
            <w:r>
              <w:rPr>
                <w:rFonts w:ascii="Arial" w:cs="Arial" w:eastAsia="Arial" w:hAnsi="Arial"/>
                <w:sz w:val="16"/>
                <w:szCs w:val="16"/>
                <w:color w:val="auto"/>
                <w:w w:val="88"/>
              </w:rPr>
              <w:t>Average Price Paid per Share</w:t>
            </w:r>
            <w:r>
              <w:rPr>
                <w:rFonts w:ascii="Arial" w:cs="Arial" w:eastAsia="Arial" w:hAnsi="Arial"/>
                <w:sz w:val="20"/>
                <w:szCs w:val="20"/>
                <w:color w:val="auto"/>
                <w:w w:val="88"/>
                <w:vertAlign w:val="superscript"/>
              </w:rPr>
              <w:t>(2)</w:t>
            </w:r>
          </w:p>
        </w:tc>
        <w:tc>
          <w:tcPr>
            <w:tcW w:w="100" w:type="dxa"/>
            <w:vAlign w:val="bottom"/>
            <w:vMerge w:val="restart"/>
          </w:tcPr>
          <w:p>
            <w:pPr>
              <w:spacing w:after="0"/>
              <w:rPr>
                <w:sz w:val="13"/>
                <w:szCs w:val="13"/>
                <w:color w:val="auto"/>
              </w:rPr>
            </w:pPr>
          </w:p>
        </w:tc>
        <w:tc>
          <w:tcPr>
            <w:tcW w:w="2140" w:type="dxa"/>
            <w:vAlign w:val="bottom"/>
          </w:tcPr>
          <w:p>
            <w:pPr>
              <w:jc w:val="center"/>
              <w:spacing w:after="0" w:line="154" w:lineRule="exact"/>
              <w:rPr>
                <w:sz w:val="20"/>
                <w:szCs w:val="20"/>
                <w:color w:val="auto"/>
              </w:rPr>
            </w:pPr>
            <w:r>
              <w:rPr>
                <w:rFonts w:ascii="Arial" w:cs="Arial" w:eastAsia="Arial" w:hAnsi="Arial"/>
                <w:sz w:val="16"/>
                <w:szCs w:val="16"/>
                <w:color w:val="auto"/>
                <w:w w:val="87"/>
              </w:rPr>
              <w:t>Announced Programs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4" w:lineRule="exact"/>
              <w:rPr>
                <w:sz w:val="20"/>
                <w:szCs w:val="20"/>
                <w:color w:val="auto"/>
              </w:rPr>
            </w:pPr>
            <w:r>
              <w:rPr>
                <w:rFonts w:ascii="Arial" w:cs="Arial" w:eastAsia="Arial" w:hAnsi="Arial"/>
                <w:sz w:val="16"/>
                <w:szCs w:val="16"/>
                <w:color w:val="auto"/>
                <w:w w:val="87"/>
              </w:rPr>
              <w:t>Announced Programs</w:t>
            </w:r>
          </w:p>
        </w:tc>
        <w:tc>
          <w:tcPr>
            <w:tcW w:w="0" w:type="dxa"/>
            <w:vAlign w:val="bottom"/>
          </w:tcPr>
          <w:p>
            <w:pPr>
              <w:spacing w:after="0"/>
              <w:rPr>
                <w:sz w:val="1"/>
                <w:szCs w:val="1"/>
                <w:color w:val="auto"/>
              </w:rPr>
            </w:pPr>
          </w:p>
        </w:tc>
      </w:tr>
      <w:tr>
        <w:trPr>
          <w:trHeight w:val="209"/>
        </w:trPr>
        <w:tc>
          <w:tcPr>
            <w:tcW w:w="2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160" w:type="dxa"/>
            <w:vAlign w:val="bottom"/>
            <w:tcBorders>
              <w:bottom w:val="single" w:sz="8" w:color="auto"/>
            </w:tcBorders>
          </w:tcPr>
          <w:p>
            <w:pPr>
              <w:jc w:val="right"/>
              <w:ind w:right="216"/>
              <w:spacing w:after="0" w:line="208" w:lineRule="exact"/>
              <w:rPr>
                <w:sz w:val="20"/>
                <w:szCs w:val="20"/>
                <w:color w:val="auto"/>
              </w:rPr>
            </w:pPr>
            <w:r>
              <w:rPr>
                <w:rFonts w:ascii="Arial" w:cs="Arial" w:eastAsia="Arial" w:hAnsi="Arial"/>
                <w:sz w:val="16"/>
                <w:szCs w:val="16"/>
                <w:color w:val="auto"/>
              </w:rPr>
              <w:t>Purchased (in millions)</w:t>
            </w:r>
            <w:r>
              <w:rPr>
                <w:rFonts w:ascii="Arial" w:cs="Arial" w:eastAsia="Arial" w:hAnsi="Arial"/>
                <w:sz w:val="20"/>
                <w:szCs w:val="20"/>
                <w:color w:val="auto"/>
                <w:vertAlign w:val="superscript"/>
              </w:rPr>
              <w:t>(1)</w:t>
            </w:r>
          </w:p>
        </w:tc>
        <w:tc>
          <w:tcPr>
            <w:tcW w:w="100" w:type="dxa"/>
            <w:vAlign w:val="bottom"/>
          </w:tcPr>
          <w:p>
            <w:pPr>
              <w:spacing w:after="0"/>
              <w:rPr>
                <w:sz w:val="18"/>
                <w:szCs w:val="18"/>
                <w:color w:val="auto"/>
              </w:rPr>
            </w:pPr>
          </w:p>
        </w:tc>
        <w:tc>
          <w:tcPr>
            <w:tcW w:w="214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140" w:type="dxa"/>
            <w:vAlign w:val="bottom"/>
            <w:tcBorders>
              <w:bottom w:val="single" w:sz="8" w:color="auto"/>
            </w:tcBorders>
          </w:tcPr>
          <w:p>
            <w:pPr>
              <w:jc w:val="center"/>
              <w:spacing w:after="0" w:line="208"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ind w:right="39"/>
              <w:spacing w:after="0" w:line="208"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0" w:type="dxa"/>
            <w:vAlign w:val="bottom"/>
          </w:tcPr>
          <w:p>
            <w:pPr>
              <w:spacing w:after="0"/>
              <w:rPr>
                <w:sz w:val="1"/>
                <w:szCs w:val="1"/>
                <w:color w:val="auto"/>
              </w:rPr>
            </w:pPr>
          </w:p>
        </w:tc>
      </w:tr>
      <w:tr>
        <w:trPr>
          <w:trHeight w:val="208"/>
        </w:trPr>
        <w:tc>
          <w:tcPr>
            <w:tcW w:w="2240" w:type="dxa"/>
            <w:vAlign w:val="bottom"/>
            <w:gridSpan w:val="2"/>
          </w:tcPr>
          <w:p>
            <w:pPr>
              <w:spacing w:after="0"/>
              <w:rPr>
                <w:sz w:val="20"/>
                <w:szCs w:val="20"/>
                <w:color w:val="auto"/>
              </w:rPr>
            </w:pPr>
            <w:r>
              <w:rPr>
                <w:rFonts w:ascii="Arial" w:cs="Arial" w:eastAsia="Arial" w:hAnsi="Arial"/>
                <w:sz w:val="17"/>
                <w:szCs w:val="17"/>
                <w:color w:val="auto"/>
              </w:rPr>
              <w:t>July 1 - 31</w:t>
            </w:r>
          </w:p>
        </w:tc>
        <w:tc>
          <w:tcPr>
            <w:tcW w:w="2160" w:type="dxa"/>
            <w:vAlign w:val="bottom"/>
          </w:tcPr>
          <w:p>
            <w:pPr>
              <w:jc w:val="right"/>
              <w:spacing w:after="0"/>
              <w:rPr>
                <w:sz w:val="20"/>
                <w:szCs w:val="20"/>
                <w:color w:val="auto"/>
              </w:rPr>
            </w:pPr>
            <w:r>
              <w:rPr>
                <w:rFonts w:ascii="Arial" w:cs="Arial" w:eastAsia="Arial" w:hAnsi="Arial"/>
                <w:sz w:val="17"/>
                <w:szCs w:val="17"/>
                <w:color w:val="auto"/>
              </w:rPr>
              <w:t>0.59</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21.82</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0.59</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447.30</w:t>
            </w:r>
          </w:p>
        </w:tc>
        <w:tc>
          <w:tcPr>
            <w:tcW w:w="0" w:type="dxa"/>
            <w:vAlign w:val="bottom"/>
          </w:tcPr>
          <w:p>
            <w:pPr>
              <w:spacing w:after="0"/>
              <w:rPr>
                <w:sz w:val="1"/>
                <w:szCs w:val="1"/>
                <w:color w:val="auto"/>
              </w:rPr>
            </w:pPr>
          </w:p>
        </w:tc>
      </w:tr>
      <w:tr>
        <w:trPr>
          <w:trHeight w:val="229"/>
        </w:trPr>
        <w:tc>
          <w:tcPr>
            <w:tcW w:w="2240" w:type="dxa"/>
            <w:vAlign w:val="bottom"/>
            <w:gridSpan w:val="2"/>
          </w:tcPr>
          <w:p>
            <w:pPr>
              <w:spacing w:after="0"/>
              <w:rPr>
                <w:sz w:val="20"/>
                <w:szCs w:val="20"/>
                <w:color w:val="auto"/>
              </w:rPr>
            </w:pPr>
            <w:r>
              <w:rPr>
                <w:rFonts w:ascii="Arial" w:cs="Arial" w:eastAsia="Arial" w:hAnsi="Arial"/>
                <w:sz w:val="17"/>
                <w:szCs w:val="17"/>
                <w:color w:val="auto"/>
              </w:rPr>
              <w:t>August 1 - 31</w:t>
            </w:r>
          </w:p>
        </w:tc>
        <w:tc>
          <w:tcPr>
            <w:tcW w:w="2160" w:type="dxa"/>
            <w:vAlign w:val="bottom"/>
          </w:tcPr>
          <w:p>
            <w:pPr>
              <w:jc w:val="right"/>
              <w:spacing w:after="0" w:line="228" w:lineRule="exact"/>
              <w:rPr>
                <w:sz w:val="20"/>
                <w:szCs w:val="20"/>
                <w:color w:val="auto"/>
              </w:rPr>
            </w:pPr>
            <w:r>
              <w:rPr>
                <w:rFonts w:ascii="Arial" w:cs="Arial" w:eastAsia="Arial" w:hAnsi="Arial"/>
                <w:sz w:val="17"/>
                <w:szCs w:val="17"/>
                <w:color w:val="auto"/>
              </w:rPr>
              <w:t>0.61</w:t>
            </w:r>
            <w:r>
              <w:rPr>
                <w:rFonts w:ascii="Arial" w:cs="Arial" w:eastAsia="Arial" w:hAnsi="Arial"/>
                <w:sz w:val="22"/>
                <w:szCs w:val="22"/>
                <w:color w:val="auto"/>
                <w:vertAlign w:val="superscript"/>
              </w:rPr>
              <w:t>(3)</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20.70</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0.59</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435.00</w:t>
            </w:r>
          </w:p>
        </w:tc>
        <w:tc>
          <w:tcPr>
            <w:tcW w:w="0" w:type="dxa"/>
            <w:vAlign w:val="bottom"/>
          </w:tcPr>
          <w:p>
            <w:pPr>
              <w:spacing w:after="0"/>
              <w:rPr>
                <w:sz w:val="1"/>
                <w:szCs w:val="1"/>
                <w:color w:val="auto"/>
              </w:rPr>
            </w:pPr>
          </w:p>
        </w:tc>
      </w:tr>
      <w:tr>
        <w:trPr>
          <w:trHeight w:val="221"/>
        </w:trPr>
        <w:tc>
          <w:tcPr>
            <w:tcW w:w="2240" w:type="dxa"/>
            <w:vAlign w:val="bottom"/>
            <w:gridSpan w:val="2"/>
          </w:tcPr>
          <w:p>
            <w:pPr>
              <w:spacing w:after="0"/>
              <w:rPr>
                <w:sz w:val="20"/>
                <w:szCs w:val="20"/>
                <w:color w:val="auto"/>
              </w:rPr>
            </w:pPr>
            <w:r>
              <w:rPr>
                <w:rFonts w:ascii="Arial" w:cs="Arial" w:eastAsia="Arial" w:hAnsi="Arial"/>
                <w:sz w:val="17"/>
                <w:szCs w:val="17"/>
                <w:color w:val="auto"/>
              </w:rPr>
              <w:t>September 1 - 30</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0.62</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19.84</w:t>
            </w:r>
          </w:p>
        </w:tc>
        <w:tc>
          <w:tcPr>
            <w:tcW w:w="10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0.62</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422.70</w:t>
            </w:r>
          </w:p>
        </w:tc>
        <w:tc>
          <w:tcPr>
            <w:tcW w:w="0" w:type="dxa"/>
            <w:vAlign w:val="bottom"/>
          </w:tcPr>
          <w:p>
            <w:pPr>
              <w:spacing w:after="0"/>
              <w:rPr>
                <w:sz w:val="1"/>
                <w:szCs w:val="1"/>
                <w:color w:val="auto"/>
              </w:rPr>
            </w:pPr>
          </w:p>
        </w:tc>
      </w:tr>
      <w:tr>
        <w:trPr>
          <w:trHeight w:val="215"/>
        </w:trPr>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Total</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20.77</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left="640" w:right="100" w:hanging="10"/>
        <w:spacing w:after="0" w:line="287" w:lineRule="auto"/>
        <w:tabs>
          <w:tab w:leader="none" w:pos="80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On February 20, 2020, we announced that our Board of Directors approved a stock repurchase program for the repurchase of up to $600 million of the Company's outstanding shares of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Equity" of this Quarterly Report on Form 10-Q for additional information related to share repurchases.</w:t>
      </w:r>
    </w:p>
    <w:p>
      <w:pPr>
        <w:spacing w:after="0" w:line="191" w:lineRule="exact"/>
        <w:rPr>
          <w:rFonts w:ascii="Arial" w:cs="Arial" w:eastAsia="Arial" w:hAnsi="Arial"/>
          <w:sz w:val="19"/>
          <w:szCs w:val="19"/>
          <w:color w:val="auto"/>
          <w:vertAlign w:val="superscript"/>
        </w:rPr>
      </w:pPr>
    </w:p>
    <w:p>
      <w:pPr>
        <w:ind w:left="780" w:hanging="150"/>
        <w:spacing w:after="0"/>
        <w:tabs>
          <w:tab w:leader="none" w:pos="78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Average price paid per share includes costs associated with the repurchases.</w:t>
      </w:r>
    </w:p>
    <w:p>
      <w:pPr>
        <w:spacing w:after="0" w:line="236" w:lineRule="exact"/>
        <w:rPr>
          <w:rFonts w:ascii="Arial" w:cs="Arial" w:eastAsia="Arial" w:hAnsi="Arial"/>
          <w:sz w:val="18"/>
          <w:szCs w:val="18"/>
          <w:color w:val="auto"/>
          <w:vertAlign w:val="superscript"/>
        </w:rPr>
      </w:pPr>
    </w:p>
    <w:p>
      <w:pPr>
        <w:ind w:left="640" w:right="140" w:hanging="10"/>
        <w:spacing w:after="0" w:line="293" w:lineRule="auto"/>
        <w:tabs>
          <w:tab w:leader="none" w:pos="80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Includes 14,771 shares of restricted common stock delivered by certain employees upon vesting of restricted stock awards to satisfy tax withholding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EXHIBIT INDEX</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Incorporated by</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740" w:type="dxa"/>
            <w:vAlign w:val="bottom"/>
            <w:gridSpan w:val="4"/>
            <w:vMerge w:val="restart"/>
          </w:tcPr>
          <w:p>
            <w:pPr>
              <w:ind w:left="1880"/>
              <w:spacing w:after="0"/>
              <w:rPr>
                <w:sz w:val="20"/>
                <w:szCs w:val="20"/>
                <w:color w:val="auto"/>
              </w:rPr>
            </w:pPr>
            <w:r>
              <w:rPr>
                <w:rFonts w:ascii="Arial" w:cs="Arial" w:eastAsia="Arial" w:hAnsi="Arial"/>
                <w:sz w:val="14"/>
                <w:szCs w:val="14"/>
                <w:b w:val="1"/>
                <w:bCs w:val="1"/>
                <w:color w:val="auto"/>
              </w:rPr>
              <w:t>Description</w:t>
            </w:r>
          </w:p>
        </w:tc>
        <w:tc>
          <w:tcPr>
            <w:tcW w:w="8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Reference from</w:t>
            </w:r>
          </w:p>
        </w:tc>
        <w:tc>
          <w:tcPr>
            <w:tcW w:w="120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2"/>
              </w:rPr>
              <w:t>Filed with SEC</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5"/>
                <w:szCs w:val="15"/>
                <w:color w:val="auto"/>
              </w:rPr>
            </w:pPr>
          </w:p>
        </w:tc>
        <w:tc>
          <w:tcPr>
            <w:tcW w:w="4740" w:type="dxa"/>
            <w:vAlign w:val="bottom"/>
            <w:gridSpan w:val="4"/>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Exhibit Number</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1080" w:type="dxa"/>
            <w:vAlign w:val="bottom"/>
          </w:tcPr>
          <w:p>
            <w:pPr>
              <w:spacing w:after="0"/>
              <w:rPr>
                <w:sz w:val="20"/>
                <w:szCs w:val="20"/>
                <w:color w:val="auto"/>
              </w:rPr>
            </w:pPr>
            <w:r>
              <w:rPr>
                <w:rFonts w:ascii="Arial" w:cs="Arial" w:eastAsia="Arial" w:hAnsi="Arial"/>
                <w:sz w:val="14"/>
                <w:szCs w:val="14"/>
                <w:color w:val="auto"/>
              </w:rPr>
              <w:t>10.1+</w:t>
            </w:r>
          </w:p>
        </w:tc>
        <w:tc>
          <w:tcPr>
            <w:tcW w:w="5040" w:type="dxa"/>
            <w:vAlign w:val="bottom"/>
            <w:gridSpan w:val="5"/>
          </w:tcPr>
          <w:p>
            <w:pPr>
              <w:spacing w:after="0"/>
              <w:rPr>
                <w:rFonts w:ascii="Arial" w:cs="Arial" w:eastAsia="Arial" w:hAnsi="Arial"/>
                <w:sz w:val="14"/>
                <w:szCs w:val="14"/>
                <w:u w:val="single" w:color="auto"/>
                <w:color w:val="0000FF"/>
              </w:rPr>
            </w:pPr>
            <w:hyperlink w:anchor="page90">
              <w:r>
                <w:rPr>
                  <w:rFonts w:ascii="Arial" w:cs="Arial" w:eastAsia="Arial" w:hAnsi="Arial"/>
                  <w:sz w:val="14"/>
                  <w:szCs w:val="14"/>
                  <w:u w:val="single" w:color="auto"/>
                  <w:color w:val="0000FF"/>
                </w:rPr>
                <w:t>Offer Letter between the Registrant and Timothy Young</w:t>
              </w:r>
            </w:hyperlink>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080" w:type="dxa"/>
            <w:vAlign w:val="bottom"/>
          </w:tcPr>
          <w:p>
            <w:pPr>
              <w:spacing w:after="0"/>
              <w:rPr>
                <w:sz w:val="20"/>
                <w:szCs w:val="20"/>
                <w:color w:val="auto"/>
              </w:rPr>
            </w:pPr>
            <w:r>
              <w:rPr>
                <w:rFonts w:ascii="Arial" w:cs="Arial" w:eastAsia="Arial" w:hAnsi="Arial"/>
                <w:sz w:val="14"/>
                <w:szCs w:val="14"/>
                <w:color w:val="auto"/>
              </w:rPr>
              <w:t>10.2+</w:t>
            </w:r>
          </w:p>
        </w:tc>
        <w:tc>
          <w:tcPr>
            <w:tcW w:w="5040" w:type="dxa"/>
            <w:vAlign w:val="bottom"/>
            <w:gridSpan w:val="5"/>
          </w:tcPr>
          <w:p>
            <w:pPr>
              <w:spacing w:after="0"/>
              <w:rPr>
                <w:rFonts w:ascii="Arial" w:cs="Arial" w:eastAsia="Arial" w:hAnsi="Arial"/>
                <w:sz w:val="14"/>
                <w:szCs w:val="14"/>
                <w:u w:val="single" w:color="auto"/>
                <w:color w:val="0000FF"/>
              </w:rPr>
            </w:pPr>
            <w:hyperlink w:anchor="page93">
              <w:r>
                <w:rPr>
                  <w:rFonts w:ascii="Arial" w:cs="Arial" w:eastAsia="Arial" w:hAnsi="Arial"/>
                  <w:sz w:val="14"/>
                  <w:szCs w:val="14"/>
                  <w:u w:val="single" w:color="auto"/>
                  <w:color w:val="0000FF"/>
                </w:rPr>
                <w:t>Form of Restricted Stock Agreement between the Registrant and Timothy Young</w:t>
              </w:r>
            </w:hyperlink>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1080" w:type="dxa"/>
            <w:vAlign w:val="bottom"/>
          </w:tcPr>
          <w:p>
            <w:pPr>
              <w:spacing w:after="0"/>
              <w:rPr>
                <w:sz w:val="20"/>
                <w:szCs w:val="20"/>
                <w:color w:val="auto"/>
              </w:rPr>
            </w:pPr>
            <w:r>
              <w:rPr>
                <w:rFonts w:ascii="Arial" w:cs="Arial" w:eastAsia="Arial" w:hAnsi="Arial"/>
                <w:sz w:val="14"/>
                <w:szCs w:val="14"/>
                <w:color w:val="auto"/>
              </w:rPr>
              <w:t>31.1</w:t>
            </w:r>
          </w:p>
        </w:tc>
        <w:tc>
          <w:tcPr>
            <w:tcW w:w="5040" w:type="dxa"/>
            <w:vAlign w:val="bottom"/>
            <w:tcBorders>
              <w:bottom w:val="single" w:sz="8" w:color="0000FF"/>
            </w:tcBorders>
            <w:gridSpan w:val="5"/>
          </w:tcPr>
          <w:p>
            <w:pPr>
              <w:spacing w:after="0"/>
              <w:rPr>
                <w:rFonts w:ascii="Arial" w:cs="Arial" w:eastAsia="Arial" w:hAnsi="Arial"/>
                <w:sz w:val="14"/>
                <w:szCs w:val="14"/>
                <w:color w:val="0000FF"/>
                <w:w w:val="90"/>
              </w:rPr>
            </w:pPr>
            <w:hyperlink w:anchor="page116">
              <w:r>
                <w:rPr>
                  <w:rFonts w:ascii="Arial" w:cs="Arial" w:eastAsia="Arial" w:hAnsi="Arial"/>
                  <w:sz w:val="14"/>
                  <w:szCs w:val="14"/>
                  <w:color w:val="0000FF"/>
                  <w:w w:val="90"/>
                </w:rPr>
                <w:t>Certification of Principal Executive Officer pursuant to Exchange Act Rules 13a-14(a) and</w:t>
              </w:r>
            </w:hyperlink>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040" w:type="dxa"/>
            <w:vAlign w:val="bottom"/>
            <w:gridSpan w:val="5"/>
          </w:tcPr>
          <w:p>
            <w:pPr>
              <w:spacing w:after="0"/>
              <w:rPr>
                <w:rFonts w:ascii="Arial" w:cs="Arial" w:eastAsia="Arial" w:hAnsi="Arial"/>
                <w:sz w:val="14"/>
                <w:szCs w:val="14"/>
                <w:u w:val="single" w:color="auto"/>
                <w:color w:val="0000FF"/>
                <w:w w:val="98"/>
              </w:rPr>
            </w:pPr>
            <w:hyperlink w:anchor="page116">
              <w:r>
                <w:rPr>
                  <w:rFonts w:ascii="Arial" w:cs="Arial" w:eastAsia="Arial" w:hAnsi="Arial"/>
                  <w:sz w:val="14"/>
                  <w:szCs w:val="14"/>
                  <w:u w:val="single" w:color="auto"/>
                  <w:color w:val="0000FF"/>
                  <w:w w:val="98"/>
                </w:rPr>
                <w:t>15d-14(a), as adopted pursuant to Section 302 of the Sarbanes-Oxley Act of 2002.</w:t>
              </w:r>
            </w:hyperlink>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4"/>
                <w:szCs w:val="14"/>
                <w:color w:val="auto"/>
              </w:rPr>
              <w:t>31.2</w:t>
            </w:r>
          </w:p>
        </w:tc>
        <w:tc>
          <w:tcPr>
            <w:tcW w:w="5040" w:type="dxa"/>
            <w:vAlign w:val="bottom"/>
            <w:gridSpan w:val="5"/>
          </w:tcPr>
          <w:p>
            <w:pPr>
              <w:spacing w:after="0"/>
              <w:rPr>
                <w:rFonts w:ascii="Arial" w:cs="Arial" w:eastAsia="Arial" w:hAnsi="Arial"/>
                <w:sz w:val="14"/>
                <w:szCs w:val="14"/>
                <w:color w:val="0000FF"/>
                <w:w w:val="91"/>
              </w:rPr>
            </w:pPr>
            <w:hyperlink w:anchor="page117">
              <w:r>
                <w:rPr>
                  <w:rFonts w:ascii="Arial" w:cs="Arial" w:eastAsia="Arial" w:hAnsi="Arial"/>
                  <w:sz w:val="14"/>
                  <w:szCs w:val="14"/>
                  <w:color w:val="0000FF"/>
                  <w:w w:val="91"/>
                </w:rPr>
                <w:t>Certification of Principal Financial Officer pursuant to Exchange Act Rules 13a-14(a) and</w:t>
              </w:r>
            </w:hyperlink>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000" w:type="dxa"/>
            <w:vAlign w:val="bottom"/>
            <w:tcBorders>
              <w:top w:val="single" w:sz="8" w:color="0000FF"/>
            </w:tcBorders>
            <w:gridSpan w:val="4"/>
          </w:tcPr>
          <w:p>
            <w:pPr>
              <w:spacing w:after="0"/>
              <w:rPr>
                <w:rFonts w:ascii="Arial" w:cs="Arial" w:eastAsia="Arial" w:hAnsi="Arial"/>
                <w:sz w:val="14"/>
                <w:szCs w:val="14"/>
                <w:u w:val="single" w:color="auto"/>
                <w:color w:val="0000FF"/>
                <w:w w:val="97"/>
              </w:rPr>
            </w:pPr>
            <w:hyperlink w:anchor="page117">
              <w:r>
                <w:rPr>
                  <w:rFonts w:ascii="Arial" w:cs="Arial" w:eastAsia="Arial" w:hAnsi="Arial"/>
                  <w:sz w:val="14"/>
                  <w:szCs w:val="14"/>
                  <w:u w:val="single" w:color="auto"/>
                  <w:color w:val="0000FF"/>
                  <w:w w:val="97"/>
                </w:rPr>
                <w:t>15d-14(a), as adopted pursuant to Section 302 of the Sarbanes-Oxley Act of 2002.</w:t>
              </w:r>
            </w:hyperlink>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4"/>
                <w:szCs w:val="14"/>
                <w:color w:val="auto"/>
              </w:rPr>
              <w:t>32.1†</w:t>
            </w:r>
          </w:p>
        </w:tc>
        <w:tc>
          <w:tcPr>
            <w:tcW w:w="4880" w:type="dxa"/>
            <w:vAlign w:val="bottom"/>
            <w:tcBorders>
              <w:bottom w:val="single" w:sz="8" w:color="0000FF"/>
            </w:tcBorders>
            <w:gridSpan w:val="2"/>
          </w:tcPr>
          <w:p>
            <w:pPr>
              <w:spacing w:after="0"/>
              <w:rPr>
                <w:rFonts w:ascii="Arial" w:cs="Arial" w:eastAsia="Arial" w:hAnsi="Arial"/>
                <w:sz w:val="14"/>
                <w:szCs w:val="14"/>
                <w:color w:val="0000FF"/>
                <w:w w:val="92"/>
              </w:rPr>
            </w:pPr>
            <w:hyperlink w:anchor="page118">
              <w:r>
                <w:rPr>
                  <w:rFonts w:ascii="Arial" w:cs="Arial" w:eastAsia="Arial" w:hAnsi="Arial"/>
                  <w:sz w:val="14"/>
                  <w:szCs w:val="14"/>
                  <w:color w:val="0000FF"/>
                  <w:w w:val="92"/>
                </w:rPr>
                <w:t>Certifications of Principal Executive Officer and Principal Financial Officer pursuant to</w:t>
              </w:r>
            </w:hyperlink>
          </w:p>
        </w:tc>
        <w:tc>
          <w:tcPr>
            <w:tcW w:w="16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5040" w:type="dxa"/>
            <w:vAlign w:val="bottom"/>
            <w:gridSpan w:val="5"/>
          </w:tcPr>
          <w:p>
            <w:pPr>
              <w:spacing w:after="0" w:line="110" w:lineRule="exact"/>
              <w:rPr>
                <w:rFonts w:ascii="Arial" w:cs="Arial" w:eastAsia="Arial" w:hAnsi="Arial"/>
                <w:sz w:val="12"/>
                <w:szCs w:val="12"/>
                <w:color w:val="0000FF"/>
              </w:rPr>
            </w:pPr>
            <w:hyperlink w:anchor="page118">
              <w:r>
                <w:rPr>
                  <w:rFonts w:ascii="Arial" w:cs="Arial" w:eastAsia="Arial" w:hAnsi="Arial"/>
                  <w:sz w:val="12"/>
                  <w:szCs w:val="12"/>
                  <w:color w:val="0000FF"/>
                </w:rPr>
                <w:t>18 U.S.C. Section 1350 as adopted pursuant to Section 906 of the Sarbanes-Oxley Act of</w:t>
              </w:r>
            </w:hyperlink>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10" w:lineRule="exact"/>
              <w:rPr>
                <w:rFonts w:ascii="Arial" w:cs="Arial" w:eastAsia="Arial" w:hAnsi="Arial"/>
                <w:sz w:val="12"/>
                <w:szCs w:val="12"/>
                <w:color w:val="0000FF"/>
                <w:w w:val="93"/>
              </w:rPr>
            </w:pPr>
            <w:hyperlink w:anchor="page118">
              <w:r>
                <w:rPr>
                  <w:rFonts w:ascii="Arial" w:cs="Arial" w:eastAsia="Arial" w:hAnsi="Arial"/>
                  <w:sz w:val="12"/>
                  <w:szCs w:val="12"/>
                  <w:color w:val="0000FF"/>
                  <w:w w:val="93"/>
                </w:rPr>
                <w:t>2002.</w:t>
              </w:r>
            </w:hyperlink>
          </w:p>
        </w:tc>
        <w:tc>
          <w:tcPr>
            <w:tcW w:w="45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1100" w:right="5040" w:hanging="1078"/>
        <w:spacing w:after="0" w:line="258" w:lineRule="auto"/>
        <w:tabs>
          <w:tab w:leader="none" w:pos="11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following financial statements from the Company's Quarterly Report on Form 10-Q for the quarter ended September 30, 2020, formatted in Inline XBRL: (i) Condensed Consolidated Balance Sheets, (ii) Condensed Consolidated Statement of Operations, (iii) Condensed Consolidated Statements of Comprehensive Income (Loss), (iv) Condensed Consolidated Statements of Cash Flows, (v) Condensed Consolidated Statements of Stockholders' Equity, and (vi) Notes to Unaudited Condensed Consolidated Financial Statements.</w:t>
      </w:r>
    </w:p>
    <w:p>
      <w:pPr>
        <w:spacing w:after="0" w:line="375" w:lineRule="exact"/>
        <w:rPr>
          <w:sz w:val="20"/>
          <w:szCs w:val="20"/>
          <w:color w:val="auto"/>
        </w:rPr>
      </w:pPr>
    </w:p>
    <w:p>
      <w:pPr>
        <w:ind w:left="1100" w:hanging="1078"/>
        <w:spacing w:after="0"/>
        <w:tabs>
          <w:tab w:leader="none" w:pos="1100" w:val="left"/>
        </w:tabs>
        <w:numPr>
          <w:ilvl w:val="1"/>
          <w:numId w:val="33"/>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321" w:lineRule="exact"/>
        <w:rPr>
          <w:rFonts w:ascii="Arial" w:cs="Arial" w:eastAsia="Arial" w:hAnsi="Arial"/>
          <w:sz w:val="14"/>
          <w:szCs w:val="14"/>
          <w:color w:val="auto"/>
        </w:rPr>
      </w:pPr>
    </w:p>
    <w:p>
      <w:pPr>
        <w:ind w:left="120" w:hanging="116"/>
        <w:spacing w:after="0"/>
        <w:tabs>
          <w:tab w:leader="none" w:pos="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30" w:lineRule="exact"/>
        <w:rPr>
          <w:sz w:val="20"/>
          <w:szCs w:val="20"/>
          <w:color w:val="auto"/>
        </w:rPr>
      </w:pPr>
    </w:p>
    <w:p>
      <w:pPr>
        <w:ind w:firstLine="4"/>
        <w:spacing w:after="0" w:line="244" w:lineRule="auto"/>
        <w:tabs>
          <w:tab w:leader="none" w:pos="104"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88" w:name="page89"/>
    <w:bookmarkEnd w:id="88"/>
    <w:p>
      <w:pPr>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54" w:lineRule="exact"/>
        <w:rPr>
          <w:sz w:val="20"/>
          <w:szCs w:val="20"/>
          <w:color w:val="auto"/>
        </w:rPr>
      </w:pPr>
    </w:p>
    <w:p>
      <w:pPr>
        <w:ind w:right="240" w:firstLine="174"/>
        <w:spacing w:after="0" w:line="28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900" w:type="dxa"/>
            <w:vAlign w:val="bottom"/>
            <w:gridSpan w:val="3"/>
          </w:tcPr>
          <w:p>
            <w:pPr>
              <w:ind w:left="320"/>
              <w:spacing w:after="0"/>
              <w:rPr>
                <w:sz w:val="20"/>
                <w:szCs w:val="20"/>
                <w:color w:val="auto"/>
              </w:rPr>
            </w:pPr>
            <w:r>
              <w:rPr>
                <w:rFonts w:ascii="Arial" w:cs="Arial" w:eastAsia="Arial" w:hAnsi="Arial"/>
                <w:sz w:val="17"/>
                <w:szCs w:val="17"/>
                <w:b w:val="1"/>
                <w:bCs w:val="1"/>
                <w:color w:val="auto"/>
              </w:rPr>
              <w:t>DROPBOX, INC.</w:t>
            </w:r>
          </w:p>
        </w:tc>
        <w:tc>
          <w:tcPr>
            <w:tcW w:w="40" w:type="dxa"/>
            <w:vAlign w:val="bottom"/>
          </w:tcPr>
          <w:p>
            <w:pPr>
              <w:spacing w:after="0"/>
              <w:rPr>
                <w:sz w:val="19"/>
                <w:szCs w:val="19"/>
                <w:color w:val="auto"/>
              </w:rPr>
            </w:pPr>
          </w:p>
        </w:tc>
      </w:tr>
      <w:tr>
        <w:trPr>
          <w:trHeight w:val="483"/>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1760" w:type="dxa"/>
            <w:vAlign w:val="bottom"/>
          </w:tcPr>
          <w:p>
            <w:pPr>
              <w:ind w:left="100"/>
              <w:spacing w:after="0"/>
              <w:rPr>
                <w:sz w:val="20"/>
                <w:szCs w:val="20"/>
                <w:color w:val="auto"/>
              </w:rPr>
            </w:pPr>
            <w:r>
              <w:rPr>
                <w:rFonts w:ascii="Arial" w:cs="Arial" w:eastAsia="Arial" w:hAnsi="Arial"/>
                <w:sz w:val="17"/>
                <w:szCs w:val="17"/>
                <w:color w:val="auto"/>
              </w:rPr>
              <w:t>November 6, 2020</w:t>
            </w:r>
          </w:p>
        </w:tc>
        <w:tc>
          <w:tcPr>
            <w:tcW w:w="1360" w:type="dxa"/>
            <w:vAlign w:val="bottom"/>
          </w:tcPr>
          <w:p>
            <w:pPr>
              <w:ind w:left="320"/>
              <w:spacing w:after="0"/>
              <w:rPr>
                <w:sz w:val="20"/>
                <w:szCs w:val="20"/>
                <w:color w:val="auto"/>
              </w:rPr>
            </w:pPr>
            <w:r>
              <w:rPr>
                <w:rFonts w:ascii="Arial" w:cs="Arial" w:eastAsia="Arial" w:hAnsi="Arial"/>
                <w:sz w:val="17"/>
                <w:szCs w:val="17"/>
                <w:color w:val="auto"/>
              </w:rPr>
              <w:t>By:</w:t>
            </w:r>
          </w:p>
        </w:tc>
        <w:tc>
          <w:tcPr>
            <w:tcW w:w="75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Andrew W. Houston</w:t>
            </w:r>
          </w:p>
        </w:tc>
        <w:tc>
          <w:tcPr>
            <w:tcW w:w="40" w:type="dxa"/>
            <w:vAlign w:val="bottom"/>
          </w:tcPr>
          <w:p>
            <w:pPr>
              <w:spacing w:after="0"/>
              <w:rPr>
                <w:sz w:val="24"/>
                <w:szCs w:val="24"/>
                <w:color w:val="auto"/>
              </w:rPr>
            </w:pPr>
          </w:p>
        </w:tc>
      </w:tr>
      <w:tr>
        <w:trPr>
          <w:trHeight w:val="215"/>
        </w:trPr>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540" w:type="dxa"/>
            <w:vAlign w:val="bottom"/>
            <w:gridSpan w:val="2"/>
          </w:tcPr>
          <w:p>
            <w:pPr>
              <w:ind w:left="20"/>
              <w:spacing w:after="0"/>
              <w:rPr>
                <w:sz w:val="20"/>
                <w:szCs w:val="20"/>
                <w:color w:val="auto"/>
              </w:rPr>
            </w:pPr>
            <w:r>
              <w:rPr>
                <w:rFonts w:ascii="Arial" w:cs="Arial" w:eastAsia="Arial" w:hAnsi="Arial"/>
                <w:sz w:val="17"/>
                <w:szCs w:val="17"/>
                <w:color w:val="auto"/>
              </w:rPr>
              <w:t>Andrew W. Houston</w:t>
            </w:r>
          </w:p>
        </w:tc>
        <w:tc>
          <w:tcPr>
            <w:tcW w:w="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Arial" w:cs="Arial" w:eastAsia="Arial" w:hAnsi="Arial"/>
                <w:sz w:val="17"/>
                <w:szCs w:val="17"/>
                <w:color w:val="auto"/>
              </w:rPr>
              <w:t>Chief Executive Officer</w:t>
            </w:r>
          </w:p>
        </w:tc>
        <w:tc>
          <w:tcPr>
            <w:tcW w:w="4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Arial" w:cs="Arial" w:eastAsia="Arial" w:hAnsi="Arial"/>
                <w:sz w:val="17"/>
                <w:szCs w:val="17"/>
                <w:i w:val="1"/>
                <w:iCs w:val="1"/>
                <w:color w:val="auto"/>
              </w:rPr>
              <w:t>(Principal Executive Officer)</w:t>
            </w:r>
          </w:p>
        </w:tc>
        <w:tc>
          <w:tcPr>
            <w:tcW w:w="40" w:type="dxa"/>
            <w:vAlign w:val="bottom"/>
          </w:tcPr>
          <w:p>
            <w:pPr>
              <w:spacing w:after="0"/>
              <w:rPr>
                <w:sz w:val="19"/>
                <w:szCs w:val="19"/>
                <w:color w:val="auto"/>
              </w:rPr>
            </w:pPr>
          </w:p>
        </w:tc>
      </w:tr>
      <w:tr>
        <w:trPr>
          <w:trHeight w:val="691"/>
        </w:trPr>
        <w:tc>
          <w:tcPr>
            <w:tcW w:w="520" w:type="dxa"/>
            <w:vAlign w:val="bottom"/>
          </w:tcPr>
          <w:p>
            <w:pPr>
              <w:ind w:left="20"/>
              <w:spacing w:after="0"/>
              <w:rPr>
                <w:sz w:val="20"/>
                <w:szCs w:val="20"/>
                <w:color w:val="auto"/>
              </w:rPr>
            </w:pPr>
            <w:r>
              <w:rPr>
                <w:rFonts w:ascii="Arial" w:cs="Arial" w:eastAsia="Arial" w:hAnsi="Arial"/>
                <w:sz w:val="17"/>
                <w:szCs w:val="17"/>
                <w:color w:val="auto"/>
              </w:rPr>
              <w:t>Date:</w:t>
            </w:r>
          </w:p>
        </w:tc>
        <w:tc>
          <w:tcPr>
            <w:tcW w:w="1760" w:type="dxa"/>
            <w:vAlign w:val="bottom"/>
          </w:tcPr>
          <w:p>
            <w:pPr>
              <w:ind w:left="120"/>
              <w:spacing w:after="0"/>
              <w:rPr>
                <w:sz w:val="20"/>
                <w:szCs w:val="20"/>
                <w:color w:val="auto"/>
              </w:rPr>
            </w:pPr>
            <w:r>
              <w:rPr>
                <w:rFonts w:ascii="Arial" w:cs="Arial" w:eastAsia="Arial" w:hAnsi="Arial"/>
                <w:sz w:val="17"/>
                <w:szCs w:val="17"/>
                <w:color w:val="auto"/>
              </w:rPr>
              <w:t>November 6, 2020</w:t>
            </w:r>
          </w:p>
        </w:tc>
        <w:tc>
          <w:tcPr>
            <w:tcW w:w="1360" w:type="dxa"/>
            <w:vAlign w:val="bottom"/>
          </w:tcPr>
          <w:p>
            <w:pPr>
              <w:ind w:left="34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24"/>
                <w:szCs w:val="24"/>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Timothy J. Regan</w:t>
            </w:r>
          </w:p>
        </w:tc>
        <w:tc>
          <w:tcPr>
            <w:tcW w:w="40" w:type="dxa"/>
            <w:vAlign w:val="bottom"/>
            <w:tcBorders>
              <w:bottom w:val="single" w:sz="8" w:color="auto"/>
            </w:tcBorders>
          </w:tcPr>
          <w:p>
            <w:pPr>
              <w:spacing w:after="0"/>
              <w:rPr>
                <w:sz w:val="24"/>
                <w:szCs w:val="24"/>
                <w:color w:val="auto"/>
              </w:rPr>
            </w:pPr>
          </w:p>
        </w:tc>
      </w:tr>
      <w:tr>
        <w:trPr>
          <w:trHeight w:val="215"/>
        </w:trPr>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Timothy J. Regan</w:t>
            </w:r>
          </w:p>
        </w:tc>
        <w:tc>
          <w:tcPr>
            <w:tcW w:w="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4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7"/>
                <w:szCs w:val="17"/>
                <w:i w:val="1"/>
                <w:iCs w:val="1"/>
                <w:color w:val="auto"/>
              </w:rPr>
              <w:t>(Principal Accounting and Financial Officer)</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1"/>
          <w:szCs w:val="21"/>
          <w:b w:val="1"/>
          <w:bCs w:val="1"/>
          <w:color w:val="auto"/>
        </w:rPr>
        <w:t>Exhibit 10.1</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October 28, 2020</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Timothy Young</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Re: Role and Compensation Change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color w:val="auto"/>
        </w:rPr>
        <w:t>Dear Timothy,</w:t>
      </w:r>
    </w:p>
    <w:p>
      <w:pPr>
        <w:spacing w:after="0" w:line="241" w:lineRule="exact"/>
        <w:rPr>
          <w:sz w:val="20"/>
          <w:szCs w:val="20"/>
          <w:color w:val="auto"/>
        </w:rPr>
      </w:pPr>
    </w:p>
    <w:p>
      <w:pPr>
        <w:ind w:right="620"/>
        <w:spacing w:after="0" w:line="270" w:lineRule="auto"/>
        <w:rPr>
          <w:sz w:val="20"/>
          <w:szCs w:val="20"/>
          <w:color w:val="auto"/>
        </w:rPr>
      </w:pPr>
      <w:r>
        <w:rPr>
          <w:rFonts w:ascii="Arial" w:cs="Arial" w:eastAsia="Arial" w:hAnsi="Arial"/>
          <w:sz w:val="21"/>
          <w:szCs w:val="21"/>
          <w:color w:val="auto"/>
        </w:rPr>
        <w:t>On behalf of Dropbox inc. (“Dropbox”), this letter confirms the details of your new role as President of Dropbox Inc., effective November 2, 2020. In this role, you will continue reporting to the CEO.</w:t>
      </w:r>
    </w:p>
    <w:p>
      <w:pPr>
        <w:spacing w:after="0" w:line="181" w:lineRule="exact"/>
        <w:rPr>
          <w:sz w:val="20"/>
          <w:szCs w:val="20"/>
          <w:color w:val="auto"/>
        </w:rPr>
      </w:pPr>
    </w:p>
    <w:p>
      <w:pPr>
        <w:ind w:left="640" w:right="80" w:hanging="323"/>
        <w:spacing w:after="0" w:line="301" w:lineRule="auto"/>
        <w:tabs>
          <w:tab w:leader="none" w:pos="640" w:val="left"/>
        </w:tabs>
        <w:numPr>
          <w:ilvl w:val="0"/>
          <w:numId w:val="35"/>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on November 2, 2020, your annualized base salary will be adjusted to $600,000.00 per year (less all</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withholding and deductions), which will be paid in accordance with Dropbox’s normal payroll practices. Your base salary will be subject to review and adjustment based upon the Company’s normal performance review practices.</w:t>
      </w:r>
    </w:p>
    <w:p>
      <w:pPr>
        <w:spacing w:after="0" w:line="155" w:lineRule="exact"/>
        <w:rPr>
          <w:rFonts w:ascii="Arial" w:cs="Arial" w:eastAsia="Arial" w:hAnsi="Arial"/>
          <w:sz w:val="19"/>
          <w:szCs w:val="19"/>
          <w:color w:val="auto"/>
        </w:rPr>
      </w:pPr>
    </w:p>
    <w:p>
      <w:pPr>
        <w:ind w:left="640" w:right="20" w:hanging="323"/>
        <w:spacing w:after="0" w:line="281" w:lineRule="auto"/>
        <w:tabs>
          <w:tab w:leader="none" w:pos="640" w:val="left"/>
        </w:tabs>
        <w:numPr>
          <w:ilvl w:val="0"/>
          <w:numId w:val="35"/>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Equity.</w:t>
      </w:r>
      <w:r>
        <w:rPr>
          <w:rFonts w:ascii="Arial" w:cs="Arial" w:eastAsia="Arial" w:hAnsi="Arial"/>
          <w:sz w:val="19"/>
          <w:szCs w:val="19"/>
          <w:b w:val="1"/>
          <w:bCs w:val="1"/>
          <w:color w:val="auto"/>
        </w:rPr>
        <w:t xml:space="preserve"> </w:t>
      </w:r>
      <w:r>
        <w:rPr>
          <w:rFonts w:ascii="Arial" w:cs="Arial" w:eastAsia="Arial" w:hAnsi="Arial"/>
          <w:sz w:val="19"/>
          <w:szCs w:val="19"/>
          <w:color w:val="auto"/>
        </w:rPr>
        <w:t>We will recommend to the Dropbox Board of Directors (or its delegate) (the “Board”) that you be granted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(“RSAs”) with an approximate current value of $10,000,000.00 under Dropbox’s equity incentive plan, with the number of shares granted to be determined by the average closing price of Dropbox common stock for the prior month (the “grant”). The Grant will be subject to the terms of Dropbox’s Equity Award Grant Policy, equity incentive plan, and the Restricted Stock Unit Agreement between you and Dropbox. This Grant is further subject to the Board’s approval and the promise to recommend the approval does not create an obligation for Dropbox to issue any equity grant. Further details on the equity plan and any specific grant will be provided upon the Board’s (or its delegate’s) approval of the Grant.</w:t>
      </w:r>
    </w:p>
    <w:p>
      <w:pPr>
        <w:spacing w:after="0" w:line="178" w:lineRule="exact"/>
        <w:rPr>
          <w:rFonts w:ascii="Arial" w:cs="Arial" w:eastAsia="Arial" w:hAnsi="Arial"/>
          <w:sz w:val="19"/>
          <w:szCs w:val="19"/>
          <w:color w:val="auto"/>
        </w:rPr>
      </w:pPr>
    </w:p>
    <w:p>
      <w:pPr>
        <w:ind w:left="640" w:right="100" w:hanging="323"/>
        <w:spacing w:after="0" w:line="291" w:lineRule="auto"/>
        <w:tabs>
          <w:tab w:leader="none" w:pos="640" w:val="left"/>
        </w:tabs>
        <w:numPr>
          <w:ilvl w:val="0"/>
          <w:numId w:val="35"/>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Employee Benefits</w:t>
      </w:r>
      <w:r>
        <w:rPr>
          <w:rFonts w:ascii="Arial" w:cs="Arial" w:eastAsia="Arial" w:hAnsi="Arial"/>
          <w:sz w:val="19"/>
          <w:szCs w:val="19"/>
          <w:color w:val="auto"/>
        </w:rPr>
        <w:t>. You and your family members will continue to be eligible to participate in Dropbox’s standard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plans as they are provided to San Francisco, California employees to the extent that you meet their eligibility criteria. This Section 4 does not create any obligation on the part of Dropbox to adopt or maintain any employee benefit plan or program at any time. Dropbox may amend or terminate, any employee benefit plan or program at any time.</w:t>
      </w:r>
    </w:p>
    <w:p>
      <w:pPr>
        <w:spacing w:after="0" w:line="165" w:lineRule="exact"/>
        <w:rPr>
          <w:rFonts w:ascii="Arial" w:cs="Arial" w:eastAsia="Arial" w:hAnsi="Arial"/>
          <w:sz w:val="19"/>
          <w:szCs w:val="19"/>
          <w:color w:val="auto"/>
        </w:rPr>
      </w:pPr>
    </w:p>
    <w:p>
      <w:pPr>
        <w:ind w:left="640" w:right="140" w:hanging="323"/>
        <w:spacing w:after="0" w:line="330" w:lineRule="auto"/>
        <w:tabs>
          <w:tab w:leader="none" w:pos="640" w:val="left"/>
        </w:tabs>
        <w:numPr>
          <w:ilvl w:val="0"/>
          <w:numId w:val="35"/>
        </w:numPr>
        <w:rPr>
          <w:rFonts w:ascii="Arial" w:cs="Arial" w:eastAsia="Arial" w:hAnsi="Arial"/>
          <w:sz w:val="19"/>
          <w:szCs w:val="19"/>
          <w:color w:val="auto"/>
        </w:rPr>
      </w:pPr>
      <w:r>
        <w:rPr>
          <w:rFonts w:ascii="Arial" w:cs="Arial" w:eastAsia="Arial" w:hAnsi="Arial"/>
          <w:sz w:val="19"/>
          <w:szCs w:val="19"/>
          <w:b w:val="1"/>
          <w:bCs w:val="1"/>
          <w:u w:val="single" w:color="auto"/>
          <w:color w:val="auto"/>
        </w:rPr>
        <w:t>Terms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remaining terms of your employment are contained in your original offer letter. Specifically, the</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Confidentiality, Duty Not to Compete, and Arbitration provisions of that agreement are hereby incorporated by reference.</w:t>
      </w:r>
    </w:p>
    <w:p>
      <w:pPr>
        <w:sectPr>
          <w:pgSz w:w="11900" w:h="16838" w:orient="portrait"/>
          <w:cols w:equalWidth="0" w:num="1">
            <w:col w:w="11240"/>
          </w:cols>
          <w:pgMar w:left="320" w:top="1377" w:right="339" w:bottom="1440" w:gutter="0" w:footer="0" w:header="0"/>
        </w:sectPr>
      </w:pPr>
    </w:p>
    <w:bookmarkStart w:id="90" w:name="page91"/>
    <w:bookmarkEnd w:id="90"/>
    <w:p>
      <w:pPr>
        <w:ind w:left="640" w:hanging="323"/>
        <w:spacing w:after="0" w:line="261" w:lineRule="auto"/>
        <w:tabs>
          <w:tab w:leader="none" w:pos="640" w:val="left"/>
        </w:tabs>
        <w:numPr>
          <w:ilvl w:val="0"/>
          <w:numId w:val="36"/>
        </w:numPr>
        <w:rPr>
          <w:rFonts w:ascii="Arial" w:cs="Arial" w:eastAsia="Arial" w:hAnsi="Arial"/>
          <w:sz w:val="21"/>
          <w:szCs w:val="21"/>
          <w:color w:val="auto"/>
        </w:rPr>
      </w:pPr>
      <w:r>
        <w:rPr>
          <w:rFonts w:ascii="Arial" w:cs="Arial" w:eastAsia="Arial" w:hAnsi="Arial"/>
          <w:sz w:val="21"/>
          <w:szCs w:val="21"/>
          <w:b w:val="1"/>
          <w:bCs w:val="1"/>
          <w:u w:val="single" w:color="auto"/>
          <w:color w:val="auto"/>
        </w:rPr>
        <w:t>At-Will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Acceptance of this new role does not alter the at-will nature of your employment with Dropbox which</w:t>
      </w:r>
      <w:r>
        <w:rPr>
          <w:rFonts w:ascii="Arial" w:cs="Arial" w:eastAsia="Arial" w:hAnsi="Arial"/>
          <w:sz w:val="21"/>
          <w:szCs w:val="21"/>
          <w:b w:val="1"/>
          <w:bCs w:val="1"/>
          <w:color w:val="auto"/>
        </w:rPr>
        <w:t xml:space="preserve"> </w:t>
      </w:r>
      <w:r>
        <w:rPr>
          <w:rFonts w:ascii="Arial" w:cs="Arial" w:eastAsia="Arial" w:hAnsi="Arial"/>
          <w:sz w:val="21"/>
          <w:szCs w:val="21"/>
          <w:color w:val="auto"/>
        </w:rPr>
        <w:t>means the employment relationship can be terminated by either you or Dropbox for any reason, at any time, with or without prior notice or cause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Congratulations on this new role and thanks for all your hard work! Please let me know if you have any additional questions.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860"/>
        <w:spacing w:after="0"/>
        <w:rPr>
          <w:sz w:val="20"/>
          <w:szCs w:val="20"/>
          <w:color w:val="auto"/>
        </w:rPr>
      </w:pPr>
      <w:r>
        <w:rPr>
          <w:rFonts w:ascii="Arial" w:cs="Arial" w:eastAsia="Arial" w:hAnsi="Arial"/>
          <w:sz w:val="17"/>
          <w:szCs w:val="17"/>
          <w:color w:val="auto"/>
        </w:rPr>
        <w:t>Very truly yours,</w:t>
      </w:r>
    </w:p>
    <w:p>
      <w:pPr>
        <w:spacing w:after="0" w:line="287" w:lineRule="exact"/>
        <w:rPr>
          <w:sz w:val="20"/>
          <w:szCs w:val="20"/>
          <w:color w:val="auto"/>
        </w:rPr>
      </w:pPr>
    </w:p>
    <w:p>
      <w:pPr>
        <w:ind w:left="9860"/>
        <w:spacing w:after="0"/>
        <w:rPr>
          <w:sz w:val="20"/>
          <w:szCs w:val="20"/>
          <w:color w:val="auto"/>
        </w:rPr>
      </w:pPr>
      <w:r>
        <w:rPr>
          <w:rFonts w:ascii="Arial" w:cs="Arial" w:eastAsia="Arial" w:hAnsi="Arial"/>
          <w:sz w:val="16"/>
          <w:szCs w:val="16"/>
          <w:u w:val="single" w:color="auto"/>
          <w:color w:val="auto"/>
        </w:rPr>
        <w:t>/s/ Drew Houston</w:t>
      </w:r>
    </w:p>
    <w:p>
      <w:pPr>
        <w:spacing w:after="0" w:line="38" w:lineRule="exact"/>
        <w:rPr>
          <w:sz w:val="20"/>
          <w:szCs w:val="20"/>
          <w:color w:val="auto"/>
        </w:rPr>
      </w:pPr>
    </w:p>
    <w:p>
      <w:pPr>
        <w:ind w:left="9860"/>
        <w:spacing w:after="0"/>
        <w:rPr>
          <w:sz w:val="20"/>
          <w:szCs w:val="20"/>
          <w:color w:val="auto"/>
        </w:rPr>
      </w:pPr>
      <w:r>
        <w:rPr>
          <w:rFonts w:ascii="Arial" w:cs="Arial" w:eastAsia="Arial" w:hAnsi="Arial"/>
          <w:sz w:val="17"/>
          <w:szCs w:val="17"/>
          <w:color w:val="auto"/>
        </w:rPr>
        <w:t>Drew Houston</w:t>
      </w:r>
    </w:p>
    <w:p>
      <w:pPr>
        <w:spacing w:after="0" w:line="14" w:lineRule="exact"/>
        <w:rPr>
          <w:sz w:val="20"/>
          <w:szCs w:val="20"/>
          <w:color w:val="auto"/>
        </w:rPr>
      </w:pPr>
    </w:p>
    <w:p>
      <w:pPr>
        <w:ind w:left="9860"/>
        <w:spacing w:after="0"/>
        <w:rPr>
          <w:sz w:val="20"/>
          <w:szCs w:val="20"/>
          <w:color w:val="auto"/>
        </w:rPr>
      </w:pPr>
      <w:r>
        <w:rPr>
          <w:rFonts w:ascii="Arial" w:cs="Arial" w:eastAsia="Arial" w:hAnsi="Arial"/>
          <w:sz w:val="17"/>
          <w:szCs w:val="17"/>
          <w:color w:val="auto"/>
        </w:rPr>
        <w:t>Chief Executive</w:t>
      </w:r>
    </w:p>
    <w:p>
      <w:pPr>
        <w:ind w:left="9220"/>
        <w:spacing w:after="0"/>
        <w:rPr>
          <w:sz w:val="20"/>
          <w:szCs w:val="20"/>
          <w:color w:val="auto"/>
        </w:rPr>
      </w:pPr>
      <w:r>
        <w:rPr>
          <w:rFonts w:ascii="Arial" w:cs="Arial" w:eastAsia="Arial" w:hAnsi="Arial"/>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380"/>
        <w:spacing w:after="0"/>
        <w:rPr>
          <w:sz w:val="20"/>
          <w:szCs w:val="20"/>
          <w:color w:val="auto"/>
        </w:rPr>
      </w:pPr>
      <w:r>
        <w:rPr>
          <w:rFonts w:ascii="Arial" w:cs="Arial" w:eastAsia="Arial" w:hAnsi="Arial"/>
          <w:sz w:val="17"/>
          <w:szCs w:val="17"/>
          <w:u w:val="single" w:color="auto"/>
          <w:color w:val="auto"/>
        </w:rPr>
        <w:t>/s/ Timothy Young</w:t>
      </w:r>
    </w:p>
    <w:p>
      <w:pPr>
        <w:spacing w:after="0" w:line="6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Timothy Young</w:t>
      </w:r>
    </w:p>
    <w:p>
      <w:pPr>
        <w:spacing w:after="0" w:line="6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10/28/2020</w:t>
      </w:r>
    </w:p>
    <w:p>
      <w:pPr>
        <w:spacing w:after="0" w:line="6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October 28, 2020</w:t>
      </w:r>
    </w:p>
    <w:p>
      <w:pPr>
        <w:spacing w:after="0" w:line="200" w:lineRule="exact"/>
        <w:rPr>
          <w:sz w:val="20"/>
          <w:szCs w:val="20"/>
          <w:color w:val="auto"/>
        </w:rPr>
      </w:pPr>
    </w:p>
    <w:p>
      <w:pPr>
        <w:spacing w:after="0" w:line="38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Dropbox, Inc.</w:t>
      </w:r>
    </w:p>
    <w:p>
      <w:pPr>
        <w:spacing w:after="0" w:line="6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1800 Owens Street</w:t>
      </w:r>
    </w:p>
    <w:p>
      <w:pPr>
        <w:spacing w:after="0" w:line="6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Suite 200</w:t>
      </w:r>
    </w:p>
    <w:p>
      <w:pPr>
        <w:spacing w:after="0" w:line="6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San Francisco, CA</w:t>
      </w:r>
    </w:p>
    <w:p>
      <w:pPr>
        <w:spacing w:after="0" w:line="6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dropbox.com</w:t>
      </w:r>
    </w:p>
    <w:p>
      <w:pPr>
        <w:sectPr>
          <w:pgSz w:w="11900" w:h="16838" w:orient="portrait"/>
          <w:cols w:equalWidth="0" w:num="1">
            <w:col w:w="11120"/>
          </w:cols>
          <w:pgMar w:left="320" w:top="1377" w:right="459" w:bottom="1440" w:gutter="0" w:footer="0" w:header="0"/>
        </w:sectPr>
      </w:pPr>
    </w:p>
    <w:bookmarkStart w:id="91" w:name="page92"/>
    <w:bookmarkEnd w:id="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spacing w:after="0" w:line="159"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DROPBOX, INC.</w:t>
      </w:r>
    </w:p>
    <w:p>
      <w:pPr>
        <w:jc w:val="center"/>
        <w:spacing w:after="0" w:line="233" w:lineRule="auto"/>
        <w:rPr>
          <w:sz w:val="20"/>
          <w:szCs w:val="20"/>
          <w:color w:val="auto"/>
        </w:rPr>
      </w:pPr>
      <w:r>
        <w:rPr>
          <w:rFonts w:ascii="Arial" w:cs="Arial" w:eastAsia="Arial" w:hAnsi="Arial"/>
          <w:sz w:val="21"/>
          <w:szCs w:val="21"/>
          <w:color w:val="auto"/>
        </w:rPr>
        <w:t>2018 EQUITY INCENTIVE PLAN</w:t>
      </w:r>
    </w:p>
    <w:p>
      <w:pPr>
        <w:jc w:val="center"/>
        <w:spacing w:after="0" w:line="233" w:lineRule="auto"/>
        <w:rPr>
          <w:sz w:val="20"/>
          <w:szCs w:val="20"/>
          <w:color w:val="auto"/>
        </w:rPr>
      </w:pPr>
      <w:r>
        <w:rPr>
          <w:rFonts w:ascii="Arial" w:cs="Arial" w:eastAsia="Arial" w:hAnsi="Arial"/>
          <w:sz w:val="21"/>
          <w:szCs w:val="21"/>
          <w:color w:val="auto"/>
        </w:rPr>
        <w:t>RESTRICTED STOCK AWARD AGREEMENT</w:t>
      </w:r>
    </w:p>
    <w:p>
      <w:pPr>
        <w:jc w:val="center"/>
        <w:spacing w:after="0" w:line="233" w:lineRule="auto"/>
        <w:rPr>
          <w:sz w:val="20"/>
          <w:szCs w:val="20"/>
          <w:color w:val="auto"/>
        </w:rPr>
      </w:pPr>
      <w:r>
        <w:rPr>
          <w:rFonts w:ascii="Arial" w:cs="Arial" w:eastAsia="Arial" w:hAnsi="Arial"/>
          <w:sz w:val="21"/>
          <w:szCs w:val="21"/>
          <w:b w:val="1"/>
          <w:bCs w:val="1"/>
          <w:u w:val="single" w:color="auto"/>
          <w:color w:val="auto"/>
        </w:rPr>
        <w:t>NOTICE OF GRANT OF RESTRICTED STOCK</w:t>
      </w:r>
    </w:p>
    <w:p>
      <w:pPr>
        <w:spacing w:after="0" w:line="1" w:lineRule="exact"/>
        <w:rPr>
          <w:sz w:val="20"/>
          <w:szCs w:val="20"/>
          <w:color w:val="auto"/>
        </w:rPr>
      </w:pPr>
    </w:p>
    <w:p>
      <w:pPr>
        <w:jc w:val="both"/>
        <w:ind w:firstLine="626"/>
        <w:spacing w:after="0" w:line="235" w:lineRule="auto"/>
        <w:rPr>
          <w:sz w:val="20"/>
          <w:szCs w:val="20"/>
          <w:color w:val="auto"/>
        </w:rPr>
      </w:pPr>
      <w:r>
        <w:rPr>
          <w:rFonts w:ascii="Arial" w:cs="Arial" w:eastAsia="Arial" w:hAnsi="Arial"/>
          <w:sz w:val="21"/>
          <w:szCs w:val="21"/>
          <w:color w:val="auto"/>
        </w:rPr>
        <w:t xml:space="preserve">Unless otherwise defined herein, the terms defined in the Dropbox, Inc. 2018 Equity Incentive Plan (the “Plan”) will have the same defined meanings in this Restricted Stock Award Agreement which includes the Notice of Grant of Restricted Stock (the “Notice of Grant”), the Terms and Conditions of Restricted Stock Grant,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all other exhibits, appendices, and addenda attached thereto, including the Vesting Terms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and the Country-Specific Terms and Conditions for Participants Outside the U.S. in the Country Addendum attached hereto as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(the “Country Addendum”) (the “Award Agreement”).</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Participant Name: Timothy Young</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Address: ####</w:t>
      </w:r>
    </w:p>
    <w:p>
      <w:pPr>
        <w:jc w:val="both"/>
        <w:ind w:firstLine="626"/>
        <w:spacing w:after="0" w:line="233" w:lineRule="auto"/>
        <w:rPr>
          <w:sz w:val="20"/>
          <w:szCs w:val="20"/>
          <w:color w:val="auto"/>
        </w:rPr>
      </w:pPr>
      <w:r>
        <w:rPr>
          <w:rFonts w:ascii="Arial" w:cs="Arial" w:eastAsia="Arial" w:hAnsi="Arial"/>
          <w:sz w:val="21"/>
          <w:szCs w:val="21"/>
          <w:color w:val="auto"/>
        </w:rPr>
        <w:t>The Participant named above has been granted the right to receive an Award of Shares of Restricted Stock, subject to the terms and conditions of the Plan and this Award Agreement, as follows:</w:t>
      </w:r>
    </w:p>
    <w:p>
      <w:pPr>
        <w:ind w:left="640"/>
        <w:spacing w:after="0" w:line="233" w:lineRule="auto"/>
        <w:rPr>
          <w:sz w:val="20"/>
          <w:szCs w:val="20"/>
          <w:color w:val="auto"/>
        </w:rPr>
      </w:pPr>
      <w:r>
        <w:rPr>
          <w:rFonts w:ascii="Arial" w:cs="Arial" w:eastAsia="Arial" w:hAnsi="Arial"/>
          <w:sz w:val="21"/>
          <w:szCs w:val="21"/>
          <w:color w:val="auto"/>
        </w:rPr>
        <w:t>Grant Number:</w:t>
      </w:r>
    </w:p>
    <w:p>
      <w:pPr>
        <w:ind w:left="640"/>
        <w:spacing w:after="0" w:line="234" w:lineRule="auto"/>
        <w:rPr>
          <w:sz w:val="20"/>
          <w:szCs w:val="20"/>
          <w:color w:val="auto"/>
        </w:rPr>
      </w:pPr>
      <w:r>
        <w:rPr>
          <w:rFonts w:ascii="Arial" w:cs="Arial" w:eastAsia="Arial" w:hAnsi="Arial"/>
          <w:sz w:val="21"/>
          <w:szCs w:val="21"/>
          <w:color w:val="auto"/>
        </w:rPr>
        <w:t>Date of Grant: December 1, 2020</w:t>
      </w:r>
    </w:p>
    <w:p>
      <w:pPr>
        <w:ind w:left="640"/>
        <w:spacing w:after="0" w:line="233" w:lineRule="auto"/>
        <w:rPr>
          <w:sz w:val="20"/>
          <w:szCs w:val="20"/>
          <w:color w:val="auto"/>
        </w:rPr>
      </w:pPr>
      <w:r>
        <w:rPr>
          <w:rFonts w:ascii="Arial" w:cs="Arial" w:eastAsia="Arial" w:hAnsi="Arial"/>
          <w:sz w:val="21"/>
          <w:szCs w:val="21"/>
          <w:color w:val="auto"/>
        </w:rPr>
        <w:t>Vesting Commencement Date:</w:t>
      </w:r>
    </w:p>
    <w:p>
      <w:pPr>
        <w:ind w:left="640"/>
        <w:spacing w:after="0" w:line="220" w:lineRule="auto"/>
        <w:rPr>
          <w:sz w:val="20"/>
          <w:szCs w:val="20"/>
          <w:color w:val="auto"/>
        </w:rPr>
      </w:pPr>
      <w:r>
        <w:rPr>
          <w:rFonts w:ascii="Arial" w:cs="Arial" w:eastAsia="Arial" w:hAnsi="Arial"/>
          <w:sz w:val="21"/>
          <w:szCs w:val="21"/>
          <w:color w:val="auto"/>
        </w:rPr>
        <w:t>Target Number of Shares</w:t>
      </w:r>
    </w:p>
    <w:p>
      <w:pPr>
        <w:ind w:left="640"/>
        <w:spacing w:after="0" w:line="191" w:lineRule="auto"/>
        <w:rPr>
          <w:sz w:val="20"/>
          <w:szCs w:val="20"/>
          <w:color w:val="auto"/>
        </w:rPr>
      </w:pPr>
      <w:r>
        <w:rPr>
          <w:rFonts w:ascii="Arial" w:cs="Arial" w:eastAsia="Arial" w:hAnsi="Arial"/>
          <w:sz w:val="21"/>
          <w:szCs w:val="21"/>
          <w:color w:val="auto"/>
        </w:rPr>
        <w:t>of Restricted Stock:</w:t>
      </w:r>
      <w:r>
        <w:rPr>
          <w:rFonts w:ascii="Arial" w:cs="Arial" w:eastAsia="Arial" w:hAnsi="Arial"/>
          <w:sz w:val="27"/>
          <w:szCs w:val="27"/>
          <w:color w:val="auto"/>
          <w:vertAlign w:val="superscript"/>
        </w:rPr>
        <w:t>1</w:t>
      </w:r>
    </w:p>
    <w:p>
      <w:pPr>
        <w:ind w:left="640"/>
        <w:spacing w:after="0" w:line="234" w:lineRule="auto"/>
        <w:rPr>
          <w:sz w:val="20"/>
          <w:szCs w:val="20"/>
          <w:color w:val="auto"/>
        </w:rPr>
      </w:pPr>
      <w:r>
        <w:rPr>
          <w:rFonts w:ascii="Arial" w:cs="Arial" w:eastAsia="Arial" w:hAnsi="Arial"/>
          <w:sz w:val="21"/>
          <w:szCs w:val="21"/>
          <w:u w:val="single" w:color="auto"/>
          <w:color w:val="auto"/>
        </w:rPr>
        <w:t>Vesting Schedule</w:t>
      </w:r>
      <w:r>
        <w:rPr>
          <w:rFonts w:ascii="Arial" w:cs="Arial" w:eastAsia="Arial" w:hAnsi="Arial"/>
          <w:sz w:val="21"/>
          <w:szCs w:val="21"/>
          <w:color w:val="auto"/>
        </w:rPr>
        <w:t>:</w:t>
      </w:r>
    </w:p>
    <w:p>
      <w:pPr>
        <w:jc w:val="both"/>
        <w:ind w:firstLine="626"/>
        <w:spacing w:after="0" w:line="239" w:lineRule="exact"/>
        <w:rPr>
          <w:sz w:val="20"/>
          <w:szCs w:val="20"/>
          <w:color w:val="auto"/>
        </w:rPr>
      </w:pPr>
      <w:r>
        <w:rPr>
          <w:rFonts w:ascii="Arial" w:cs="Arial" w:eastAsia="Arial" w:hAnsi="Arial"/>
          <w:sz w:val="21"/>
          <w:szCs w:val="21"/>
          <w:color w:val="auto"/>
        </w:rPr>
        <w:t>Subject to any acceleration provisions contained in the Plan or set forth below, the Shares of Restricted Stock will be scheduled to vest and the Company’s right to reacquire the Restricted Stock will be scheduled to lapse based upon the satisfaction of the market-based and service</w:t>
      </w:r>
      <w:r>
        <w:rPr>
          <w:rFonts w:ascii="MS PGothic" w:cs="MS PGothic" w:eastAsia="MS PGothic" w:hAnsi="MS PGothic"/>
          <w:sz w:val="21"/>
          <w:szCs w:val="21"/>
          <w:color w:val="auto"/>
        </w:rPr>
        <w:t>‑</w:t>
      </w:r>
      <w:r>
        <w:rPr>
          <w:rFonts w:ascii="Arial" w:cs="Arial" w:eastAsia="Arial" w:hAnsi="Arial"/>
          <w:sz w:val="21"/>
          <w:szCs w:val="21"/>
          <w:color w:val="auto"/>
        </w:rPr>
        <w:t xml:space="preserve">based vesting conditions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205" w:lineRule="exact"/>
        <w:rPr>
          <w:sz w:val="20"/>
          <w:szCs w:val="20"/>
          <w:color w:val="auto"/>
        </w:rPr>
      </w:pPr>
    </w:p>
    <w:p>
      <w:pPr>
        <w:jc w:val="both"/>
        <w:ind w:firstLine="626"/>
        <w:spacing w:after="0" w:line="252" w:lineRule="auto"/>
        <w:rPr>
          <w:sz w:val="20"/>
          <w:szCs w:val="20"/>
          <w:color w:val="auto"/>
        </w:rPr>
      </w:pPr>
      <w:r>
        <w:rPr>
          <w:rFonts w:ascii="Arial" w:cs="Arial" w:eastAsia="Arial" w:hAnsi="Arial"/>
          <w:sz w:val="20"/>
          <w:szCs w:val="20"/>
          <w:color w:val="auto"/>
        </w:rPr>
        <w:t>By accepting this Award, Participant acknowledges receipt of a copy of the Plan and agrees (i) that this Award of Restricted Stock is granted under and governed by the terms and conditions of the Plan and this Award Agreement, (ii) that Participant has reviewed the Plan and this Award Agreement in their entirety, has had an opportunity to obtain the advice of counsel, and fully understands all provisions of the Plan and this Award Agreement, (iii) to accept as binding, conclusive and final all decisions or interpretations of the Administrator upon any questions relating to the Plan and Award Agreement, and (iv) to notify Dropbox, Inc. (the “Company”) upon any change in the residence address indicated below.</w:t>
      </w:r>
    </w:p>
    <w:p>
      <w:pPr>
        <w:spacing w:after="0" w:line="194" w:lineRule="exact"/>
        <w:rPr>
          <w:sz w:val="20"/>
          <w:szCs w:val="20"/>
          <w:color w:val="auto"/>
        </w:rPr>
      </w:pPr>
    </w:p>
    <w:p>
      <w:pPr>
        <w:jc w:val="both"/>
        <w:ind w:firstLine="626"/>
        <w:spacing w:after="0" w:line="282" w:lineRule="auto"/>
        <w:rPr>
          <w:sz w:val="20"/>
          <w:szCs w:val="20"/>
          <w:color w:val="auto"/>
        </w:rPr>
      </w:pPr>
      <w:r>
        <w:rPr>
          <w:rFonts w:ascii="Arial" w:cs="Arial" w:eastAsia="Arial" w:hAnsi="Arial"/>
          <w:sz w:val="20"/>
          <w:szCs w:val="20"/>
          <w:color w:val="auto"/>
        </w:rPr>
        <w:t>By clicking “Accept” on the Shareworks award acceptance page, Participant is providing his or her acceptance of this Award and his or her agreement with all terms and conditions of the Award, as set forth in the Plan and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84455</wp:posOffset>
            </wp:positionV>
            <wp:extent cx="1656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56080" cy="8255"/>
                    </a:xfrm>
                    <a:prstGeom prst="rect">
                      <a:avLst/>
                    </a:prstGeom>
                    <a:noFill/>
                  </pic:spPr>
                </pic:pic>
              </a:graphicData>
            </a:graphic>
          </wp:anchor>
        </w:drawing>
      </w:r>
    </w:p>
    <w:p>
      <w:pPr>
        <w:spacing w:after="0" w:line="251" w:lineRule="exact"/>
        <w:rPr>
          <w:sz w:val="20"/>
          <w:szCs w:val="20"/>
          <w:color w:val="auto"/>
        </w:rPr>
      </w:pPr>
    </w:p>
    <w:p>
      <w:pPr>
        <w:ind w:right="60" w:firstLine="4"/>
        <w:spacing w:after="0" w:line="180" w:lineRule="auto"/>
        <w:tabs>
          <w:tab w:leader="none" w:pos="133" w:val="left"/>
        </w:tabs>
        <w:numPr>
          <w:ilvl w:val="0"/>
          <w:numId w:val="37"/>
        </w:numPr>
        <w:rPr>
          <w:rFonts w:ascii="Arial" w:cs="Arial" w:eastAsia="Arial" w:hAnsi="Arial"/>
          <w:sz w:val="26"/>
          <w:szCs w:val="26"/>
          <w:color w:val="auto"/>
          <w:vertAlign w:val="superscript"/>
        </w:rPr>
      </w:pPr>
      <w:r>
        <w:rPr>
          <w:rFonts w:ascii="Arial" w:cs="Arial" w:eastAsia="Arial" w:hAnsi="Arial"/>
          <w:sz w:val="14"/>
          <w:szCs w:val="14"/>
          <w:color w:val="auto"/>
        </w:rPr>
        <w:t xml:space="preserve">The number of shares subject to this Restricted Stock Award shall be calculated by </w:t>
      </w:r>
      <w:r>
        <w:rPr>
          <w:rFonts w:ascii="Arial" w:cs="Arial" w:eastAsia="Arial" w:hAnsi="Arial"/>
          <w:sz w:val="14"/>
          <w:szCs w:val="14"/>
          <w:i w:val="1"/>
          <w:iCs w:val="1"/>
          <w:color w:val="auto"/>
        </w:rPr>
        <w:t>dividing</w:t>
      </w:r>
      <w:r>
        <w:rPr>
          <w:rFonts w:ascii="Arial" w:cs="Arial" w:eastAsia="Arial" w:hAnsi="Arial"/>
          <w:sz w:val="14"/>
          <w:szCs w:val="14"/>
          <w:color w:val="auto"/>
        </w:rPr>
        <w:t xml:space="preserve"> (i) $10,000,000 by (ii) the weighted average closing price of a share of the Corporation’s Class A common stock for the trading days occurring in the month prior to the month of the Date of Grant, as reported on The Nasdaq Global Select Market.</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626"/>
        <w:spacing w:after="0" w:line="251" w:lineRule="auto"/>
        <w:rPr>
          <w:sz w:val="20"/>
          <w:szCs w:val="20"/>
          <w:color w:val="auto"/>
        </w:rPr>
      </w:pPr>
      <w:r>
        <w:rPr>
          <w:rFonts w:ascii="Arial" w:cs="Arial" w:eastAsia="Arial" w:hAnsi="Arial"/>
          <w:sz w:val="20"/>
          <w:szCs w:val="20"/>
          <w:color w:val="auto"/>
        </w:rPr>
        <w:t xml:space="preserve">In addition, if Participant resides in Canada, Germany, Japan, Singapore, Sweden, the United Kingdom, or the United States and does not wish to receive this Award and/or does not consent and agree to the terms and conditions on which the Award is offered, as set forth in the Plan and this Award Agreement, then Participant must reject this Award by notifying the Company at Dropbox, Inc., Attention: Stock Administration, 1800 Owens Street, Suite 200, San Francisco, CA 94158 no later than </w:t>
      </w:r>
      <w:r>
        <w:rPr>
          <w:rFonts w:ascii="Arial" w:cs="Arial" w:eastAsia="Arial" w:hAnsi="Arial"/>
          <w:sz w:val="20"/>
          <w:szCs w:val="20"/>
          <w:b w:val="1"/>
          <w:bCs w:val="1"/>
          <w:color w:val="auto"/>
        </w:rPr>
        <w:t>30 days following the Date</w:t>
      </w:r>
      <w:r>
        <w:rPr>
          <w:rFonts w:ascii="Arial" w:cs="Arial" w:eastAsia="Arial" w:hAnsi="Arial"/>
          <w:sz w:val="20"/>
          <w:szCs w:val="20"/>
          <w:color w:val="auto"/>
        </w:rPr>
        <w:t xml:space="preserve"> </w:t>
      </w:r>
      <w:r>
        <w:rPr>
          <w:rFonts w:ascii="Arial" w:cs="Arial" w:eastAsia="Arial" w:hAnsi="Arial"/>
          <w:sz w:val="20"/>
          <w:szCs w:val="20"/>
          <w:b w:val="1"/>
          <w:bCs w:val="1"/>
          <w:color w:val="auto"/>
        </w:rPr>
        <w:t>of Grant</w:t>
      </w:r>
      <w:r>
        <w:rPr>
          <w:rFonts w:ascii="Arial" w:cs="Arial" w:eastAsia="Arial" w:hAnsi="Arial"/>
          <w:sz w:val="20"/>
          <w:szCs w:val="20"/>
          <w:color w:val="auto"/>
        </w:rPr>
        <w:t>, in which case the Award will be cancelled. Participant’s failure to notify the Company of his or her rejection of the Award</w:t>
      </w:r>
      <w:r>
        <w:rPr>
          <w:rFonts w:ascii="Arial" w:cs="Arial" w:eastAsia="Arial" w:hAnsi="Arial"/>
          <w:sz w:val="20"/>
          <w:szCs w:val="20"/>
          <w:b w:val="1"/>
          <w:bCs w:val="1"/>
          <w:color w:val="auto"/>
        </w:rPr>
        <w:t xml:space="preserve"> </w:t>
      </w:r>
      <w:r>
        <w:rPr>
          <w:rFonts w:ascii="Arial" w:cs="Arial" w:eastAsia="Arial" w:hAnsi="Arial"/>
          <w:sz w:val="20"/>
          <w:szCs w:val="20"/>
          <w:color w:val="auto"/>
        </w:rPr>
        <w:t>within this specified period will constitute the Participant’s acceptance of this Award and his or her agreement with all terms and conditions of the Award, as set forth in the Plan and this Award Agreement.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ind w:left="20"/>
              <w:spacing w:after="0"/>
              <w:rPr>
                <w:sz w:val="20"/>
                <w:szCs w:val="20"/>
                <w:color w:val="auto"/>
              </w:rPr>
            </w:pPr>
            <w:r>
              <w:rPr>
                <w:rFonts w:ascii="Arial" w:cs="Arial" w:eastAsia="Arial" w:hAnsi="Arial"/>
                <w:sz w:val="17"/>
                <w:szCs w:val="17"/>
                <w:color w:val="auto"/>
              </w:rPr>
              <w:t>PARTICIPANT</w:t>
            </w:r>
          </w:p>
        </w:tc>
        <w:tc>
          <w:tcPr>
            <w:tcW w:w="3160" w:type="dxa"/>
            <w:vAlign w:val="bottom"/>
          </w:tcPr>
          <w:p>
            <w:pPr>
              <w:ind w:left="20"/>
              <w:spacing w:after="0"/>
              <w:rPr>
                <w:sz w:val="20"/>
                <w:szCs w:val="20"/>
                <w:color w:val="auto"/>
              </w:rPr>
            </w:pPr>
            <w:r>
              <w:rPr>
                <w:rFonts w:ascii="Arial" w:cs="Arial" w:eastAsia="Arial" w:hAnsi="Arial"/>
                <w:sz w:val="17"/>
                <w:szCs w:val="17"/>
                <w:color w:val="auto"/>
              </w:rPr>
              <w:t>DROPBOX, INC.</w:t>
            </w:r>
          </w:p>
        </w:tc>
      </w:tr>
      <w:tr>
        <w:trPr>
          <w:trHeight w:val="522"/>
        </w:trPr>
        <w:tc>
          <w:tcPr>
            <w:tcW w:w="3320" w:type="dxa"/>
            <w:vAlign w:val="bottom"/>
            <w:tcBorders>
              <w:bottom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r>
        <w:trPr>
          <w:trHeight w:val="215"/>
        </w:trPr>
        <w:tc>
          <w:tcPr>
            <w:tcW w:w="8080" w:type="dxa"/>
            <w:vAlign w:val="bottom"/>
            <w:gridSpan w:val="2"/>
          </w:tcPr>
          <w:p>
            <w:pPr>
              <w:ind w:left="20"/>
              <w:spacing w:after="0"/>
              <w:rPr>
                <w:sz w:val="20"/>
                <w:szCs w:val="20"/>
                <w:color w:val="auto"/>
              </w:rPr>
            </w:pPr>
            <w:r>
              <w:rPr>
                <w:rFonts w:ascii="Arial" w:cs="Arial" w:eastAsia="Arial" w:hAnsi="Arial"/>
                <w:sz w:val="17"/>
                <w:szCs w:val="17"/>
                <w:color w:val="auto"/>
              </w:rPr>
              <w:t>Signature</w:t>
            </w:r>
          </w:p>
        </w:tc>
        <w:tc>
          <w:tcPr>
            <w:tcW w:w="3160" w:type="dxa"/>
            <w:vAlign w:val="bottom"/>
          </w:tcPr>
          <w:p>
            <w:pPr>
              <w:ind w:left="20"/>
              <w:spacing w:after="0"/>
              <w:rPr>
                <w:sz w:val="20"/>
                <w:szCs w:val="20"/>
                <w:color w:val="auto"/>
              </w:rPr>
            </w:pPr>
            <w:r>
              <w:rPr>
                <w:rFonts w:ascii="Arial" w:cs="Arial" w:eastAsia="Arial" w:hAnsi="Arial"/>
                <w:sz w:val="17"/>
                <w:szCs w:val="17"/>
                <w:color w:val="auto"/>
              </w:rPr>
              <w:t>Signature</w:t>
            </w:r>
          </w:p>
        </w:tc>
      </w:tr>
      <w:tr>
        <w:trPr>
          <w:trHeight w:val="522"/>
        </w:trPr>
        <w:tc>
          <w:tcPr>
            <w:tcW w:w="3320" w:type="dxa"/>
            <w:vAlign w:val="bottom"/>
            <w:tcBorders>
              <w:bottom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r>
        <w:trPr>
          <w:trHeight w:val="215"/>
        </w:trPr>
        <w:tc>
          <w:tcPr>
            <w:tcW w:w="8080" w:type="dxa"/>
            <w:vAlign w:val="bottom"/>
            <w:gridSpan w:val="2"/>
          </w:tcPr>
          <w:p>
            <w:pPr>
              <w:ind w:left="20"/>
              <w:spacing w:after="0"/>
              <w:rPr>
                <w:sz w:val="20"/>
                <w:szCs w:val="20"/>
                <w:color w:val="auto"/>
              </w:rPr>
            </w:pPr>
            <w:r>
              <w:rPr>
                <w:rFonts w:ascii="Arial" w:cs="Arial" w:eastAsia="Arial" w:hAnsi="Arial"/>
                <w:sz w:val="17"/>
                <w:szCs w:val="17"/>
                <w:color w:val="auto"/>
              </w:rPr>
              <w:t>Print Name</w:t>
            </w:r>
          </w:p>
        </w:tc>
        <w:tc>
          <w:tcPr>
            <w:tcW w:w="3160" w:type="dxa"/>
            <w:vAlign w:val="bottom"/>
          </w:tcPr>
          <w:p>
            <w:pPr>
              <w:ind w:left="20"/>
              <w:spacing w:after="0"/>
              <w:rPr>
                <w:sz w:val="20"/>
                <w:szCs w:val="20"/>
                <w:color w:val="auto"/>
              </w:rPr>
            </w:pPr>
            <w:r>
              <w:rPr>
                <w:rFonts w:ascii="Arial" w:cs="Arial" w:eastAsia="Arial" w:hAnsi="Arial"/>
                <w:sz w:val="17"/>
                <w:szCs w:val="17"/>
                <w:color w:val="auto"/>
              </w:rPr>
              <w:t>Print Name</w:t>
            </w:r>
          </w:p>
        </w:tc>
      </w:tr>
      <w:tr>
        <w:trPr>
          <w:trHeight w:val="522"/>
        </w:trPr>
        <w:tc>
          <w:tcPr>
            <w:tcW w:w="33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r>
        <w:trPr>
          <w:trHeight w:val="215"/>
        </w:trPr>
        <w:tc>
          <w:tcPr>
            <w:tcW w:w="33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7"/>
                <w:szCs w:val="17"/>
                <w:color w:val="auto"/>
              </w:rPr>
              <w:t>Title</w:t>
            </w:r>
          </w:p>
        </w:tc>
      </w:tr>
    </w:tbl>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7"/>
        <w:spacing w:after="0"/>
        <w:rPr>
          <w:sz w:val="20"/>
          <w:szCs w:val="20"/>
          <w:color w:val="auto"/>
        </w:rPr>
      </w:pPr>
      <w:r>
        <w:rPr>
          <w:rFonts w:ascii="Arial" w:cs="Arial" w:eastAsia="Arial" w:hAnsi="Arial"/>
          <w:sz w:val="21"/>
          <w:szCs w:val="21"/>
          <w:b w:val="1"/>
          <w:bCs w:val="1"/>
          <w:u w:val="single" w:color="auto"/>
          <w:color w:val="auto"/>
        </w:rPr>
        <w:t>EXHIBIT A</w:t>
      </w:r>
    </w:p>
    <w:p>
      <w:pPr>
        <w:spacing w:after="0" w:line="10" w:lineRule="exact"/>
        <w:rPr>
          <w:sz w:val="20"/>
          <w:szCs w:val="20"/>
          <w:color w:val="auto"/>
        </w:rPr>
      </w:pPr>
    </w:p>
    <w:p>
      <w:pPr>
        <w:jc w:val="center"/>
        <w:ind w:right="297"/>
        <w:spacing w:after="0"/>
        <w:rPr>
          <w:sz w:val="20"/>
          <w:szCs w:val="20"/>
          <w:color w:val="auto"/>
        </w:rPr>
      </w:pPr>
      <w:r>
        <w:rPr>
          <w:rFonts w:ascii="Arial" w:cs="Arial" w:eastAsia="Arial" w:hAnsi="Arial"/>
          <w:sz w:val="21"/>
          <w:szCs w:val="21"/>
          <w:b w:val="1"/>
          <w:bCs w:val="1"/>
          <w:u w:val="single" w:color="auto"/>
          <w:color w:val="auto"/>
        </w:rPr>
        <w:t>TERMS AND CONDITIONS OF RESTRICTED STOCK GRANT</w:t>
      </w:r>
    </w:p>
    <w:p>
      <w:pPr>
        <w:jc w:val="both"/>
        <w:ind w:left="323" w:hanging="323"/>
        <w:spacing w:after="0" w:line="233" w:lineRule="auto"/>
        <w:tabs>
          <w:tab w:leader="none" w:pos="323"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Grant of Shares of Restricted Stock</w:t>
      </w:r>
      <w:r>
        <w:rPr>
          <w:rFonts w:ascii="Arial" w:cs="Arial" w:eastAsia="Arial" w:hAnsi="Arial"/>
          <w:sz w:val="21"/>
          <w:szCs w:val="21"/>
          <w:color w:val="auto"/>
        </w:rPr>
        <w:t>. The Company hereby grants to the individual (“Participant”) named in the Notice of Grant of Restricted Stock of this Award Agreement (the “Notice of Grant”) under the Plan an Award of Shares of Restricted Stock, subject to the terms and conditions of this Award Agreement and the Plan, which is incorporated herein by reference. Subject to Section 19(c) of the Plan, in the event of a conflict between the terms and conditions of the Plan and this Award Agreement, the terms and conditions of the Plan shall prevail.</w:t>
      </w:r>
    </w:p>
    <w:p>
      <w:pPr>
        <w:spacing w:after="0" w:line="1" w:lineRule="exact"/>
        <w:rPr>
          <w:rFonts w:ascii="Arial" w:cs="Arial" w:eastAsia="Arial" w:hAnsi="Arial"/>
          <w:sz w:val="21"/>
          <w:szCs w:val="21"/>
          <w:color w:val="auto"/>
        </w:rPr>
      </w:pPr>
    </w:p>
    <w:p>
      <w:pPr>
        <w:jc w:val="both"/>
        <w:ind w:left="323" w:hanging="323"/>
        <w:spacing w:after="0" w:line="233" w:lineRule="auto"/>
        <w:tabs>
          <w:tab w:leader="none" w:pos="323"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Vesting Schedule</w:t>
      </w:r>
      <w:r>
        <w:rPr>
          <w:rFonts w:ascii="Arial" w:cs="Arial" w:eastAsia="Arial" w:hAnsi="Arial"/>
          <w:sz w:val="21"/>
          <w:szCs w:val="21"/>
          <w:color w:val="auto"/>
        </w:rPr>
        <w:t>. Except as provided in Section 3 and subject to Sections 4 and 7, the Shares of Restricted Stock awarded by this Award Agreement will vest in accordance with the vesting provisions set forth in the Notice of Grant. Shares of Restricted Stock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 w:lineRule="exact"/>
        <w:rPr>
          <w:rFonts w:ascii="Arial" w:cs="Arial" w:eastAsia="Arial" w:hAnsi="Arial"/>
          <w:sz w:val="21"/>
          <w:szCs w:val="21"/>
          <w:color w:val="auto"/>
        </w:rPr>
      </w:pPr>
    </w:p>
    <w:p>
      <w:pPr>
        <w:jc w:val="both"/>
        <w:ind w:left="323" w:hanging="323"/>
        <w:spacing w:after="0" w:line="236" w:lineRule="auto"/>
        <w:tabs>
          <w:tab w:leader="none" w:pos="323"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Administrator Discretion</w:t>
      </w:r>
      <w:r>
        <w:rPr>
          <w:rFonts w:ascii="Arial" w:cs="Arial" w:eastAsia="Arial" w:hAnsi="Arial"/>
          <w:sz w:val="21"/>
          <w:szCs w:val="21"/>
          <w:color w:val="auto"/>
        </w:rPr>
        <w:t>. The Administrator,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Administrator.</w:t>
      </w:r>
    </w:p>
    <w:p>
      <w:pPr>
        <w:spacing w:after="0" w:line="206" w:lineRule="exact"/>
        <w:rPr>
          <w:sz w:val="20"/>
          <w:szCs w:val="20"/>
          <w:color w:val="auto"/>
        </w:rPr>
      </w:pPr>
    </w:p>
    <w:p>
      <w:pPr>
        <w:jc w:val="both"/>
        <w:ind w:left="323" w:hanging="323"/>
        <w:spacing w:after="0" w:line="266" w:lineRule="auto"/>
        <w:tabs>
          <w:tab w:leader="none" w:pos="323"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Forfeiture Upon Termination as a Service Provider</w:t>
      </w:r>
      <w:r>
        <w:rPr>
          <w:rFonts w:ascii="Arial" w:cs="Arial" w:eastAsia="Arial" w:hAnsi="Arial"/>
          <w:sz w:val="19"/>
          <w:szCs w:val="19"/>
          <w:color w:val="auto"/>
        </w:rPr>
        <w:t>. Unless specifically provided otherwise in this Award Agreement or other written agreement between Participant and the Company or any of its Subsidiaries or Parents, as applicable, the balance of the Shares of Restricted Stock that have not vested as of the time Participant ceases to be a Service Provider for any or no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4. Participant hereby appoints the Escrow Agent with full power of substitution, as Participant’s true and lawful attorney-in-fact with</w:t>
      </w:r>
    </w:p>
    <w:p>
      <w:pPr>
        <w:sectPr>
          <w:pgSz w:w="11900" w:h="16838" w:orient="portrait"/>
          <w:cols w:equalWidth="0" w:num="1">
            <w:col w:w="10923"/>
          </w:cols>
          <w:pgMar w:left="637" w:top="1440" w:right="339" w:bottom="1440" w:gutter="0" w:footer="0" w:header="0"/>
        </w:sectPr>
      </w:pPr>
    </w:p>
    <w:bookmarkStart w:id="95" w:name="page96"/>
    <w:bookmarkEnd w:id="95"/>
    <w:p>
      <w:pPr>
        <w:jc w:val="both"/>
        <w:ind w:left="323"/>
        <w:spacing w:after="0" w:line="239" w:lineRule="auto"/>
        <w:rPr>
          <w:sz w:val="20"/>
          <w:szCs w:val="20"/>
          <w:color w:val="auto"/>
        </w:rPr>
      </w:pPr>
      <w:r>
        <w:rPr>
          <w:rFonts w:ascii="Arial" w:cs="Arial" w:eastAsia="Arial" w:hAnsi="Arial"/>
          <w:sz w:val="21"/>
          <w:szCs w:val="21"/>
          <w:color w:val="auto"/>
        </w:rPr>
        <w:t>irrevocable power and authority in the name and on behalf of Participant to take any action and execute all documents and instruments, including, without limitation, stock powers which may be necessary to transfer the certificate or certificates evidencing such unvested Shares to the Company upon such termination of service.</w:t>
      </w:r>
    </w:p>
    <w:p>
      <w:pPr>
        <w:spacing w:after="0" w:line="1" w:lineRule="exact"/>
        <w:rPr>
          <w:sz w:val="20"/>
          <w:szCs w:val="20"/>
          <w:color w:val="auto"/>
        </w:rPr>
      </w:pPr>
    </w:p>
    <w:p>
      <w:pPr>
        <w:jc w:val="both"/>
        <w:ind w:left="323" w:hanging="323"/>
        <w:spacing w:after="0" w:line="233" w:lineRule="auto"/>
        <w:tabs>
          <w:tab w:leader="none" w:pos="323"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Tax Consequences</w:t>
      </w:r>
      <w:r>
        <w:rPr>
          <w:rFonts w:ascii="Arial" w:cs="Arial" w:eastAsia="Arial" w:hAnsi="Arial"/>
          <w:sz w:val="21"/>
          <w:szCs w:val="21"/>
          <w:color w:val="auto"/>
        </w:rPr>
        <w:t>.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solely responsible for Participant’s own Tax-Related Items (as defined in Section 7 below) that may arise as a result of this investment or the transactions contemplated by this Award Agreement.</w:t>
      </w:r>
    </w:p>
    <w:p>
      <w:pPr>
        <w:spacing w:after="0" w:line="1" w:lineRule="exact"/>
        <w:rPr>
          <w:rFonts w:ascii="Arial" w:cs="Arial" w:eastAsia="Arial" w:hAnsi="Arial"/>
          <w:sz w:val="21"/>
          <w:szCs w:val="21"/>
          <w:color w:val="auto"/>
        </w:rPr>
      </w:pPr>
    </w:p>
    <w:p>
      <w:pPr>
        <w:jc w:val="both"/>
        <w:ind w:left="323" w:hanging="323"/>
        <w:spacing w:after="0" w:line="257" w:lineRule="auto"/>
        <w:tabs>
          <w:tab w:leader="none" w:pos="323"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Any distribution or delivery to be made to Participant under this Award Agreement will, if Participant is then deceased, be made to Participant’s designated beneficiary, provided such designation is valid under Applicable Laws,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3" w:lineRule="exact"/>
        <w:rPr>
          <w:rFonts w:ascii="Arial" w:cs="Arial" w:eastAsia="Arial" w:hAnsi="Arial"/>
          <w:sz w:val="19"/>
          <w:szCs w:val="19"/>
          <w:color w:val="auto"/>
        </w:rPr>
      </w:pPr>
    </w:p>
    <w:p>
      <w:pPr>
        <w:ind w:left="323" w:hanging="323"/>
        <w:spacing w:after="0" w:line="233" w:lineRule="auto"/>
        <w:tabs>
          <w:tab w:leader="none" w:pos="323"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Tax-Related Items</w:t>
      </w:r>
    </w:p>
    <w:p>
      <w:pPr>
        <w:ind w:left="943" w:hanging="313"/>
        <w:spacing w:after="0" w:line="259" w:lineRule="auto"/>
        <w:rPr>
          <w:rFonts w:ascii="Arial" w:cs="Arial" w:eastAsia="Arial" w:hAnsi="Arial"/>
          <w:sz w:val="21"/>
          <w:szCs w:val="21"/>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regardless of any action taken by the Company or, if different, Participant’s employer (the “Employer”) or any Parent or Subsidiary to which Participant is providing services (together, the “Service Recipients”), the ultimate liability for any tax and/or social insurance liability obligations and requirements in connection with the Shares of Restricted Stock,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election under Section 83(b) of the Code (the “83(b) Election”) with respect to the Shares of Restricted Stock, or the sale of Shares, and (iii) any other Service Recipient taxes the responsibility for which Participant has, or has agreed to bear, with respect to the Shares of Restricted Stock (or exercise thereof or issuance of Shares thereunder) (collectively, the “Tax-Related Items”), is and remains Participant’s sole responsibility and may exceed the amount actually withheld by the applicable Service Recipient(s). Participant further acknowledges that no Service Recipient (A) makes any representations or undertakings regarding the treatment of any Tax-Related Items in connection with any aspect of the Shares of Restricted Stock, including, but not limited to, the grant, vesting or release from escrow of the Shares of Restricted Stock, the filing of an 83(b) Election with respect to the Shares of Restricted Stock, the subsequent sale of Shares acquired pursuant to this Award Agreement and the receipt of any dividends or other distributions (subject to Section 12(f)), and (B) makes any commitment to and is under any obligation to structure the</w:t>
      </w:r>
    </w:p>
    <w:p>
      <w:pPr>
        <w:sectPr>
          <w:pgSz w:w="11900" w:h="16838" w:orient="portrait"/>
          <w:cols w:equalWidth="0" w:num="1">
            <w:col w:w="10923"/>
          </w:cols>
          <w:pgMar w:left="637" w:top="1370" w:right="339" w:bottom="1440" w:gutter="0" w:footer="0" w:header="0"/>
        </w:sectPr>
      </w:pPr>
    </w:p>
    <w:bookmarkStart w:id="96" w:name="page97"/>
    <w:bookmarkEnd w:id="96"/>
    <w:p>
      <w:pPr>
        <w:jc w:val="both"/>
        <w:ind w:left="317"/>
        <w:spacing w:after="0" w:line="261" w:lineRule="auto"/>
        <w:rPr>
          <w:sz w:val="20"/>
          <w:szCs w:val="20"/>
          <w:color w:val="auto"/>
        </w:rPr>
      </w:pPr>
      <w:r>
        <w:rPr>
          <w:rFonts w:ascii="Arial" w:cs="Arial" w:eastAsia="Arial" w:hAnsi="Arial"/>
          <w:sz w:val="19"/>
          <w:szCs w:val="19"/>
          <w:color w:val="auto"/>
        </w:rPr>
        <w:t>terms of the grant or any aspect of the Shares of Restricted Stock to reduce or eliminate Participant’s liability for Tax-Related Items or achieve any particular tax result.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83(b) Election with the IRS within thirty (30) days from the date of grant of the Restricted Stock Award.</w:t>
      </w:r>
    </w:p>
    <w:p>
      <w:pPr>
        <w:spacing w:after="0" w:line="1" w:lineRule="exact"/>
        <w:rPr>
          <w:sz w:val="20"/>
          <w:szCs w:val="20"/>
          <w:color w:val="auto"/>
        </w:rPr>
      </w:pPr>
    </w:p>
    <w:p>
      <w:pPr>
        <w:jc w:val="both"/>
        <w:ind w:left="317" w:hanging="317"/>
        <w:spacing w:after="0" w:line="257" w:lineRule="auto"/>
        <w:tabs>
          <w:tab w:leader="none" w:pos="317"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Notwithstanding any contrary provision of this Award Agreement, no certificate representing the Shares of Restricted Stock may be released from the escrow established pursuant to Section 12, unless and until satisfactory arrangements (as determined by the Administrator) will have been made by Participant with respect to the payment of all Tax-Related Items. When Shares of Restricted Stock are vested, Participant generally will recognize immediate U.S. taxable income if Participant is a U.S. taxpayer. If Participant is a non-U.S. taxpayer, Participant will be subject to applicable taxes in his or her jurisdiction. The Administrator, in its sole discretion and pursuant to such procedures as it may specify from time to time, may permit Participant to satisfy such Tax-Related Items, in whole or in part (without limitation), if permissible by applicable local law, by (i) requiring Participant to make a payment in a form acceptable to the Company, (ii) withholding in Shares to be released from the escrow established pursuant to Section 12, (iii) withholding from Participant’s wages or other cash compensation paid to Participant by the Company and/or the Service Recipient, (iv) delivering to the Company already vested and owned Shares having a fair market value equal to such Tax Tax-Related Items, or (v) withholding from proceeds of the sale of Shares released from the escrow established pursuant to Section 12 either through a voluntary sale or through a mandatory sale arranged by the Company (on Participant’s behalf pursuant to this authorization without further consent). To the extent determined appropriate by the Company in its discretion, it will have the right (but not the obligation) to satisfy any Tax-Related Items by reducing the number of Shares otherwise deliverable to Participant and, until determined otherwise by the Company, this will be the method by which such Tax-Related Items are satisfied. The Company may withhold or account for Tax-Related Items by considering statutory or other withholding rates, including minimum or maximum rates applicable in Participant’s jurisdiction(s).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such Tax-Related Items hereunder at the time of the applicable tax event for any Shares, Participant will permanently forfeit such Shares, and such Shares will be returned to the Company at no cost to the Company.</w:t>
      </w:r>
    </w:p>
    <w:p>
      <w:pPr>
        <w:spacing w:after="0" w:line="18" w:lineRule="exact"/>
        <w:rPr>
          <w:rFonts w:ascii="Arial" w:cs="Arial" w:eastAsia="Arial" w:hAnsi="Arial"/>
          <w:sz w:val="19"/>
          <w:szCs w:val="19"/>
          <w:color w:val="auto"/>
        </w:rPr>
      </w:pPr>
    </w:p>
    <w:p>
      <w:pPr>
        <w:ind w:left="317" w:hanging="317"/>
        <w:spacing w:after="0" w:line="239" w:lineRule="auto"/>
        <w:tabs>
          <w:tab w:leader="none" w:pos="305"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No Representations</w:t>
      </w:r>
      <w:r>
        <w:rPr>
          <w:rFonts w:ascii="Arial" w:cs="Arial" w:eastAsia="Arial" w:hAnsi="Arial"/>
          <w:sz w:val="21"/>
          <w:szCs w:val="21"/>
          <w:color w:val="auto"/>
        </w:rPr>
        <w:t>. Participant has reviewed with his or her own tax advisers the U.S. federal, state, local and non-U.S. tax consequences investment and the</w:t>
      </w:r>
    </w:p>
    <w:p>
      <w:pPr>
        <w:sectPr>
          <w:pgSz w:w="11900" w:h="16838" w:orient="portrait"/>
          <w:cols w:equalWidth="0" w:num="1">
            <w:col w:w="10297"/>
          </w:cols>
          <w:pgMar w:left="1263" w:top="1370" w:right="339" w:bottom="1440" w:gutter="0" w:footer="0" w:header="0"/>
        </w:sectPr>
      </w:pPr>
    </w:p>
    <w:bookmarkStart w:id="97" w:name="page98"/>
    <w:bookmarkEnd w:id="97"/>
    <w:p>
      <w:pPr>
        <w:jc w:val="both"/>
        <w:ind w:left="943"/>
        <w:spacing w:after="0" w:line="257" w:lineRule="auto"/>
        <w:rPr>
          <w:sz w:val="20"/>
          <w:szCs w:val="20"/>
          <w:color w:val="auto"/>
        </w:rPr>
      </w:pPr>
      <w:r>
        <w:rPr>
          <w:rFonts w:ascii="Arial" w:cs="Arial" w:eastAsia="Arial" w:hAnsi="Arial"/>
          <w:sz w:val="20"/>
          <w:szCs w:val="20"/>
          <w:color w:val="auto"/>
        </w:rPr>
        <w:t>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8" w:lineRule="exact"/>
        <w:rPr>
          <w:sz w:val="20"/>
          <w:szCs w:val="20"/>
          <w:color w:val="auto"/>
        </w:rPr>
      </w:pPr>
    </w:p>
    <w:p>
      <w:pPr>
        <w:jc w:val="both"/>
        <w:ind w:left="943" w:hanging="317"/>
        <w:spacing w:after="0" w:line="247" w:lineRule="auto"/>
        <w:tabs>
          <w:tab w:leader="none" w:pos="931"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Company’s Obligation to Release Shares</w:t>
      </w:r>
      <w:r>
        <w:rPr>
          <w:rFonts w:ascii="Arial" w:cs="Arial" w:eastAsia="Arial" w:hAnsi="Arial"/>
          <w:sz w:val="20"/>
          <w:szCs w:val="20"/>
          <w:color w:val="auto"/>
        </w:rPr>
        <w:t>. For clarification purposes, in no event will the Company release Shares from the escrow established pursuant to Section 12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Shares of Restricted Stock otherwise are scheduled to vest pursuant to Sections 2 or 3, at the time Participant’s Tax Withholding Obligations otherwise become due, Participant will permanently forfeit such Shares of Restricted Stock to which Participant’s Tax Withholding Obligation relates and any right to receive Shares thereunder and such Shares of Restricted Stock will be returned to the Company at no cost to the Company.</w:t>
      </w:r>
    </w:p>
    <w:p>
      <w:pPr>
        <w:spacing w:after="0" w:line="2" w:lineRule="exact"/>
        <w:rPr>
          <w:rFonts w:ascii="Arial" w:cs="Arial" w:eastAsia="Arial" w:hAnsi="Arial"/>
          <w:sz w:val="20"/>
          <w:szCs w:val="20"/>
          <w:color w:val="auto"/>
        </w:rPr>
      </w:pPr>
    </w:p>
    <w:p>
      <w:pPr>
        <w:jc w:val="both"/>
        <w:ind w:left="323" w:hanging="323"/>
        <w:spacing w:after="0" w:line="233" w:lineRule="auto"/>
        <w:tabs>
          <w:tab w:leader="none" w:pos="323"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Rights as Stockholder</w:t>
      </w:r>
      <w:r>
        <w:rPr>
          <w:rFonts w:ascii="Arial" w:cs="Arial" w:eastAsia="Arial" w:hAnsi="Arial"/>
          <w:sz w:val="21"/>
          <w:szCs w:val="21"/>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or the Escrow Agent. Except as provided in Section 12(f), after such issuance, recordation and delivery, Participant will have all the rights of a stockholder of the Company with respect to voting such Shares and receipt of dividends and distributions on such Shares.</w:t>
      </w:r>
    </w:p>
    <w:p>
      <w:pPr>
        <w:spacing w:after="0" w:line="1" w:lineRule="exact"/>
        <w:rPr>
          <w:rFonts w:ascii="Arial" w:cs="Arial" w:eastAsia="Arial" w:hAnsi="Arial"/>
          <w:sz w:val="21"/>
          <w:szCs w:val="21"/>
          <w:color w:val="auto"/>
        </w:rPr>
      </w:pPr>
    </w:p>
    <w:p>
      <w:pPr>
        <w:jc w:val="both"/>
        <w:ind w:left="323" w:hanging="323"/>
        <w:spacing w:after="0" w:line="246" w:lineRule="auto"/>
        <w:tabs>
          <w:tab w:leader="none" w:pos="323"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No Guarantee of Continued Service</w:t>
      </w:r>
      <w:r>
        <w:rPr>
          <w:rFonts w:ascii="Arial" w:cs="Arial" w:eastAsia="Arial" w:hAnsi="Arial"/>
          <w:sz w:val="20"/>
          <w:szCs w:val="20"/>
          <w:color w:val="auto"/>
        </w:rPr>
        <w:t>. PARTICIPANT ACKNOWLEDGES AND AGREES THAT THE VESTING OF THE SHARES OF RESTRICTED STOCK PURSUANT TO THE VESTING SCHEDULE HEREOF IS EARNED ONLY BY CONTINUING AS A SERVICE PROVIDER, WHICH UNLESS PROVIDED OTHERWISE UNDER APPLICABLE LAW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ectPr>
          <w:pgSz w:w="11900" w:h="16838" w:orient="portrait"/>
          <w:cols w:equalWidth="0" w:num="1">
            <w:col w:w="10923"/>
          </w:cols>
          <w:pgMar w:left="637" w:top="1370" w:right="339" w:bottom="1440" w:gutter="0" w:footer="0" w:header="0"/>
        </w:sectPr>
      </w:pPr>
    </w:p>
    <w:bookmarkStart w:id="98" w:name="page99"/>
    <w:bookmarkEnd w:id="98"/>
    <w:p>
      <w:pPr>
        <w:jc w:val="both"/>
        <w:ind w:left="323" w:hanging="323"/>
        <w:spacing w:after="0" w:line="247" w:lineRule="auto"/>
        <w:tabs>
          <w:tab w:leader="none" w:pos="323"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Grant is Not Transferable</w:t>
      </w:r>
      <w:r>
        <w:rPr>
          <w:rFonts w:ascii="Arial" w:cs="Arial" w:eastAsia="Arial" w:hAnsi="Arial"/>
          <w:sz w:val="20"/>
          <w:szCs w:val="20"/>
          <w:color w:val="auto"/>
        </w:rPr>
        <w:t>. Except for the escrow described in Section 12 or transfer of the Shares to the Company or its assignees contemplated by this Award Agreement, and except to the limited extent provided in Section 6, the unvested Shares subject to this Award Agreement and the rights and privileges conferred hereby will not be transferred, assigned, pledged or hypothecated in any way (whether by operation of law or otherwise) and will not be subject to sale under execution, attachment or similar process until such Shares shall have vested in accordance with the provisions of this Award Agreement. Upon any attempt to transfer, assign, pledge, hypothecate or otherwise dispose of the unvested Shares subject to this Award Agreement, or any right or privilege conferred hereby, or upon any attempted sale under any execution, attachment or similar process, the then-unvested Shares of Restricted Stock will thereupon be forfeited at no cost to the Company and Participant will have no further rights thereunder.</w:t>
      </w:r>
    </w:p>
    <w:p>
      <w:pPr>
        <w:jc w:val="both"/>
        <w:ind w:left="323" w:hanging="323"/>
        <w:spacing w:after="0" w:line="233" w:lineRule="auto"/>
        <w:tabs>
          <w:tab w:leader="none" w:pos="323"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No Advice Regarding Grant</w:t>
      </w:r>
      <w:r>
        <w:rPr>
          <w:rFonts w:ascii="Arial" w:cs="Arial" w:eastAsia="Arial" w:hAnsi="Arial"/>
          <w:sz w:val="21"/>
          <w:szCs w:val="21"/>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 w:lineRule="exact"/>
        <w:rPr>
          <w:rFonts w:ascii="Arial" w:cs="Arial" w:eastAsia="Arial" w:hAnsi="Arial"/>
          <w:sz w:val="21"/>
          <w:szCs w:val="21"/>
          <w:color w:val="auto"/>
        </w:rPr>
      </w:pPr>
    </w:p>
    <w:p>
      <w:pPr>
        <w:ind w:left="323" w:hanging="323"/>
        <w:spacing w:after="0" w:line="233" w:lineRule="auto"/>
        <w:tabs>
          <w:tab w:leader="none" w:pos="323"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Escrow of Shares</w:t>
      </w:r>
      <w:r>
        <w:rPr>
          <w:rFonts w:ascii="Arial" w:cs="Arial" w:eastAsia="Arial" w:hAnsi="Arial"/>
          <w:sz w:val="21"/>
          <w:szCs w:val="21"/>
          <w:color w:val="auto"/>
        </w:rPr>
        <w:t>.</w:t>
      </w:r>
    </w:p>
    <w:p>
      <w:pPr>
        <w:jc w:val="both"/>
        <w:ind w:left="943" w:hanging="317"/>
        <w:spacing w:after="0" w:line="233" w:lineRule="auto"/>
        <w:tabs>
          <w:tab w:leader="none" w:pos="931" w:val="left"/>
        </w:tabs>
        <w:numPr>
          <w:ilvl w:val="1"/>
          <w:numId w:val="44"/>
        </w:numPr>
        <w:rPr>
          <w:rFonts w:ascii="Arial" w:cs="Arial" w:eastAsia="Arial" w:hAnsi="Arial"/>
          <w:sz w:val="21"/>
          <w:szCs w:val="21"/>
          <w:color w:val="auto"/>
        </w:rPr>
      </w:pPr>
      <w:r>
        <w:rPr>
          <w:rFonts w:ascii="Arial" w:cs="Arial" w:eastAsia="Arial" w:hAnsi="Arial"/>
          <w:sz w:val="21"/>
          <w:szCs w:val="21"/>
          <w:color w:val="auto"/>
        </w:rPr>
        <w:t>All Shares of Restricted Stock will, upon execution of this Award Agreement, be delivered and deposited with an escrow holder designated by the Company (the “Escrow Holder”). The Shares of Restricted Stock will be held by the Escrow Holder until such time as the Shares of Restricted Stock vest or the date Participant ceases to be a Service Provider.</w:t>
      </w:r>
    </w:p>
    <w:p>
      <w:pPr>
        <w:spacing w:after="0" w:line="1" w:lineRule="exact"/>
        <w:rPr>
          <w:rFonts w:ascii="Arial" w:cs="Arial" w:eastAsia="Arial" w:hAnsi="Arial"/>
          <w:sz w:val="21"/>
          <w:szCs w:val="21"/>
          <w:color w:val="auto"/>
        </w:rPr>
      </w:pPr>
    </w:p>
    <w:p>
      <w:pPr>
        <w:ind w:left="943" w:hanging="317"/>
        <w:spacing w:after="0" w:line="233" w:lineRule="auto"/>
        <w:tabs>
          <w:tab w:leader="none" w:pos="943"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Escrow Holder will not be liable for any act it may do or omit to do with respect to holding the Shares of Restricted Stock in escrow and while acting in good faith and in the exercise of its judgment.</w:t>
      </w:r>
    </w:p>
    <w:p>
      <w:pPr>
        <w:jc w:val="both"/>
        <w:ind w:left="943" w:hanging="317"/>
        <w:spacing w:after="0" w:line="235" w:lineRule="exact"/>
        <w:tabs>
          <w:tab w:leader="none" w:pos="931" w:val="left"/>
        </w:tabs>
        <w:numPr>
          <w:ilvl w:val="1"/>
          <w:numId w:val="44"/>
        </w:numPr>
        <w:rPr>
          <w:rFonts w:ascii="Arial" w:cs="Arial" w:eastAsia="Arial" w:hAnsi="Arial"/>
          <w:sz w:val="21"/>
          <w:szCs w:val="21"/>
          <w:color w:val="auto"/>
        </w:rPr>
      </w:pPr>
      <w:r>
        <w:rPr>
          <w:rFonts w:ascii="Arial" w:cs="Arial" w:eastAsia="Arial" w:hAnsi="Arial"/>
          <w:sz w:val="21"/>
          <w:szCs w:val="21"/>
          <w:color w:val="auto"/>
        </w:rPr>
        <w:t>Upon Participant ceasing to be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1" w:lineRule="exact"/>
        <w:rPr>
          <w:rFonts w:ascii="Arial" w:cs="Arial" w:eastAsia="Arial" w:hAnsi="Arial"/>
          <w:sz w:val="21"/>
          <w:szCs w:val="21"/>
          <w:color w:val="auto"/>
        </w:rPr>
      </w:pPr>
    </w:p>
    <w:p>
      <w:pPr>
        <w:ind w:left="943" w:hanging="317"/>
        <w:spacing w:after="0" w:line="233" w:lineRule="auto"/>
        <w:tabs>
          <w:tab w:leader="none" w:pos="943"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Escrow Holder will take all steps necessary to accomplish the transfer of Shares of Restricted Stock to Participant after they vest following Participant’s request that the Escrow Holder do so.</w:t>
      </w:r>
    </w:p>
    <w:p>
      <w:pPr>
        <w:jc w:val="both"/>
        <w:ind w:left="943" w:hanging="317"/>
        <w:spacing w:after="0" w:line="233" w:lineRule="auto"/>
        <w:tabs>
          <w:tab w:leader="none" w:pos="931" w:val="left"/>
        </w:tabs>
        <w:numPr>
          <w:ilvl w:val="1"/>
          <w:numId w:val="44"/>
        </w:numPr>
        <w:rPr>
          <w:rFonts w:ascii="Arial" w:cs="Arial" w:eastAsia="Arial" w:hAnsi="Arial"/>
          <w:sz w:val="21"/>
          <w:szCs w:val="21"/>
          <w:color w:val="auto"/>
        </w:rPr>
      </w:pPr>
      <w:r>
        <w:rPr>
          <w:rFonts w:ascii="Arial" w:cs="Arial" w:eastAsia="Arial" w:hAnsi="Arial"/>
          <w:sz w:val="21"/>
          <w:szCs w:val="21"/>
          <w:color w:val="auto"/>
        </w:rPr>
        <w:t>Subject to the terms hereof, Participant shall have all the rights of a stockholder with respect to such Shares while they are held in escrow, including without limitation, the right to vote the Shares and receive any cash dividends declared thereon (subject to subsection (f) below).</w:t>
      </w:r>
    </w:p>
    <w:p>
      <w:pPr>
        <w:jc w:val="both"/>
        <w:ind w:left="943" w:hanging="317"/>
        <w:spacing w:after="0" w:line="237" w:lineRule="auto"/>
        <w:tabs>
          <w:tab w:leader="none" w:pos="934" w:val="left"/>
        </w:tabs>
        <w:numPr>
          <w:ilvl w:val="1"/>
          <w:numId w:val="44"/>
        </w:numPr>
        <w:rPr>
          <w:rFonts w:ascii="Arial" w:cs="Arial" w:eastAsia="Arial" w:hAnsi="Arial"/>
          <w:sz w:val="21"/>
          <w:szCs w:val="21"/>
          <w:color w:val="auto"/>
        </w:rPr>
      </w:pPr>
      <w:r>
        <w:rPr>
          <w:rFonts w:ascii="Arial" w:cs="Arial" w:eastAsia="Arial" w:hAnsi="Arial"/>
          <w:sz w:val="21"/>
          <w:szCs w:val="21"/>
          <w:color w:val="auto"/>
        </w:rPr>
        <w:t>In the event of any dividend or other distribution (whether in the form of cash, Shares, other securities, or other property), recapitalization, stock split, reverse stock split, reorganization, merger, consolidation, split-up, spin-off, combination,</w:t>
      </w:r>
    </w:p>
    <w:p>
      <w:pPr>
        <w:sectPr>
          <w:pgSz w:w="11900" w:h="16838" w:orient="portrait"/>
          <w:cols w:equalWidth="0" w:num="1">
            <w:col w:w="10923"/>
          </w:cols>
          <w:pgMar w:left="637" w:top="1370" w:right="339" w:bottom="1440" w:gutter="0" w:footer="0" w:header="0"/>
        </w:sectPr>
      </w:pPr>
    </w:p>
    <w:bookmarkStart w:id="99" w:name="page100"/>
    <w:bookmarkEnd w:id="99"/>
    <w:p>
      <w:pPr>
        <w:jc w:val="both"/>
        <w:ind w:left="943"/>
        <w:spacing w:after="0" w:line="259" w:lineRule="auto"/>
        <w:rPr>
          <w:sz w:val="20"/>
          <w:szCs w:val="20"/>
          <w:color w:val="auto"/>
        </w:rPr>
      </w:pPr>
      <w:r>
        <w:rPr>
          <w:rFonts w:ascii="Arial" w:cs="Arial" w:eastAsia="Arial" w:hAnsi="Arial"/>
          <w:sz w:val="19"/>
          <w:szCs w:val="19"/>
          <w:color w:val="auto"/>
        </w:rPr>
        <w:t>repurchase, or exchange of Shares or other securities of the Company, or other change in the corporate structure of the Company affecting the Shares, the Shares of Restricted Stock will be increased, reduced or otherwise changed, and by virtue of any such change Participant will in his or her capacity as owner of unvested Shares of Restricted Stock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3" w:lineRule="exact"/>
        <w:rPr>
          <w:sz w:val="20"/>
          <w:szCs w:val="20"/>
          <w:color w:val="auto"/>
        </w:rPr>
      </w:pPr>
    </w:p>
    <w:p>
      <w:pPr>
        <w:ind w:left="943" w:hanging="317"/>
        <w:spacing w:after="0" w:line="257" w:lineRule="auto"/>
        <w:tabs>
          <w:tab w:leader="none" w:pos="943"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Company may instruct the transfer agent for its Common Stock to place a legend on the certificates representing the Restricted Stock or otherwise note its records as to the restrictions on transfer set forth in this Award Agreement.</w:t>
      </w:r>
    </w:p>
    <w:p>
      <w:pPr>
        <w:spacing w:after="0" w:line="1" w:lineRule="exact"/>
        <w:rPr>
          <w:rFonts w:ascii="Arial" w:cs="Arial" w:eastAsia="Arial" w:hAnsi="Arial"/>
          <w:sz w:val="19"/>
          <w:szCs w:val="19"/>
          <w:color w:val="auto"/>
        </w:rPr>
      </w:pPr>
    </w:p>
    <w:p>
      <w:pPr>
        <w:jc w:val="both"/>
        <w:ind w:left="323" w:hanging="323"/>
        <w:spacing w:after="0" w:line="233" w:lineRule="auto"/>
        <w:tabs>
          <w:tab w:leader="none" w:pos="323"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Address for Notices</w:t>
      </w:r>
      <w:r>
        <w:rPr>
          <w:rFonts w:ascii="Arial" w:cs="Arial" w:eastAsia="Arial" w:hAnsi="Arial"/>
          <w:sz w:val="21"/>
          <w:szCs w:val="21"/>
          <w:color w:val="auto"/>
        </w:rPr>
        <w:t>. Any notice to be given to the Company under the terms of this Award Agreement will be addressed to the Company at Dropbox, Inc., 1800 Owens Street, Suite 200, San Francisco, CA 94158, or at such other address as the Company may hereafter designate in writing.</w:t>
      </w:r>
    </w:p>
    <w:p>
      <w:pPr>
        <w:jc w:val="both"/>
        <w:ind w:left="323" w:hanging="323"/>
        <w:spacing w:after="0" w:line="244" w:lineRule="auto"/>
        <w:tabs>
          <w:tab w:leader="none" w:pos="315"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the Shares of Restricted Stock awarded under the Plan or future Shares of Restricted Stock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 now or in the future. Participant must provide the Company or any designated third party administrator with a paper copy of any documents if his or her attempted electronic delivery of such document fails.</w:t>
      </w:r>
    </w:p>
    <w:p>
      <w:pPr>
        <w:spacing w:after="0" w:line="6" w:lineRule="exact"/>
        <w:rPr>
          <w:rFonts w:ascii="Arial" w:cs="Arial" w:eastAsia="Arial" w:hAnsi="Arial"/>
          <w:sz w:val="20"/>
          <w:szCs w:val="20"/>
          <w:color w:val="auto"/>
        </w:rPr>
      </w:pPr>
    </w:p>
    <w:p>
      <w:pPr>
        <w:jc w:val="both"/>
        <w:ind w:left="323" w:hanging="323"/>
        <w:spacing w:after="0" w:line="244" w:lineRule="auto"/>
        <w:tabs>
          <w:tab w:leader="none" w:pos="323"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3" w:lineRule="exact"/>
        <w:rPr>
          <w:rFonts w:ascii="Arial" w:cs="Arial" w:eastAsia="Arial" w:hAnsi="Arial"/>
          <w:sz w:val="20"/>
          <w:szCs w:val="20"/>
          <w:color w:val="auto"/>
        </w:rPr>
      </w:pPr>
    </w:p>
    <w:p>
      <w:pPr>
        <w:jc w:val="both"/>
        <w:ind w:left="323" w:hanging="323"/>
        <w:spacing w:after="0" w:line="254" w:lineRule="auto"/>
        <w:tabs>
          <w:tab w:leader="none" w:pos="323"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w:t>
      </w:r>
    </w:p>
    <w:p>
      <w:pPr>
        <w:sectPr>
          <w:pgSz w:w="11900" w:h="16838" w:orient="portrait"/>
          <w:cols w:equalWidth="0" w:num="1">
            <w:col w:w="10923"/>
          </w:cols>
          <w:pgMar w:left="637" w:top="1370" w:right="339" w:bottom="1440" w:gutter="0" w:footer="0" w:header="0"/>
        </w:sectPr>
      </w:pPr>
    </w:p>
    <w:bookmarkStart w:id="100" w:name="page101"/>
    <w:bookmarkEnd w:id="100"/>
    <w:p>
      <w:pPr>
        <w:ind w:left="323"/>
        <w:spacing w:after="0" w:line="242" w:lineRule="auto"/>
        <w:rPr>
          <w:sz w:val="20"/>
          <w:szCs w:val="20"/>
          <w:color w:val="auto"/>
        </w:rPr>
      </w:pPr>
      <w:r>
        <w:rPr>
          <w:rFonts w:ascii="Arial" w:cs="Arial" w:eastAsia="Arial" w:hAnsi="Arial"/>
          <w:sz w:val="21"/>
          <w:szCs w:val="21"/>
          <w:color w:val="auto"/>
        </w:rPr>
        <w:t>or her heirs, executors, administrators, successors and assigns. The rights and obligations of Participant under this Award Agreement may be assigned only with the prior written consent of the Company.</w:t>
      </w:r>
    </w:p>
    <w:p>
      <w:pPr>
        <w:jc w:val="both"/>
        <w:ind w:left="323" w:hanging="323"/>
        <w:spacing w:after="0" w:line="257" w:lineRule="auto"/>
        <w:tabs>
          <w:tab w:leader="none" w:pos="323"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or the Escrow Holder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(or make any entry on the books of the Company or of a duly authorized transfer agent of the Company of) Shares hereunder prior to the lapse of such reasonable period of time following the Date of Grant of the Shares of Restricted Stock as the Administrator may establish from time to time for reasons of administrative convenience.</w:t>
      </w:r>
    </w:p>
    <w:p>
      <w:pPr>
        <w:spacing w:after="0" w:line="8" w:lineRule="exact"/>
        <w:rPr>
          <w:rFonts w:ascii="Arial" w:cs="Arial" w:eastAsia="Arial" w:hAnsi="Arial"/>
          <w:sz w:val="19"/>
          <w:szCs w:val="19"/>
          <w:color w:val="auto"/>
        </w:rPr>
      </w:pPr>
    </w:p>
    <w:p>
      <w:pPr>
        <w:jc w:val="both"/>
        <w:ind w:left="323" w:hanging="323"/>
        <w:spacing w:after="0" w:line="233" w:lineRule="auto"/>
        <w:tabs>
          <w:tab w:leader="none" w:pos="323"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Interpretation</w:t>
      </w:r>
      <w:r>
        <w:rPr>
          <w:rFonts w:ascii="Arial" w:cs="Arial" w:eastAsia="Arial" w:hAnsi="Arial"/>
          <w:sz w:val="21"/>
          <w:szCs w:val="21"/>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 w:lineRule="exact"/>
        <w:rPr>
          <w:rFonts w:ascii="Arial" w:cs="Arial" w:eastAsia="Arial" w:hAnsi="Arial"/>
          <w:sz w:val="21"/>
          <w:szCs w:val="21"/>
          <w:color w:val="auto"/>
        </w:rPr>
      </w:pPr>
    </w:p>
    <w:p>
      <w:pPr>
        <w:ind w:left="323" w:hanging="323"/>
        <w:spacing w:after="0" w:line="233" w:lineRule="auto"/>
        <w:tabs>
          <w:tab w:leader="none" w:pos="323"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Captions</w:t>
      </w:r>
      <w:r>
        <w:rPr>
          <w:rFonts w:ascii="Arial" w:cs="Arial" w:eastAsia="Arial" w:hAnsi="Arial"/>
          <w:sz w:val="21"/>
          <w:szCs w:val="21"/>
          <w:color w:val="auto"/>
        </w:rPr>
        <w:t>. Captions provided herein are for convenience only and are not to serve as a basis for interpretation or construction of this Award Agreement.</w:t>
      </w:r>
    </w:p>
    <w:p>
      <w:pPr>
        <w:jc w:val="both"/>
        <w:ind w:left="323" w:hanging="323"/>
        <w:spacing w:after="0" w:line="233" w:lineRule="auto"/>
        <w:tabs>
          <w:tab w:leader="none" w:pos="323"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Amendment, Suspension or Termination of the Plan</w:t>
      </w:r>
      <w:r>
        <w:rPr>
          <w:rFonts w:ascii="Arial" w:cs="Arial" w:eastAsia="Arial" w:hAnsi="Arial"/>
          <w:sz w:val="21"/>
          <w:szCs w:val="21"/>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Administrator at any time.</w:t>
      </w:r>
    </w:p>
    <w:p>
      <w:pPr>
        <w:spacing w:after="0" w:line="1" w:lineRule="exact"/>
        <w:rPr>
          <w:rFonts w:ascii="Arial" w:cs="Arial" w:eastAsia="Arial" w:hAnsi="Arial"/>
          <w:sz w:val="21"/>
          <w:szCs w:val="21"/>
          <w:color w:val="auto"/>
        </w:rPr>
      </w:pPr>
    </w:p>
    <w:p>
      <w:pPr>
        <w:jc w:val="both"/>
        <w:ind w:left="323" w:hanging="323"/>
        <w:spacing w:after="0" w:line="248" w:lineRule="auto"/>
        <w:tabs>
          <w:tab w:leader="none" w:pos="323"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Modifications to the Award Agreement</w:t>
      </w:r>
      <w:r>
        <w:rPr>
          <w:rFonts w:ascii="Arial" w:cs="Arial" w:eastAsia="Arial" w:hAnsi="Arial"/>
          <w:sz w:val="20"/>
          <w:szCs w:val="20"/>
          <w:color w:val="auto"/>
        </w:rPr>
        <w:t>. This Award Agreement constitutes the entire understanding of the parties on the subjects covered. Participant expressly warrants that he or she is not accepting this Award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w:t>
      </w:r>
    </w:p>
    <w:p>
      <w:pPr>
        <w:sectPr>
          <w:pgSz w:w="11900" w:h="16838" w:orient="portrait"/>
          <w:cols w:equalWidth="0" w:num="1">
            <w:col w:w="10923"/>
          </w:cols>
          <w:pgMar w:left="637" w:top="1370" w:right="339" w:bottom="1440" w:gutter="0" w:footer="0" w:header="0"/>
        </w:sectPr>
      </w:pPr>
    </w:p>
    <w:bookmarkStart w:id="101" w:name="page102"/>
    <w:bookmarkEnd w:id="101"/>
    <w:p>
      <w:pPr>
        <w:ind w:left="323"/>
        <w:spacing w:after="0"/>
        <w:rPr>
          <w:sz w:val="20"/>
          <w:szCs w:val="20"/>
          <w:color w:val="auto"/>
        </w:rPr>
      </w:pPr>
      <w:r>
        <w:rPr>
          <w:rFonts w:ascii="Arial" w:cs="Arial" w:eastAsia="Arial" w:hAnsi="Arial"/>
          <w:sz w:val="21"/>
          <w:szCs w:val="21"/>
          <w:color w:val="auto"/>
        </w:rPr>
        <w:t>income recognition under Section 409A in connection with this Award of Shares of Restricted Stock.</w:t>
      </w:r>
    </w:p>
    <w:p>
      <w:pPr>
        <w:spacing w:after="0" w:line="11" w:lineRule="exact"/>
        <w:rPr>
          <w:sz w:val="20"/>
          <w:szCs w:val="20"/>
          <w:color w:val="auto"/>
        </w:rPr>
      </w:pPr>
    </w:p>
    <w:p>
      <w:pPr>
        <w:jc w:val="both"/>
        <w:ind w:left="323" w:hanging="323"/>
        <w:spacing w:after="0" w:line="257" w:lineRule="auto"/>
        <w:tabs>
          <w:tab w:leader="none" w:pos="323"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Governing Law; Venue; Severability</w:t>
      </w:r>
      <w:r>
        <w:rPr>
          <w:rFonts w:ascii="Arial" w:cs="Arial" w:eastAsia="Arial" w:hAnsi="Arial"/>
          <w:sz w:val="19"/>
          <w:szCs w:val="19"/>
          <w:color w:val="auto"/>
        </w:rPr>
        <w:t>. This Award Agreement and the Shares of Restricted Stock are governed by the internal substantive laws, but not the choice of law rules, of California. For purposes of litigating any dispute that arises under this Restricted Stock Award or this Award Agreement, the parties hereby submit to and consent to the jurisdiction of the State of California, and agree that such litigation will be conducted in the courts of San Francisco County, California, or the United States federal courts for the Northern District of California, and no other courts, where this Award Agreement is made and/or to be performed. In the event that any provision hereof becomes or is declared by a court of competent jurisdiction to be illegal, unenforceable or void, this Award Agreement shall continue in full force and effect.</w:t>
      </w:r>
    </w:p>
    <w:p>
      <w:pPr>
        <w:spacing w:after="0" w:line="5" w:lineRule="exact"/>
        <w:rPr>
          <w:rFonts w:ascii="Arial" w:cs="Arial" w:eastAsia="Arial" w:hAnsi="Arial"/>
          <w:sz w:val="19"/>
          <w:szCs w:val="19"/>
          <w:color w:val="auto"/>
        </w:rPr>
      </w:pPr>
    </w:p>
    <w:p>
      <w:pPr>
        <w:jc w:val="both"/>
        <w:ind w:left="323" w:hanging="323"/>
        <w:spacing w:after="0" w:line="233" w:lineRule="auto"/>
        <w:tabs>
          <w:tab w:leader="none" w:pos="323"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 w:lineRule="exact"/>
        <w:rPr>
          <w:rFonts w:ascii="Arial" w:cs="Arial" w:eastAsia="Arial" w:hAnsi="Arial"/>
          <w:sz w:val="21"/>
          <w:szCs w:val="21"/>
          <w:color w:val="auto"/>
        </w:rPr>
      </w:pPr>
    </w:p>
    <w:p>
      <w:pPr>
        <w:jc w:val="both"/>
        <w:ind w:left="323" w:hanging="323"/>
        <w:spacing w:after="0" w:line="249" w:lineRule="auto"/>
        <w:tabs>
          <w:tab w:leader="none" w:pos="323"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Country Addendum</w:t>
      </w:r>
      <w:r>
        <w:rPr>
          <w:rFonts w:ascii="Arial" w:cs="Arial" w:eastAsia="Arial" w:hAnsi="Arial"/>
          <w:sz w:val="20"/>
          <w:szCs w:val="20"/>
          <w:color w:val="auto"/>
        </w:rPr>
        <w:t xml:space="preserve">. The Restricted Stock grant shall be subject to any additional terms and conditions set forth in the Country Addendum for Participant’s country,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Moreover, if Participant relocates to one of the countries included in the Country Addendum, if any, the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97" w:lineRule="exact"/>
        <w:rPr>
          <w:rFonts w:ascii="Arial" w:cs="Arial" w:eastAsia="Arial" w:hAnsi="Arial"/>
          <w:sz w:val="20"/>
          <w:szCs w:val="20"/>
          <w:color w:val="auto"/>
        </w:rPr>
      </w:pPr>
    </w:p>
    <w:p>
      <w:pPr>
        <w:ind w:left="5103"/>
        <w:spacing w:after="0"/>
        <w:rPr>
          <w:rFonts w:ascii="Arial" w:cs="Arial" w:eastAsia="Arial" w:hAnsi="Arial"/>
          <w:sz w:val="20"/>
          <w:szCs w:val="20"/>
          <w:color w:val="auto"/>
        </w:rPr>
      </w:pPr>
      <w:r>
        <w:rPr>
          <w:rFonts w:ascii="Arial" w:cs="Arial" w:eastAsia="Arial" w:hAnsi="Arial"/>
          <w:sz w:val="21"/>
          <w:szCs w:val="21"/>
          <w:color w:val="auto"/>
        </w:rPr>
        <w:t>* * *</w:t>
      </w:r>
    </w:p>
    <w:p>
      <w:pPr>
        <w:sectPr>
          <w:pgSz w:w="11900" w:h="16838" w:orient="portrait"/>
          <w:cols w:equalWidth="0" w:num="1">
            <w:col w:w="10923"/>
          </w:cols>
          <w:pgMar w:left="637" w:top="1370"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EXHIBIT B</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VESTING TERMS</w:t>
      </w:r>
    </w:p>
    <w:p>
      <w:pPr>
        <w:ind w:left="640" w:hanging="323"/>
        <w:spacing w:after="0" w:line="233" w:lineRule="auto"/>
        <w:tabs>
          <w:tab w:leader="none" w:pos="640"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Market-Based Condition</w:t>
      </w:r>
      <w:r>
        <w:rPr>
          <w:rFonts w:ascii="Arial" w:cs="Arial" w:eastAsia="Arial" w:hAnsi="Arial"/>
          <w:sz w:val="21"/>
          <w:szCs w:val="21"/>
          <w:color w:val="auto"/>
        </w:rPr>
        <w:t>. The Target Number of Shares of Restricted Stock (the “Target Shares”) shall be allocated into three separate tranches (each, a “Grant Tranche”) as follows:</w:t>
      </w:r>
    </w:p>
    <w:p>
      <w:pPr>
        <w:ind w:left="1260" w:hanging="427"/>
        <w:spacing w:after="0" w:line="204" w:lineRule="auto"/>
        <w:tabs>
          <w:tab w:leader="none" w:pos="1260" w:val="left"/>
        </w:tabs>
        <w:numPr>
          <w:ilvl w:val="1"/>
          <w:numId w:val="49"/>
        </w:numPr>
        <w:rPr>
          <w:rFonts w:ascii="Arial" w:cs="Arial" w:eastAsia="Arial" w:hAnsi="Arial"/>
          <w:sz w:val="21"/>
          <w:szCs w:val="21"/>
          <w:color w:val="auto"/>
        </w:rPr>
      </w:pPr>
      <w:r>
        <w:rPr>
          <w:rFonts w:ascii="Arial" w:cs="Arial" w:eastAsia="Arial" w:hAnsi="Arial"/>
          <w:sz w:val="21"/>
          <w:szCs w:val="21"/>
          <w:color w:val="auto"/>
        </w:rPr>
        <w:t>1/3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of the Target Number of Shares of Restricted Stock will be allocated to the First Measurement Period (the “First Grant Tranche”);</w:t>
      </w:r>
    </w:p>
    <w:p>
      <w:pPr>
        <w:ind w:left="1260" w:hanging="485"/>
        <w:spacing w:after="0" w:line="204" w:lineRule="auto"/>
        <w:tabs>
          <w:tab w:leader="none" w:pos="1260" w:val="left"/>
        </w:tabs>
        <w:numPr>
          <w:ilvl w:val="1"/>
          <w:numId w:val="49"/>
        </w:numPr>
        <w:rPr>
          <w:rFonts w:ascii="Arial" w:cs="Arial" w:eastAsia="Arial" w:hAnsi="Arial"/>
          <w:sz w:val="21"/>
          <w:szCs w:val="21"/>
          <w:color w:val="auto"/>
        </w:rPr>
      </w:pPr>
      <w:r>
        <w:rPr>
          <w:rFonts w:ascii="Arial" w:cs="Arial" w:eastAsia="Arial" w:hAnsi="Arial"/>
          <w:sz w:val="21"/>
          <w:szCs w:val="21"/>
          <w:color w:val="auto"/>
        </w:rPr>
        <w:t>1/3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of the Target Number of Shares of Restricted Stock will be allocated to the Second Measurement Period (the “Second Grant Tranche”); and</w:t>
      </w:r>
    </w:p>
    <w:p>
      <w:pPr>
        <w:ind w:left="1260" w:hanging="543"/>
        <w:spacing w:after="0" w:line="195" w:lineRule="auto"/>
        <w:tabs>
          <w:tab w:leader="none" w:pos="1260" w:val="left"/>
        </w:tabs>
        <w:numPr>
          <w:ilvl w:val="1"/>
          <w:numId w:val="49"/>
        </w:numPr>
        <w:rPr>
          <w:rFonts w:ascii="Arial" w:cs="Arial" w:eastAsia="Arial" w:hAnsi="Arial"/>
          <w:sz w:val="19"/>
          <w:szCs w:val="19"/>
          <w:color w:val="auto"/>
        </w:rPr>
      </w:pPr>
      <w:r>
        <w:rPr>
          <w:rFonts w:ascii="Arial" w:cs="Arial" w:eastAsia="Arial" w:hAnsi="Arial"/>
          <w:sz w:val="19"/>
          <w:szCs w:val="19"/>
          <w:color w:val="auto"/>
        </w:rPr>
        <w:t>1/3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of the Target Number of Shares of Restricted Stock will be allocated to the Third Measurement Period (the “Third</w:t>
      </w:r>
    </w:p>
    <w:p>
      <w:pPr>
        <w:ind w:left="1260"/>
        <w:spacing w:after="0" w:line="234" w:lineRule="auto"/>
        <w:rPr>
          <w:sz w:val="20"/>
          <w:szCs w:val="20"/>
          <w:color w:val="auto"/>
        </w:rPr>
      </w:pPr>
      <w:r>
        <w:rPr>
          <w:rFonts w:ascii="Arial" w:cs="Arial" w:eastAsia="Arial" w:hAnsi="Arial"/>
          <w:sz w:val="21"/>
          <w:szCs w:val="21"/>
          <w:color w:val="auto"/>
        </w:rPr>
        <w:t>Grant Tranche”).</w:t>
      </w:r>
    </w:p>
    <w:p>
      <w:pPr>
        <w:jc w:val="both"/>
        <w:ind w:firstLine="626"/>
        <w:spacing w:after="0" w:line="233" w:lineRule="auto"/>
        <w:rPr>
          <w:sz w:val="20"/>
          <w:szCs w:val="20"/>
          <w:color w:val="auto"/>
        </w:rPr>
      </w:pPr>
      <w:r>
        <w:rPr>
          <w:rFonts w:ascii="Arial" w:cs="Arial" w:eastAsia="Arial" w:hAnsi="Arial"/>
          <w:sz w:val="21"/>
          <w:szCs w:val="21"/>
          <w:color w:val="auto"/>
        </w:rPr>
        <w:t>If the Target Shares are not evenly divisible into the three Grant Tranches, then any fractional number of Target Shares that would otherwise be allocated to a Grant Tranche shall be allocated to the next Grant Tranche, until the fractional number of Target Shares sum to a whole Target Share.</w:t>
      </w:r>
    </w:p>
    <w:p>
      <w:pPr>
        <w:spacing w:after="0" w:line="1" w:lineRule="exact"/>
        <w:rPr>
          <w:sz w:val="20"/>
          <w:szCs w:val="20"/>
          <w:color w:val="auto"/>
        </w:rPr>
      </w:pPr>
    </w:p>
    <w:p>
      <w:pPr>
        <w:jc w:val="both"/>
        <w:ind w:firstLine="626"/>
        <w:spacing w:after="0" w:line="235" w:lineRule="exact"/>
        <w:rPr>
          <w:sz w:val="20"/>
          <w:szCs w:val="20"/>
          <w:color w:val="auto"/>
        </w:rPr>
      </w:pPr>
      <w:r>
        <w:rPr>
          <w:rFonts w:ascii="Arial" w:cs="Arial" w:eastAsia="Arial" w:hAnsi="Arial"/>
          <w:sz w:val="21"/>
          <w:szCs w:val="21"/>
          <w:color w:val="auto"/>
        </w:rPr>
        <w:t>The actual number of Shares subject to each Grant Tranche that will vest will be determined based upon the achievement of Company Stock Price Target(s) during the applicable Measurement Period and the satisfaction of the applicable service</w:t>
      </w:r>
      <w:r>
        <w:rPr>
          <w:rFonts w:ascii="MS PGothic" w:cs="MS PGothic" w:eastAsia="MS PGothic" w:hAnsi="MS PGothic"/>
          <w:sz w:val="21"/>
          <w:szCs w:val="21"/>
          <w:color w:val="auto"/>
        </w:rPr>
        <w:t>‑</w:t>
      </w:r>
      <w:r>
        <w:rPr>
          <w:rFonts w:ascii="Arial" w:cs="Arial" w:eastAsia="Arial" w:hAnsi="Arial"/>
          <w:sz w:val="21"/>
          <w:szCs w:val="21"/>
          <w:color w:val="auto"/>
        </w:rPr>
        <w:t xml:space="preserve">based vesting conditions, all in accordance with this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 w:lineRule="exact"/>
        <w:rPr>
          <w:sz w:val="20"/>
          <w:szCs w:val="20"/>
          <w:color w:val="auto"/>
        </w:rPr>
      </w:pPr>
    </w:p>
    <w:p>
      <w:pPr>
        <w:jc w:val="both"/>
        <w:ind w:left="640" w:hanging="323"/>
        <w:spacing w:after="0" w:line="247" w:lineRule="auto"/>
        <w:tabs>
          <w:tab w:leader="none" w:pos="64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Company Stock Price</w:t>
      </w:r>
      <w:r>
        <w:rPr>
          <w:rFonts w:ascii="Arial" w:cs="Arial" w:eastAsia="Arial" w:hAnsi="Arial"/>
          <w:sz w:val="20"/>
          <w:szCs w:val="20"/>
          <w:color w:val="auto"/>
        </w:rPr>
        <w:t xml:space="preserve">. Except as set forth in Sections 3 through 5 of this </w:t>
      </w:r>
      <w:r>
        <w:rPr>
          <w:rFonts w:ascii="Arial" w:cs="Arial" w:eastAsia="Arial" w:hAnsi="Arial"/>
          <w:sz w:val="20"/>
          <w:szCs w:val="20"/>
          <w:u w:val="single" w:color="auto"/>
          <w:color w:val="auto"/>
        </w:rPr>
        <w:t>Exhibit B</w:t>
      </w:r>
      <w:r>
        <w:rPr>
          <w:rFonts w:ascii="Arial" w:cs="Arial" w:eastAsia="Arial" w:hAnsi="Arial"/>
          <w:sz w:val="20"/>
          <w:szCs w:val="20"/>
          <w:color w:val="auto"/>
        </w:rPr>
        <w:t>, on each trading day that a Company Stock Price Target in the table below (the “Table”) is achieved during a Measurement Period (each, an “Achievement Date”), a number of Shares subject to the Grant Tranche for that Measurement Period will become eligible to vest (such Shares, the “Eligible Shares”) equal to (a) the product of (x) the Target Shares allocated to that Grant Tranche multiplied by (y) the percentage indicated in the “Multiplier” column of the Table that corresponds to such Company Stock Price Target that was achieved (rounded to the nearest whole Share), minus (b) the number of Shares subject to the Grant Tranche that already became Eligible Shares upon the achievement of any lower Company Stock Price Target (if any). Such Eligible Shares will vest (a) in full on the applicable Vesting Date subject to Participant satisfying the Service Condition through such date, or (b) to the extent provided under Sections 4 or 5. Except in</w:t>
      </w:r>
    </w:p>
    <w:p>
      <w:pPr>
        <w:sectPr>
          <w:pgSz w:w="11900" w:h="16838" w:orient="portrait"/>
          <w:cols w:equalWidth="0" w:num="1">
            <w:col w:w="11240"/>
          </w:cols>
          <w:pgMar w:left="320" w:top="1440" w:right="339" w:bottom="1440" w:gutter="0" w:footer="0" w:header="0"/>
        </w:sectPr>
      </w:pPr>
    </w:p>
    <w:bookmarkStart w:id="103" w:name="page104"/>
    <w:bookmarkEnd w:id="103"/>
    <w:p>
      <w:pPr>
        <w:jc w:val="both"/>
        <w:ind w:left="10"/>
        <w:spacing w:after="0" w:line="267" w:lineRule="auto"/>
        <w:rPr>
          <w:sz w:val="20"/>
          <w:szCs w:val="20"/>
          <w:color w:val="auto"/>
        </w:rPr>
      </w:pPr>
      <w:r>
        <w:rPr>
          <w:rFonts w:ascii="Arial" w:cs="Arial" w:eastAsia="Arial" w:hAnsi="Arial"/>
          <w:sz w:val="19"/>
          <w:szCs w:val="19"/>
          <w:color w:val="auto"/>
        </w:rPr>
        <w:t>connection with a Change in Control as set forth in Section 5 of this Exhibit B, no partial achievement will occur and no Shares will become Eligible Shares for achievement between two Company Stock Price Targets. For the avoidance of doubt,</w:t>
      </w:r>
    </w:p>
    <w:p>
      <w:pPr>
        <w:spacing w:after="0" w:line="1" w:lineRule="exact"/>
        <w:rPr>
          <w:sz w:val="20"/>
          <w:szCs w:val="20"/>
          <w:color w:val="auto"/>
        </w:rPr>
      </w:pPr>
    </w:p>
    <w:p>
      <w:pPr>
        <w:jc w:val="both"/>
        <w:ind w:left="10" w:hanging="10"/>
        <w:spacing w:after="0" w:line="281" w:lineRule="auto"/>
        <w:tabs>
          <w:tab w:leader="none" w:pos="3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more than one Company Stock Price Target may be achieved on a particular Achievement Date (which will result in the cumulative number of Eligible Shares for the applicable Grant Tranche being equal to the product obtained by multiplying (x) the Target Shares allocated to that Grant Tranche multiplied by (y) the percentage indicated in the “Multiplier” column of the Table that corresponds to the highest Company Stock Price Target that was achieved on such date), and (b) each Company Stock Price Target may only be achieved once during a Measurement Period (such that once any Share subject to the Award has become an Eligible Share, no decrease in the Company Stock Price will cause such Share to cease to be an Eligible Share).</w:t>
      </w:r>
    </w:p>
    <w:p>
      <w:pPr>
        <w:sectPr>
          <w:pgSz w:w="11900" w:h="16838" w:orient="portrait"/>
          <w:cols w:equalWidth="0" w:num="1">
            <w:col w:w="10610"/>
          </w:cols>
          <w:pgMar w:left="950" w:top="1370" w:right="339" w:bottom="144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293"/>
        </w:trPr>
        <w:tc>
          <w:tcPr>
            <w:tcW w:w="4220" w:type="dxa"/>
            <w:vAlign w:val="bottom"/>
            <w:tcBorders>
              <w:top w:val="single" w:sz="8" w:color="auto"/>
              <w:left w:val="single" w:sz="8" w:color="auto"/>
              <w:bottom w:val="single" w:sz="8" w:color="auto"/>
            </w:tcBorders>
            <w:shd w:val="clear" w:color="auto" w:fill="BFBFBF"/>
          </w:tcPr>
          <w:p>
            <w:pPr>
              <w:spacing w:after="0"/>
              <w:rPr>
                <w:sz w:val="24"/>
                <w:szCs w:val="24"/>
                <w:color w:val="auto"/>
              </w:rPr>
            </w:pPr>
          </w:p>
        </w:tc>
        <w:tc>
          <w:tcPr>
            <w:tcW w:w="6580" w:type="dxa"/>
            <w:vAlign w:val="bottom"/>
            <w:tcBorders>
              <w:top w:val="single" w:sz="8" w:color="auto"/>
              <w:bottom w:val="single" w:sz="8" w:color="auto"/>
              <w:right w:val="single" w:sz="8" w:color="auto"/>
            </w:tcBorders>
            <w:gridSpan w:val="2"/>
            <w:shd w:val="clear" w:color="auto" w:fill="BFBFBF"/>
          </w:tcPr>
          <w:p>
            <w:pPr>
              <w:jc w:val="center"/>
              <w:ind w:right="4136"/>
              <w:spacing w:after="0"/>
              <w:rPr>
                <w:sz w:val="20"/>
                <w:szCs w:val="20"/>
                <w:color w:val="auto"/>
              </w:rPr>
            </w:pPr>
            <w:r>
              <w:rPr>
                <w:rFonts w:ascii="Arial" w:cs="Arial" w:eastAsia="Arial" w:hAnsi="Arial"/>
                <w:sz w:val="21"/>
                <w:szCs w:val="21"/>
                <w:b w:val="1"/>
                <w:bCs w:val="1"/>
                <w:color w:val="auto"/>
                <w:w w:val="93"/>
              </w:rPr>
              <w:t>First Grant Tranche</w:t>
            </w:r>
          </w:p>
        </w:tc>
      </w:tr>
      <w:tr>
        <w:trPr>
          <w:trHeight w:val="280"/>
        </w:trPr>
        <w:tc>
          <w:tcPr>
            <w:tcW w:w="4220" w:type="dxa"/>
            <w:vAlign w:val="bottom"/>
            <w:tcBorders>
              <w:left w:val="single" w:sz="8" w:color="auto"/>
              <w:bottom w:val="single" w:sz="8" w:color="auto"/>
            </w:tcBorders>
            <w:shd w:val="clear" w:color="auto" w:fill="F2F2F2"/>
          </w:tcPr>
          <w:p>
            <w:pPr>
              <w:jc w:val="center"/>
              <w:ind w:left="1076"/>
              <w:spacing w:after="0"/>
              <w:rPr>
                <w:sz w:val="20"/>
                <w:szCs w:val="20"/>
                <w:color w:val="auto"/>
              </w:rPr>
            </w:pPr>
            <w:r>
              <w:rPr>
                <w:rFonts w:ascii="Arial" w:cs="Arial" w:eastAsia="Arial" w:hAnsi="Arial"/>
                <w:sz w:val="21"/>
                <w:szCs w:val="21"/>
                <w:b w:val="1"/>
                <w:bCs w:val="1"/>
                <w:color w:val="auto"/>
                <w:w w:val="91"/>
              </w:rPr>
              <w:t>Company Stock Price Target*</w:t>
            </w:r>
          </w:p>
        </w:tc>
        <w:tc>
          <w:tcPr>
            <w:tcW w:w="1180" w:type="dxa"/>
            <w:vAlign w:val="bottom"/>
            <w:tcBorders>
              <w:bottom w:val="single" w:sz="8" w:color="auto"/>
              <w:right w:val="single" w:sz="8" w:color="auto"/>
            </w:tcBorders>
            <w:shd w:val="clear" w:color="auto" w:fill="F2F2F2"/>
          </w:tcPr>
          <w:p>
            <w:pPr>
              <w:spacing w:after="0"/>
              <w:rPr>
                <w:sz w:val="24"/>
                <w:szCs w:val="24"/>
                <w:color w:val="auto"/>
              </w:rPr>
            </w:pPr>
          </w:p>
        </w:tc>
        <w:tc>
          <w:tcPr>
            <w:tcW w:w="5400" w:type="dxa"/>
            <w:vAlign w:val="bottom"/>
            <w:tcBorders>
              <w:bottom w:val="single" w:sz="8" w:color="auto"/>
              <w:right w:val="single" w:sz="8" w:color="auto"/>
            </w:tcBorders>
            <w:shd w:val="clear" w:color="auto" w:fill="F2F2F2"/>
          </w:tcPr>
          <w:p>
            <w:pPr>
              <w:ind w:left="2240"/>
              <w:spacing w:after="0"/>
              <w:rPr>
                <w:sz w:val="20"/>
                <w:szCs w:val="20"/>
                <w:color w:val="auto"/>
              </w:rPr>
            </w:pPr>
            <w:r>
              <w:rPr>
                <w:rFonts w:ascii="Arial" w:cs="Arial" w:eastAsia="Arial" w:hAnsi="Arial"/>
                <w:sz w:val="21"/>
                <w:szCs w:val="21"/>
                <w:b w:val="1"/>
                <w:bCs w:val="1"/>
                <w:color w:val="auto"/>
              </w:rPr>
              <w:t>Multiplier</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88"/>
              </w:rPr>
              <w:t>Less than $10.00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$10.00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25%</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$15.00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50%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$20.00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100%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$25.00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150%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$30.00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200%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$35.00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250%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$40.00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300%</w:t>
            </w:r>
          </w:p>
        </w:tc>
      </w:tr>
      <w:tr>
        <w:trPr>
          <w:trHeight w:val="280"/>
        </w:trPr>
        <w:tc>
          <w:tcPr>
            <w:tcW w:w="4220" w:type="dxa"/>
            <w:vAlign w:val="bottom"/>
            <w:tcBorders>
              <w:left w:val="single" w:sz="8" w:color="auto"/>
              <w:bottom w:val="single" w:sz="8" w:color="auto"/>
            </w:tcBorders>
            <w:shd w:val="clear" w:color="auto" w:fill="BFBFBF"/>
          </w:tcPr>
          <w:p>
            <w:pPr>
              <w:spacing w:after="0"/>
              <w:rPr>
                <w:sz w:val="24"/>
                <w:szCs w:val="24"/>
                <w:color w:val="auto"/>
              </w:rPr>
            </w:pPr>
          </w:p>
        </w:tc>
        <w:tc>
          <w:tcPr>
            <w:tcW w:w="6580" w:type="dxa"/>
            <w:vAlign w:val="bottom"/>
            <w:tcBorders>
              <w:bottom w:val="single" w:sz="8" w:color="auto"/>
              <w:right w:val="single" w:sz="8" w:color="auto"/>
            </w:tcBorders>
            <w:gridSpan w:val="2"/>
            <w:shd w:val="clear" w:color="auto" w:fill="BFBFBF"/>
          </w:tcPr>
          <w:p>
            <w:pPr>
              <w:jc w:val="center"/>
              <w:ind w:right="4136"/>
              <w:spacing w:after="0"/>
              <w:rPr>
                <w:sz w:val="20"/>
                <w:szCs w:val="20"/>
                <w:color w:val="auto"/>
              </w:rPr>
            </w:pPr>
            <w:r>
              <w:rPr>
                <w:rFonts w:ascii="Arial" w:cs="Arial" w:eastAsia="Arial" w:hAnsi="Arial"/>
                <w:sz w:val="21"/>
                <w:szCs w:val="21"/>
                <w:b w:val="1"/>
                <w:bCs w:val="1"/>
                <w:color w:val="auto"/>
                <w:w w:val="89"/>
              </w:rPr>
              <w:t>Second Grant Tranche</w:t>
            </w:r>
          </w:p>
        </w:tc>
      </w:tr>
      <w:tr>
        <w:trPr>
          <w:trHeight w:val="280"/>
        </w:trPr>
        <w:tc>
          <w:tcPr>
            <w:tcW w:w="4220" w:type="dxa"/>
            <w:vAlign w:val="bottom"/>
            <w:tcBorders>
              <w:left w:val="single" w:sz="8" w:color="auto"/>
              <w:bottom w:val="single" w:sz="8" w:color="auto"/>
            </w:tcBorders>
            <w:shd w:val="clear" w:color="auto" w:fill="F2F2F2"/>
          </w:tcPr>
          <w:p>
            <w:pPr>
              <w:jc w:val="center"/>
              <w:ind w:left="1076"/>
              <w:spacing w:after="0"/>
              <w:rPr>
                <w:sz w:val="20"/>
                <w:szCs w:val="20"/>
                <w:color w:val="auto"/>
              </w:rPr>
            </w:pPr>
            <w:r>
              <w:rPr>
                <w:rFonts w:ascii="Arial" w:cs="Arial" w:eastAsia="Arial" w:hAnsi="Arial"/>
                <w:sz w:val="21"/>
                <w:szCs w:val="21"/>
                <w:b w:val="1"/>
                <w:bCs w:val="1"/>
                <w:color w:val="auto"/>
                <w:w w:val="91"/>
              </w:rPr>
              <w:t>Company Stock Price Target*</w:t>
            </w:r>
          </w:p>
        </w:tc>
        <w:tc>
          <w:tcPr>
            <w:tcW w:w="1180" w:type="dxa"/>
            <w:vAlign w:val="bottom"/>
            <w:tcBorders>
              <w:bottom w:val="single" w:sz="8" w:color="auto"/>
              <w:right w:val="single" w:sz="8" w:color="auto"/>
            </w:tcBorders>
            <w:shd w:val="clear" w:color="auto" w:fill="F2F2F2"/>
          </w:tcPr>
          <w:p>
            <w:pPr>
              <w:spacing w:after="0"/>
              <w:rPr>
                <w:sz w:val="24"/>
                <w:szCs w:val="24"/>
                <w:color w:val="auto"/>
              </w:rPr>
            </w:pPr>
          </w:p>
        </w:tc>
        <w:tc>
          <w:tcPr>
            <w:tcW w:w="5400" w:type="dxa"/>
            <w:vAlign w:val="bottom"/>
            <w:tcBorders>
              <w:bottom w:val="single" w:sz="8" w:color="auto"/>
              <w:right w:val="single" w:sz="8" w:color="auto"/>
            </w:tcBorders>
            <w:shd w:val="clear" w:color="auto" w:fill="F2F2F2"/>
          </w:tcPr>
          <w:p>
            <w:pPr>
              <w:ind w:left="2240"/>
              <w:spacing w:after="0"/>
              <w:rPr>
                <w:sz w:val="20"/>
                <w:szCs w:val="20"/>
                <w:color w:val="auto"/>
              </w:rPr>
            </w:pPr>
            <w:r>
              <w:rPr>
                <w:rFonts w:ascii="Arial" w:cs="Arial" w:eastAsia="Arial" w:hAnsi="Arial"/>
                <w:sz w:val="21"/>
                <w:szCs w:val="21"/>
                <w:b w:val="1"/>
                <w:bCs w:val="1"/>
                <w:color w:val="auto"/>
              </w:rPr>
              <w:t>Multiplier</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88"/>
              </w:rPr>
              <w:t>Less than $10.00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$10.00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25%</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$15.00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50%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$21.50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100%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$25.00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150%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$30.00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200%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$35.00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250%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$40.00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300%</w:t>
            </w:r>
          </w:p>
        </w:tc>
      </w:tr>
      <w:tr>
        <w:trPr>
          <w:trHeight w:val="280"/>
        </w:trPr>
        <w:tc>
          <w:tcPr>
            <w:tcW w:w="4220" w:type="dxa"/>
            <w:vAlign w:val="bottom"/>
            <w:tcBorders>
              <w:left w:val="single" w:sz="8" w:color="auto"/>
              <w:bottom w:val="single" w:sz="8" w:color="auto"/>
            </w:tcBorders>
            <w:shd w:val="clear" w:color="auto" w:fill="BFBFBF"/>
          </w:tcPr>
          <w:p>
            <w:pPr>
              <w:spacing w:after="0"/>
              <w:rPr>
                <w:sz w:val="24"/>
                <w:szCs w:val="24"/>
                <w:color w:val="auto"/>
              </w:rPr>
            </w:pPr>
          </w:p>
        </w:tc>
        <w:tc>
          <w:tcPr>
            <w:tcW w:w="6580" w:type="dxa"/>
            <w:vAlign w:val="bottom"/>
            <w:tcBorders>
              <w:bottom w:val="single" w:sz="8" w:color="auto"/>
              <w:right w:val="single" w:sz="8" w:color="auto"/>
            </w:tcBorders>
            <w:gridSpan w:val="2"/>
            <w:shd w:val="clear" w:color="auto" w:fill="BFBFBF"/>
          </w:tcPr>
          <w:p>
            <w:pPr>
              <w:jc w:val="center"/>
              <w:ind w:right="4116"/>
              <w:spacing w:after="0"/>
              <w:rPr>
                <w:sz w:val="20"/>
                <w:szCs w:val="20"/>
                <w:color w:val="auto"/>
              </w:rPr>
            </w:pPr>
            <w:r>
              <w:rPr>
                <w:rFonts w:ascii="Arial" w:cs="Arial" w:eastAsia="Arial" w:hAnsi="Arial"/>
                <w:sz w:val="21"/>
                <w:szCs w:val="21"/>
                <w:b w:val="1"/>
                <w:bCs w:val="1"/>
                <w:color w:val="auto"/>
                <w:w w:val="95"/>
              </w:rPr>
              <w:t>Third Grant Tranche</w:t>
            </w:r>
          </w:p>
        </w:tc>
      </w:tr>
      <w:tr>
        <w:trPr>
          <w:trHeight w:val="280"/>
        </w:trPr>
        <w:tc>
          <w:tcPr>
            <w:tcW w:w="4220" w:type="dxa"/>
            <w:vAlign w:val="bottom"/>
            <w:tcBorders>
              <w:left w:val="single" w:sz="8" w:color="auto"/>
              <w:bottom w:val="single" w:sz="8" w:color="auto"/>
            </w:tcBorders>
            <w:shd w:val="clear" w:color="auto" w:fill="F2F2F2"/>
          </w:tcPr>
          <w:p>
            <w:pPr>
              <w:jc w:val="center"/>
              <w:ind w:left="1076"/>
              <w:spacing w:after="0"/>
              <w:rPr>
                <w:sz w:val="20"/>
                <w:szCs w:val="20"/>
                <w:color w:val="auto"/>
              </w:rPr>
            </w:pPr>
            <w:r>
              <w:rPr>
                <w:rFonts w:ascii="Arial" w:cs="Arial" w:eastAsia="Arial" w:hAnsi="Arial"/>
                <w:sz w:val="21"/>
                <w:szCs w:val="21"/>
                <w:b w:val="1"/>
                <w:bCs w:val="1"/>
                <w:color w:val="auto"/>
                <w:w w:val="91"/>
              </w:rPr>
              <w:t>Company Stock Price Target*</w:t>
            </w:r>
          </w:p>
        </w:tc>
        <w:tc>
          <w:tcPr>
            <w:tcW w:w="1180" w:type="dxa"/>
            <w:vAlign w:val="bottom"/>
            <w:tcBorders>
              <w:bottom w:val="single" w:sz="8" w:color="auto"/>
              <w:right w:val="single" w:sz="8" w:color="auto"/>
            </w:tcBorders>
            <w:shd w:val="clear" w:color="auto" w:fill="F2F2F2"/>
          </w:tcPr>
          <w:p>
            <w:pPr>
              <w:spacing w:after="0"/>
              <w:rPr>
                <w:sz w:val="24"/>
                <w:szCs w:val="24"/>
                <w:color w:val="auto"/>
              </w:rPr>
            </w:pPr>
          </w:p>
        </w:tc>
        <w:tc>
          <w:tcPr>
            <w:tcW w:w="5400" w:type="dxa"/>
            <w:vAlign w:val="bottom"/>
            <w:tcBorders>
              <w:bottom w:val="single" w:sz="8" w:color="auto"/>
              <w:right w:val="single" w:sz="8" w:color="auto"/>
            </w:tcBorders>
            <w:shd w:val="clear" w:color="auto" w:fill="F2F2F2"/>
          </w:tcPr>
          <w:p>
            <w:pPr>
              <w:ind w:left="2240"/>
              <w:spacing w:after="0"/>
              <w:rPr>
                <w:sz w:val="20"/>
                <w:szCs w:val="20"/>
                <w:color w:val="auto"/>
              </w:rPr>
            </w:pPr>
            <w:r>
              <w:rPr>
                <w:rFonts w:ascii="Arial" w:cs="Arial" w:eastAsia="Arial" w:hAnsi="Arial"/>
                <w:sz w:val="21"/>
                <w:szCs w:val="21"/>
                <w:b w:val="1"/>
                <w:bCs w:val="1"/>
                <w:color w:val="auto"/>
              </w:rPr>
              <w:t>Multiplier</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88"/>
              </w:rPr>
              <w:t>Less than $10.00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$10.00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25%</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$15.00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50%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$23.50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100%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$25.00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150%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$30.00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200%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$35.00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250%</w:t>
            </w:r>
          </w:p>
        </w:tc>
      </w:tr>
      <w:tr>
        <w:trPr>
          <w:trHeight w:val="280"/>
        </w:trPr>
        <w:tc>
          <w:tcPr>
            <w:tcW w:w="4220" w:type="dxa"/>
            <w:vAlign w:val="bottom"/>
            <w:tcBorders>
              <w:left w:val="single" w:sz="8" w:color="auto"/>
              <w:bottom w:val="single" w:sz="8" w:color="auto"/>
            </w:tcBorders>
          </w:tcPr>
          <w:p>
            <w:pPr>
              <w:jc w:val="center"/>
              <w:ind w:left="1096"/>
              <w:spacing w:after="0"/>
              <w:rPr>
                <w:sz w:val="20"/>
                <w:szCs w:val="20"/>
                <w:color w:val="auto"/>
              </w:rPr>
            </w:pPr>
            <w:r>
              <w:rPr>
                <w:rFonts w:ascii="Arial" w:cs="Arial" w:eastAsia="Arial" w:hAnsi="Arial"/>
                <w:sz w:val="21"/>
                <w:szCs w:val="21"/>
                <w:color w:val="auto"/>
                <w:w w:val="90"/>
              </w:rPr>
              <w:t>$40.00</w:t>
            </w:r>
          </w:p>
        </w:tc>
        <w:tc>
          <w:tcPr>
            <w:tcW w:w="118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300%</w:t>
            </w:r>
          </w:p>
        </w:tc>
      </w:tr>
    </w:tbl>
    <w:p>
      <w:pPr>
        <w:spacing w:after="0" w:line="213" w:lineRule="exact"/>
        <w:rPr>
          <w:sz w:val="20"/>
          <w:szCs w:val="20"/>
          <w:color w:val="auto"/>
        </w:rPr>
      </w:pPr>
    </w:p>
    <w:p>
      <w:pPr>
        <w:jc w:val="both"/>
        <w:ind w:firstLine="630"/>
        <w:spacing w:after="0" w:line="238" w:lineRule="exact"/>
        <w:tabs>
          <w:tab w:leader="none" w:pos="782" w:val="left"/>
        </w:tabs>
        <w:numPr>
          <w:ilvl w:val="0"/>
          <w:numId w:val="52"/>
        </w:numPr>
        <w:rPr>
          <w:rFonts w:ascii="Arial" w:cs="Arial" w:eastAsia="Arial" w:hAnsi="Arial"/>
          <w:sz w:val="20"/>
          <w:szCs w:val="20"/>
          <w:color w:val="auto"/>
        </w:rPr>
      </w:pPr>
      <w:r>
        <w:rPr>
          <w:rFonts w:ascii="Arial" w:cs="Arial" w:eastAsia="Arial" w:hAnsi="Arial"/>
          <w:sz w:val="20"/>
          <w:szCs w:val="20"/>
          <w:color w:val="auto"/>
        </w:rPr>
        <w:t>In order to prevent diminution or enlargement of the benefits or potential benefits intended to be made available under this Award Agreement, the Administrator shall make appropriate adjustments to the Company Stock Price Targets to reflect any dividend or other distribution (whether in the form of cash, Shares, other securities, or other property), recapitalization, stock split, reverse stock split, reorganization, merger, consolidation, split</w:t>
      </w:r>
      <w:r>
        <w:rPr>
          <w:rFonts w:ascii="MS PGothic" w:cs="MS PGothic" w:eastAsia="MS PGothic" w:hAnsi="MS PGothic"/>
          <w:sz w:val="20"/>
          <w:szCs w:val="20"/>
          <w:color w:val="auto"/>
        </w:rPr>
        <w:t>‑</w:t>
      </w:r>
      <w:r>
        <w:rPr>
          <w:rFonts w:ascii="Arial" w:cs="Arial" w:eastAsia="Arial" w:hAnsi="Arial"/>
          <w:sz w:val="20"/>
          <w:szCs w:val="20"/>
          <w:color w:val="auto"/>
        </w:rPr>
        <w:t>up, spin-off, combination, repurchase, or exchange of Shares or other securities of the Company, or other change in the corporate structure of the Company affecting the Shares.</w:t>
      </w:r>
    </w:p>
    <w:p>
      <w:pPr>
        <w:spacing w:after="0" w:line="3" w:lineRule="exact"/>
        <w:rPr>
          <w:rFonts w:ascii="Arial" w:cs="Arial" w:eastAsia="Arial" w:hAnsi="Arial"/>
          <w:sz w:val="20"/>
          <w:szCs w:val="20"/>
          <w:color w:val="auto"/>
        </w:rPr>
      </w:pPr>
    </w:p>
    <w:p>
      <w:pPr>
        <w:jc w:val="both"/>
        <w:ind w:firstLine="626"/>
        <w:spacing w:after="0" w:line="235" w:lineRule="auto"/>
        <w:rPr>
          <w:rFonts w:ascii="Arial" w:cs="Arial" w:eastAsia="Arial" w:hAnsi="Arial"/>
          <w:sz w:val="20"/>
          <w:szCs w:val="20"/>
          <w:color w:val="auto"/>
        </w:rPr>
      </w:pPr>
      <w:r>
        <w:rPr>
          <w:rFonts w:ascii="Arial" w:cs="Arial" w:eastAsia="Arial" w:hAnsi="Arial"/>
          <w:sz w:val="21"/>
          <w:szCs w:val="21"/>
          <w:color w:val="auto"/>
        </w:rPr>
        <w:t>For example, assume (i) the Company Stock Price as of February 15, 2021 is $10.10 and (ii) the Company Stock Price as of April 15, 2021 is $17.50. February 15, 2021 would be the first Achievement Date, which would result in 25% of the First Grant Tranche Target Shares becoming Eligible Shares. April 15, 2021 would be an Achievement Date that results in an additional 25% of the First Grant Tranche Target Shares becoming Eligible Shares (equal to (x) the 50% of the First Grant Tranche Target Shares that corresponds to the $15.00 Company Stock</w:t>
      </w:r>
    </w:p>
    <w:p>
      <w:pPr>
        <w:sectPr>
          <w:pgSz w:w="11900" w:h="16838" w:orient="portrait"/>
          <w:cols w:equalWidth="0" w:num="1">
            <w:col w:w="11240"/>
          </w:cols>
          <w:pgMar w:left="320" w:top="1397" w:right="339" w:bottom="1440" w:gutter="0" w:footer="0" w:header="0"/>
        </w:sectPr>
      </w:pPr>
    </w:p>
    <w:bookmarkStart w:id="105" w:name="page106"/>
    <w:bookmarkEnd w:id="105"/>
    <w:p>
      <w:pPr>
        <w:jc w:val="both"/>
        <w:spacing w:after="0" w:line="239" w:lineRule="auto"/>
        <w:rPr>
          <w:sz w:val="20"/>
          <w:szCs w:val="20"/>
          <w:color w:val="auto"/>
        </w:rPr>
      </w:pPr>
      <w:r>
        <w:rPr>
          <w:rFonts w:ascii="Arial" w:cs="Arial" w:eastAsia="Arial" w:hAnsi="Arial"/>
          <w:sz w:val="21"/>
          <w:szCs w:val="21"/>
          <w:color w:val="auto"/>
        </w:rPr>
        <w:t>Price Target minus (y) the 25% of the First Grant Tranche Target Shares that had previously become Eligible Shares). Such Eligible Shares would vest (a) in full on the Vesting Date of the First Grant Tranche (February 15, 2022) subject to Participant satisfying the Service Condition through such date, or (b) to the extent provided under Sections 4 or 5.</w:t>
      </w:r>
    </w:p>
    <w:p>
      <w:pPr>
        <w:spacing w:after="0" w:line="1" w:lineRule="exact"/>
        <w:rPr>
          <w:sz w:val="20"/>
          <w:szCs w:val="20"/>
          <w:color w:val="auto"/>
        </w:rPr>
      </w:pPr>
    </w:p>
    <w:p>
      <w:pPr>
        <w:jc w:val="both"/>
        <w:ind w:left="640" w:hanging="323"/>
        <w:spacing w:after="0" w:line="257" w:lineRule="auto"/>
        <w:tabs>
          <w:tab w:leader="none" w:pos="64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Service Condition and Forfeiture</w:t>
      </w:r>
      <w:r>
        <w:rPr>
          <w:rFonts w:ascii="Arial" w:cs="Arial" w:eastAsia="Arial" w:hAnsi="Arial"/>
          <w:sz w:val="19"/>
          <w:szCs w:val="19"/>
          <w:color w:val="auto"/>
        </w:rPr>
        <w:t>. Except as otherwise provided in Sections 4 or 5, (a) in order for any Shares hereunder to become Eligible Shares, Participant must have continuously satisfied the Service Condition through the applicable Achievement Date, and (b) in order for any Eligible Shares to vest, Participant must satisfy the Service Condition through the applicable Vesting Date. Upon the end of each Measurement Period, any Shares subject to this Award that may no longer become Eligible Shares due to the failure to achieve the applicable Company Stock Price Target will be immediately forfeited and returned to the Company, and Participant will have no further rights with respect to such Shares.</w:t>
      </w:r>
    </w:p>
    <w:p>
      <w:pPr>
        <w:spacing w:after="0" w:line="4" w:lineRule="exact"/>
        <w:rPr>
          <w:rFonts w:ascii="Arial" w:cs="Arial" w:eastAsia="Arial" w:hAnsi="Arial"/>
          <w:sz w:val="19"/>
          <w:szCs w:val="19"/>
          <w:color w:val="auto"/>
        </w:rPr>
      </w:pPr>
    </w:p>
    <w:p>
      <w:pPr>
        <w:ind w:left="640" w:hanging="323"/>
        <w:spacing w:after="0" w:line="233" w:lineRule="auto"/>
        <w:tabs>
          <w:tab w:leader="none" w:pos="64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Qualified Termination</w:t>
      </w:r>
      <w:r>
        <w:rPr>
          <w:rFonts w:ascii="Arial" w:cs="Arial" w:eastAsia="Arial" w:hAnsi="Arial"/>
          <w:sz w:val="21"/>
          <w:szCs w:val="21"/>
          <w:color w:val="auto"/>
        </w:rPr>
        <w:t>.</w:t>
      </w:r>
    </w:p>
    <w:p>
      <w:pPr>
        <w:jc w:val="both"/>
        <w:ind w:left="1260" w:hanging="317"/>
        <w:spacing w:after="0" w:line="244" w:lineRule="auto"/>
        <w:tabs>
          <w:tab w:leader="none" w:pos="1248" w:val="left"/>
        </w:tabs>
        <w:numPr>
          <w:ilvl w:val="2"/>
          <w:numId w:val="53"/>
        </w:numPr>
        <w:rPr>
          <w:rFonts w:ascii="Arial" w:cs="Arial" w:eastAsia="Arial" w:hAnsi="Arial"/>
          <w:sz w:val="20"/>
          <w:szCs w:val="20"/>
          <w:color w:val="auto"/>
        </w:rPr>
      </w:pPr>
      <w:r>
        <w:rPr>
          <w:rFonts w:ascii="Arial" w:cs="Arial" w:eastAsia="Arial" w:hAnsi="Arial"/>
          <w:sz w:val="20"/>
          <w:szCs w:val="20"/>
          <w:u w:val="single" w:color="auto"/>
          <w:color w:val="auto"/>
        </w:rPr>
        <w:t>Non-CIC Qualified Termination</w:t>
      </w:r>
      <w:r>
        <w:rPr>
          <w:rFonts w:ascii="Arial" w:cs="Arial" w:eastAsia="Arial" w:hAnsi="Arial"/>
          <w:sz w:val="20"/>
          <w:szCs w:val="20"/>
          <w:color w:val="auto"/>
        </w:rPr>
        <w:t>. If Participant experiences a Non-CIC Qualified Termination (as defined in the Severance Agreement) after the commencement of a Measurement Period but prior to the Vesting Date of the Grant Tranche relating to such Measurement Period, then 25% of the number of Shares allocated to such Grant Tranche that became Eligible Shares prior to the date of the Non-CIC Qualified Termination or any portion of the Grant Tranche would have become Eligible Shares had Participant remained employed by the Company through the end of the Measurement Period (or if a Change in Control occurs prior to the end of the Measurement Period, through the date of the Change in Control) based on the actual achievement of the Company Stock Price Targets for such Measurement Period will vest on the Vesting Date immediately following the completion of such Measurement Period (or, if earlier, immediately prior to a Change in Control), subject to Participant satisfying the conditions set forth in Section 5 of the Severance Agreement. For the avoidance of doubt, notwithstanding anything in the Severance Agreement to the contrary, the equity vesting benefits under Sections 3(a)(iii) of the Severance Agreement will not apply to any of the Shares subject to the Award.</w:t>
      </w:r>
    </w:p>
    <w:p>
      <w:pPr>
        <w:spacing w:after="0" w:line="10" w:lineRule="exact"/>
        <w:rPr>
          <w:rFonts w:ascii="Arial" w:cs="Arial" w:eastAsia="Arial" w:hAnsi="Arial"/>
          <w:sz w:val="20"/>
          <w:szCs w:val="20"/>
          <w:color w:val="auto"/>
        </w:rPr>
      </w:pPr>
    </w:p>
    <w:p>
      <w:pPr>
        <w:jc w:val="both"/>
        <w:ind w:left="1260" w:hanging="317"/>
        <w:spacing w:after="0" w:line="257" w:lineRule="auto"/>
        <w:tabs>
          <w:tab w:leader="none" w:pos="1260" w:val="left"/>
        </w:tabs>
        <w:numPr>
          <w:ilvl w:val="2"/>
          <w:numId w:val="53"/>
        </w:numPr>
        <w:rPr>
          <w:rFonts w:ascii="Arial" w:cs="Arial" w:eastAsia="Arial" w:hAnsi="Arial"/>
          <w:sz w:val="19"/>
          <w:szCs w:val="19"/>
          <w:color w:val="auto"/>
        </w:rPr>
      </w:pPr>
      <w:r>
        <w:rPr>
          <w:rFonts w:ascii="Arial" w:cs="Arial" w:eastAsia="Arial" w:hAnsi="Arial"/>
          <w:sz w:val="19"/>
          <w:szCs w:val="19"/>
          <w:u w:val="single" w:color="auto"/>
          <w:color w:val="auto"/>
        </w:rPr>
        <w:t>CIC Qualified Termination</w:t>
      </w:r>
      <w:r>
        <w:rPr>
          <w:rFonts w:ascii="Arial" w:cs="Arial" w:eastAsia="Arial" w:hAnsi="Arial"/>
          <w:sz w:val="19"/>
          <w:szCs w:val="19"/>
          <w:color w:val="auto"/>
        </w:rPr>
        <w:t xml:space="preserve">. If Participant experiences a CIC Qualified Termination (as defined in the Severance Agreement) prior to the Vesting Date of a Grant Tranche, then the number of Shares allocated to such Grant Tranche that are Eligible Shares and that will vest as of immediately prior to the Change in Control will be determined pursuant to Section 5 of 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as if Participant had remained employed by the Company through the date of the Change in Control, subject to Participant satisfying the conditions set forth in Section 5 of the Severance Agreement. For the avoidance of doubt, notwithstanding anything in the Severance Agreement to the contrary, the equity vesting benefits under Sections 3(b)(iv) of the Severance Agreement will not apply to any of the Shares subject to the Award.</w:t>
      </w:r>
    </w:p>
    <w:p>
      <w:pPr>
        <w:spacing w:after="0" w:line="5" w:lineRule="exact"/>
        <w:rPr>
          <w:rFonts w:ascii="Arial" w:cs="Arial" w:eastAsia="Arial" w:hAnsi="Arial"/>
          <w:sz w:val="19"/>
          <w:szCs w:val="19"/>
          <w:color w:val="auto"/>
        </w:rPr>
      </w:pPr>
    </w:p>
    <w:p>
      <w:pPr>
        <w:ind w:left="640" w:hanging="323"/>
        <w:spacing w:after="0" w:line="233" w:lineRule="auto"/>
        <w:tabs>
          <w:tab w:leader="none" w:pos="64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If a Change in Control occurs prior to the Vesting Date of a Grant Tranche and Participant satisfies the Service Condition through the date of the Change in Control, then the following rules will apply.</w:t>
      </w:r>
    </w:p>
    <w:p>
      <w:pPr>
        <w:ind w:left="840"/>
        <w:spacing w:after="0"/>
        <w:rPr>
          <w:rFonts w:ascii="Arial" w:cs="Arial" w:eastAsia="Arial" w:hAnsi="Arial"/>
          <w:sz w:val="21"/>
          <w:szCs w:val="21"/>
          <w:color w:val="auto"/>
        </w:rPr>
      </w:pPr>
      <w:r>
        <w:rPr>
          <w:rFonts w:ascii="Arial" w:cs="Arial" w:eastAsia="Arial" w:hAnsi="Arial"/>
          <w:sz w:val="21"/>
          <w:szCs w:val="21"/>
          <w:color w:val="auto"/>
        </w:rPr>
        <w:t>i.   If the Measurement Period for such Grant Tranche has not yet ended:</w:t>
      </w:r>
    </w:p>
    <w:p>
      <w:pPr>
        <w:sectPr>
          <w:pgSz w:w="11900" w:h="16838" w:orient="portrait"/>
          <w:cols w:equalWidth="0" w:num="1">
            <w:col w:w="11240"/>
          </w:cols>
          <w:pgMar w:left="320" w:top="1370" w:right="339" w:bottom="1440" w:gutter="0" w:footer="0" w:header="0"/>
        </w:sectPr>
      </w:pPr>
    </w:p>
    <w:bookmarkStart w:id="106" w:name="page107"/>
    <w:bookmarkEnd w:id="106"/>
    <w:p>
      <w:pPr>
        <w:jc w:val="both"/>
        <w:ind w:left="1880" w:hanging="311"/>
        <w:spacing w:after="0" w:line="248" w:lineRule="auto"/>
        <w:tabs>
          <w:tab w:leader="none" w:pos="1880" w:val="left"/>
        </w:tabs>
        <w:numPr>
          <w:ilvl w:val="1"/>
          <w:numId w:val="54"/>
        </w:numPr>
        <w:rPr>
          <w:rFonts w:ascii="Arial" w:cs="Arial" w:eastAsia="Arial" w:hAnsi="Arial"/>
          <w:sz w:val="20"/>
          <w:szCs w:val="20"/>
          <w:color w:val="auto"/>
        </w:rPr>
      </w:pPr>
      <w:r>
        <w:rPr>
          <w:rFonts w:ascii="Arial" w:cs="Arial" w:eastAsia="Arial" w:hAnsi="Arial"/>
          <w:sz w:val="20"/>
          <w:szCs w:val="20"/>
          <w:color w:val="auto"/>
        </w:rPr>
        <w:t>Immediately prior to the Change in Control, rather than applying the definition of “Company Stock Price” below, “Company Stock Price” instead will mean the Per Share Deal Price. “Per Share Deal Price” means the value of the total amount of consideration received or potentially receivable for a Share by holders of the Company’s Class A Common Stock in connection with the Change in Control. The value of any non-cash consideration will be determined in good faith by the Administrator.</w:t>
      </w:r>
    </w:p>
    <w:p>
      <w:pPr>
        <w:spacing w:after="0" w:line="3" w:lineRule="exact"/>
        <w:rPr>
          <w:rFonts w:ascii="Arial" w:cs="Arial" w:eastAsia="Arial" w:hAnsi="Arial"/>
          <w:sz w:val="20"/>
          <w:szCs w:val="20"/>
          <w:color w:val="auto"/>
        </w:rPr>
      </w:pPr>
    </w:p>
    <w:p>
      <w:pPr>
        <w:jc w:val="both"/>
        <w:ind w:left="1880" w:hanging="311"/>
        <w:spacing w:after="0" w:line="257" w:lineRule="auto"/>
        <w:tabs>
          <w:tab w:leader="none" w:pos="18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 xml:space="preserve">After determining the Company Stock Price under Section 5(a)(i) of 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same rules under the Table apply in determining whether any additional Company Stock Price Targets are achieved and additional Shares subject to this Award will become Eligible Shares; provided, however, that if Company Stock Price as determined under Section 5(a)(i) of 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is greater than $25.00 but falls between two Company Stock Price Targets set forth in the Table, an additional number of Shares subject to the Grant Tranche will become Eligible Shares equal to (a) the product obtained by multiplying (x) the Target Shares allocated to the Grant Tranche multiplied by (y) the percentage determined based on a linear interpolation between (A) the percentage indicated in the “Multiplier” column of the Table that corresponds to the Company Stock Price Target in the Table that is greater than but closest to the Company Stock Price determined under Section 5(a)(i) of 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(B) the percentage indicated in the “Multiplier” column of the Table that corresponds to the Company Stock Price Target in the Table that is less than but closest to the actual Company Stock Price determined under Section 5(a)(i) of 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(rounded to the nearest whole Share), minus (b) the number of Shares subject to the Grant Tranche that already became Eligible Shares upon the achievement of any lower Company Stock Price Target (if any).</w:t>
      </w:r>
    </w:p>
    <w:p>
      <w:pPr>
        <w:spacing w:after="0" w:line="10" w:lineRule="exact"/>
        <w:rPr>
          <w:rFonts w:ascii="Arial" w:cs="Arial" w:eastAsia="Arial" w:hAnsi="Arial"/>
          <w:sz w:val="19"/>
          <w:szCs w:val="19"/>
          <w:color w:val="auto"/>
        </w:rPr>
      </w:pPr>
    </w:p>
    <w:p>
      <w:pPr>
        <w:jc w:val="both"/>
        <w:ind w:left="1260" w:hanging="427"/>
        <w:spacing w:after="0" w:line="233" w:lineRule="auto"/>
        <w:tabs>
          <w:tab w:leader="none" w:pos="1260"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After applying the rules in Section 5(a) of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(if applicable), all Eligible Shares (including any Shares that become Eligible Shares under Section 5(a) of this </w:t>
      </w:r>
      <w:r>
        <w:rPr>
          <w:rFonts w:ascii="Arial" w:cs="Arial" w:eastAsia="Arial" w:hAnsi="Arial"/>
          <w:sz w:val="21"/>
          <w:szCs w:val="21"/>
          <w:u w:val="single" w:color="auto"/>
          <w:color w:val="auto"/>
        </w:rPr>
        <w:t>Exhibit B</w:t>
      </w:r>
      <w:r>
        <w:rPr>
          <w:rFonts w:ascii="Arial" w:cs="Arial" w:eastAsia="Arial" w:hAnsi="Arial"/>
          <w:sz w:val="21"/>
          <w:szCs w:val="21"/>
          <w:color w:val="auto"/>
        </w:rPr>
        <w:t>) will vest as of immediately prior to the Change in Control.</w:t>
      </w:r>
    </w:p>
    <w:p>
      <w:pPr>
        <w:spacing w:after="0" w:line="1" w:lineRule="exact"/>
        <w:rPr>
          <w:sz w:val="20"/>
          <w:szCs w:val="20"/>
          <w:color w:val="auto"/>
        </w:rPr>
      </w:pPr>
    </w:p>
    <w:p>
      <w:pPr>
        <w:jc w:val="both"/>
        <w:ind w:firstLine="626"/>
        <w:spacing w:after="0" w:line="272" w:lineRule="auto"/>
        <w:rPr>
          <w:sz w:val="20"/>
          <w:szCs w:val="20"/>
          <w:color w:val="auto"/>
        </w:rPr>
      </w:pPr>
      <w:r>
        <w:rPr>
          <w:rFonts w:ascii="Arial" w:cs="Arial" w:eastAsia="Arial" w:hAnsi="Arial"/>
          <w:sz w:val="18"/>
          <w:szCs w:val="18"/>
          <w:color w:val="auto"/>
        </w:rPr>
        <w:t>For example, assume (i) the Company Stock Price as of February 15, 2021 is $10.10 and (ii) there is a Change in Control on July 1, 2021 for a Per Share Deal Price of $27.50. February 15, 2021 would be the first Achievement Date, which would result in 25% of the First Grant Tranche Target Shares becoming Eligible Shares. Due to the Change in Control, the Company Stock Price would be equal to the Per Share Deal Price ($27.50), which would result in (i) an additional 150% of the First Grant Tranche Target Shares becoming Eligible Shares (equal to (x) the 175% of the First Grant Tranche Target Shares determined under clause (a) of Section 4(a)</w:t>
      </w:r>
    </w:p>
    <w:p>
      <w:pPr>
        <w:spacing w:after="0" w:line="1" w:lineRule="exact"/>
        <w:rPr>
          <w:sz w:val="20"/>
          <w:szCs w:val="20"/>
          <w:color w:val="auto"/>
        </w:rPr>
      </w:pPr>
    </w:p>
    <w:p>
      <w:pPr>
        <w:jc w:val="both"/>
        <w:ind w:firstLine="4"/>
        <w:spacing w:after="0" w:line="233" w:lineRule="auto"/>
        <w:tabs>
          <w:tab w:leader="none" w:pos="311"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of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minus (y) the 25% of the First Grant Tranche Target Shares that had previously become Eligible Shares) and (ii) 175% of the Second Grant Tranche Target Shares and 175% of the Third Grant Tranche Target Shares becoming Eligible Shares. All of such Eligible Shares would vest as of immediately prior to the Change in Control.</w:t>
      </w:r>
    </w:p>
    <w:p>
      <w:pPr>
        <w:ind w:left="640" w:hanging="323"/>
        <w:spacing w:after="0" w:line="233" w:lineRule="auto"/>
        <w:tabs>
          <w:tab w:leader="none" w:pos="640"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ind w:left="1260" w:hanging="427"/>
        <w:spacing w:after="0" w:line="239" w:lineRule="auto"/>
        <w:tabs>
          <w:tab w:leader="none" w:pos="1260" w:val="left"/>
        </w:tabs>
        <w:numPr>
          <w:ilvl w:val="2"/>
          <w:numId w:val="56"/>
        </w:numPr>
        <w:rPr>
          <w:rFonts w:ascii="Arial" w:cs="Arial" w:eastAsia="Arial" w:hAnsi="Arial"/>
          <w:sz w:val="21"/>
          <w:szCs w:val="21"/>
          <w:color w:val="auto"/>
        </w:rPr>
      </w:pPr>
      <w:r>
        <w:rPr>
          <w:rFonts w:ascii="Arial" w:cs="Arial" w:eastAsia="Arial" w:hAnsi="Arial"/>
          <w:sz w:val="21"/>
          <w:szCs w:val="21"/>
          <w:color w:val="auto"/>
        </w:rPr>
        <w:t>“Company Stock Price” means the weighted average closing price of a Share as reported on a Securities Exchange for any thirty (30) consecutive trading day period occurring within a Measurement Period.</w:t>
      </w:r>
    </w:p>
    <w:p>
      <w:pPr>
        <w:sectPr>
          <w:pgSz w:w="11900" w:h="16838" w:orient="portrait"/>
          <w:cols w:equalWidth="0" w:num="1">
            <w:col w:w="11240"/>
          </w:cols>
          <w:pgMar w:left="320" w:top="1370" w:right="339" w:bottom="1440" w:gutter="0" w:footer="0" w:header="0"/>
        </w:sectPr>
      </w:pPr>
    </w:p>
    <w:bookmarkStart w:id="107" w:name="page108"/>
    <w:bookmarkEnd w:id="107"/>
    <w:p>
      <w:pPr>
        <w:ind w:left="543" w:hanging="485"/>
        <w:spacing w:after="0"/>
        <w:tabs>
          <w:tab w:leader="none" w:pos="543" w:val="left"/>
        </w:tabs>
        <w:numPr>
          <w:ilvl w:val="1"/>
          <w:numId w:val="57"/>
        </w:numPr>
        <w:rPr>
          <w:rFonts w:ascii="Arial" w:cs="Arial" w:eastAsia="Arial" w:hAnsi="Arial"/>
          <w:sz w:val="21"/>
          <w:szCs w:val="21"/>
          <w:color w:val="auto"/>
        </w:rPr>
      </w:pPr>
      <w:r>
        <w:rPr>
          <w:rFonts w:ascii="Arial" w:cs="Arial" w:eastAsia="Arial" w:hAnsi="Arial"/>
          <w:sz w:val="21"/>
          <w:szCs w:val="21"/>
          <w:color w:val="auto"/>
        </w:rPr>
        <w:t>“Company Stock Price Target” means each Company Stock Price set forth in the Table.</w:t>
      </w:r>
    </w:p>
    <w:p>
      <w:pPr>
        <w:spacing w:after="0" w:line="11" w:lineRule="exact"/>
        <w:rPr>
          <w:rFonts w:ascii="Arial" w:cs="Arial" w:eastAsia="Arial" w:hAnsi="Arial"/>
          <w:sz w:val="21"/>
          <w:szCs w:val="21"/>
          <w:color w:val="auto"/>
        </w:rPr>
      </w:pPr>
    </w:p>
    <w:p>
      <w:pPr>
        <w:ind w:left="543" w:hanging="543"/>
        <w:spacing w:after="0" w:line="233" w:lineRule="auto"/>
        <w:tabs>
          <w:tab w:leader="none" w:pos="543" w:val="left"/>
        </w:tabs>
        <w:numPr>
          <w:ilvl w:val="1"/>
          <w:numId w:val="57"/>
        </w:numPr>
        <w:rPr>
          <w:rFonts w:ascii="Arial" w:cs="Arial" w:eastAsia="Arial" w:hAnsi="Arial"/>
          <w:sz w:val="21"/>
          <w:szCs w:val="21"/>
          <w:color w:val="auto"/>
        </w:rPr>
      </w:pPr>
      <w:r>
        <w:rPr>
          <w:rFonts w:ascii="Arial" w:cs="Arial" w:eastAsia="Arial" w:hAnsi="Arial"/>
          <w:sz w:val="21"/>
          <w:szCs w:val="21"/>
          <w:color w:val="auto"/>
        </w:rPr>
        <w:t>“Measurement Period” means each of the following periods:</w:t>
      </w:r>
    </w:p>
    <w:p>
      <w:pPr>
        <w:jc w:val="both"/>
        <w:ind w:left="1163" w:hanging="311"/>
        <w:spacing w:after="0" w:line="233" w:lineRule="auto"/>
        <w:tabs>
          <w:tab w:leader="none" w:pos="1163" w:val="left"/>
        </w:tabs>
        <w:numPr>
          <w:ilvl w:val="3"/>
          <w:numId w:val="57"/>
        </w:numPr>
        <w:rPr>
          <w:rFonts w:ascii="Arial" w:cs="Arial" w:eastAsia="Arial" w:hAnsi="Arial"/>
          <w:sz w:val="21"/>
          <w:szCs w:val="21"/>
          <w:color w:val="auto"/>
        </w:rPr>
      </w:pPr>
      <w:r>
        <w:rPr>
          <w:rFonts w:ascii="Arial" w:cs="Arial" w:eastAsia="Arial" w:hAnsi="Arial"/>
          <w:sz w:val="21"/>
          <w:szCs w:val="21"/>
          <w:color w:val="auto"/>
        </w:rPr>
        <w:t>the period (a) commencing on January 1, 2021, and (b) ending on December 31, 2021 (the “First Measurement Period” and the Shares subject to the Award covered by the First Measurement Period, the “First Grant Tranche”);</w:t>
      </w:r>
    </w:p>
    <w:p>
      <w:pPr>
        <w:jc w:val="both"/>
        <w:ind w:left="1163" w:hanging="311"/>
        <w:spacing w:after="0" w:line="233" w:lineRule="auto"/>
        <w:tabs>
          <w:tab w:leader="none" w:pos="1163" w:val="left"/>
        </w:tabs>
        <w:numPr>
          <w:ilvl w:val="3"/>
          <w:numId w:val="57"/>
        </w:numPr>
        <w:rPr>
          <w:rFonts w:ascii="Arial" w:cs="Arial" w:eastAsia="Arial" w:hAnsi="Arial"/>
          <w:sz w:val="21"/>
          <w:szCs w:val="21"/>
          <w:color w:val="auto"/>
        </w:rPr>
      </w:pPr>
      <w:r>
        <w:rPr>
          <w:rFonts w:ascii="Arial" w:cs="Arial" w:eastAsia="Arial" w:hAnsi="Arial"/>
          <w:sz w:val="21"/>
          <w:szCs w:val="21"/>
          <w:color w:val="auto"/>
        </w:rPr>
        <w:t>the period (a) commencing on January 1, 2022, and (b) ending on December 31, 2022 (the “Second Measurement Period” and the Shares subject to the Award covered by the Second Measurement Period, the “Second Grant Tranche”); and</w:t>
      </w:r>
    </w:p>
    <w:p>
      <w:pPr>
        <w:jc w:val="both"/>
        <w:ind w:left="1163" w:hanging="311"/>
        <w:spacing w:after="0" w:line="233" w:lineRule="auto"/>
        <w:tabs>
          <w:tab w:leader="none" w:pos="1163" w:val="left"/>
        </w:tabs>
        <w:numPr>
          <w:ilvl w:val="3"/>
          <w:numId w:val="57"/>
        </w:numPr>
        <w:rPr>
          <w:rFonts w:ascii="Arial" w:cs="Arial" w:eastAsia="Arial" w:hAnsi="Arial"/>
          <w:sz w:val="21"/>
          <w:szCs w:val="21"/>
          <w:color w:val="auto"/>
        </w:rPr>
      </w:pPr>
      <w:r>
        <w:rPr>
          <w:rFonts w:ascii="Arial" w:cs="Arial" w:eastAsia="Arial" w:hAnsi="Arial"/>
          <w:sz w:val="21"/>
          <w:szCs w:val="21"/>
          <w:color w:val="auto"/>
        </w:rPr>
        <w:t>the period (a) commencing on January 1, 2023, and (b) ending on December 31, 2023 (the “Third Measurement Period” and the Shares subject to the Award covered by the Third Measurement Period, the “Third Grant Tranche”).</w:t>
      </w:r>
    </w:p>
    <w:p>
      <w:pPr>
        <w:ind w:left="543" w:hanging="427"/>
        <w:spacing w:after="0" w:line="233" w:lineRule="auto"/>
        <w:tabs>
          <w:tab w:leader="none" w:pos="543" w:val="left"/>
        </w:tabs>
        <w:numPr>
          <w:ilvl w:val="2"/>
          <w:numId w:val="57"/>
        </w:numPr>
        <w:rPr>
          <w:rFonts w:ascii="Arial" w:cs="Arial" w:eastAsia="Arial" w:hAnsi="Arial"/>
          <w:sz w:val="21"/>
          <w:szCs w:val="21"/>
          <w:color w:val="auto"/>
        </w:rPr>
      </w:pPr>
      <w:r>
        <w:rPr>
          <w:rFonts w:ascii="Arial" w:cs="Arial" w:eastAsia="Arial" w:hAnsi="Arial"/>
          <w:sz w:val="21"/>
          <w:szCs w:val="21"/>
          <w:color w:val="auto"/>
        </w:rPr>
        <w:t>“Quarterly Vesting Date” means each of February 15, May 15, August 15, and November 15.</w:t>
      </w:r>
    </w:p>
    <w:p>
      <w:pPr>
        <w:ind w:left="543" w:hanging="485"/>
        <w:spacing w:after="0" w:line="233" w:lineRule="auto"/>
        <w:tabs>
          <w:tab w:leader="none" w:pos="543" w:val="left"/>
        </w:tabs>
        <w:numPr>
          <w:ilvl w:val="2"/>
          <w:numId w:val="57"/>
        </w:numPr>
        <w:rPr>
          <w:rFonts w:ascii="Arial" w:cs="Arial" w:eastAsia="Arial" w:hAnsi="Arial"/>
          <w:sz w:val="21"/>
          <w:szCs w:val="21"/>
          <w:color w:val="auto"/>
        </w:rPr>
      </w:pPr>
      <w:r>
        <w:rPr>
          <w:rFonts w:ascii="Arial" w:cs="Arial" w:eastAsia="Arial" w:hAnsi="Arial"/>
          <w:sz w:val="21"/>
          <w:szCs w:val="21"/>
          <w:color w:val="auto"/>
        </w:rPr>
        <w:t>“Securities Exchange” means an established national securities exchange or automated quotation system (e.g., the New York Stock Exchange, The Nasdaq Global Select Market, or The Nasdaq Global Market).</w:t>
      </w:r>
    </w:p>
    <w:p>
      <w:pPr>
        <w:ind w:left="543" w:hanging="543"/>
        <w:spacing w:after="0" w:line="233" w:lineRule="auto"/>
        <w:tabs>
          <w:tab w:leader="none" w:pos="543" w:val="left"/>
        </w:tabs>
        <w:numPr>
          <w:ilvl w:val="2"/>
          <w:numId w:val="57"/>
        </w:numPr>
        <w:rPr>
          <w:rFonts w:ascii="Arial" w:cs="Arial" w:eastAsia="Arial" w:hAnsi="Arial"/>
          <w:sz w:val="21"/>
          <w:szCs w:val="21"/>
          <w:color w:val="auto"/>
        </w:rPr>
      </w:pPr>
      <w:r>
        <w:rPr>
          <w:rFonts w:ascii="Arial" w:cs="Arial" w:eastAsia="Arial" w:hAnsi="Arial"/>
          <w:sz w:val="21"/>
          <w:szCs w:val="21"/>
          <w:color w:val="auto"/>
        </w:rPr>
        <w:t>“Service Condition” means Participant continuously remaining a Service Provider.</w:t>
      </w:r>
    </w:p>
    <w:p>
      <w:pPr>
        <w:ind w:left="543" w:hanging="531"/>
        <w:spacing w:after="0" w:line="233" w:lineRule="auto"/>
        <w:tabs>
          <w:tab w:leader="none" w:pos="529" w:val="left"/>
        </w:tabs>
        <w:numPr>
          <w:ilvl w:val="0"/>
          <w:numId w:val="58"/>
        </w:numPr>
        <w:rPr>
          <w:rFonts w:ascii="Arial" w:cs="Arial" w:eastAsia="Arial" w:hAnsi="Arial"/>
          <w:sz w:val="21"/>
          <w:szCs w:val="21"/>
          <w:color w:val="auto"/>
        </w:rPr>
      </w:pPr>
      <w:r>
        <w:rPr>
          <w:rFonts w:ascii="Arial" w:cs="Arial" w:eastAsia="Arial" w:hAnsi="Arial"/>
          <w:sz w:val="21"/>
          <w:szCs w:val="21"/>
          <w:color w:val="auto"/>
        </w:rPr>
        <w:t>“Severance Agreement” means the Change in Control and Severance Agreement by and between the Company and Participant dated January 14, 2020.</w:t>
      </w:r>
    </w:p>
    <w:p>
      <w:pPr>
        <w:ind w:left="523" w:hanging="453"/>
        <w:spacing w:after="0"/>
        <w:tabs>
          <w:tab w:leader="none" w:pos="523" w:val="left"/>
        </w:tabs>
        <w:numPr>
          <w:ilvl w:val="0"/>
          <w:numId w:val="58"/>
        </w:numPr>
        <w:rPr>
          <w:rFonts w:ascii="Arial" w:cs="Arial" w:eastAsia="Arial" w:hAnsi="Arial"/>
          <w:sz w:val="20"/>
          <w:szCs w:val="20"/>
          <w:color w:val="auto"/>
        </w:rPr>
      </w:pPr>
      <w:r>
        <w:rPr>
          <w:rFonts w:ascii="Arial" w:cs="Arial" w:eastAsia="Arial" w:hAnsi="Arial"/>
          <w:sz w:val="20"/>
          <w:szCs w:val="20"/>
          <w:color w:val="auto"/>
        </w:rPr>
        <w:t>“Vesting Date” means the first Quarterly Vesting Date to occur following the end of each Measurement Period.</w:t>
      </w:r>
    </w:p>
    <w:p>
      <w:pPr>
        <w:sectPr>
          <w:pgSz w:w="11900" w:h="16838" w:orient="portrait"/>
          <w:cols w:equalWidth="0" w:num="1">
            <w:col w:w="10523"/>
          </w:cols>
          <w:pgMar w:left="1037" w:top="1370"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1"/>
          <w:szCs w:val="21"/>
          <w:b w:val="1"/>
          <w:bCs w:val="1"/>
          <w:u w:val="single" w:color="auto"/>
          <w:color w:val="auto"/>
        </w:rPr>
        <w:t>EXHIBIT 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COUNTRY-SPECIFIC TERMS AND</w:t>
      </w:r>
    </w:p>
    <w:p>
      <w:pPr>
        <w:jc w:val="center"/>
        <w:spacing w:after="0" w:line="233" w:lineRule="auto"/>
        <w:rPr>
          <w:sz w:val="20"/>
          <w:szCs w:val="20"/>
          <w:color w:val="auto"/>
        </w:rPr>
      </w:pPr>
      <w:r>
        <w:rPr>
          <w:rFonts w:ascii="Arial" w:cs="Arial" w:eastAsia="Arial" w:hAnsi="Arial"/>
          <w:sz w:val="21"/>
          <w:szCs w:val="21"/>
          <w:b w:val="1"/>
          <w:bCs w:val="1"/>
          <w:u w:val="single" w:color="auto"/>
          <w:color w:val="auto"/>
        </w:rPr>
        <w:t>CONDITIONS FOR PARTICIPANTS OUTSIDE</w:t>
      </w:r>
    </w:p>
    <w:p>
      <w:pPr>
        <w:jc w:val="center"/>
        <w:spacing w:after="0" w:line="233" w:lineRule="auto"/>
        <w:rPr>
          <w:sz w:val="20"/>
          <w:szCs w:val="20"/>
          <w:color w:val="auto"/>
        </w:rPr>
      </w:pPr>
      <w:r>
        <w:rPr>
          <w:rFonts w:ascii="Arial" w:cs="Arial" w:eastAsia="Arial" w:hAnsi="Arial"/>
          <w:sz w:val="21"/>
          <w:szCs w:val="21"/>
          <w:b w:val="1"/>
          <w:bCs w:val="1"/>
          <w:u w:val="single" w:color="auto"/>
          <w:color w:val="auto"/>
        </w:rPr>
        <w:t>THE U.S. (THE “COUNTRY ADDENDUM”)</w:t>
      </w:r>
    </w:p>
    <w:p>
      <w:pPr>
        <w:spacing w:after="0" w:line="233" w:lineRule="auto"/>
        <w:rPr>
          <w:sz w:val="20"/>
          <w:szCs w:val="20"/>
          <w:color w:val="auto"/>
        </w:rPr>
      </w:pPr>
      <w:r>
        <w:rPr>
          <w:rFonts w:ascii="Arial" w:cs="Arial" w:eastAsia="Arial" w:hAnsi="Arial"/>
          <w:sz w:val="21"/>
          <w:szCs w:val="21"/>
          <w:b w:val="1"/>
          <w:bCs w:val="1"/>
          <w:i w:val="1"/>
          <w:iCs w:val="1"/>
          <w:color w:val="auto"/>
        </w:rPr>
        <w:t>Terms and Conditions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21"/>
          <w:szCs w:val="21"/>
          <w:color w:val="auto"/>
        </w:rPr>
        <w:t>This Country Addendum includes additional terms and conditions that govern the Award of Restricted Stock granted to Participant under the Plan if Participant works and/or resides in one of the countries listed below. If Participant is a citizen or resident of a country (or is considered as such for local law purposes) other than the one in which he or she is currently working or if Participant relocates or transfers to another country after receiving the Award of Restricted Stock, or is considered a resident of another country for local law purposes, the Company will, in its discretion, determine the extent to which the terms and conditions contained herein will be applicable to Participant.</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Certain capitalized terms used but not defined in this Country Addendum shall have the meanings set forth in the Plan, and/or the Notice of Grant of Restricted Stock and Terms and Conditions of Restricted Stock Grant to which this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is attached.</w:t>
      </w:r>
    </w:p>
    <w:p>
      <w:pPr>
        <w:spacing w:after="0" w:line="235" w:lineRule="auto"/>
        <w:rPr>
          <w:sz w:val="20"/>
          <w:szCs w:val="20"/>
          <w:color w:val="auto"/>
        </w:rPr>
      </w:pPr>
      <w:r>
        <w:rPr>
          <w:rFonts w:ascii="Arial" w:cs="Arial" w:eastAsia="Arial" w:hAnsi="Arial"/>
          <w:sz w:val="21"/>
          <w:szCs w:val="21"/>
          <w:b w:val="1"/>
          <w:bCs w:val="1"/>
          <w:i w:val="1"/>
          <w:iCs w:val="1"/>
          <w:color w:val="auto"/>
        </w:rPr>
        <w:t>Notifications</w:t>
      </w:r>
    </w:p>
    <w:p>
      <w:pPr>
        <w:jc w:val="both"/>
        <w:spacing w:after="0" w:line="233" w:lineRule="auto"/>
        <w:rPr>
          <w:sz w:val="20"/>
          <w:szCs w:val="20"/>
          <w:color w:val="auto"/>
        </w:rPr>
      </w:pPr>
      <w:r>
        <w:rPr>
          <w:rFonts w:ascii="Arial" w:cs="Arial" w:eastAsia="Arial" w:hAnsi="Arial"/>
          <w:sz w:val="21"/>
          <w:szCs w:val="21"/>
          <w:color w:val="auto"/>
        </w:rPr>
        <w:t>This Country Addendum may also include information regarding certain other issues of which Participant should be aware with respect to his or her participation in the Plan. The information is based on the exchange control, securities and other laws in effect in the countries listed in this Country Addendum as of January 2020 (except as otherwise noted below). Such laws are often complex and change frequently. As a result, Participant should not rely on the information in this Country Addendum as the only source of information relating to the consequences of his or her participation in the Plan because the information may be outdated at the time of the applicable tax event with respect to the Shares of Restricted Stock, or when Participant subsequently sells Shares acquired under the Plan.</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21"/>
          <w:szCs w:val="21"/>
          <w:color w:val="auto"/>
        </w:rPr>
        <w:t>In addition, the notifications are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Finally, if Participant is a citizen or resident of a country other than the one in which Participant is currently working and/or residing (or is considered as such for local law purposes) or if Participant moves or transfers to another country after receiving the Award of Restricted Stock, the information contained in this Country Addendum may not be applicable to Participant in the same manner.</w:t>
      </w:r>
    </w:p>
    <w:p>
      <w:pPr>
        <w:sectPr>
          <w:pgSz w:w="11900" w:h="16838" w:orient="portrait"/>
          <w:cols w:equalWidth="0" w:num="1">
            <w:col w:w="11240"/>
          </w:cols>
          <w:pgMar w:left="320" w:top="1364" w:right="339" w:bottom="1440" w:gutter="0" w:footer="0" w:header="0"/>
        </w:sectPr>
      </w:pPr>
    </w:p>
    <w:bookmarkStart w:id="109" w:name="page110"/>
    <w:bookmarkEnd w:id="109"/>
    <w:p>
      <w:pPr>
        <w:spacing w:after="0" w:line="164" w:lineRule="exact"/>
        <w:rPr>
          <w:sz w:val="20"/>
          <w:szCs w:val="20"/>
          <w:color w:val="auto"/>
        </w:rPr>
      </w:pPr>
    </w:p>
    <w:p>
      <w:pPr>
        <w:jc w:val="center"/>
        <w:ind w:right="297"/>
        <w:spacing w:after="0"/>
        <w:rPr>
          <w:sz w:val="20"/>
          <w:szCs w:val="20"/>
          <w:color w:val="auto"/>
        </w:rPr>
      </w:pPr>
      <w:r>
        <w:rPr>
          <w:rFonts w:ascii="Arial" w:cs="Arial" w:eastAsia="Arial" w:hAnsi="Arial"/>
          <w:sz w:val="19"/>
          <w:szCs w:val="19"/>
          <w:b w:val="1"/>
          <w:bCs w:val="1"/>
          <w:u w:val="single" w:color="auto"/>
          <w:color w:val="auto"/>
        </w:rPr>
        <w:t>GENERAL TERMS AND CONDITIONS</w:t>
      </w:r>
    </w:p>
    <w:p>
      <w:pPr>
        <w:jc w:val="center"/>
        <w:ind w:right="297"/>
        <w:spacing w:after="0"/>
        <w:rPr>
          <w:sz w:val="20"/>
          <w:szCs w:val="20"/>
          <w:color w:val="auto"/>
        </w:rPr>
      </w:pPr>
      <w:r>
        <w:rPr>
          <w:rFonts w:ascii="Arial" w:cs="Arial" w:eastAsia="Arial" w:hAnsi="Arial"/>
          <w:sz w:val="19"/>
          <w:szCs w:val="19"/>
          <w:b w:val="1"/>
          <w:bCs w:val="1"/>
          <w:u w:val="single" w:color="auto"/>
          <w:color w:val="auto"/>
        </w:rPr>
        <w:t>FOR PARTICIPANTS OUTSIDE THE U.S.</w:t>
      </w:r>
    </w:p>
    <w:p>
      <w:pPr>
        <w:ind w:left="323" w:hanging="323"/>
        <w:spacing w:after="0" w:line="233" w:lineRule="auto"/>
        <w:tabs>
          <w:tab w:leader="none" w:pos="323"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In accepting this Award, Participant acknowledges, understands and agrees that:</w:t>
      </w:r>
    </w:p>
    <w:p>
      <w:pPr>
        <w:ind w:left="943" w:hanging="427"/>
        <w:spacing w:after="0" w:line="238" w:lineRule="auto"/>
        <w:tabs>
          <w:tab w:leader="none" w:pos="943" w:val="left"/>
        </w:tabs>
        <w:numPr>
          <w:ilvl w:val="2"/>
          <w:numId w:val="59"/>
        </w:numPr>
        <w:rPr>
          <w:rFonts w:ascii="Arial" w:cs="Arial" w:eastAsia="Arial" w:hAnsi="Arial"/>
          <w:sz w:val="21"/>
          <w:szCs w:val="21"/>
          <w:color w:val="auto"/>
        </w:rPr>
      </w:pPr>
      <w:r>
        <w:rPr>
          <w:rFonts w:ascii="Arial" w:cs="Arial" w:eastAsia="Arial" w:hAnsi="Arial"/>
          <w:sz w:val="19"/>
          <w:szCs w:val="19"/>
          <w:color w:val="auto"/>
        </w:rPr>
        <w:t xml:space="preserve">the </w:t>
      </w:r>
      <w:r>
        <w:rPr>
          <w:rFonts w:ascii="Arial" w:cs="Arial" w:eastAsia="Arial" w:hAnsi="Arial"/>
          <w:sz w:val="20"/>
          <w:szCs w:val="20"/>
          <w:color w:val="auto"/>
        </w:rPr>
        <w:t>vesting of the Shares of Restricted Stock pursuant to the vesting schedule contained in this Award Agreement is</w:t>
      </w:r>
      <w:r>
        <w:rPr>
          <w:rFonts w:ascii="Arial" w:cs="Arial" w:eastAsia="Arial" w:hAnsi="Arial"/>
          <w:sz w:val="19"/>
          <w:szCs w:val="19"/>
          <w:color w:val="auto"/>
        </w:rPr>
        <w:t xml:space="preserve"> </w:t>
      </w:r>
      <w:r>
        <w:rPr>
          <w:rFonts w:ascii="Arial" w:cs="Arial" w:eastAsia="Arial" w:hAnsi="Arial"/>
          <w:sz w:val="20"/>
          <w:szCs w:val="20"/>
          <w:color w:val="auto"/>
        </w:rPr>
        <w:t>earned only by continuing as a Service Provider;</w:t>
      </w:r>
    </w:p>
    <w:p>
      <w:pPr>
        <w:spacing w:after="0" w:line="1" w:lineRule="exact"/>
        <w:rPr>
          <w:rFonts w:ascii="Arial" w:cs="Arial" w:eastAsia="Arial" w:hAnsi="Arial"/>
          <w:sz w:val="21"/>
          <w:szCs w:val="21"/>
          <w:color w:val="auto"/>
        </w:rPr>
      </w:pPr>
    </w:p>
    <w:p>
      <w:pPr>
        <w:ind w:left="943" w:hanging="485"/>
        <w:spacing w:after="0"/>
        <w:tabs>
          <w:tab w:leader="none" w:pos="943" w:val="left"/>
        </w:tabs>
        <w:numPr>
          <w:ilvl w:val="2"/>
          <w:numId w:val="59"/>
        </w:numPr>
        <w:rPr>
          <w:rFonts w:ascii="Arial" w:cs="Arial" w:eastAsia="Arial" w:hAnsi="Arial"/>
          <w:sz w:val="20"/>
          <w:szCs w:val="20"/>
          <w:color w:val="auto"/>
        </w:rPr>
      </w:pPr>
      <w:r>
        <w:rPr>
          <w:rFonts w:ascii="Arial" w:cs="Arial" w:eastAsia="Arial" w:hAnsi="Arial"/>
          <w:sz w:val="20"/>
          <w:szCs w:val="20"/>
          <w:color w:val="auto"/>
        </w:rPr>
        <w:t>the act of being hired or being granted the Shares of Restricted Stock will not result in vesting of such Shares;</w:t>
      </w:r>
    </w:p>
    <w:p>
      <w:pPr>
        <w:spacing w:after="0" w:line="4" w:lineRule="exact"/>
        <w:rPr>
          <w:rFonts w:ascii="Arial" w:cs="Arial" w:eastAsia="Arial" w:hAnsi="Arial"/>
          <w:sz w:val="20"/>
          <w:szCs w:val="20"/>
          <w:color w:val="auto"/>
        </w:rPr>
      </w:pPr>
    </w:p>
    <w:p>
      <w:pPr>
        <w:jc w:val="both"/>
        <w:ind w:left="943" w:hanging="543"/>
        <w:spacing w:after="0" w:line="233" w:lineRule="auto"/>
        <w:tabs>
          <w:tab w:leader="none" w:pos="943" w:val="left"/>
        </w:tabs>
        <w:numPr>
          <w:ilvl w:val="2"/>
          <w:numId w:val="59"/>
        </w:numPr>
        <w:rPr>
          <w:rFonts w:ascii="Arial" w:cs="Arial" w:eastAsia="Arial" w:hAnsi="Arial"/>
          <w:sz w:val="21"/>
          <w:szCs w:val="21"/>
          <w:color w:val="auto"/>
        </w:rPr>
      </w:pPr>
      <w:r>
        <w:rPr>
          <w:rFonts w:ascii="Arial" w:cs="Arial" w:eastAsia="Arial" w:hAnsi="Arial"/>
          <w:sz w:val="21"/>
          <w:szCs w:val="21"/>
          <w:color w:val="auto"/>
        </w:rPr>
        <w:t>the Shares of Restricted Stock and the Notice of Grant do not constitute an express or implied promise of continued engagement as a Service Provider for the vesting period, for any period, or at all, and do not interfere in any way with Participant’s right or the right of the Employer to terminate his or her relationship as a Service Provider at any time, with or without cause, subject to Applicable Laws;</w:t>
      </w:r>
    </w:p>
    <w:p>
      <w:pPr>
        <w:spacing w:after="0" w:line="1" w:lineRule="exact"/>
        <w:rPr>
          <w:rFonts w:ascii="Arial" w:cs="Arial" w:eastAsia="Arial" w:hAnsi="Arial"/>
          <w:sz w:val="21"/>
          <w:szCs w:val="21"/>
          <w:color w:val="auto"/>
        </w:rPr>
      </w:pPr>
    </w:p>
    <w:p>
      <w:pPr>
        <w:ind w:left="943" w:hanging="531"/>
        <w:spacing w:after="0" w:line="233" w:lineRule="auto"/>
        <w:tabs>
          <w:tab w:leader="none" w:pos="929" w:val="left"/>
        </w:tabs>
        <w:numPr>
          <w:ilvl w:val="1"/>
          <w:numId w:val="59"/>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it is discretionary in nature and may be amended, suspended or terminated by the Company at any time, to the extent permitted by the Plan;</w:t>
      </w:r>
    </w:p>
    <w:p>
      <w:pPr>
        <w:jc w:val="both"/>
        <w:ind w:left="943" w:hanging="473"/>
        <w:spacing w:after="0" w:line="233" w:lineRule="auto"/>
        <w:tabs>
          <w:tab w:leader="none" w:pos="929" w:val="left"/>
        </w:tabs>
        <w:numPr>
          <w:ilvl w:val="1"/>
          <w:numId w:val="59"/>
        </w:numPr>
        <w:rPr>
          <w:rFonts w:ascii="Arial" w:cs="Arial" w:eastAsia="Arial" w:hAnsi="Arial"/>
          <w:sz w:val="21"/>
          <w:szCs w:val="21"/>
          <w:color w:val="auto"/>
        </w:rPr>
      </w:pPr>
      <w:r>
        <w:rPr>
          <w:rFonts w:ascii="Arial" w:cs="Arial" w:eastAsia="Arial" w:hAnsi="Arial"/>
          <w:sz w:val="21"/>
          <w:szCs w:val="21"/>
          <w:color w:val="auto"/>
        </w:rPr>
        <w:t>the grant of the Shares of Restricted Stock is exceptional, voluntary and occasional and does not create any contractual or other right to receive future grants of Restricted Stock, or benefits in lieu of Restricted Stock, even if Shares of Restricted Stock have been granted in the past;</w:t>
      </w:r>
    </w:p>
    <w:p>
      <w:pPr>
        <w:ind w:left="943" w:hanging="531"/>
        <w:spacing w:after="0" w:line="233" w:lineRule="auto"/>
        <w:tabs>
          <w:tab w:leader="none" w:pos="943" w:val="left"/>
        </w:tabs>
        <w:numPr>
          <w:ilvl w:val="2"/>
          <w:numId w:val="60"/>
        </w:numPr>
        <w:rPr>
          <w:rFonts w:ascii="Arial" w:cs="Arial" w:eastAsia="Arial" w:hAnsi="Arial"/>
          <w:sz w:val="21"/>
          <w:szCs w:val="21"/>
          <w:color w:val="auto"/>
        </w:rPr>
      </w:pPr>
      <w:r>
        <w:rPr>
          <w:rFonts w:ascii="Arial" w:cs="Arial" w:eastAsia="Arial" w:hAnsi="Arial"/>
          <w:sz w:val="21"/>
          <w:szCs w:val="21"/>
          <w:color w:val="auto"/>
        </w:rPr>
        <w:t>all decisions with respect to future Awards of Restricted Stock or other Awards, if any, will be at the sole discretion of the Company;</w:t>
      </w:r>
    </w:p>
    <w:p>
      <w:pPr>
        <w:ind w:left="943" w:hanging="589"/>
        <w:spacing w:after="0" w:line="233" w:lineRule="auto"/>
        <w:tabs>
          <w:tab w:leader="none" w:pos="943" w:val="left"/>
        </w:tabs>
        <w:numPr>
          <w:ilvl w:val="2"/>
          <w:numId w:val="60"/>
        </w:numPr>
        <w:rPr>
          <w:rFonts w:ascii="Arial" w:cs="Arial" w:eastAsia="Arial" w:hAnsi="Arial"/>
          <w:sz w:val="21"/>
          <w:szCs w:val="21"/>
          <w:color w:val="auto"/>
        </w:rPr>
      </w:pPr>
      <w:r>
        <w:rPr>
          <w:rFonts w:ascii="Arial" w:cs="Arial" w:eastAsia="Arial" w:hAnsi="Arial"/>
          <w:sz w:val="21"/>
          <w:szCs w:val="21"/>
          <w:color w:val="auto"/>
        </w:rPr>
        <w:t>Participant is voluntarily participating in the Plan;</w:t>
      </w:r>
    </w:p>
    <w:p>
      <w:pPr>
        <w:ind w:left="943" w:hanging="647"/>
        <w:spacing w:after="0" w:line="233" w:lineRule="auto"/>
        <w:tabs>
          <w:tab w:leader="none" w:pos="943" w:val="left"/>
        </w:tabs>
        <w:numPr>
          <w:ilvl w:val="2"/>
          <w:numId w:val="60"/>
        </w:numPr>
        <w:rPr>
          <w:rFonts w:ascii="Arial" w:cs="Arial" w:eastAsia="Arial" w:hAnsi="Arial"/>
          <w:sz w:val="21"/>
          <w:szCs w:val="21"/>
          <w:color w:val="auto"/>
        </w:rPr>
      </w:pPr>
      <w:r>
        <w:rPr>
          <w:rFonts w:ascii="Arial" w:cs="Arial" w:eastAsia="Arial" w:hAnsi="Arial"/>
          <w:sz w:val="21"/>
          <w:szCs w:val="21"/>
          <w:color w:val="auto"/>
        </w:rPr>
        <w:t>the Shares of Restricted Stock, and the income from and value of the same, are not intended to replace any pension rights or compensation;</w:t>
      </w:r>
    </w:p>
    <w:p>
      <w:pPr>
        <w:jc w:val="both"/>
        <w:ind w:left="943" w:hanging="531"/>
        <w:spacing w:after="0" w:line="233" w:lineRule="auto"/>
        <w:tabs>
          <w:tab w:leader="none" w:pos="943" w:val="left"/>
        </w:tabs>
        <w:numPr>
          <w:ilvl w:val="2"/>
          <w:numId w:val="60"/>
        </w:numPr>
        <w:rPr>
          <w:rFonts w:ascii="Arial" w:cs="Arial" w:eastAsia="Arial" w:hAnsi="Arial"/>
          <w:sz w:val="21"/>
          <w:szCs w:val="21"/>
          <w:color w:val="auto"/>
        </w:rPr>
      </w:pPr>
      <w:r>
        <w:rPr>
          <w:rFonts w:ascii="Arial" w:cs="Arial" w:eastAsia="Arial" w:hAnsi="Arial"/>
          <w:sz w:val="21"/>
          <w:szCs w:val="21"/>
          <w:color w:val="auto"/>
        </w:rPr>
        <w:t>the Shares of Restricted Stock, and the income and value of same, are not part of normal or expected compensation for purposes of calculating any severance, resignation, termination, redundancy, dismissal, end-of-service payments, holiday pay, bonuses, long-service awards, leave-related payments, holiday top-up, pension or retirement or welfare benefits or similar payments;</w:t>
      </w:r>
    </w:p>
    <w:p>
      <w:pPr>
        <w:spacing w:after="0" w:line="1" w:lineRule="exact"/>
        <w:rPr>
          <w:rFonts w:ascii="Arial" w:cs="Arial" w:eastAsia="Arial" w:hAnsi="Arial"/>
          <w:sz w:val="21"/>
          <w:szCs w:val="21"/>
          <w:color w:val="auto"/>
        </w:rPr>
      </w:pPr>
    </w:p>
    <w:p>
      <w:pPr>
        <w:ind w:left="943" w:hanging="473"/>
        <w:spacing w:after="0"/>
        <w:tabs>
          <w:tab w:leader="none" w:pos="943" w:val="left"/>
        </w:tabs>
        <w:numPr>
          <w:ilvl w:val="2"/>
          <w:numId w:val="60"/>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 certainty;</w:t>
      </w:r>
    </w:p>
    <w:p>
      <w:pPr>
        <w:spacing w:after="0" w:line="4" w:lineRule="exact"/>
        <w:rPr>
          <w:rFonts w:ascii="Arial" w:cs="Arial" w:eastAsia="Arial" w:hAnsi="Arial"/>
          <w:sz w:val="20"/>
          <w:szCs w:val="20"/>
          <w:color w:val="auto"/>
        </w:rPr>
      </w:pPr>
    </w:p>
    <w:p>
      <w:pPr>
        <w:jc w:val="both"/>
        <w:ind w:left="943" w:hanging="531"/>
        <w:spacing w:after="0" w:line="247" w:lineRule="auto"/>
        <w:tabs>
          <w:tab w:leader="none" w:pos="943" w:val="left"/>
        </w:tabs>
        <w:numPr>
          <w:ilvl w:val="2"/>
          <w:numId w:val="60"/>
        </w:numPr>
        <w:rPr>
          <w:rFonts w:ascii="Arial" w:cs="Arial" w:eastAsia="Arial" w:hAnsi="Arial"/>
          <w:sz w:val="20"/>
          <w:szCs w:val="20"/>
          <w:color w:val="auto"/>
        </w:rPr>
      </w:pPr>
      <w:r>
        <w:rPr>
          <w:rFonts w:ascii="Arial" w:cs="Arial" w:eastAsia="Arial" w:hAnsi="Arial"/>
          <w:sz w:val="20"/>
          <w:szCs w:val="20"/>
          <w:color w:val="auto"/>
        </w:rPr>
        <w:t>for purposes of the Shares of Restricted Stock, Participant’s status as a Service Provider will be considered terminated as of the date Participant is no longer actively providing services to the Company or any Subsidiary (regardless of the reason for such termination and whether or not later to be found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in its discretion, will not be extended by any notice period (e.g., Participant’s period of service would not include any contractual notice period or any period of “garden leave” or similar period mandated under employment laws in the jurisdiction where Participant is a Service Provider or the</w:t>
      </w:r>
    </w:p>
    <w:p>
      <w:pPr>
        <w:sectPr>
          <w:pgSz w:w="11900" w:h="16838" w:orient="portrait"/>
          <w:cols w:equalWidth="0" w:num="1">
            <w:col w:w="10923"/>
          </w:cols>
          <w:pgMar w:left="637" w:top="1440" w:right="339" w:bottom="1440" w:gutter="0" w:footer="0" w:header="0"/>
        </w:sectPr>
      </w:pPr>
    </w:p>
    <w:bookmarkStart w:id="110" w:name="page111"/>
    <w:bookmarkEnd w:id="110"/>
    <w:p>
      <w:pPr>
        <w:jc w:val="both"/>
        <w:ind w:left="943"/>
        <w:spacing w:after="0" w:line="237" w:lineRule="auto"/>
        <w:rPr>
          <w:sz w:val="20"/>
          <w:szCs w:val="20"/>
          <w:color w:val="auto"/>
        </w:rPr>
      </w:pPr>
      <w:r>
        <w:rPr>
          <w:rFonts w:ascii="Arial" w:cs="Arial" w:eastAsia="Arial" w:hAnsi="Arial"/>
          <w:sz w:val="21"/>
          <w:szCs w:val="21"/>
          <w:color w:val="auto"/>
        </w:rPr>
        <w:t>terms of Participant’s employment or service agreement, if any); the Administrator shall have the exclusive discretion to determine when Participant is no longer actively providing services for purposes of the Shares of Restricted Stock (including whether Participant may still be considered to be providing services while on a leave of absence and consistent with local law);</w:t>
      </w:r>
    </w:p>
    <w:p>
      <w:pPr>
        <w:spacing w:after="0" w:line="3" w:lineRule="exact"/>
        <w:rPr>
          <w:sz w:val="20"/>
          <w:szCs w:val="20"/>
          <w:color w:val="auto"/>
        </w:rPr>
      </w:pPr>
    </w:p>
    <w:p>
      <w:pPr>
        <w:jc w:val="both"/>
        <w:ind w:left="943" w:hanging="589"/>
        <w:spacing w:after="0" w:line="233" w:lineRule="auto"/>
        <w:tabs>
          <w:tab w:leader="none" w:pos="943" w:val="left"/>
        </w:tabs>
        <w:numPr>
          <w:ilvl w:val="2"/>
          <w:numId w:val="61"/>
        </w:numPr>
        <w:rPr>
          <w:rFonts w:ascii="Arial" w:cs="Arial" w:eastAsia="Arial" w:hAnsi="Arial"/>
          <w:sz w:val="21"/>
          <w:szCs w:val="21"/>
          <w:color w:val="auto"/>
        </w:rPr>
      </w:pPr>
      <w:r>
        <w:rPr>
          <w:rFonts w:ascii="Arial" w:cs="Arial" w:eastAsia="Arial" w:hAnsi="Arial"/>
          <w:sz w:val="21"/>
          <w:szCs w:val="21"/>
          <w:color w:val="auto"/>
        </w:rPr>
        <w:t>unless otherwise agreed with the Company, the Shares of Restricted Stock, and the income and value of the same, are not granted as consideration for, or in connection with, the service Participant may provide as a Director or as a member of the Board of Directors of any Subsidiary of the Company;</w:t>
      </w:r>
    </w:p>
    <w:p>
      <w:pPr>
        <w:jc w:val="both"/>
        <w:ind w:left="943" w:hanging="647"/>
        <w:spacing w:after="0" w:line="233" w:lineRule="auto"/>
        <w:tabs>
          <w:tab w:leader="none" w:pos="943" w:val="left"/>
        </w:tabs>
        <w:numPr>
          <w:ilvl w:val="2"/>
          <w:numId w:val="61"/>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any forfeiture of the Shares of Restricted Stock resulting from the termination of Participant’s status as a Service Provider (for any reason whatsoever, whether or not later found to be invalid or in breach of the employment laws in the jurisdiction where he or she is a Service Provider or the terms of his or her employment or service agreement, if any);</w:t>
      </w:r>
    </w:p>
    <w:p>
      <w:pPr>
        <w:spacing w:after="0" w:line="1" w:lineRule="exact"/>
        <w:rPr>
          <w:rFonts w:ascii="Arial" w:cs="Arial" w:eastAsia="Arial" w:hAnsi="Arial"/>
          <w:sz w:val="21"/>
          <w:szCs w:val="21"/>
          <w:color w:val="auto"/>
        </w:rPr>
      </w:pPr>
    </w:p>
    <w:p>
      <w:pPr>
        <w:jc w:val="both"/>
        <w:ind w:left="943" w:hanging="636"/>
        <w:spacing w:after="0" w:line="233" w:lineRule="auto"/>
        <w:tabs>
          <w:tab w:leader="none" w:pos="929" w:val="left"/>
        </w:tabs>
        <w:numPr>
          <w:ilvl w:val="1"/>
          <w:numId w:val="62"/>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Company in its discretion, the Shares of Restricted Stock and the benefits evidenced by this Award Agreement do not create any entitlement to have such Shares or any such benefits transferred to, or assumed by, another company nor be exchanged, cashed out or substituted for, in connection with any corporate transaction affecting the Shares; and</w:t>
      </w:r>
    </w:p>
    <w:p>
      <w:pPr>
        <w:spacing w:after="0" w:line="1" w:lineRule="exact"/>
        <w:rPr>
          <w:rFonts w:ascii="Arial" w:cs="Arial" w:eastAsia="Arial" w:hAnsi="Arial"/>
          <w:sz w:val="21"/>
          <w:szCs w:val="21"/>
          <w:color w:val="auto"/>
        </w:rPr>
      </w:pPr>
    </w:p>
    <w:p>
      <w:pPr>
        <w:jc w:val="both"/>
        <w:ind w:left="943" w:hanging="578"/>
        <w:spacing w:after="0" w:line="230" w:lineRule="auto"/>
        <w:tabs>
          <w:tab w:leader="none" w:pos="929" w:val="left"/>
        </w:tabs>
        <w:numPr>
          <w:ilvl w:val="1"/>
          <w:numId w:val="62"/>
        </w:numPr>
        <w:rPr>
          <w:rFonts w:ascii="Arial" w:cs="Arial" w:eastAsia="Arial" w:hAnsi="Arial"/>
          <w:sz w:val="21"/>
          <w:szCs w:val="21"/>
          <w:color w:val="auto"/>
        </w:rPr>
      </w:pPr>
      <w:r>
        <w:rPr>
          <w:rFonts w:ascii="Arial" w:cs="Arial" w:eastAsia="Arial" w:hAnsi="Arial"/>
          <w:sz w:val="21"/>
          <w:szCs w:val="21"/>
          <w:color w:val="auto"/>
        </w:rPr>
        <w:t xml:space="preserve">none of the Company, the Employer or any Subsidiary shall be liable for any foreign exchange rate fluctuation between Participant’s local currency and the United States Dollar that may affect the value of the Shares of Restricted Stock or of any amounts due to Participant pursuant to the release of such Shares from escrow or the subsequent </w:t>
      </w:r>
      <w:r>
        <w:rPr>
          <w:rFonts w:ascii="Arial" w:cs="Arial" w:eastAsia="Arial" w:hAnsi="Arial"/>
          <w:sz w:val="19"/>
          <w:szCs w:val="19"/>
          <w:color w:val="auto"/>
        </w:rPr>
        <w:t>sale of any</w:t>
      </w:r>
      <w:r>
        <w:rPr>
          <w:rFonts w:ascii="Arial" w:cs="Arial" w:eastAsia="Arial" w:hAnsi="Arial"/>
          <w:sz w:val="21"/>
          <w:szCs w:val="21"/>
          <w:color w:val="auto"/>
        </w:rPr>
        <w:t xml:space="preserve"> </w:t>
      </w:r>
      <w:r>
        <w:rPr>
          <w:rFonts w:ascii="Arial" w:cs="Arial" w:eastAsia="Arial" w:hAnsi="Arial"/>
          <w:sz w:val="19"/>
          <w:szCs w:val="19"/>
          <w:color w:val="auto"/>
        </w:rPr>
        <w:t>Shares acquired upon settlement.</w:t>
      </w:r>
    </w:p>
    <w:p>
      <w:pPr>
        <w:spacing w:after="0" w:line="2" w:lineRule="exact"/>
        <w:rPr>
          <w:rFonts w:ascii="Arial" w:cs="Arial" w:eastAsia="Arial" w:hAnsi="Arial"/>
          <w:sz w:val="21"/>
          <w:szCs w:val="21"/>
          <w:color w:val="auto"/>
        </w:rPr>
      </w:pPr>
    </w:p>
    <w:p>
      <w:pPr>
        <w:ind w:left="323" w:hanging="323"/>
        <w:spacing w:after="0" w:line="224" w:lineRule="auto"/>
        <w:tabs>
          <w:tab w:leader="none" w:pos="323" w:val="left"/>
        </w:tabs>
        <w:numPr>
          <w:ilvl w:val="0"/>
          <w:numId w:val="63"/>
        </w:numPr>
        <w:rPr>
          <w:rFonts w:ascii="Arial" w:cs="Arial" w:eastAsia="Arial" w:hAnsi="Arial"/>
          <w:sz w:val="21"/>
          <w:szCs w:val="21"/>
          <w:color w:val="auto"/>
        </w:rPr>
      </w:pPr>
      <w:r>
        <w:rPr>
          <w:rFonts w:ascii="Arial" w:cs="Arial" w:eastAsia="Arial" w:hAnsi="Arial"/>
          <w:sz w:val="19"/>
          <w:szCs w:val="19"/>
          <w:b w:val="1"/>
          <w:bCs w:val="1"/>
          <w:i w:val="1"/>
          <w:iCs w:val="1"/>
          <w:u w:val="single" w:color="auto"/>
          <w:color w:val="auto"/>
        </w:rPr>
        <w:t>Data Privacy Information and Consent.</w:t>
      </w:r>
    </w:p>
    <w:p>
      <w:pPr>
        <w:spacing w:after="0" w:line="6" w:lineRule="exact"/>
        <w:rPr>
          <w:rFonts w:ascii="Arial" w:cs="Arial" w:eastAsia="Arial" w:hAnsi="Arial"/>
          <w:sz w:val="21"/>
          <w:szCs w:val="21"/>
          <w:color w:val="auto"/>
        </w:rPr>
      </w:pPr>
    </w:p>
    <w:p>
      <w:pPr>
        <w:ind w:left="943" w:hanging="427"/>
        <w:spacing w:after="0" w:line="227" w:lineRule="auto"/>
        <w:tabs>
          <w:tab w:leader="none" w:pos="943" w:val="left"/>
        </w:tabs>
        <w:numPr>
          <w:ilvl w:val="2"/>
          <w:numId w:val="63"/>
        </w:numPr>
        <w:rPr>
          <w:rFonts w:ascii="Arial" w:cs="Arial" w:eastAsia="Arial" w:hAnsi="Arial"/>
          <w:sz w:val="21"/>
          <w:szCs w:val="21"/>
          <w:color w:val="auto"/>
        </w:rPr>
      </w:pPr>
      <w:r>
        <w:rPr>
          <w:rFonts w:ascii="Arial" w:cs="Arial" w:eastAsia="Arial" w:hAnsi="Arial"/>
          <w:sz w:val="19"/>
          <w:szCs w:val="19"/>
          <w:b w:val="1"/>
          <w:bCs w:val="1"/>
          <w:i w:val="1"/>
          <w:iCs w:val="1"/>
          <w:u w:val="single" w:color="auto"/>
          <w:color w:val="auto"/>
        </w:rPr>
        <w:t>European Union / European Economic Area / United Kingdom</w:t>
      </w:r>
    </w:p>
    <w:p>
      <w:pPr>
        <w:spacing w:after="0" w:line="6" w:lineRule="exact"/>
        <w:rPr>
          <w:rFonts w:ascii="Arial" w:cs="Arial" w:eastAsia="Arial" w:hAnsi="Arial"/>
          <w:sz w:val="21"/>
          <w:szCs w:val="21"/>
          <w:color w:val="auto"/>
        </w:rPr>
      </w:pPr>
    </w:p>
    <w:p>
      <w:pPr>
        <w:ind w:left="1563" w:hanging="311"/>
        <w:spacing w:after="0" w:line="232" w:lineRule="auto"/>
        <w:tabs>
          <w:tab w:leader="none" w:pos="1563" w:val="left"/>
        </w:tabs>
        <w:numPr>
          <w:ilvl w:val="3"/>
          <w:numId w:val="63"/>
        </w:numPr>
        <w:rPr>
          <w:rFonts w:ascii="Arial" w:cs="Arial" w:eastAsia="Arial" w:hAnsi="Arial"/>
          <w:sz w:val="21"/>
          <w:szCs w:val="21"/>
          <w:color w:val="auto"/>
        </w:rPr>
      </w:pPr>
      <w:r>
        <w:rPr>
          <w:rFonts w:ascii="Arial" w:cs="Arial" w:eastAsia="Arial" w:hAnsi="Arial"/>
          <w:sz w:val="19"/>
          <w:szCs w:val="19"/>
          <w:b w:val="1"/>
          <w:bCs w:val="1"/>
          <w:i w:val="1"/>
          <w:iCs w:val="1"/>
          <w:u w:val="single" w:color="auto"/>
          <w:color w:val="auto"/>
        </w:rPr>
        <w:t>Data Privacy Terms</w:t>
      </w:r>
      <w:r>
        <w:rPr>
          <w:rFonts w:ascii="Arial" w:cs="Arial" w:eastAsia="Arial" w:hAnsi="Arial"/>
          <w:sz w:val="19"/>
          <w:szCs w:val="19"/>
          <w:b w:val="1"/>
          <w:bCs w:val="1"/>
          <w:i w:val="1"/>
          <w:iCs w:val="1"/>
          <w:color w:val="auto"/>
        </w:rPr>
        <w:t>. The following data privacy terms govern the grant of Shares of Restricted Stock under the Plan to Participants in the European Union / European Economic Area / United Kingdom.</w:t>
      </w:r>
    </w:p>
    <w:p>
      <w:pPr>
        <w:spacing w:after="0" w:line="1" w:lineRule="exact"/>
        <w:rPr>
          <w:rFonts w:ascii="Arial" w:cs="Arial" w:eastAsia="Arial" w:hAnsi="Arial"/>
          <w:sz w:val="21"/>
          <w:szCs w:val="21"/>
          <w:color w:val="auto"/>
        </w:rPr>
      </w:pPr>
    </w:p>
    <w:p>
      <w:pPr>
        <w:jc w:val="both"/>
        <w:ind w:left="1563" w:hanging="311"/>
        <w:spacing w:after="0" w:line="264" w:lineRule="auto"/>
        <w:tabs>
          <w:tab w:leader="none" w:pos="1563" w:val="left"/>
        </w:tabs>
        <w:numPr>
          <w:ilvl w:val="3"/>
          <w:numId w:val="63"/>
        </w:numPr>
        <w:rPr>
          <w:rFonts w:ascii="Arial" w:cs="Arial" w:eastAsia="Arial" w:hAnsi="Arial"/>
          <w:sz w:val="19"/>
          <w:szCs w:val="19"/>
          <w:color w:val="auto"/>
        </w:rPr>
      </w:pPr>
      <w:r>
        <w:rPr>
          <w:rFonts w:ascii="Arial" w:cs="Arial" w:eastAsia="Arial" w:hAnsi="Arial"/>
          <w:sz w:val="17"/>
          <w:szCs w:val="17"/>
          <w:b w:val="1"/>
          <w:bCs w:val="1"/>
          <w:i w:val="1"/>
          <w:iCs w:val="1"/>
          <w:u w:val="single" w:color="auto"/>
          <w:color w:val="auto"/>
        </w:rPr>
        <w:t>Data Collection and Usage</w:t>
      </w:r>
      <w:r>
        <w:rPr>
          <w:rFonts w:ascii="Arial" w:cs="Arial" w:eastAsia="Arial" w:hAnsi="Arial"/>
          <w:sz w:val="17"/>
          <w:szCs w:val="17"/>
          <w:b w:val="1"/>
          <w:bCs w:val="1"/>
          <w:i w:val="1"/>
          <w:iCs w:val="1"/>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his or her favor (“Data”), for the purpose of implementing, administering and managing the Participant’s participation in the Plan. The Company’s collection, use, transfer and other processing of Participant’s Data is necessary for the performance of the Plan. Therefore, the legal basis for the processing of Data is contractual necessity.</w:t>
      </w:r>
    </w:p>
    <w:p>
      <w:pPr>
        <w:spacing w:after="0" w:line="1" w:lineRule="exact"/>
        <w:rPr>
          <w:rFonts w:ascii="Arial" w:cs="Arial" w:eastAsia="Arial" w:hAnsi="Arial"/>
          <w:sz w:val="19"/>
          <w:szCs w:val="19"/>
          <w:color w:val="auto"/>
        </w:rPr>
      </w:pPr>
    </w:p>
    <w:p>
      <w:pPr>
        <w:jc w:val="both"/>
        <w:ind w:left="1563" w:hanging="311"/>
        <w:spacing w:after="0" w:line="238" w:lineRule="auto"/>
        <w:tabs>
          <w:tab w:leader="none" w:pos="1563" w:val="left"/>
        </w:tabs>
        <w:numPr>
          <w:ilvl w:val="3"/>
          <w:numId w:val="63"/>
        </w:numPr>
        <w:rPr>
          <w:rFonts w:ascii="Arial" w:cs="Arial" w:eastAsia="Arial" w:hAnsi="Arial"/>
          <w:sz w:val="21"/>
          <w:szCs w:val="21"/>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xml:space="preserve">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w:t>
      </w:r>
    </w:p>
    <w:p>
      <w:pPr>
        <w:sectPr>
          <w:pgSz w:w="11900" w:h="16838" w:orient="portrait"/>
          <w:cols w:equalWidth="0" w:num="1">
            <w:col w:w="10923"/>
          </w:cols>
          <w:pgMar w:left="637" w:top="1370" w:right="339" w:bottom="1440" w:gutter="0" w:footer="0" w:header="0"/>
        </w:sectPr>
      </w:pPr>
    </w:p>
    <w:bookmarkStart w:id="111" w:name="page112"/>
    <w:bookmarkEnd w:id="111"/>
    <w:p>
      <w:pPr>
        <w:jc w:val="both"/>
        <w:ind w:left="1105"/>
        <w:spacing w:after="0" w:line="238" w:lineRule="auto"/>
        <w:rPr>
          <w:sz w:val="20"/>
          <w:szCs w:val="20"/>
          <w:color w:val="auto"/>
        </w:rPr>
      </w:pPr>
      <w:r>
        <w:rPr>
          <w:rFonts w:ascii="Arial" w:cs="Arial" w:eastAsia="Arial" w:hAnsi="Arial"/>
          <w:sz w:val="19"/>
          <w:szCs w:val="19"/>
          <w:b w:val="1"/>
          <w:bCs w:val="1"/>
          <w:i w:val="1"/>
          <w:iCs w:val="1"/>
          <w:color w:val="auto"/>
        </w:rPr>
        <w:t>such other service providers in a similar manner. Participant may be asked to agree on separate terms and data processing practices with the service provider, with such agreement being a condition to the ability to participate in the Plan.</w:t>
      </w:r>
    </w:p>
    <w:p>
      <w:pPr>
        <w:spacing w:after="0" w:line="2" w:lineRule="exact"/>
        <w:rPr>
          <w:sz w:val="20"/>
          <w:szCs w:val="20"/>
          <w:color w:val="auto"/>
        </w:rPr>
      </w:pPr>
    </w:p>
    <w:p>
      <w:pPr>
        <w:jc w:val="both"/>
        <w:ind w:left="1105" w:hanging="311"/>
        <w:spacing w:after="0" w:line="264" w:lineRule="auto"/>
        <w:tabs>
          <w:tab w:leader="none" w:pos="1105" w:val="left"/>
        </w:tabs>
        <w:numPr>
          <w:ilvl w:val="1"/>
          <w:numId w:val="64"/>
        </w:numPr>
        <w:rPr>
          <w:rFonts w:ascii="Arial" w:cs="Arial" w:eastAsia="Arial" w:hAnsi="Arial"/>
          <w:sz w:val="19"/>
          <w:szCs w:val="19"/>
          <w:color w:val="auto"/>
        </w:rPr>
      </w:pPr>
      <w:r>
        <w:rPr>
          <w:rFonts w:ascii="Arial" w:cs="Arial" w:eastAsia="Arial" w:hAnsi="Arial"/>
          <w:sz w:val="17"/>
          <w:szCs w:val="17"/>
          <w:b w:val="1"/>
          <w:bCs w:val="1"/>
          <w:i w:val="1"/>
          <w:iCs w:val="1"/>
          <w:u w:val="single" w:color="auto"/>
          <w:color w:val="auto"/>
        </w:rPr>
        <w:t>International Data Transfers</w:t>
      </w:r>
      <w:r>
        <w:rPr>
          <w:rFonts w:ascii="Arial" w:cs="Arial" w:eastAsia="Arial" w:hAnsi="Arial"/>
          <w:sz w:val="17"/>
          <w:szCs w:val="17"/>
          <w:b w:val="1"/>
          <w:bCs w:val="1"/>
          <w:i w:val="1"/>
          <w:iCs w:val="1"/>
          <w:color w:val="auto"/>
        </w:rPr>
        <w:t>. The Company and Shareworks are based in the United States and Canada, respectively. If Participant is outside the United States or Canada, Participant should note that his or her country has enacted data privacy laws that are different from the United States or Canada and that the United States and Canada might not provide a level of protection of personal data equivalent to the level of protection in Participant's country. The United States is subject to adequacy decisions by the European Commission and Switzerland acknowledging that the United States provides an adequate level of protection for personal data transferred to organizations in the United States that have self-certified under the EU/U.S. and Swiss/U.S. Privacy Shield Frameworks. The Company is self-certified under the EU/U.S. and Swiss/U.S. Privacy Shield Frameworks. Shareworks has made contractual commitments to the Company to comply with the EU/U.S. and Swiss/U.S. Privacy Shield Principles and processes Participant’s personal data in a manner consistent with those principles.</w:t>
      </w:r>
    </w:p>
    <w:p>
      <w:pPr>
        <w:spacing w:after="0" w:line="4" w:lineRule="exact"/>
        <w:rPr>
          <w:rFonts w:ascii="Arial" w:cs="Arial" w:eastAsia="Arial" w:hAnsi="Arial"/>
          <w:sz w:val="19"/>
          <w:szCs w:val="19"/>
          <w:color w:val="auto"/>
        </w:rPr>
      </w:pPr>
    </w:p>
    <w:p>
      <w:pPr>
        <w:jc w:val="both"/>
        <w:ind w:left="1105" w:hanging="311"/>
        <w:spacing w:after="0" w:line="239" w:lineRule="auto"/>
        <w:tabs>
          <w:tab w:leader="none" w:pos="1105" w:val="left"/>
        </w:tabs>
        <w:numPr>
          <w:ilvl w:val="1"/>
          <w:numId w:val="64"/>
        </w:numPr>
        <w:rPr>
          <w:rFonts w:ascii="Arial" w:cs="Arial" w:eastAsia="Arial" w:hAnsi="Arial"/>
          <w:sz w:val="21"/>
          <w:szCs w:val="21"/>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 their systems used for such purposes, to the fullest extent possible.</w:t>
      </w:r>
    </w:p>
    <w:p>
      <w:pPr>
        <w:spacing w:after="0" w:line="1" w:lineRule="exact"/>
        <w:rPr>
          <w:rFonts w:ascii="Arial" w:cs="Arial" w:eastAsia="Arial" w:hAnsi="Arial"/>
          <w:sz w:val="21"/>
          <w:szCs w:val="21"/>
          <w:color w:val="auto"/>
        </w:rPr>
      </w:pPr>
    </w:p>
    <w:p>
      <w:pPr>
        <w:jc w:val="both"/>
        <w:ind w:left="1105" w:hanging="311"/>
        <w:spacing w:after="0" w:line="277" w:lineRule="auto"/>
        <w:tabs>
          <w:tab w:leader="none" w:pos="1105" w:val="left"/>
        </w:tabs>
        <w:numPr>
          <w:ilvl w:val="1"/>
          <w:numId w:val="64"/>
        </w:numPr>
        <w:rPr>
          <w:rFonts w:ascii="Arial" w:cs="Arial" w:eastAsia="Arial" w:hAnsi="Arial"/>
          <w:sz w:val="18"/>
          <w:szCs w:val="18"/>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3" w:lineRule="exact"/>
        <w:rPr>
          <w:rFonts w:ascii="Arial" w:cs="Arial" w:eastAsia="Arial" w:hAnsi="Arial"/>
          <w:sz w:val="18"/>
          <w:szCs w:val="18"/>
          <w:color w:val="auto"/>
        </w:rPr>
      </w:pPr>
    </w:p>
    <w:p>
      <w:pPr>
        <w:ind w:left="485" w:hanging="485"/>
        <w:spacing w:after="0" w:line="224" w:lineRule="auto"/>
        <w:tabs>
          <w:tab w:leader="none" w:pos="485" w:val="left"/>
        </w:tabs>
        <w:numPr>
          <w:ilvl w:val="0"/>
          <w:numId w:val="65"/>
        </w:numPr>
        <w:rPr>
          <w:rFonts w:ascii="Arial" w:cs="Arial" w:eastAsia="Arial" w:hAnsi="Arial"/>
          <w:sz w:val="21"/>
          <w:szCs w:val="21"/>
          <w:color w:val="auto"/>
        </w:rPr>
      </w:pPr>
      <w:r>
        <w:rPr>
          <w:rFonts w:ascii="Arial" w:cs="Arial" w:eastAsia="Arial" w:hAnsi="Arial"/>
          <w:sz w:val="19"/>
          <w:szCs w:val="19"/>
          <w:b w:val="1"/>
          <w:bCs w:val="1"/>
          <w:i w:val="1"/>
          <w:iCs w:val="1"/>
          <w:u w:val="single" w:color="auto"/>
          <w:color w:val="auto"/>
        </w:rPr>
        <w:t>Non-European Union / European Economic Area / United Kingdom</w:t>
      </w:r>
    </w:p>
    <w:p>
      <w:pPr>
        <w:spacing w:after="0" w:line="6" w:lineRule="exact"/>
        <w:rPr>
          <w:rFonts w:ascii="Arial" w:cs="Arial" w:eastAsia="Arial" w:hAnsi="Arial"/>
          <w:sz w:val="21"/>
          <w:szCs w:val="21"/>
          <w:color w:val="auto"/>
        </w:rPr>
      </w:pPr>
    </w:p>
    <w:p>
      <w:pPr>
        <w:ind w:left="1105" w:hanging="311"/>
        <w:spacing w:after="0" w:line="244" w:lineRule="auto"/>
        <w:tabs>
          <w:tab w:leader="none" w:pos="1105" w:val="left"/>
        </w:tabs>
        <w:numPr>
          <w:ilvl w:val="1"/>
          <w:numId w:val="65"/>
        </w:numPr>
        <w:rPr>
          <w:rFonts w:ascii="Arial" w:cs="Arial" w:eastAsia="Arial" w:hAnsi="Arial"/>
          <w:sz w:val="20"/>
          <w:szCs w:val="20"/>
          <w:color w:val="auto"/>
        </w:rPr>
      </w:pPr>
      <w:r>
        <w:rPr>
          <w:rFonts w:ascii="Arial" w:cs="Arial" w:eastAsia="Arial" w:hAnsi="Arial"/>
          <w:sz w:val="18"/>
          <w:szCs w:val="18"/>
          <w:b w:val="1"/>
          <w:bCs w:val="1"/>
          <w:i w:val="1"/>
          <w:iCs w:val="1"/>
          <w:u w:val="single" w:color="auto"/>
          <w:color w:val="auto"/>
        </w:rPr>
        <w:t>Data Privacy Terms</w:t>
      </w:r>
      <w:r>
        <w:rPr>
          <w:rFonts w:ascii="Arial" w:cs="Arial" w:eastAsia="Arial" w:hAnsi="Arial"/>
          <w:sz w:val="18"/>
          <w:szCs w:val="18"/>
          <w:b w:val="1"/>
          <w:bCs w:val="1"/>
          <w:i w:val="1"/>
          <w:iCs w:val="1"/>
          <w:color w:val="auto"/>
        </w:rPr>
        <w:t>. The following data privacy terms govern the grant of Shares of Restricted Stock under the Plan to Participants outside the European Union / European Economic Area / United Kingdom.</w:t>
      </w:r>
    </w:p>
    <w:p>
      <w:pPr>
        <w:spacing w:after="0" w:line="1" w:lineRule="exact"/>
        <w:rPr>
          <w:rFonts w:ascii="Arial" w:cs="Arial" w:eastAsia="Arial" w:hAnsi="Arial"/>
          <w:sz w:val="20"/>
          <w:szCs w:val="20"/>
          <w:color w:val="auto"/>
        </w:rPr>
      </w:pPr>
    </w:p>
    <w:p>
      <w:pPr>
        <w:jc w:val="both"/>
        <w:ind w:left="1105" w:hanging="311"/>
        <w:spacing w:after="0" w:line="244" w:lineRule="auto"/>
        <w:tabs>
          <w:tab w:leader="none" w:pos="1105" w:val="left"/>
        </w:tabs>
        <w:numPr>
          <w:ilvl w:val="1"/>
          <w:numId w:val="65"/>
        </w:numPr>
        <w:rPr>
          <w:rFonts w:ascii="Arial" w:cs="Arial" w:eastAsia="Arial" w:hAnsi="Arial"/>
          <w:sz w:val="20"/>
          <w:szCs w:val="20"/>
          <w:color w:val="auto"/>
        </w:rPr>
      </w:pPr>
      <w:r>
        <w:rPr>
          <w:rFonts w:ascii="Arial" w:cs="Arial" w:eastAsia="Arial" w:hAnsi="Arial"/>
          <w:sz w:val="18"/>
          <w:szCs w:val="18"/>
          <w:b w:val="1"/>
          <w:bCs w:val="1"/>
          <w:i w:val="1"/>
          <w:iCs w:val="1"/>
          <w:u w:val="single" w:color="auto"/>
          <w:color w:val="auto"/>
        </w:rPr>
        <w:t>Data Collection and Usage</w:t>
      </w:r>
      <w:r>
        <w:rPr>
          <w:rFonts w:ascii="Arial" w:cs="Arial" w:eastAsia="Arial" w:hAnsi="Arial"/>
          <w:sz w:val="18"/>
          <w:szCs w:val="18"/>
          <w:b w:val="1"/>
          <w:bCs w:val="1"/>
          <w:i w:val="1"/>
          <w:iCs w:val="1"/>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w:t>
      </w:r>
    </w:p>
    <w:p>
      <w:pPr>
        <w:sectPr>
          <w:pgSz w:w="11900" w:h="16838" w:orient="portrait"/>
          <w:cols w:equalWidth="0" w:num="1">
            <w:col w:w="10465"/>
          </w:cols>
          <w:pgMar w:left="1095" w:top="1387" w:right="339" w:bottom="1440" w:gutter="0" w:footer="0" w:header="0"/>
        </w:sectPr>
      </w:pPr>
    </w:p>
    <w:bookmarkStart w:id="112" w:name="page113"/>
    <w:bookmarkEnd w:id="112"/>
    <w:p>
      <w:pPr>
        <w:jc w:val="both"/>
        <w:ind w:left="760"/>
        <w:spacing w:after="0" w:line="243" w:lineRule="auto"/>
        <w:rPr>
          <w:sz w:val="20"/>
          <w:szCs w:val="20"/>
          <w:color w:val="auto"/>
        </w:rPr>
      </w:pPr>
      <w:r>
        <w:rPr>
          <w:rFonts w:ascii="Arial" w:cs="Arial" w:eastAsia="Arial" w:hAnsi="Arial"/>
          <w:sz w:val="19"/>
          <w:szCs w:val="19"/>
          <w:b w:val="1"/>
          <w:bCs w:val="1"/>
          <w:i w:val="1"/>
          <w:iCs w:val="1"/>
          <w:color w:val="auto"/>
        </w:rPr>
        <w:t>outstanding in his or her favor (“Data”), for the purpose of implementing, administering and managing the Participant’s participation in the Plan. The legal basis, where required, for the processing of Data is the Participant’s consent.</w:t>
      </w:r>
    </w:p>
    <w:p>
      <w:pPr>
        <w:spacing w:after="0" w:line="2" w:lineRule="exact"/>
        <w:rPr>
          <w:sz w:val="20"/>
          <w:szCs w:val="20"/>
          <w:color w:val="auto"/>
        </w:rPr>
      </w:pPr>
    </w:p>
    <w:p>
      <w:pPr>
        <w:jc w:val="both"/>
        <w:ind w:left="760" w:hanging="311"/>
        <w:spacing w:after="0" w:line="255" w:lineRule="auto"/>
        <w:tabs>
          <w:tab w:leader="none" w:pos="760" w:val="left"/>
        </w:tabs>
        <w:numPr>
          <w:ilvl w:val="0"/>
          <w:numId w:val="66"/>
        </w:numPr>
        <w:rPr>
          <w:rFonts w:ascii="Arial" w:cs="Arial" w:eastAsia="Arial" w:hAnsi="Arial"/>
          <w:sz w:val="20"/>
          <w:szCs w:val="20"/>
          <w:color w:val="auto"/>
        </w:rPr>
      </w:pPr>
      <w:r>
        <w:rPr>
          <w:rFonts w:ascii="Arial" w:cs="Arial" w:eastAsia="Arial" w:hAnsi="Arial"/>
          <w:sz w:val="18"/>
          <w:szCs w:val="18"/>
          <w:b w:val="1"/>
          <w:bCs w:val="1"/>
          <w:i w:val="1"/>
          <w:iCs w:val="1"/>
          <w:u w:val="single" w:color="auto"/>
          <w:color w:val="auto"/>
        </w:rPr>
        <w:t>Stock Plan Administration Service Providers</w:t>
      </w:r>
      <w:r>
        <w:rPr>
          <w:rFonts w:ascii="Arial" w:cs="Arial" w:eastAsia="Arial" w:hAnsi="Arial"/>
          <w:sz w:val="18"/>
          <w:szCs w:val="18"/>
          <w:b w:val="1"/>
          <w:bCs w:val="1"/>
          <w:i w:val="1"/>
          <w:iCs w:val="1"/>
          <w:color w:val="auto"/>
        </w:rPr>
        <w:t>.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 such other service providers in a similar manner. Participant may be asked to agree on separate terms and data processing practices with the service provider, with such agreement being a condition to the ability to participate in the Plan.</w:t>
      </w:r>
    </w:p>
    <w:p>
      <w:pPr>
        <w:spacing w:after="0" w:line="1" w:lineRule="exact"/>
        <w:rPr>
          <w:rFonts w:ascii="Arial" w:cs="Arial" w:eastAsia="Arial" w:hAnsi="Arial"/>
          <w:sz w:val="20"/>
          <w:szCs w:val="20"/>
          <w:color w:val="auto"/>
        </w:rPr>
      </w:pPr>
    </w:p>
    <w:p>
      <w:pPr>
        <w:jc w:val="both"/>
        <w:ind w:left="760" w:hanging="311"/>
        <w:spacing w:after="0" w:line="246" w:lineRule="auto"/>
        <w:tabs>
          <w:tab w:leader="none" w:pos="760" w:val="left"/>
        </w:tabs>
        <w:numPr>
          <w:ilvl w:val="0"/>
          <w:numId w:val="66"/>
        </w:numPr>
        <w:rPr>
          <w:rFonts w:ascii="Arial" w:cs="Arial" w:eastAsia="Arial" w:hAnsi="Arial"/>
          <w:sz w:val="20"/>
          <w:szCs w:val="20"/>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Shareworks are based in the United States and Canada, respectively. If Participant is outside the United States or Canada, Participant should note that his or her country may have enacted data privacy laws that are different from the United States or Canada and that the United States and Canada might not provide a level of protection of personal data equivalent to the level of protection in Participant's country. Participant authorizes the Company, Shareworks and any other possible recipients which may assist the Company (presently or in the future) with implementing, administering and managing the Plan to receive, possess, use, retain and transfer the Data, in electronic or other form, for the sole purposes implementing, administering and managing Participant’s participation in the Plan.</w:t>
      </w:r>
    </w:p>
    <w:p>
      <w:pPr>
        <w:jc w:val="both"/>
        <w:ind w:left="760" w:hanging="311"/>
        <w:spacing w:after="0" w:line="239" w:lineRule="auto"/>
        <w:tabs>
          <w:tab w:leader="none" w:pos="760" w:val="left"/>
        </w:tabs>
        <w:numPr>
          <w:ilvl w:val="0"/>
          <w:numId w:val="66"/>
        </w:numPr>
        <w:rPr>
          <w:rFonts w:ascii="Arial" w:cs="Arial" w:eastAsia="Arial" w:hAnsi="Arial"/>
          <w:sz w:val="21"/>
          <w:szCs w:val="21"/>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 their systems used for such purposes, to the fullest extent possible.</w:t>
      </w:r>
    </w:p>
    <w:p>
      <w:pPr>
        <w:spacing w:after="0" w:line="1" w:lineRule="exact"/>
        <w:rPr>
          <w:rFonts w:ascii="Arial" w:cs="Arial" w:eastAsia="Arial" w:hAnsi="Arial"/>
          <w:sz w:val="21"/>
          <w:szCs w:val="21"/>
          <w:color w:val="auto"/>
        </w:rPr>
      </w:pPr>
    </w:p>
    <w:p>
      <w:pPr>
        <w:jc w:val="both"/>
        <w:ind w:left="760" w:hanging="311"/>
        <w:spacing w:after="0" w:line="234" w:lineRule="auto"/>
        <w:tabs>
          <w:tab w:leader="none" w:pos="760" w:val="left"/>
        </w:tabs>
        <w:numPr>
          <w:ilvl w:val="0"/>
          <w:numId w:val="66"/>
        </w:numPr>
        <w:rPr>
          <w:rFonts w:ascii="Arial" w:cs="Arial" w:eastAsia="Arial" w:hAnsi="Arial"/>
          <w:sz w:val="21"/>
          <w:szCs w:val="21"/>
          <w:color w:val="auto"/>
        </w:rPr>
      </w:pPr>
      <w:r>
        <w:rPr>
          <w:rFonts w:ascii="Arial" w:cs="Arial" w:eastAsia="Arial" w:hAnsi="Arial"/>
          <w:sz w:val="19"/>
          <w:szCs w:val="19"/>
          <w:b w:val="1"/>
          <w:bCs w:val="1"/>
          <w:i w:val="1"/>
          <w:iCs w:val="1"/>
          <w:u w:val="single" w:color="auto"/>
          <w:color w:val="auto"/>
        </w:rPr>
        <w:t>Voluntariness and Consequences of Consent, Denial or Withdrawal</w:t>
      </w:r>
      <w:r>
        <w:rPr>
          <w:rFonts w:ascii="Arial" w:cs="Arial" w:eastAsia="Arial" w:hAnsi="Arial"/>
          <w:sz w:val="19"/>
          <w:szCs w:val="19"/>
          <w:b w:val="1"/>
          <w:bCs w:val="1"/>
          <w:i w:val="1"/>
          <w:iCs w:val="1"/>
          <w:color w:val="auto"/>
        </w:rPr>
        <w:t>. Participation in the Plan is voluntary and Participant is providing the consents herein on a purely voluntary basis. If Participant does not consent, or if he or she later seeks to revoke the consent, Participant’s compensation from or service relationship with the Employer will not be affected; the only consequence of refusing or withdrawing his or her consent is that the Company would not be able to grant Participant the Shares of Restricted Stock or other Awards under the Plan or administer or maintain such Awards.</w:t>
      </w:r>
    </w:p>
    <w:p>
      <w:pPr>
        <w:spacing w:after="0" w:line="3" w:lineRule="exact"/>
        <w:rPr>
          <w:rFonts w:ascii="Arial" w:cs="Arial" w:eastAsia="Arial" w:hAnsi="Arial"/>
          <w:sz w:val="21"/>
          <w:szCs w:val="21"/>
          <w:color w:val="auto"/>
        </w:rPr>
      </w:pPr>
    </w:p>
    <w:p>
      <w:pPr>
        <w:jc w:val="both"/>
        <w:ind w:left="760" w:hanging="311"/>
        <w:spacing w:after="0" w:line="284"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w:t>
      </w:r>
    </w:p>
    <w:p>
      <w:pPr>
        <w:sectPr>
          <w:pgSz w:w="11900" w:h="16838" w:orient="portrait"/>
          <w:cols w:equalWidth="0" w:num="1">
            <w:col w:w="10120"/>
          </w:cols>
          <w:pgMar w:left="1440" w:top="1374" w:right="339" w:bottom="1440" w:gutter="0" w:footer="0" w:header="0"/>
        </w:sectPr>
      </w:pPr>
    </w:p>
    <w:bookmarkStart w:id="113" w:name="page114"/>
    <w:bookmarkEnd w:id="113"/>
    <w:p>
      <w:pPr>
        <w:ind w:left="1880"/>
        <w:spacing w:after="0" w:line="272" w:lineRule="auto"/>
        <w:rPr>
          <w:sz w:val="20"/>
          <w:szCs w:val="20"/>
          <w:color w:val="auto"/>
        </w:rPr>
      </w:pPr>
      <w:r>
        <w:rPr>
          <w:rFonts w:ascii="Arial" w:cs="Arial" w:eastAsia="Arial" w:hAnsi="Arial"/>
          <w:sz w:val="17"/>
          <w:szCs w:val="17"/>
          <w:b w:val="1"/>
          <w:bCs w:val="1"/>
          <w:i w:val="1"/>
          <w:iCs w:val="1"/>
          <w:color w:val="auto"/>
        </w:rPr>
        <w:t>receive a list with the names and addresses of any potential recipients of Data. To receive clarification regarding these rights or to exercise these rights, Participant can contact his or her local human resources representative.</w:t>
      </w:r>
    </w:p>
    <w:p>
      <w:pPr>
        <w:spacing w:after="0" w:line="1" w:lineRule="exact"/>
        <w:rPr>
          <w:sz w:val="20"/>
          <w:szCs w:val="20"/>
          <w:color w:val="auto"/>
        </w:rPr>
      </w:pPr>
    </w:p>
    <w:p>
      <w:pPr>
        <w:jc w:val="both"/>
        <w:ind w:left="1880" w:hanging="311"/>
        <w:spacing w:after="0" w:line="279" w:lineRule="auto"/>
        <w:tabs>
          <w:tab w:leader="none" w:pos="1880" w:val="left"/>
        </w:tabs>
        <w:numPr>
          <w:ilvl w:val="0"/>
          <w:numId w:val="67"/>
        </w:numPr>
        <w:rPr>
          <w:rFonts w:ascii="Arial" w:cs="Arial" w:eastAsia="Arial" w:hAnsi="Arial"/>
          <w:sz w:val="18"/>
          <w:szCs w:val="18"/>
          <w:color w:val="auto"/>
        </w:rPr>
      </w:pPr>
      <w:r>
        <w:rPr>
          <w:rFonts w:ascii="Arial" w:cs="Arial" w:eastAsia="Arial" w:hAnsi="Arial"/>
          <w:sz w:val="16"/>
          <w:szCs w:val="16"/>
          <w:b w:val="1"/>
          <w:bCs w:val="1"/>
          <w:i w:val="1"/>
          <w:iCs w:val="1"/>
          <w:u w:val="single" w:color="auto"/>
          <w:color w:val="auto"/>
        </w:rPr>
        <w:t>Additional Consents</w:t>
      </w:r>
      <w:r>
        <w:rPr>
          <w:rFonts w:ascii="Arial" w:cs="Arial" w:eastAsia="Arial" w:hAnsi="Arial"/>
          <w:sz w:val="16"/>
          <w:szCs w:val="16"/>
          <w:b w:val="1"/>
          <w:bCs w:val="1"/>
          <w:i w:val="1"/>
          <w:iCs w:val="1"/>
          <w:color w:val="auto"/>
        </w:rPr>
        <w:t>. Upon request of the Company or the Employer, Participant agrees to provide an executed data privacy consent form to the Company and/or the Employer (or any other agreements or consents that may be required by the Company and/or the Employer) that the Company and/or the Employer may deem necessary to obtain from Participant for the purpose of administering his or her participation in the Plan in compliance with the applicable data privacy laws, either now or in the future. Participant understands and agrees that he or she will not be able to</w:t>
      </w:r>
    </w:p>
    <w:p>
      <w:pPr>
        <w:spacing w:after="0" w:line="2" w:lineRule="exact"/>
        <w:rPr>
          <w:sz w:val="20"/>
          <w:szCs w:val="20"/>
          <w:color w:val="auto"/>
        </w:rPr>
      </w:pPr>
    </w:p>
    <w:p>
      <w:pPr>
        <w:ind w:left="1880"/>
        <w:spacing w:after="0" w:line="229" w:lineRule="auto"/>
        <w:rPr>
          <w:sz w:val="20"/>
          <w:szCs w:val="20"/>
          <w:color w:val="auto"/>
        </w:rPr>
      </w:pPr>
      <w:r>
        <w:rPr>
          <w:rFonts w:ascii="Arial" w:cs="Arial" w:eastAsia="Arial" w:hAnsi="Arial"/>
          <w:sz w:val="19"/>
          <w:szCs w:val="19"/>
          <w:b w:val="1"/>
          <w:bCs w:val="1"/>
          <w:i w:val="1"/>
          <w:iCs w:val="1"/>
          <w:color w:val="auto"/>
        </w:rPr>
        <w:t>participate in the Plan if Participant fails to provide any such consent or agreement requested by the Company and/or the Employer.</w:t>
      </w:r>
    </w:p>
    <w:p>
      <w:pPr>
        <w:jc w:val="both"/>
        <w:ind w:firstLine="626"/>
        <w:spacing w:after="0" w:line="247" w:lineRule="auto"/>
        <w:rPr>
          <w:sz w:val="20"/>
          <w:szCs w:val="20"/>
          <w:color w:val="auto"/>
        </w:rPr>
      </w:pPr>
      <w:r>
        <w:rPr>
          <w:rFonts w:ascii="Arial" w:cs="Arial" w:eastAsia="Arial" w:hAnsi="Arial"/>
          <w:sz w:val="18"/>
          <w:szCs w:val="18"/>
          <w:b w:val="1"/>
          <w:bCs w:val="1"/>
          <w:i w:val="1"/>
          <w:iCs w:val="1"/>
          <w:color w:val="auto"/>
        </w:rPr>
        <w:t>By clicking “Accept” on the Shareworks award acceptance page or otherwise accepting this Award, Participant also provides his or her consent to the data processing practices described in this section to the extent that such consent is required by applicable law. For the avoidance of doubt, the consent provided herein shall be in addition to, and not in lieu of, any consent Participant might have previously provided to the processing of his or her personal information in the context of an agreement or Award implemented under the Plan and all such previous consent shall remain unaffected by the consent provided herein.</w:t>
      </w:r>
    </w:p>
    <w:p>
      <w:pPr>
        <w:spacing w:after="0" w:line="2" w:lineRule="exact"/>
        <w:rPr>
          <w:sz w:val="20"/>
          <w:szCs w:val="20"/>
          <w:color w:val="auto"/>
        </w:rPr>
      </w:pPr>
    </w:p>
    <w:p>
      <w:pPr>
        <w:jc w:val="both"/>
        <w:ind w:left="640" w:hanging="323"/>
        <w:spacing w:after="0" w:line="236" w:lineRule="auto"/>
        <w:tabs>
          <w:tab w:leader="none" w:pos="640" w:val="left"/>
        </w:tabs>
        <w:numPr>
          <w:ilvl w:val="0"/>
          <w:numId w:val="68"/>
        </w:numPr>
        <w:rPr>
          <w:rFonts w:ascii="Arial" w:cs="Arial" w:eastAsia="Arial" w:hAnsi="Arial"/>
          <w:sz w:val="21"/>
          <w:szCs w:val="21"/>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xml:space="preserve">. By accepting this Award, Participant acknowledges and represent that he or she is proficient in the English language </w:t>
      </w:r>
      <w:r>
        <w:rPr>
          <w:rFonts w:ascii="Arial" w:cs="Arial" w:eastAsia="Arial" w:hAnsi="Arial"/>
          <w:sz w:val="20"/>
          <w:szCs w:val="20"/>
          <w:color w:val="auto"/>
        </w:rPr>
        <w:t>or</w:t>
      </w:r>
      <w:r>
        <w:rPr>
          <w:rFonts w:ascii="Arial" w:cs="Arial" w:eastAsia="Arial" w:hAnsi="Arial"/>
          <w:sz w:val="19"/>
          <w:szCs w:val="19"/>
          <w:color w:val="auto"/>
        </w:rPr>
        <w:t xml:space="preserve"> has consulted with an advisor who is sufficiently proficient in English as to allow him or her to understand the terms of this Award Agreement and any other documents related to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2" w:lineRule="exact"/>
        <w:rPr>
          <w:rFonts w:ascii="Arial" w:cs="Arial" w:eastAsia="Arial" w:hAnsi="Arial"/>
          <w:sz w:val="21"/>
          <w:szCs w:val="21"/>
          <w:color w:val="auto"/>
        </w:rPr>
      </w:pPr>
    </w:p>
    <w:p>
      <w:pPr>
        <w:jc w:val="both"/>
        <w:ind w:left="640" w:hanging="323"/>
        <w:spacing w:after="0" w:line="268" w:lineRule="auto"/>
        <w:tabs>
          <w:tab w:leader="none" w:pos="640" w:val="left"/>
        </w:tabs>
        <w:numPr>
          <w:ilvl w:val="0"/>
          <w:numId w:val="68"/>
        </w:numPr>
        <w:rPr>
          <w:rFonts w:ascii="Arial" w:cs="Arial" w:eastAsia="Arial" w:hAnsi="Arial"/>
          <w:sz w:val="19"/>
          <w:szCs w:val="19"/>
          <w:color w:val="auto"/>
        </w:rPr>
      </w:pPr>
      <w:r>
        <w:rPr>
          <w:rFonts w:ascii="Arial" w:cs="Arial" w:eastAsia="Arial" w:hAnsi="Arial"/>
          <w:sz w:val="17"/>
          <w:szCs w:val="17"/>
          <w:u w:val="single" w:color="auto"/>
          <w:color w:val="auto"/>
        </w:rPr>
        <w:t>Insider Trading Restrictions/Market Abuse Laws</w:t>
      </w:r>
      <w:r>
        <w:rPr>
          <w:rFonts w:ascii="Arial" w:cs="Arial" w:eastAsia="Arial" w:hAnsi="Arial"/>
          <w:sz w:val="17"/>
          <w:szCs w:val="17"/>
          <w:color w:val="auto"/>
        </w:rPr>
        <w:t>. By accepting this Award,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w:t>
      </w:r>
      <w:r>
        <w:rPr>
          <w:rFonts w:ascii="Arial" w:cs="Arial" w:eastAsia="Arial" w:hAnsi="Arial"/>
          <w:sz w:val="18"/>
          <w:szCs w:val="18"/>
          <w:i w:val="1"/>
          <w:iCs w:val="1"/>
          <w:color w:val="auto"/>
        </w:rPr>
        <w:t>e.g.</w:t>
      </w:r>
      <w:r>
        <w:rPr>
          <w:rFonts w:ascii="Arial" w:cs="Arial" w:eastAsia="Arial" w:hAnsi="Arial"/>
          <w:sz w:val="17"/>
          <w:szCs w:val="17"/>
          <w:color w:val="auto"/>
        </w:rPr>
        <w:t>, Restricted Stock Units), or rights linked to the value of Shares under the Plan during such times as Participation is considered to have “inside information” regarding the Company (as defined by the laws in the applicable jurisdictions). Local insider trading laws and regulations may prohibit the cancellation or amendment or orders Participant placed before participant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his or her responsibility to comply with any applicable restrictions, and Participant should speak to his or her personal advisor on this matter.</w:t>
      </w:r>
    </w:p>
    <w:p>
      <w:pPr>
        <w:spacing w:after="0" w:line="2" w:lineRule="exact"/>
        <w:rPr>
          <w:rFonts w:ascii="Arial" w:cs="Arial" w:eastAsia="Arial" w:hAnsi="Arial"/>
          <w:sz w:val="19"/>
          <w:szCs w:val="19"/>
          <w:color w:val="auto"/>
        </w:rPr>
      </w:pPr>
    </w:p>
    <w:p>
      <w:pPr>
        <w:jc w:val="both"/>
        <w:ind w:left="640" w:hanging="323"/>
        <w:spacing w:after="0" w:line="246" w:lineRule="auto"/>
        <w:tabs>
          <w:tab w:leader="none" w:pos="640" w:val="left"/>
        </w:tabs>
        <w:numPr>
          <w:ilvl w:val="0"/>
          <w:numId w:val="68"/>
        </w:numPr>
        <w:rPr>
          <w:rFonts w:ascii="Arial" w:cs="Arial" w:eastAsia="Arial" w:hAnsi="Arial"/>
          <w:sz w:val="20"/>
          <w:szCs w:val="20"/>
          <w:color w:val="auto"/>
        </w:rPr>
      </w:pPr>
      <w:r>
        <w:rPr>
          <w:rFonts w:ascii="Arial" w:cs="Arial" w:eastAsia="Arial" w:hAnsi="Arial"/>
          <w:sz w:val="18"/>
          <w:szCs w:val="18"/>
          <w:u w:val="single" w:color="auto"/>
          <w:color w:val="auto"/>
        </w:rPr>
        <w:t>Foreign Asset/Account, Exchange Control and Tax Requirements</w:t>
      </w:r>
      <w:r>
        <w:rPr>
          <w:rFonts w:ascii="Arial" w:cs="Arial" w:eastAsia="Arial" w:hAnsi="Arial"/>
          <w:sz w:val="18"/>
          <w:szCs w:val="18"/>
          <w:color w:val="auto"/>
        </w:rPr>
        <w:t>. Depending on Participant’s country, Participant may be subject to foreign asset/account, exchange control, tax reporting or other requirements which may affect Participant’s ability to acquire or hold Shares of Restricted Stock or other Shares under the Plan or cash received from participating in the Plan (including</w:t>
      </w:r>
    </w:p>
    <w:p>
      <w:pPr>
        <w:sectPr>
          <w:pgSz w:w="11900" w:h="16838" w:orient="portrait"/>
          <w:cols w:equalWidth="0" w:num="1">
            <w:col w:w="11240"/>
          </w:cols>
          <w:pgMar w:left="320" w:top="1387" w:right="339" w:bottom="1440" w:gutter="0" w:footer="0" w:header="0"/>
        </w:sectPr>
      </w:pPr>
    </w:p>
    <w:bookmarkStart w:id="114" w:name="page115"/>
    <w:bookmarkEnd w:id="114"/>
    <w:p>
      <w:pPr>
        <w:jc w:val="both"/>
        <w:spacing w:after="0" w:line="286" w:lineRule="auto"/>
        <w:rPr>
          <w:sz w:val="20"/>
          <w:szCs w:val="20"/>
          <w:color w:val="auto"/>
        </w:rPr>
      </w:pPr>
      <w:r>
        <w:rPr>
          <w:rFonts w:ascii="Arial" w:cs="Arial" w:eastAsia="Arial" w:hAnsi="Arial"/>
          <w:sz w:val="17"/>
          <w:szCs w:val="17"/>
          <w:color w:val="auto"/>
        </w:rPr>
        <w:t xml:space="preserve">dividends and the proceeds arising from the sale of Shares) in a brokerage/bank account outside Participant’s country. The Applicable Laws may require that Participant </w:t>
      </w:r>
      <w:r>
        <w:rPr>
          <w:rFonts w:ascii="Arial" w:cs="Arial" w:eastAsia="Arial" w:hAnsi="Arial"/>
          <w:sz w:val="18"/>
          <w:szCs w:val="18"/>
          <w:color w:val="auto"/>
        </w:rPr>
        <w:t>report</w:t>
      </w:r>
      <w:r>
        <w:rPr>
          <w:rFonts w:ascii="Arial" w:cs="Arial" w:eastAsia="Arial" w:hAnsi="Arial"/>
          <w:sz w:val="17"/>
          <w:szCs w:val="17"/>
          <w:color w:val="auto"/>
        </w:rPr>
        <w:t xml:space="preserve"> such Shares of Restricted Stock, other Shares, accounts, assets or transactions to the applicable authorities in such country and/or repatriate funds received in connection with the Plan to Participant’s country with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ectPr>
          <w:pgSz w:w="11900" w:h="16838" w:orient="portrait"/>
          <w:cols w:equalWidth="0" w:num="1">
            <w:col w:w="10600"/>
          </w:cols>
          <w:pgMar w:left="960" w:top="138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Andrew W. Houston, certify that:</w:t>
      </w:r>
    </w:p>
    <w:p>
      <w:pPr>
        <w:spacing w:after="0" w:line="222" w:lineRule="exact"/>
        <w:rPr>
          <w:sz w:val="20"/>
          <w:szCs w:val="20"/>
          <w:color w:val="auto"/>
        </w:rPr>
      </w:pPr>
    </w:p>
    <w:p>
      <w:pPr>
        <w:ind w:left="320" w:hanging="316"/>
        <w:spacing w:after="0"/>
        <w:tabs>
          <w:tab w:leader="none" w:pos="3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21" w:lineRule="exact"/>
        <w:rPr>
          <w:rFonts w:ascii="Arial" w:cs="Arial" w:eastAsia="Arial" w:hAnsi="Arial"/>
          <w:sz w:val="17"/>
          <w:szCs w:val="17"/>
          <w:color w:val="auto"/>
        </w:rPr>
      </w:pPr>
    </w:p>
    <w:p>
      <w:pPr>
        <w:ind w:left="320" w:right="40" w:hanging="316"/>
        <w:spacing w:after="0" w:line="320" w:lineRule="auto"/>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320" w:right="120" w:hanging="316"/>
        <w:spacing w:after="0" w:line="287" w:lineRule="auto"/>
        <w:tabs>
          <w:tab w:leader="none" w:pos="3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100" w:hanging="316"/>
        <w:spacing w:after="0" w:line="287" w:lineRule="auto"/>
        <w:tabs>
          <w:tab w:leader="none" w:pos="3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7"/>
          <w:szCs w:val="17"/>
          <w:color w:val="auto"/>
        </w:rPr>
      </w:pPr>
    </w:p>
    <w:p>
      <w:pPr>
        <w:ind w:left="640" w:right="260" w:hanging="323"/>
        <w:spacing w:after="0" w:line="271" w:lineRule="auto"/>
        <w:tabs>
          <w:tab w:leader="none" w:pos="637"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right="120" w:hanging="323"/>
        <w:spacing w:after="0" w:line="287" w:lineRule="auto"/>
        <w:tabs>
          <w:tab w:leader="none" w:pos="634"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80" w:hanging="323"/>
        <w:spacing w:after="0" w:line="271" w:lineRule="auto"/>
        <w:tabs>
          <w:tab w:leader="none" w:pos="637" w:val="left"/>
        </w:tabs>
        <w:numPr>
          <w:ilvl w:val="1"/>
          <w:numId w:val="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540" w:hanging="316"/>
        <w:spacing w:after="0" w:line="320" w:lineRule="auto"/>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40" w:hanging="323"/>
        <w:spacing w:after="0" w:line="287" w:lineRule="auto"/>
        <w:tabs>
          <w:tab w:leader="none" w:pos="637"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80" w:hanging="323"/>
        <w:spacing w:after="0" w:line="287" w:lineRule="auto"/>
        <w:tabs>
          <w:tab w:leader="none" w:pos="634" w:val="left"/>
        </w:tabs>
        <w:numPr>
          <w:ilvl w:val="1"/>
          <w:numId w:val="6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November 6, 2020</w:t>
      </w:r>
    </w:p>
    <w:p>
      <w:pPr>
        <w:spacing w:after="0" w:line="144"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DROPBOX, INC.</w:t>
      </w:r>
    </w:p>
    <w:p>
      <w:pPr>
        <w:spacing w:after="0" w:line="274" w:lineRule="exact"/>
        <w:rPr>
          <w:sz w:val="20"/>
          <w:szCs w:val="20"/>
          <w:color w:val="auto"/>
        </w:rPr>
      </w:pPr>
    </w:p>
    <w:tbl>
      <w:tblPr>
        <w:tblLayout w:type="fixed"/>
        <w:tblInd w:w="668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Andrew W. Houston</w:t>
            </w:r>
          </w:p>
        </w:tc>
      </w:tr>
      <w:tr>
        <w:trPr>
          <w:trHeight w:val="215"/>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840" w:type="dxa"/>
            <w:vAlign w:val="bottom"/>
          </w:tcPr>
          <w:p>
            <w:pPr>
              <w:ind w:left="20"/>
              <w:spacing w:after="0"/>
              <w:rPr>
                <w:sz w:val="20"/>
                <w:szCs w:val="20"/>
                <w:color w:val="auto"/>
              </w:rPr>
            </w:pPr>
            <w:r>
              <w:rPr>
                <w:rFonts w:ascii="Arial" w:cs="Arial" w:eastAsia="Arial" w:hAnsi="Arial"/>
                <w:sz w:val="17"/>
                <w:szCs w:val="17"/>
                <w:color w:val="auto"/>
              </w:rPr>
              <w:t>Andrew W. Houston</w:t>
            </w:r>
          </w:p>
        </w:tc>
      </w:t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8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1"/>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060"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Timothy J. Regan, certify that:</w:t>
      </w:r>
    </w:p>
    <w:p>
      <w:pPr>
        <w:spacing w:after="0" w:line="222" w:lineRule="exact"/>
        <w:rPr>
          <w:sz w:val="20"/>
          <w:szCs w:val="20"/>
          <w:color w:val="auto"/>
        </w:rPr>
      </w:pPr>
    </w:p>
    <w:p>
      <w:pPr>
        <w:ind w:left="320" w:hanging="316"/>
        <w:spacing w:after="0"/>
        <w:tabs>
          <w:tab w:leader="none" w:pos="3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21" w:lineRule="exact"/>
        <w:rPr>
          <w:rFonts w:ascii="Arial" w:cs="Arial" w:eastAsia="Arial" w:hAnsi="Arial"/>
          <w:sz w:val="17"/>
          <w:szCs w:val="17"/>
          <w:color w:val="auto"/>
        </w:rPr>
      </w:pPr>
    </w:p>
    <w:p>
      <w:pPr>
        <w:ind w:left="320" w:right="40" w:hanging="316"/>
        <w:spacing w:after="0" w:line="320" w:lineRule="auto"/>
        <w:tabs>
          <w:tab w:leader="none" w:pos="3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320" w:right="120" w:hanging="316"/>
        <w:spacing w:after="0" w:line="287" w:lineRule="auto"/>
        <w:tabs>
          <w:tab w:leader="none" w:pos="3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100" w:hanging="316"/>
        <w:spacing w:after="0" w:line="287" w:lineRule="auto"/>
        <w:tabs>
          <w:tab w:leader="none" w:pos="3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7"/>
          <w:szCs w:val="17"/>
          <w:color w:val="auto"/>
        </w:rPr>
      </w:pPr>
    </w:p>
    <w:p>
      <w:pPr>
        <w:ind w:left="640" w:right="260" w:hanging="323"/>
        <w:spacing w:after="0" w:line="271" w:lineRule="auto"/>
        <w:tabs>
          <w:tab w:leader="none" w:pos="637"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right="120" w:hanging="323"/>
        <w:spacing w:after="0" w:line="287" w:lineRule="auto"/>
        <w:tabs>
          <w:tab w:leader="none" w:pos="634"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80" w:hanging="323"/>
        <w:spacing w:after="0" w:line="271" w:lineRule="auto"/>
        <w:tabs>
          <w:tab w:leader="none" w:pos="637" w:val="left"/>
        </w:tabs>
        <w:numPr>
          <w:ilvl w:val="1"/>
          <w:numId w:val="7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540" w:hanging="316"/>
        <w:spacing w:after="0" w:line="320" w:lineRule="auto"/>
        <w:tabs>
          <w:tab w:leader="none" w:pos="3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40" w:hanging="323"/>
        <w:spacing w:after="0" w:line="287" w:lineRule="auto"/>
        <w:tabs>
          <w:tab w:leader="none" w:pos="637"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80" w:hanging="323"/>
        <w:spacing w:after="0" w:line="287" w:lineRule="auto"/>
        <w:tabs>
          <w:tab w:leader="none" w:pos="634"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November 6, 2020</w:t>
      </w:r>
    </w:p>
    <w:p>
      <w:pPr>
        <w:spacing w:after="0" w:line="144"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DROPBOX, INC.</w:t>
      </w:r>
    </w:p>
    <w:p>
      <w:pPr>
        <w:spacing w:after="0" w:line="222" w:lineRule="exact"/>
        <w:rPr>
          <w:sz w:val="20"/>
          <w:szCs w:val="20"/>
          <w:color w:val="auto"/>
        </w:rPr>
      </w:pPr>
    </w:p>
    <w:tbl>
      <w:tblPr>
        <w:tblLayout w:type="fixed"/>
        <w:tblInd w:w="668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Timothy J. Regan</w:t>
            </w:r>
          </w:p>
        </w:tc>
      </w:tr>
      <w:tr>
        <w:trPr>
          <w:trHeight w:val="215"/>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840" w:type="dxa"/>
            <w:vAlign w:val="bottom"/>
          </w:tcPr>
          <w:p>
            <w:pPr>
              <w:ind w:left="20"/>
              <w:spacing w:after="0"/>
              <w:rPr>
                <w:sz w:val="20"/>
                <w:szCs w:val="20"/>
                <w:color w:val="auto"/>
              </w:rPr>
            </w:pPr>
            <w:r>
              <w:rPr>
                <w:rFonts w:ascii="Arial" w:cs="Arial" w:eastAsia="Arial" w:hAnsi="Arial"/>
                <w:sz w:val="17"/>
                <w:szCs w:val="17"/>
                <w:color w:val="auto"/>
              </w:rPr>
              <w:t>Timothy J. Regan</w:t>
            </w:r>
          </w:p>
        </w:tc>
      </w:t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84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21"/>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(Principal Accounting and Financial Officer)</w:t>
            </w:r>
          </w:p>
        </w:tc>
      </w:tr>
    </w:tbl>
    <w:p>
      <w:pPr>
        <w:sectPr>
          <w:pgSz w:w="11900" w:h="16838" w:orient="portrait"/>
          <w:cols w:equalWidth="0" w:num="1">
            <w:col w:w="11240"/>
          </w:cols>
          <w:pgMar w:left="320" w:top="1060"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9"/>
          <w:szCs w:val="19"/>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 Andrew W. Houston, certify, pursuant to 18 U.S.C. Section 1350, as adopted pursuant to Section 906 of the Sarbanes-Oxley Act of 2002, that the Quarterly Report on Form 10-Q of Dropbox, Inc. for the fiscal quarter ended September 30, 2020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November 6, 2020</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Andrew W. Houston</w:t>
            </w:r>
          </w:p>
        </w:tc>
      </w:tr>
      <w:tr>
        <w:trPr>
          <w:trHeight w:val="228"/>
        </w:trPr>
        <w:tc>
          <w:tcPr>
            <w:tcW w:w="1120" w:type="dxa"/>
            <w:vAlign w:val="bottom"/>
            <w:shd w:val="clear" w:color="auto" w:fill="FEFEFE"/>
          </w:tcPr>
          <w:p>
            <w:pPr>
              <w:spacing w:after="0"/>
              <w:rPr>
                <w:sz w:val="19"/>
                <w:szCs w:val="19"/>
                <w:color w:val="auto"/>
              </w:rPr>
            </w:pPr>
          </w:p>
        </w:tc>
        <w:tc>
          <w:tcPr>
            <w:tcW w:w="4880" w:type="dxa"/>
            <w:vAlign w:val="bottom"/>
            <w:shd w:val="clear" w:color="auto" w:fill="FEFEFE"/>
          </w:tcPr>
          <w:p>
            <w:pPr>
              <w:spacing w:after="0"/>
              <w:rPr>
                <w:sz w:val="19"/>
                <w:szCs w:val="19"/>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Andrew W. Houston</w:t>
            </w:r>
          </w:p>
        </w:tc>
      </w:tr>
      <w:tr>
        <w:trPr>
          <w:trHeight w:val="235"/>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Executive Officer</w:t>
            </w:r>
          </w:p>
        </w:tc>
      </w:tr>
      <w:tr>
        <w:trPr>
          <w:trHeight w:val="265"/>
        </w:trPr>
        <w:tc>
          <w:tcPr>
            <w:tcW w:w="1120" w:type="dxa"/>
            <w:vAlign w:val="bottom"/>
            <w:shd w:val="clear" w:color="auto" w:fill="FEFEFE"/>
          </w:tcPr>
          <w:p>
            <w:pPr>
              <w:spacing w:after="0"/>
              <w:rPr>
                <w:sz w:val="23"/>
                <w:szCs w:val="23"/>
                <w:color w:val="auto"/>
              </w:rPr>
            </w:pPr>
          </w:p>
        </w:tc>
        <w:tc>
          <w:tcPr>
            <w:tcW w:w="4880" w:type="dxa"/>
            <w:vAlign w:val="bottom"/>
            <w:shd w:val="clear" w:color="auto" w:fill="FEFEFE"/>
          </w:tcPr>
          <w:p>
            <w:pPr>
              <w:spacing w:after="0"/>
              <w:rPr>
                <w:sz w:val="23"/>
                <w:szCs w:val="23"/>
                <w:color w:val="auto"/>
              </w:rPr>
            </w:pPr>
          </w:p>
        </w:tc>
        <w:tc>
          <w:tcPr>
            <w:tcW w:w="840" w:type="dxa"/>
            <w:vAlign w:val="bottom"/>
            <w:shd w:val="clear" w:color="auto" w:fill="FEFEFE"/>
          </w:tcPr>
          <w:p>
            <w:pPr>
              <w:spacing w:after="0"/>
              <w:rPr>
                <w:sz w:val="23"/>
                <w:szCs w:val="23"/>
                <w:color w:val="auto"/>
              </w:rPr>
            </w:pP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Executive Officer)</w:t>
            </w:r>
          </w:p>
        </w:tc>
      </w:tr>
      <w:tr>
        <w:trPr>
          <w:trHeight w:val="283"/>
        </w:trPr>
        <w:tc>
          <w:tcPr>
            <w:tcW w:w="1120" w:type="dxa"/>
            <w:vAlign w:val="bottom"/>
            <w:shd w:val="clear" w:color="auto" w:fill="FEFEFE"/>
          </w:tcPr>
          <w:p>
            <w:pPr>
              <w:spacing w:after="0"/>
              <w:rPr>
                <w:sz w:val="24"/>
                <w:szCs w:val="24"/>
                <w:color w:val="auto"/>
              </w:rPr>
            </w:pPr>
          </w:p>
        </w:tc>
        <w:tc>
          <w:tcPr>
            <w:tcW w:w="488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4400" w:type="dxa"/>
            <w:vAlign w:val="bottom"/>
            <w:shd w:val="clear" w:color="auto" w:fill="FEFEFE"/>
          </w:tcPr>
          <w:p>
            <w:pPr>
              <w:spacing w:after="0"/>
              <w:rPr>
                <w:sz w:val="24"/>
                <w:szCs w:val="24"/>
                <w:color w:val="auto"/>
              </w:rPr>
            </w:pPr>
          </w:p>
        </w:tc>
      </w:tr>
    </w:tbl>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 Timothy J. Regan, certify, pursuant to 18 U.S.C. Section 1350, as adopted pursuant to Section 906 of the Sarbanes-Oxley Act of 2002, that the Quarterly Report on Form 10-Q of Dropbox, Inc. for the fiscal quarter ended September 30, 2020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November 6, 2020</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Timothy J. Regan</w:t>
            </w:r>
          </w:p>
        </w:tc>
      </w:tr>
      <w:tr>
        <w:trPr>
          <w:trHeight w:val="228"/>
        </w:trPr>
        <w:tc>
          <w:tcPr>
            <w:tcW w:w="1120" w:type="dxa"/>
            <w:vAlign w:val="bottom"/>
            <w:shd w:val="clear" w:color="auto" w:fill="FEFEFE"/>
          </w:tcPr>
          <w:p>
            <w:pPr>
              <w:spacing w:after="0"/>
              <w:rPr>
                <w:sz w:val="19"/>
                <w:szCs w:val="19"/>
                <w:color w:val="auto"/>
              </w:rPr>
            </w:pPr>
          </w:p>
        </w:tc>
        <w:tc>
          <w:tcPr>
            <w:tcW w:w="4880" w:type="dxa"/>
            <w:vAlign w:val="bottom"/>
            <w:shd w:val="clear" w:color="auto" w:fill="FEFEFE"/>
          </w:tcPr>
          <w:p>
            <w:pPr>
              <w:spacing w:after="0"/>
              <w:rPr>
                <w:sz w:val="19"/>
                <w:szCs w:val="19"/>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Timothy J. Regan</w:t>
            </w:r>
          </w:p>
        </w:tc>
      </w:tr>
      <w:tr>
        <w:trPr>
          <w:trHeight w:val="235"/>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Financial Officer</w:t>
            </w:r>
          </w:p>
        </w:tc>
      </w:tr>
      <w:tr>
        <w:trPr>
          <w:trHeight w:val="235"/>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spacing w:after="0"/>
              <w:rPr>
                <w:sz w:val="20"/>
                <w:szCs w:val="20"/>
                <w:color w:val="auto"/>
              </w:rPr>
            </w:pP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Accounting and Financial Officer)</w:t>
            </w:r>
          </w:p>
        </w:tc>
      </w:tr>
    </w:tbl>
    <w:p>
      <w:pPr>
        <w:spacing w:after="0" w:line="1" w:lineRule="exact"/>
        <w:rPr>
          <w:sz w:val="20"/>
          <w:szCs w:val="20"/>
          <w:color w:val="auto"/>
        </w:rPr>
      </w:pPr>
    </w:p>
    <w:sectPr>
      <w:pgSz w:w="11900" w:h="16838" w:orient="portrait"/>
      <w:cols w:equalWidth="0" w:num="1">
        <w:col w:w="11240"/>
      </w:cols>
      <w:pgMar w:left="320" w:top="10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2"/>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1)"/>
      <w:numFmt w:val="decimal"/>
      <w:start w:val="1"/>
    </w:lvl>
  </w:abstractNum>
  <w:abstractNum w:abstractNumId="9">
    <w:nsid w:val="2D517796"/>
    <w:multiLevelType w:val="hybridMultilevel"/>
    <w:lvl w:ilvl="0">
      <w:lvlJc w:val="left"/>
      <w:lvlText w:val="(%1)"/>
      <w:numFmt w:val="decimal"/>
      <w:start w:val="2"/>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1)"/>
      <w:numFmt w:val="decimal"/>
      <w:start w:val="2"/>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2"/>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1)"/>
      <w:numFmt w:val="decimal"/>
      <w:start w:val="1"/>
    </w:lvl>
  </w:abstractNum>
  <w:abstractNum w:abstractNumId="31">
    <w:nsid w:val="1BA026FA"/>
    <w:multiLevelType w:val="hybridMultilevel"/>
    <w:lvl w:ilvl="0">
      <w:lvlJc w:val="left"/>
      <w:lvlText w:val="%1"/>
      <w:numFmt w:val="decimal"/>
      <w:start w:val="101"/>
    </w:lvl>
  </w:abstractNum>
  <w:abstractNum w:abstractNumId="32">
    <w:nsid w:val="79A1DEAA"/>
    <w:multiLevelType w:val="hybridMultilevel"/>
    <w:lvl w:ilvl="0">
      <w:lvlJc w:val="left"/>
      <w:lvlText w:val="+"/>
      <w:numFmt w:val="bullet"/>
      <w:start w:val="1"/>
    </w:lvl>
    <w:lvl w:ilvl="1">
      <w:lvlJc w:val="left"/>
      <w:lvlText w:val="%2"/>
      <w:numFmt w:val="decimal"/>
      <w:start w:val="104"/>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5"/>
    </w:lvl>
  </w:abstractNum>
  <w:abstractNum w:abstractNumId="36">
    <w:nsid w:val="520EEDD1"/>
    <w:multiLevelType w:val="hybridMultilevel"/>
    <w:lvl w:ilvl="0">
      <w:lvlJc w:val="left"/>
      <w:lvlText w:val="1"/>
      <w:numFmt w:val="bullet"/>
      <w:start w:val="1"/>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2"/>
    </w:lvl>
    <w:lvl w:ilvl="1">
      <w:lvlJc w:val="left"/>
      <w:lvlText w:val="%2"/>
      <w:numFmt w:val="lowerLetter"/>
      <w:start w:val="1"/>
    </w:lvl>
  </w:abstractNum>
  <w:abstractNum w:abstractNumId="40">
    <w:nsid w:val="649BB77C"/>
    <w:multiLevelType w:val="hybridMultilevel"/>
    <w:lvl w:ilvl="0">
      <w:lvlJc w:val="left"/>
      <w:lvlText w:val="%1."/>
      <w:numFmt w:val="lowerLetter"/>
      <w:start w:val="2"/>
    </w:lvl>
  </w:abstractNum>
  <w:abstractNum w:abstractNumId="41">
    <w:nsid w:val="275AC794"/>
    <w:multiLevelType w:val="hybridMultilevel"/>
    <w:lvl w:ilvl="0">
      <w:lvlJc w:val="left"/>
      <w:lvlText w:val="%1"/>
      <w:numFmt w:val="decimal"/>
      <w:start w:val="1"/>
    </w:lvl>
    <w:lvl w:ilvl="1">
      <w:lvlJc w:val="left"/>
      <w:lvlText w:val="%2."/>
      <w:numFmt w:val="lowerLetter"/>
      <w:start w:val="1"/>
    </w:lvl>
  </w:abstractNum>
  <w:abstractNum w:abstractNumId="42">
    <w:nsid w:val="39386575"/>
    <w:multiLevelType w:val="hybridMultilevel"/>
    <w:lvl w:ilvl="0">
      <w:lvlJc w:val="left"/>
      <w:lvlText w:val="%1."/>
      <w:numFmt w:val="decimal"/>
      <w:start w:val="5"/>
    </w:lvl>
    <w:lvl w:ilvl="1">
      <w:lvlJc w:val="left"/>
      <w:lvlText w:val="%2"/>
      <w:numFmt w:val="lowerLetter"/>
      <w:start w:val="1"/>
    </w:lvl>
  </w:abstractNum>
  <w:abstractNum w:abstractNumId="43">
    <w:nsid w:val="1CF10FD8"/>
    <w:multiLevelType w:val="hybridMultilevel"/>
    <w:lvl w:ilvl="0">
      <w:lvlJc w:val="left"/>
      <w:lvlText w:val="%1."/>
      <w:numFmt w:val="decimal"/>
      <w:start w:val="7"/>
    </w:lvl>
    <w:lvl w:ilvl="1">
      <w:lvlJc w:val="left"/>
      <w:lvlText w:val="%2."/>
      <w:numFmt w:val="lowerLetter"/>
      <w:start w:val="1"/>
    </w:lvl>
  </w:abstractNum>
  <w:abstractNum w:abstractNumId="44">
    <w:nsid w:val="180115BE"/>
    <w:multiLevelType w:val="hybridMultilevel"/>
    <w:lvl w:ilvl="0">
      <w:lvlJc w:val="left"/>
      <w:lvlText w:val="%1"/>
      <w:numFmt w:val="decimal"/>
      <w:start w:val="1"/>
    </w:lvl>
    <w:lvl w:ilvl="1">
      <w:lvlJc w:val="left"/>
      <w:lvlText w:val="%2."/>
      <w:numFmt w:val="lowerLetter"/>
      <w:start w:val="7"/>
    </w:lvl>
  </w:abstractNum>
  <w:abstractNum w:abstractNumId="45">
    <w:nsid w:val="235BA861"/>
    <w:multiLevelType w:val="hybridMultilevel"/>
    <w:lvl w:ilvl="0">
      <w:lvlJc w:val="left"/>
      <w:lvlText w:val="%1."/>
      <w:numFmt w:val="decimal"/>
      <w:start w:val="10"/>
    </w:lvl>
    <w:lvl w:ilvl="1">
      <w:lvlJc w:val="left"/>
      <w:lvlText w:val="%2"/>
      <w:numFmt w:val="lowerLetter"/>
      <w:start w:val="1"/>
    </w:lvl>
  </w:abstractNum>
  <w:abstractNum w:abstractNumId="46">
    <w:nsid w:val="47398C89"/>
    <w:multiLevelType w:val="hybridMultilevel"/>
    <w:lvl w:ilvl="0">
      <w:lvlJc w:val="left"/>
      <w:lvlText w:val="%1."/>
      <w:numFmt w:val="decimal"/>
      <w:start w:val="14"/>
    </w:lvl>
  </w:abstractNum>
  <w:abstractNum w:abstractNumId="47">
    <w:nsid w:val="354FE9F9"/>
    <w:multiLevelType w:val="hybridMultilevel"/>
    <w:lvl w:ilvl="0">
      <w:lvlJc w:val="left"/>
      <w:lvlText w:val="%1."/>
      <w:numFmt w:val="decimal"/>
      <w:start w:val="19"/>
    </w:lvl>
    <w:lvl w:ilvl="1">
      <w:lvlJc w:val="left"/>
      <w:lvlText w:val="*"/>
      <w:numFmt w:val="bullet"/>
      <w:start w:val="1"/>
    </w:lvl>
  </w:abstractNum>
  <w:abstractNum w:abstractNumId="48">
    <w:nsid w:val="15B5AF5C"/>
    <w:multiLevelType w:val="hybridMultilevel"/>
    <w:lvl w:ilvl="0">
      <w:lvlJc w:val="left"/>
      <w:lvlText w:val="%1."/>
      <w:numFmt w:val="decimal"/>
      <w:start w:val="1"/>
    </w:lvl>
    <w:lvl w:ilvl="1">
      <w:lvlJc w:val="left"/>
      <w:lvlText w:val="%2."/>
      <w:numFmt w:val="lowerRoman"/>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lowerLetter"/>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3">
    <w:nsid w:val="61574095"/>
    <w:multiLevelType w:val="hybridMultilevel"/>
    <w:lvl w:ilvl="0">
      <w:lvlJc w:val="left"/>
      <w:lvlText w:val="%1"/>
      <w:numFmt w:val="lowerRoman"/>
      <w:start w:val="1"/>
    </w:lvl>
    <w:lvl w:ilvl="1">
      <w:lvlJc w:val="left"/>
      <w:lvlText w:val="%2."/>
      <w:numFmt w:val="decimal"/>
      <w:start w:val="1"/>
    </w:lvl>
  </w:abstractNum>
  <w:abstractNum w:abstractNumId="54">
    <w:nsid w:val="7E0C57B1"/>
    <w:multiLevelType w:val="hybridMultilevel"/>
    <w:lvl w:ilvl="0">
      <w:lvlJc w:val="left"/>
      <w:lvlText w:val="%1."/>
      <w:numFmt w:val="lowerRoman"/>
      <w:start w:val="1"/>
    </w:lvl>
    <w:lvl w:ilvl="1">
      <w:lvlJc w:val="left"/>
      <w:lvlText w:val="%2"/>
      <w:numFmt w:val="decimal"/>
      <w:start w:val="1"/>
    </w:lvl>
  </w:abstractNum>
  <w:abstractNum w:abstractNumId="55">
    <w:nsid w:val="77AE35EB"/>
    <w:multiLevelType w:val="hybridMultilevel"/>
    <w:lvl w:ilvl="0">
      <w:lvlJc w:val="left"/>
      <w:lvlText w:val="(%1)"/>
      <w:numFmt w:val="lowerRoman"/>
      <w:start w:val="2"/>
    </w:lvl>
    <w:lvl w:ilvl="1">
      <w:lvlJc w:val="left"/>
      <w:lvlText w:val="%2."/>
      <w:numFmt w:val="decimal"/>
      <w:start w:val="1"/>
    </w:lvl>
    <w:lvl w:ilvl="2">
      <w:lvlJc w:val="left"/>
      <w:lvlText w:val="%3."/>
      <w:numFmt w:val="lowerRoman"/>
      <w:start w:val="1"/>
    </w:lvl>
  </w:abstractNum>
  <w:abstractNum w:abstractNumId="56">
    <w:nsid w:val="579BE4F1"/>
    <w:multiLevelType w:val="hybridMultilevel"/>
    <w:lvl w:ilvl="0">
      <w:lvlJc w:val="left"/>
      <w:lvlText w:val="%1"/>
      <w:numFmt w:val="lowerRoman"/>
      <w:start w:val="1"/>
    </w:lvl>
    <w:lvl w:ilvl="1">
      <w:lvlJc w:val="left"/>
      <w:lvlText w:val="%2."/>
      <w:numFmt w:val="lowerRoman"/>
      <w:start w:val="2"/>
    </w:lvl>
    <w:lvl w:ilvl="2">
      <w:lvlJc w:val="left"/>
      <w:lvlText w:val="%3."/>
      <w:numFmt w:val="lowerRoman"/>
    </w:lvl>
    <w:lvl w:ilvl="3">
      <w:lvlJc w:val="left"/>
      <w:lvlText w:val="%4."/>
      <w:numFmt w:val="decimal"/>
      <w:start w:val="1"/>
    </w:lvl>
  </w:abstractNum>
  <w:abstractNum w:abstractNumId="57">
    <w:nsid w:val="310C50B3"/>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58">
    <w:nsid w:val="5FF87E05"/>
    <w:multiLevelType w:val="hybridMultilevel"/>
    <w:lvl w:ilvl="0">
      <w:lvlJc w:val="left"/>
      <w:lvlText w:val="%1."/>
      <w:numFmt w:val="decimal"/>
      <w:start w:val="1"/>
    </w:lvl>
    <w:lvl w:ilvl="1">
      <w:lvlJc w:val="left"/>
      <w:lvlText w:val="%2."/>
      <w:numFmt w:val="lowerRoman"/>
      <w:start w:val="3"/>
    </w:lvl>
    <w:lvl w:ilvl="2">
      <w:lvlJc w:val="left"/>
      <w:lvlText w:val="%3."/>
      <w:numFmt w:val="lowerRoman"/>
      <w:start w:val="1"/>
    </w:lvl>
  </w:abstractNum>
  <w:abstractNum w:abstractNumId="59">
    <w:nsid w:val="2F305DEF"/>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6"/>
    </w:lvl>
  </w:abstractNum>
  <w:abstractNum w:abstractNumId="60">
    <w:nsid w:val="25A70BF7"/>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2"/>
    </w:lvl>
    <w:lvl w:ilvl="3">
      <w:lvlJc w:val="left"/>
      <w:lvlText w:val="%4"/>
      <w:numFmt w:val="decimal"/>
      <w:start w:val="1"/>
    </w:lvl>
  </w:abstractNum>
  <w:abstractNum w:abstractNumId="61">
    <w:nsid w:val="1DBABF00"/>
    <w:multiLevelType w:val="hybridMultilevel"/>
    <w:lvl w:ilvl="0">
      <w:lvlJc w:val="left"/>
      <w:lvlText w:val="%1"/>
      <w:numFmt w:val="decimal"/>
      <w:start w:val="1"/>
    </w:lvl>
    <w:lvl w:ilvl="1">
      <w:lvlJc w:val="left"/>
      <w:lvlText w:val="%2."/>
      <w:numFmt w:val="lowerRoman"/>
      <w:start w:val="14"/>
    </w:lvl>
    <w:lvl w:ilvl="2">
      <w:lvlJc w:val="left"/>
      <w:lvlText w:val="%3"/>
      <w:numFmt w:val="lowerRoman"/>
      <w:start w:val="1"/>
    </w:lvl>
    <w:lvl w:ilvl="3">
      <w:lvlJc w:val="left"/>
      <w:lvlText w:val="%4"/>
      <w:numFmt w:val="decimal"/>
      <w:start w:val="1"/>
    </w:lvl>
  </w:abstractNum>
  <w:abstractNum w:abstractNumId="62">
    <w:nsid w:val="4AD084E9"/>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63">
    <w:nsid w:val="1F48EAA1"/>
    <w:multiLevelType w:val="hybridMultilevel"/>
    <w:lvl w:ilvl="0">
      <w:lvlJc w:val="left"/>
      <w:lvlText w:val="%1"/>
      <w:numFmt w:val="lowerRoman"/>
      <w:start w:val="1"/>
    </w:lvl>
    <w:lvl w:ilvl="1">
      <w:lvlJc w:val="left"/>
      <w:lvlText w:val="%2."/>
      <w:numFmt w:val="decimal"/>
      <w:start w:val="4"/>
    </w:lvl>
  </w:abstractNum>
  <w:abstractNum w:abstractNumId="64">
    <w:nsid w:val="1381823A"/>
    <w:multiLevelType w:val="hybridMultilevel"/>
    <w:lvl w:ilvl="0">
      <w:lvlJc w:val="left"/>
      <w:lvlText w:val="%1."/>
      <w:numFmt w:val="lowerRoman"/>
      <w:start w:val="2"/>
    </w:lvl>
    <w:lvl w:ilvl="1">
      <w:lvlJc w:val="left"/>
      <w:lvlText w:val="%2."/>
      <w:numFmt w:val="decimal"/>
      <w:start w:val="1"/>
    </w:lvl>
  </w:abstractNum>
  <w:abstractNum w:abstractNumId="65">
    <w:nsid w:val="5DB70AE5"/>
    <w:multiLevelType w:val="hybridMultilevel"/>
    <w:lvl w:ilvl="0">
      <w:lvlJc w:val="left"/>
      <w:lvlText w:val="%1."/>
      <w:numFmt w:val="decimal"/>
      <w:start w:val="3"/>
    </w:lvl>
  </w:abstractNum>
  <w:abstractNum w:abstractNumId="66">
    <w:nsid w:val="100F8FCA"/>
    <w:multiLevelType w:val="hybridMultilevel"/>
    <w:lvl w:ilvl="0">
      <w:lvlJc w:val="left"/>
      <w:lvlText w:val="%1."/>
      <w:numFmt w:val="decimal"/>
      <w:start w:val="8"/>
    </w:lvl>
  </w:abstractNum>
  <w:abstractNum w:abstractNumId="67">
    <w:nsid w:val="6590700B"/>
    <w:multiLevelType w:val="hybridMultilevel"/>
    <w:lvl w:ilvl="0">
      <w:lvlJc w:val="left"/>
      <w:lvlText w:val="%1."/>
      <w:numFmt w:val="decimal"/>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2020-11-06T15:46:58Z</dcterms:created>
  <dcterms:modified xsi:type="dcterms:W3CDTF">2020-11-06T15:46:58Z</dcterms:modified>
</cp:coreProperties>
</file>