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DROPBOX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#26210C104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#26210C104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3160" w:type="dxa"/>
            <w:vAlign w:val="bottom"/>
          </w:tcPr>
          <w:p>
            <w:pPr>
              <w:jc w:val="right"/>
              <w:ind w:right="2752"/>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279,750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10,062,488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10,062,488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16.541%</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#26210C104</w:t>
            </w:r>
          </w:p>
        </w:tc>
        <w:tc>
          <w:tcPr>
            <w:tcW w:w="11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316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10,062,488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10,062,488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16.541%</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#26210C104</w:t>
            </w:r>
          </w:p>
        </w:tc>
        <w:tc>
          <w:tcPr>
            <w:tcW w:w="110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Reporting Person - Fidelity Contrafund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316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5,569,961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5,569,961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9.156%</w:t>
            </w:r>
          </w:p>
        </w:tc>
        <w:tc>
          <w:tcPr>
            <w:tcW w:w="31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IV</w:t>
            </w:r>
          </w:p>
        </w:tc>
        <w:tc>
          <w:tcPr>
            <w:tcW w:w="3160" w:type="dxa"/>
            <w:vAlign w:val="bottom"/>
          </w:tcPr>
          <w:p>
            <w:pPr>
              <w:spacing w:after="0"/>
              <w:rPr>
                <w:sz w:val="17"/>
                <w:szCs w:val="17"/>
                <w:color w:val="auto"/>
              </w:rPr>
            </w:pP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8,253,238 of the shares of Class A Common Stock of DROPBOX INC.</w:t>
      </w:r>
    </w:p>
    <w:p>
      <w:pPr>
        <w:spacing w:after="0" w:line="238" w:lineRule="auto"/>
        <w:rPr>
          <w:sz w:val="20"/>
          <w:szCs w:val="20"/>
          <w:color w:val="auto"/>
        </w:rPr>
      </w:pPr>
      <w:r>
        <w:rPr>
          <w:rFonts w:ascii="Courier New" w:cs="Courier New" w:eastAsia="Courier New" w:hAnsi="Courier New"/>
          <w:sz w:val="18"/>
          <w:szCs w:val="18"/>
          <w:color w:val="auto"/>
        </w:rPr>
        <w:t>reported as being beneficially owned by the reporting persons at</w:t>
      </w:r>
    </w:p>
    <w:p>
      <w:pPr>
        <w:spacing w:after="0"/>
        <w:rPr>
          <w:sz w:val="20"/>
          <w:szCs w:val="20"/>
          <w:color w:val="auto"/>
        </w:rPr>
      </w:pPr>
      <w:r>
        <w:rPr>
          <w:rFonts w:ascii="Courier New" w:cs="Courier New" w:eastAsia="Courier New" w:hAnsi="Courier New"/>
          <w:sz w:val="18"/>
          <w:szCs w:val="18"/>
          <w:color w:val="auto"/>
        </w:rPr>
        <w:t>March 29, 2018, are included in this Schedule 13G because the reporting</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persons are deemed to beneficially own such shares as a result of the direct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ownership of 8,253,238 shares of Class B Common Stock of DROPBOX INC.</w:t>
      </w:r>
    </w:p>
    <w:p>
      <w:pPr>
        <w:spacing w:after="0" w:line="238" w:lineRule="auto"/>
        <w:rPr>
          <w:sz w:val="20"/>
          <w:szCs w:val="20"/>
          <w:color w:val="auto"/>
        </w:rPr>
      </w:pPr>
      <w:r>
        <w:rPr>
          <w:rFonts w:ascii="Courier New" w:cs="Courier New" w:eastAsia="Courier New" w:hAnsi="Courier New"/>
          <w:sz w:val="18"/>
          <w:szCs w:val="18"/>
          <w:color w:val="auto"/>
        </w:rPr>
        <w:t>by investment companies advised by FMR CO., INC., an</w:t>
      </w:r>
    </w:p>
    <w:p>
      <w:pPr>
        <w:spacing w:after="0" w:line="5" w:lineRule="exact"/>
        <w:rPr>
          <w:sz w:val="24"/>
          <w:szCs w:val="24"/>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indirect wholly-owned subsidiary of FMR LLC, which shares of Class B Common Stock are convertible into shares of Class A Common Stock at</w:t>
      </w:r>
    </w:p>
    <w:p>
      <w:pPr>
        <w:ind w:right="2319"/>
        <w:spacing w:after="0" w:line="268" w:lineRule="auto"/>
        <w:rPr>
          <w:sz w:val="20"/>
          <w:szCs w:val="20"/>
          <w:color w:val="auto"/>
        </w:rPr>
      </w:pPr>
      <w:r>
        <w:rPr>
          <w:rFonts w:ascii="Courier New" w:cs="Courier New" w:eastAsia="Courier New" w:hAnsi="Courier New"/>
          <w:sz w:val="16"/>
          <w:szCs w:val="16"/>
          <w:color w:val="auto"/>
        </w:rPr>
        <w:t>the election of the holder at an exchange rate of 1:1. Such shares of Class B Common Stock represent 2.43% of the outstanding Class B Common Stock. Assuming the conversion of all outstanding shares of Class B Common Stock into Class A Common Stock, the 10,062,488 shares of Class A Common</w:t>
      </w:r>
    </w:p>
    <w:p>
      <w:pPr>
        <w:spacing w:after="0" w:line="1"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Stock reported as being beneficially owned by the reporting persons in this Schedule 13G would represent 2.57% of the outstanding Class A Common Stock.</w:t>
      </w: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4"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DROPBOX INC</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333 BRANNAN STREET</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SAN FRANCISCO, CA 94107</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US</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3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2(a).</w:t>
            </w:r>
          </w:p>
        </w:tc>
        <w:tc>
          <w:tcPr>
            <w:tcW w:w="5940" w:type="dxa"/>
            <w:vAlign w:val="bottom"/>
          </w:tcPr>
          <w:p>
            <w:pPr>
              <w:ind w:left="78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940" w:type="dxa"/>
            <w:vAlign w:val="bottom"/>
          </w:tcPr>
          <w:p>
            <w:pPr>
              <w:ind w:left="162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3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2(b).</w:t>
            </w:r>
          </w:p>
        </w:tc>
        <w:tc>
          <w:tcPr>
            <w:tcW w:w="5940" w:type="dxa"/>
            <w:vAlign w:val="bottom"/>
          </w:tcPr>
          <w:p>
            <w:pPr>
              <w:ind w:left="780"/>
              <w:spacing w:after="0"/>
              <w:rPr>
                <w:sz w:val="20"/>
                <w:szCs w:val="20"/>
                <w:color w:val="auto"/>
              </w:rPr>
            </w:pPr>
            <w:r>
              <w:rPr>
                <w:rFonts w:ascii="Courier New" w:cs="Courier New" w:eastAsia="Courier New" w:hAnsi="Courier New"/>
                <w:sz w:val="18"/>
                <w:szCs w:val="18"/>
                <w:color w:val="auto"/>
                <w:w w:val="97"/>
              </w:rPr>
              <w:t>Address or Principal Business Office or, if None,</w:t>
            </w:r>
          </w:p>
        </w:tc>
      </w:tr>
      <w:tr>
        <w:trPr>
          <w:trHeight w:val="203"/>
        </w:trPr>
        <w:tc>
          <w:tcPr>
            <w:tcW w:w="18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w w:val="96"/>
              </w:rPr>
              <w:t>Residence:</w:t>
            </w:r>
          </w:p>
        </w:tc>
        <w:tc>
          <w:tcPr>
            <w:tcW w:w="594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90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9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Citizenship:</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Class of Securities:</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CLASS A COMMON STOCK</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CUSIP</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Number:</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26210C104</w:t>
            </w: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5"/>
          </w:tcPr>
          <w:p>
            <w:pPr>
              <w:ind w:left="480"/>
              <w:spacing w:after="0"/>
              <w:rPr>
                <w:sz w:val="20"/>
                <w:szCs w:val="20"/>
                <w:color w:val="auto"/>
              </w:rPr>
            </w:pPr>
            <w:r>
              <w:rPr>
                <w:rFonts w:ascii="Courier New" w:cs="Courier New" w:eastAsia="Courier New" w:hAnsi="Courier New"/>
                <w:sz w:val="18"/>
                <w:szCs w:val="18"/>
                <w:color w:val="auto"/>
                <w:w w:val="99"/>
              </w:rPr>
              <w:t>This statement is filed pursuant to Rule 13d-1(b) or 13d-2(b)</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9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person filing, FMR LLC, is a parent holding company in accordance with</w:t>
            </w:r>
          </w:p>
        </w:tc>
        <w:tc>
          <w:tcPr>
            <w:tcW w:w="260" w:type="dxa"/>
            <w:vAlign w:val="bottom"/>
          </w:tcPr>
          <w:p>
            <w:pPr>
              <w:spacing w:after="0"/>
              <w:rPr>
                <w:sz w:val="17"/>
                <w:szCs w:val="17"/>
                <w:color w:val="auto"/>
              </w:rPr>
            </w:pPr>
          </w:p>
        </w:tc>
      </w:tr>
      <w:tr>
        <w:trPr>
          <w:trHeight w:val="203"/>
        </w:trPr>
        <w:tc>
          <w:tcPr>
            <w:tcW w:w="6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9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Ownership</w:t>
            </w: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34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42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99"/>
              </w:rPr>
              <w:t>10,062,488</w:t>
            </w: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(b)</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16.541%</w:t>
            </w: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(c)</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c>
          <w:tcPr>
            <w:tcW w:w="5100" w:type="dxa"/>
            <w:vAlign w:val="bottom"/>
            <w:gridSpan w:val="3"/>
          </w:tcPr>
          <w:p>
            <w:pPr>
              <w:jc w:val="right"/>
              <w:ind w:right="1012"/>
              <w:spacing w:after="0"/>
              <w:rPr>
                <w:sz w:val="20"/>
                <w:szCs w:val="20"/>
                <w:color w:val="auto"/>
              </w:rPr>
            </w:pPr>
            <w:r>
              <w:rPr>
                <w:rFonts w:ascii="Courier New" w:cs="Courier New" w:eastAsia="Courier New" w:hAnsi="Courier New"/>
                <w:sz w:val="18"/>
                <w:szCs w:val="18"/>
                <w:color w:val="auto"/>
                <w:w w:val="96"/>
              </w:rPr>
              <w:t>of shares as to which such person has:</w:t>
            </w:r>
          </w:p>
        </w:tc>
        <w:tc>
          <w:tcPr>
            <w:tcW w:w="26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51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w w:val="97"/>
              </w:rPr>
              <w:t>sole power to vote or to direct the vote: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279,750</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510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w w:val="99"/>
              </w:rPr>
              <w:t>shared power to vote or to direct the vote: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(iii)</w:t>
            </w:r>
          </w:p>
        </w:tc>
        <w:tc>
          <w:tcPr>
            <w:tcW w:w="510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sole power to dispose or to direct the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10,062,488</w:t>
            </w: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510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w w:val="99"/>
              </w:rPr>
              <w:t>shared power to dispose or to direct the</w:t>
            </w:r>
          </w:p>
        </w:tc>
        <w:tc>
          <w:tcPr>
            <w:tcW w:w="2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8,253,238 of the shares of Class A Common Stock of DROPBOX INC.</w:t>
      </w:r>
    </w:p>
    <w:p>
      <w:pPr>
        <w:spacing w:after="0" w:line="238" w:lineRule="auto"/>
        <w:rPr>
          <w:sz w:val="20"/>
          <w:szCs w:val="20"/>
          <w:color w:val="auto"/>
        </w:rPr>
      </w:pPr>
      <w:r>
        <w:rPr>
          <w:rFonts w:ascii="Courier New" w:cs="Courier New" w:eastAsia="Courier New" w:hAnsi="Courier New"/>
          <w:sz w:val="18"/>
          <w:szCs w:val="18"/>
          <w:color w:val="auto"/>
        </w:rPr>
        <w:t>reported as being beneficially owned by the reporting persons at</w:t>
      </w:r>
    </w:p>
    <w:p>
      <w:pPr>
        <w:spacing w:after="0"/>
        <w:rPr>
          <w:sz w:val="20"/>
          <w:szCs w:val="20"/>
          <w:color w:val="auto"/>
        </w:rPr>
      </w:pPr>
      <w:r>
        <w:rPr>
          <w:rFonts w:ascii="Courier New" w:cs="Courier New" w:eastAsia="Courier New" w:hAnsi="Courier New"/>
          <w:sz w:val="18"/>
          <w:szCs w:val="18"/>
          <w:color w:val="auto"/>
        </w:rPr>
        <w:t>March 29, 2018, are included in this Schedule 13G because the reporting</w:t>
      </w:r>
    </w:p>
    <w:p>
      <w:pPr>
        <w:spacing w:after="0" w:line="237" w:lineRule="auto"/>
        <w:rPr>
          <w:sz w:val="20"/>
          <w:szCs w:val="20"/>
          <w:color w:val="auto"/>
        </w:rPr>
      </w:pPr>
      <w:r>
        <w:rPr>
          <w:rFonts w:ascii="Courier New" w:cs="Courier New" w:eastAsia="Courier New" w:hAnsi="Courier New"/>
          <w:sz w:val="18"/>
          <w:szCs w:val="18"/>
          <w:color w:val="auto"/>
        </w:rPr>
        <w:t>persons are deemed to beneficially own such shares as a result of the direct</w:t>
      </w:r>
    </w:p>
    <w:p>
      <w:pPr>
        <w:spacing w:after="0" w:line="238" w:lineRule="auto"/>
        <w:rPr>
          <w:sz w:val="20"/>
          <w:szCs w:val="20"/>
          <w:color w:val="auto"/>
        </w:rPr>
      </w:pPr>
      <w:r>
        <w:rPr>
          <w:rFonts w:ascii="Courier New" w:cs="Courier New" w:eastAsia="Courier New" w:hAnsi="Courier New"/>
          <w:sz w:val="18"/>
          <w:szCs w:val="18"/>
          <w:color w:val="auto"/>
        </w:rPr>
        <w:t>ownership of 8,253,238 shares of Class B Common Stock of DROPBOX INC.</w:t>
      </w:r>
    </w:p>
    <w:p>
      <w:pPr>
        <w:spacing w:after="0"/>
        <w:rPr>
          <w:sz w:val="20"/>
          <w:szCs w:val="20"/>
          <w:color w:val="auto"/>
        </w:rPr>
      </w:pPr>
      <w:r>
        <w:rPr>
          <w:rFonts w:ascii="Courier New" w:cs="Courier New" w:eastAsia="Courier New" w:hAnsi="Courier New"/>
          <w:sz w:val="18"/>
          <w:szCs w:val="18"/>
          <w:color w:val="auto"/>
        </w:rPr>
        <w:t>by investment companies advised by FMR CO., INC., an</w:t>
      </w:r>
    </w:p>
    <w:p>
      <w:pPr>
        <w:spacing w:after="0" w:line="4"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indirect wholly-owned subsidiary of FMR LLC, which shares of Class B Common Stock are convertible into shares of Class A Common Stock at</w:t>
      </w:r>
    </w:p>
    <w:p>
      <w:pPr>
        <w:ind w:right="2319"/>
        <w:spacing w:after="0" w:line="268" w:lineRule="auto"/>
        <w:rPr>
          <w:sz w:val="20"/>
          <w:szCs w:val="20"/>
          <w:color w:val="auto"/>
        </w:rPr>
      </w:pPr>
      <w:r>
        <w:rPr>
          <w:rFonts w:ascii="Courier New" w:cs="Courier New" w:eastAsia="Courier New" w:hAnsi="Courier New"/>
          <w:sz w:val="16"/>
          <w:szCs w:val="16"/>
          <w:color w:val="auto"/>
        </w:rPr>
        <w:t>the election of the holder at an exchange rate of 1:1. Such shares of Class B Common Stock represent 2.43% of the outstanding Class B Common Stock. Assuming the conversion of all outstanding shares of Class B Common Stock into Class A Common Stock, the 10,062,488 shares of Class A Common</w:t>
      </w:r>
    </w:p>
    <w:p>
      <w:pPr>
        <w:spacing w:after="0" w:line="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Stock reported as being beneficially owned by the reporting persons in this Schedule 13G would represent 2.57% of the outstanding Class A Common Stock.</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sale of, the CLASS A COMMON STOCK of DROPBOX INC. No one other person's interest in the CLASS A COMMON STOCK of DROPBOX INC is more than five percent of the total outstanding CLASS A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ectPr>
          <w:pgSz w:w="11900" w:h="16838" w:orient="portrait"/>
          <w:cols w:equalWidth="0" w:num="1">
            <w:col w:w="10219"/>
          </w:cols>
          <w:pgMar w:left="240" w:top="136" w:right="1440" w:bottom="0" w:gutter="0" w:footer="0" w:header="0"/>
        </w:sectPr>
      </w:pPr>
    </w:p>
    <w:bookmarkStart w:id="2" w:name="page3"/>
    <w:bookmarkEnd w:id="2"/>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April 9,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420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4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COMPANY  IA</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4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75" w:lineRule="auto"/>
        <w:rPr>
          <w:sz w:val="20"/>
          <w:szCs w:val="20"/>
          <w:color w:val="auto"/>
        </w:rPr>
      </w:pPr>
      <w:r>
        <w:rPr>
          <w:rFonts w:ascii="Courier New" w:cs="Courier New" w:eastAsia="Courier New" w:hAnsi="Courier New"/>
          <w:sz w:val="16"/>
          <w:szCs w:val="16"/>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w:t>
      </w:r>
    </w:p>
    <w:p>
      <w:pPr>
        <w:sectPr>
          <w:pgSz w:w="11900" w:h="16838" w:orient="portrait"/>
          <w:cols w:equalWidth="0" w:num="1">
            <w:col w:w="10219"/>
          </w:cols>
          <w:pgMar w:left="240" w:top="750" w:right="1440" w:bottom="0" w:gutter="0" w:footer="0" w:header="0"/>
        </w:sectPr>
      </w:pPr>
    </w:p>
    <w:bookmarkStart w:id="3" w:name="page4"/>
    <w:bookmarkEnd w:id="3"/>
    <w:p>
      <w:pPr>
        <w:ind w:right="2519"/>
        <w:spacing w:after="0" w:line="237" w:lineRule="auto"/>
        <w:rPr>
          <w:sz w:val="20"/>
          <w:szCs w:val="20"/>
          <w:color w:val="auto"/>
        </w:rPr>
      </w:pPr>
      <w:r>
        <w:rPr>
          <w:rFonts w:ascii="Courier New" w:cs="Courier New" w:eastAsia="Courier New" w:hAnsi="Courier New"/>
          <w:sz w:val="18"/>
          <w:szCs w:val="18"/>
          <w:color w:val="auto"/>
        </w:rPr>
        <w:t>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The undersigned persons, on April 9, 2018, agree and consent to the joint filing on their behalf of this Schedule 13G in connection with their beneficial ownership of the CLASS A COMMON STOCK of DROPBOX INC at March 29, 2018.</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Contrafund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2019-12-07T16:40:10Z</dcterms:created>
  <dcterms:modified xsi:type="dcterms:W3CDTF">2019-12-07T16:40:10Z</dcterms:modified>
</cp:coreProperties>
</file>